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C4961AA" w14:textId="77777777" w:rsidR="008044E2" w:rsidRPr="008044E2" w:rsidRDefault="008044E2" w:rsidP="008044E2">
      <w:pPr>
        <w:pStyle w:val="Title"/>
        <w:jc w:val="center"/>
        <w:rPr>
          <w:sz w:val="72"/>
        </w:rPr>
      </w:pPr>
      <w:r w:rsidRPr="008044E2">
        <w:rPr>
          <w:sz w:val="72"/>
        </w:rPr>
        <w:t>A SIMPLE MODEL FOR DISTRICT HEATING FEASIBILITY</w:t>
      </w:r>
    </w:p>
    <w:p w14:paraId="533005D7" w14:textId="77777777" w:rsidR="008044E2" w:rsidRDefault="008044E2" w:rsidP="008044E2"/>
    <w:p w14:paraId="74EEBF96" w14:textId="77777777" w:rsidR="008044E2" w:rsidRDefault="008044E2" w:rsidP="008044E2">
      <w:pPr>
        <w:jc w:val="center"/>
      </w:pPr>
      <w:r>
        <w:rPr>
          <w:noProof/>
        </w:rPr>
        <w:drawing>
          <wp:inline distT="0" distB="0" distL="0" distR="0" wp14:anchorId="6D2EB3E5" wp14:editId="28AD6E4E">
            <wp:extent cx="2290273" cy="2317893"/>
            <wp:effectExtent l="0" t="0" r="0" b="635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heffield uni.jpg"/>
                    <pic:cNvPicPr/>
                  </pic:nvPicPr>
                  <pic:blipFill rotWithShape="1">
                    <a:blip r:embed="rId8" cstate="print">
                      <a:extLst>
                        <a:ext uri="{28A0092B-C50C-407E-A947-70E740481C1C}">
                          <a14:useLocalDpi xmlns:a14="http://schemas.microsoft.com/office/drawing/2010/main" val="0"/>
                        </a:ext>
                      </a:extLst>
                    </a:blip>
                    <a:srcRect l="12755" t="15304" r="12672" b="9202"/>
                    <a:stretch/>
                  </pic:blipFill>
                  <pic:spPr bwMode="auto">
                    <a:xfrm>
                      <a:off x="0" y="0"/>
                      <a:ext cx="2302031" cy="2329793"/>
                    </a:xfrm>
                    <a:prstGeom prst="rect">
                      <a:avLst/>
                    </a:prstGeom>
                    <a:ln>
                      <a:noFill/>
                    </a:ln>
                    <a:extLst>
                      <a:ext uri="{53640926-AAD7-44D8-BBD7-CCE9431645EC}">
                        <a14:shadowObscured xmlns:a14="http://schemas.microsoft.com/office/drawing/2010/main"/>
                      </a:ext>
                    </a:extLst>
                  </pic:spPr>
                </pic:pic>
              </a:graphicData>
            </a:graphic>
          </wp:inline>
        </w:drawing>
      </w:r>
    </w:p>
    <w:p w14:paraId="28D112C9" w14:textId="402D05DF" w:rsidR="008044E2" w:rsidRDefault="008044E2" w:rsidP="008044E2">
      <w:pPr>
        <w:pStyle w:val="Heading7"/>
        <w:jc w:val="center"/>
      </w:pPr>
      <w:r>
        <w:t xml:space="preserve">Ian </w:t>
      </w:r>
      <w:proofErr w:type="spellStart"/>
      <w:r>
        <w:t>Brocklebank</w:t>
      </w:r>
      <w:proofErr w:type="spellEnd"/>
      <w:r>
        <w:t>, Meng</w:t>
      </w:r>
    </w:p>
    <w:p w14:paraId="0D859606" w14:textId="77777777" w:rsidR="008044E2" w:rsidRPr="008044E2" w:rsidRDefault="008044E2" w:rsidP="008044E2">
      <w:pPr>
        <w:pStyle w:val="Heading7"/>
        <w:jc w:val="center"/>
        <w:rPr>
          <w:b w:val="0"/>
          <w:sz w:val="32"/>
        </w:rPr>
      </w:pPr>
      <w:r w:rsidRPr="008044E2">
        <w:rPr>
          <w:b w:val="0"/>
          <w:sz w:val="32"/>
        </w:rPr>
        <w:t>Department of Chemical and Biological Engineering</w:t>
      </w:r>
    </w:p>
    <w:p w14:paraId="2EE61866" w14:textId="712B9940" w:rsidR="008044E2" w:rsidRDefault="008044E2" w:rsidP="008044E2">
      <w:pPr>
        <w:pStyle w:val="Heading7"/>
        <w:jc w:val="center"/>
        <w:rPr>
          <w:b w:val="0"/>
          <w:sz w:val="32"/>
        </w:rPr>
      </w:pPr>
      <w:r w:rsidRPr="008044E2">
        <w:rPr>
          <w:b w:val="0"/>
          <w:sz w:val="32"/>
        </w:rPr>
        <w:t>The University of Sheffield</w:t>
      </w:r>
    </w:p>
    <w:p w14:paraId="53A48A1E" w14:textId="1ED633F1" w:rsidR="008044E2" w:rsidRPr="008044E2" w:rsidRDefault="008044E2" w:rsidP="008044E2">
      <w:pPr>
        <w:pStyle w:val="Heading7"/>
        <w:jc w:val="center"/>
        <w:rPr>
          <w:sz w:val="32"/>
          <w:szCs w:val="32"/>
        </w:rPr>
      </w:pPr>
      <w:r w:rsidRPr="008044E2">
        <w:rPr>
          <w:sz w:val="32"/>
          <w:szCs w:val="32"/>
        </w:rPr>
        <w:t>Project Supervisors</w:t>
      </w:r>
    </w:p>
    <w:p w14:paraId="470A6301" w14:textId="77777777" w:rsidR="008044E2" w:rsidRDefault="008044E2" w:rsidP="008044E2">
      <w:pPr>
        <w:pStyle w:val="Heading7"/>
        <w:jc w:val="center"/>
        <w:rPr>
          <w:b w:val="0"/>
          <w:sz w:val="32"/>
        </w:rPr>
      </w:pPr>
      <w:r>
        <w:rPr>
          <w:b w:val="0"/>
          <w:sz w:val="32"/>
        </w:rPr>
        <w:t xml:space="preserve">Professor P </w:t>
      </w:r>
      <w:proofErr w:type="spellStart"/>
      <w:r>
        <w:rPr>
          <w:b w:val="0"/>
          <w:sz w:val="32"/>
        </w:rPr>
        <w:t>Styring</w:t>
      </w:r>
      <w:proofErr w:type="spellEnd"/>
    </w:p>
    <w:p w14:paraId="329C1E21" w14:textId="57BC49C0" w:rsidR="008044E2" w:rsidRDefault="008044E2" w:rsidP="008044E2">
      <w:pPr>
        <w:pStyle w:val="Heading7"/>
        <w:jc w:val="center"/>
        <w:rPr>
          <w:b w:val="0"/>
          <w:sz w:val="32"/>
        </w:rPr>
      </w:pPr>
      <w:r w:rsidRPr="008044E2">
        <w:rPr>
          <w:b w:val="0"/>
          <w:sz w:val="32"/>
        </w:rPr>
        <w:t>Pr</w:t>
      </w:r>
      <w:r>
        <w:rPr>
          <w:b w:val="0"/>
          <w:sz w:val="32"/>
        </w:rPr>
        <w:t>ofessor S.B.M Beck</w:t>
      </w:r>
    </w:p>
    <w:p w14:paraId="50833E5C" w14:textId="77777777" w:rsidR="008044E2" w:rsidRDefault="008044E2" w:rsidP="008044E2">
      <w:pPr>
        <w:pStyle w:val="Heading7"/>
        <w:jc w:val="center"/>
        <w:rPr>
          <w:b w:val="0"/>
          <w:sz w:val="32"/>
          <w:szCs w:val="32"/>
        </w:rPr>
      </w:pPr>
      <w:r w:rsidRPr="008044E2">
        <w:rPr>
          <w:b w:val="0"/>
          <w:sz w:val="32"/>
          <w:szCs w:val="32"/>
        </w:rPr>
        <w:t xml:space="preserve">Robin Idle, HJ </w:t>
      </w:r>
      <w:proofErr w:type="spellStart"/>
      <w:r w:rsidRPr="008044E2">
        <w:rPr>
          <w:b w:val="0"/>
          <w:sz w:val="32"/>
          <w:szCs w:val="32"/>
        </w:rPr>
        <w:t>Enthoven</w:t>
      </w:r>
      <w:proofErr w:type="spellEnd"/>
      <w:r w:rsidRPr="008044E2">
        <w:rPr>
          <w:b w:val="0"/>
          <w:sz w:val="32"/>
          <w:szCs w:val="32"/>
        </w:rPr>
        <w:t xml:space="preserve"> and Sons</w:t>
      </w:r>
    </w:p>
    <w:p w14:paraId="35E0FD52" w14:textId="77777777" w:rsidR="008044E2" w:rsidRDefault="008044E2" w:rsidP="008044E2">
      <w:pPr>
        <w:pStyle w:val="Heading7"/>
        <w:jc w:val="center"/>
      </w:pPr>
    </w:p>
    <w:p w14:paraId="14F4D932" w14:textId="77777777" w:rsidR="008044E2" w:rsidRDefault="008044E2" w:rsidP="008044E2">
      <w:pPr>
        <w:pStyle w:val="Heading7"/>
        <w:jc w:val="center"/>
        <w:rPr>
          <w:b w:val="0"/>
          <w:sz w:val="32"/>
          <w:szCs w:val="32"/>
        </w:rPr>
      </w:pPr>
      <w:r w:rsidRPr="008044E2">
        <w:rPr>
          <w:b w:val="0"/>
          <w:sz w:val="32"/>
          <w:szCs w:val="32"/>
        </w:rPr>
        <w:t>A thesis submitted to the University of Sheffield for the degree of Doctor of Philosophy</w:t>
      </w:r>
    </w:p>
    <w:p w14:paraId="2524E713" w14:textId="386346CE" w:rsidR="008044E2" w:rsidRPr="00B353CA" w:rsidRDefault="00B353CA" w:rsidP="008044E2">
      <w:pPr>
        <w:pStyle w:val="Heading7"/>
        <w:jc w:val="center"/>
        <w:rPr>
          <w:sz w:val="32"/>
          <w:szCs w:val="32"/>
        </w:rPr>
      </w:pPr>
      <w:r w:rsidRPr="00B353CA">
        <w:rPr>
          <w:sz w:val="32"/>
          <w:szCs w:val="32"/>
        </w:rPr>
        <w:t>December 2018</w:t>
      </w:r>
      <w:r w:rsidR="008044E2" w:rsidRPr="00B353CA">
        <w:rPr>
          <w:sz w:val="32"/>
          <w:szCs w:val="32"/>
        </w:rPr>
        <w:t xml:space="preserve"> </w:t>
      </w:r>
      <w:r w:rsidR="00CD4373" w:rsidRPr="00B353CA">
        <w:rPr>
          <w:sz w:val="32"/>
          <w:szCs w:val="32"/>
        </w:rPr>
        <w:br w:type="page"/>
      </w:r>
    </w:p>
    <w:p w14:paraId="71AF44F4" w14:textId="59FC4240" w:rsidR="00325276" w:rsidRDefault="00C71FBF" w:rsidP="00A917EE">
      <w:pPr>
        <w:pStyle w:val="Heading7"/>
      </w:pPr>
      <w:r>
        <w:lastRenderedPageBreak/>
        <w:t>Summary</w:t>
      </w:r>
    </w:p>
    <w:p w14:paraId="2E8D0B7B" w14:textId="4E7326FE" w:rsidR="00D32536" w:rsidRDefault="00D32536" w:rsidP="00D32536">
      <w:r>
        <w:t xml:space="preserve">District heating </w:t>
      </w:r>
      <w:r w:rsidR="005E0B44">
        <w:t xml:space="preserve">accounts for </w:t>
      </w:r>
      <w:r w:rsidR="00F12D7C">
        <w:t>only</w:t>
      </w:r>
      <w:r>
        <w:t xml:space="preserve"> 2% of the total UK heat demand, which is partially due to the need</w:t>
      </w:r>
      <w:r w:rsidR="00B921BB">
        <w:t xml:space="preserve"> for local authorities to employ </w:t>
      </w:r>
      <w:r w:rsidR="00C27538">
        <w:t xml:space="preserve">costly </w:t>
      </w:r>
      <w:r w:rsidR="00B921BB">
        <w:t>engineering consultancies in the design process. A simple model that a non-technical user at a local authority could operate</w:t>
      </w:r>
      <w:r w:rsidR="00C27538">
        <w:t>,</w:t>
      </w:r>
      <w:r w:rsidR="00B921BB">
        <w:t xml:space="preserve"> to assess the feasibility of a</w:t>
      </w:r>
      <w:r w:rsidR="00563777">
        <w:t>ny</w:t>
      </w:r>
      <w:r w:rsidR="00B921BB">
        <w:t xml:space="preserve"> district heating network </w:t>
      </w:r>
      <w:r w:rsidR="00563777">
        <w:t>would</w:t>
      </w:r>
      <w:r w:rsidR="00B921BB">
        <w:t xml:space="preserve"> allow for </w:t>
      </w:r>
      <w:r w:rsidR="005E0B44">
        <w:t>future</w:t>
      </w:r>
      <w:r w:rsidR="00B921BB">
        <w:t xml:space="preserve"> networks to be assessed. </w:t>
      </w:r>
    </w:p>
    <w:p w14:paraId="16005E34" w14:textId="47DECDFC" w:rsidR="00B921BB" w:rsidRPr="00D32536" w:rsidRDefault="00B921BB" w:rsidP="00D32536">
      <w:r>
        <w:t xml:space="preserve">The aim of </w:t>
      </w:r>
      <w:r w:rsidR="00563777">
        <w:t>th</w:t>
      </w:r>
      <w:r w:rsidR="00C27538">
        <w:t>is</w:t>
      </w:r>
      <w:r w:rsidR="00563777">
        <w:t xml:space="preserve"> </w:t>
      </w:r>
      <w:r w:rsidR="00954A8D">
        <w:t>work</w:t>
      </w:r>
      <w:r w:rsidR="00563777">
        <w:t xml:space="preserve"> was</w:t>
      </w:r>
      <w:r>
        <w:t xml:space="preserve"> to build a simple model for district heating feasibility</w:t>
      </w:r>
      <w:r w:rsidR="00563777">
        <w:t>,</w:t>
      </w:r>
      <w:r>
        <w:t xml:space="preserve"> that could be </w:t>
      </w:r>
      <w:r w:rsidR="00563777">
        <w:t>operated</w:t>
      </w:r>
      <w:r>
        <w:t xml:space="preserve"> by a non-technical user for </w:t>
      </w:r>
      <w:r w:rsidR="00527AD2">
        <w:t>multiple</w:t>
      </w:r>
      <w:r>
        <w:t xml:space="preserve"> location</w:t>
      </w:r>
      <w:r w:rsidR="00527AD2">
        <w:t>s</w:t>
      </w:r>
      <w:r>
        <w:t xml:space="preserve"> in the UK. The model </w:t>
      </w:r>
      <w:r w:rsidR="00563777">
        <w:t>was</w:t>
      </w:r>
      <w:r>
        <w:t xml:space="preserve"> split into </w:t>
      </w:r>
      <w:r w:rsidR="00732BFC">
        <w:t>six</w:t>
      </w:r>
      <w:r>
        <w:t xml:space="preserve"> stages, which </w:t>
      </w:r>
      <w:r w:rsidR="00563777">
        <w:t>were</w:t>
      </w:r>
      <w:r>
        <w:t xml:space="preserve"> represented by the </w:t>
      </w:r>
      <w:r w:rsidR="00732BFC">
        <w:t>six</w:t>
      </w:r>
      <w:r>
        <w:t xml:space="preserve"> experimental chapters in th</w:t>
      </w:r>
      <w:r w:rsidR="00CB286A">
        <w:t xml:space="preserve">is </w:t>
      </w:r>
      <w:r>
        <w:t>thesis.</w:t>
      </w:r>
      <w:r w:rsidR="00F12D7C">
        <w:t xml:space="preserve"> The six stages were initial heat mapping; a quantification of both the waste heat available </w:t>
      </w:r>
      <w:r w:rsidR="00CC58A6">
        <w:t>before and after</w:t>
      </w:r>
      <w:r w:rsidR="00F12D7C">
        <w:t xml:space="preserve"> recovery; modelling of the heat demand in the local area; optimisation of the network using thermal energy storage; and economic and environmental assessment</w:t>
      </w:r>
      <w:r w:rsidR="00E86FC3">
        <w:t>s</w:t>
      </w:r>
      <w:r w:rsidR="00F12D7C">
        <w:t xml:space="preserve"> of the network.</w:t>
      </w:r>
      <w:r>
        <w:t xml:space="preserve"> To evaluate the success of the model each stage need</w:t>
      </w:r>
      <w:r w:rsidR="00563777">
        <w:t>ed</w:t>
      </w:r>
      <w:r>
        <w:t xml:space="preserve"> to be assessed. The assessment consider</w:t>
      </w:r>
      <w:r w:rsidR="00563777">
        <w:t>ed</w:t>
      </w:r>
      <w:r>
        <w:t xml:space="preserve"> the accuracy of the methodology, the ability of a non</w:t>
      </w:r>
      <w:r w:rsidR="001410DF">
        <w:noBreakHyphen/>
      </w:r>
      <w:r>
        <w:t>technical user to operate the model</w:t>
      </w:r>
      <w:r w:rsidR="00A93138">
        <w:t>,</w:t>
      </w:r>
      <w:r>
        <w:t xml:space="preserve"> and the applicability of using the same model in different locations. The model was used to assess the feasibility of a possible new district heating network based in Darley Dale, England</w:t>
      </w:r>
      <w:r w:rsidR="001410DF">
        <w:t xml:space="preserve">, using HJ </w:t>
      </w:r>
      <w:proofErr w:type="spellStart"/>
      <w:r w:rsidR="001410DF">
        <w:t>Enthoven</w:t>
      </w:r>
      <w:proofErr w:type="spellEnd"/>
      <w:r w:rsidR="001410DF">
        <w:t xml:space="preserve"> as a case study</w:t>
      </w:r>
      <w:r>
        <w:t>.</w:t>
      </w:r>
    </w:p>
    <w:p w14:paraId="38287E28" w14:textId="69205460" w:rsidR="00B921BB" w:rsidRDefault="00F12D7C" w:rsidP="00DA3672">
      <w:r>
        <w:t>The heat mapping, heat demand modelling, and optimisation stages</w:t>
      </w:r>
      <w:r w:rsidR="00B921BB">
        <w:t xml:space="preserve"> </w:t>
      </w:r>
      <w:r>
        <w:t>of the overall feasibility model were shown to be both accurate and simple enough for a non-technical individual to use</w:t>
      </w:r>
      <w:r w:rsidR="00B921BB">
        <w:t xml:space="preserve">. A heat mapping methodology was generated that showed a </w:t>
      </w:r>
      <w:r>
        <w:t>14%</w:t>
      </w:r>
      <w:r w:rsidR="00B921BB">
        <w:t xml:space="preserve"> correlation to the UK </w:t>
      </w:r>
      <w:r w:rsidR="005E0B44">
        <w:t>combined heat and power</w:t>
      </w:r>
      <w:r w:rsidR="00B921BB">
        <w:t xml:space="preserve"> development map. A heat demand model was </w:t>
      </w:r>
      <w:r w:rsidR="00563777">
        <w:t>created</w:t>
      </w:r>
      <w:r w:rsidR="00B921BB">
        <w:t xml:space="preserve"> based on industrial regression-based archetype techniques. Monte Carlo simulations were used to assess the </w:t>
      </w:r>
      <w:r w:rsidR="00CB286A">
        <w:t>sensitivity</w:t>
      </w:r>
      <w:r w:rsidR="00B921BB">
        <w:t xml:space="preserve"> of the heat demand model</w:t>
      </w:r>
      <w:r w:rsidR="00563777">
        <w:t>. B</w:t>
      </w:r>
      <w:r w:rsidR="00B921BB">
        <w:t xml:space="preserve">ased on the results of the simulations, </w:t>
      </w:r>
      <w:r>
        <w:t xml:space="preserve">the data collection process was modified to </w:t>
      </w:r>
      <w:r w:rsidR="00E86FC3">
        <w:t>manually measure building sizes</w:t>
      </w:r>
      <w:r w:rsidR="00B921BB">
        <w:t xml:space="preserve">. A district heating optimisation model was </w:t>
      </w:r>
      <w:r w:rsidR="00563777">
        <w:t>generated</w:t>
      </w:r>
      <w:r w:rsidR="00B921BB">
        <w:t xml:space="preserve"> based on </w:t>
      </w:r>
      <w:r>
        <w:t>mixed integer linear programming</w:t>
      </w:r>
      <w:r w:rsidR="00B921BB">
        <w:t xml:space="preserve"> models for optimisation</w:t>
      </w:r>
      <w:r w:rsidR="00E86FC3">
        <w:t>, that were</w:t>
      </w:r>
      <w:r>
        <w:t xml:space="preserve"> found in a variety of journal papers</w:t>
      </w:r>
      <w:r w:rsidR="00B921BB">
        <w:t xml:space="preserve">. The optimisation process was used to develop standard rules that could be applied to </w:t>
      </w:r>
      <w:r w:rsidR="00527AD2">
        <w:t>multiple</w:t>
      </w:r>
      <w:r w:rsidR="00B921BB">
        <w:t xml:space="preserve"> district heating network</w:t>
      </w:r>
      <w:r w:rsidR="00527AD2">
        <w:t>s</w:t>
      </w:r>
      <w:r w:rsidR="00B921BB">
        <w:t>.</w:t>
      </w:r>
      <w:r w:rsidR="000678BB">
        <w:t xml:space="preserve"> It was shown that the generic models for the quantification of the waste heat available from the industrial source and the waste heat recovery were </w:t>
      </w:r>
      <w:r w:rsidR="00F20E3F">
        <w:t>more</w:t>
      </w:r>
      <w:r w:rsidR="000678BB">
        <w:t xml:space="preserve"> complicated </w:t>
      </w:r>
      <w:r w:rsidR="00F20E3F">
        <w:t>than</w:t>
      </w:r>
      <w:r w:rsidR="00732BFC">
        <w:t xml:space="preserve"> a non-technical user</w:t>
      </w:r>
      <w:r w:rsidR="00F20E3F">
        <w:t xml:space="preserve"> </w:t>
      </w:r>
      <w:r w:rsidR="00E86FC3">
        <w:t>would be capable of using</w:t>
      </w:r>
      <w:r w:rsidR="000678BB">
        <w:t xml:space="preserve">. </w:t>
      </w:r>
      <w:r>
        <w:t xml:space="preserve">The quantification model was changed to be based on an assessment from </w:t>
      </w:r>
      <w:r w:rsidR="00E86FC3">
        <w:t>the</w:t>
      </w:r>
      <w:r>
        <w:t xml:space="preserve"> involved industrial partners and the </w:t>
      </w:r>
      <w:r w:rsidR="001410DF">
        <w:t>waste heat recovery model was changed to be based around an assumption of 60% efficient recovery.</w:t>
      </w:r>
    </w:p>
    <w:p w14:paraId="5809C039" w14:textId="3379DC37" w:rsidR="000678BB" w:rsidRDefault="000678BB" w:rsidP="001410DF">
      <w:r>
        <w:t>It was shown that only minor modifications</w:t>
      </w:r>
      <w:r w:rsidR="001410DF">
        <w:t xml:space="preserve"> of a variable maximum distance between the heat source and customers</w:t>
      </w:r>
      <w:r w:rsidR="00C27538">
        <w:t xml:space="preserve"> were</w:t>
      </w:r>
      <w:r>
        <w:t xml:space="preserve"> needed to be made</w:t>
      </w:r>
      <w:r w:rsidR="00C27538">
        <w:t xml:space="preserve"> to</w:t>
      </w:r>
      <w:r>
        <w:t xml:space="preserve"> the feasibility model to allow the same methodology to be used in different locations. </w:t>
      </w:r>
      <w:r w:rsidR="001410DF">
        <w:t>The heat demand model was changed by not counting domestic buildings in the data collection stage of the model</w:t>
      </w:r>
      <w:r w:rsidR="0039781A">
        <w:t xml:space="preserve"> in rural locations</w:t>
      </w:r>
      <w:r w:rsidR="001410DF">
        <w:t>.</w:t>
      </w:r>
    </w:p>
    <w:p w14:paraId="6DB85E44" w14:textId="77777777" w:rsidR="00E46144" w:rsidRDefault="00153C21" w:rsidP="00C27538">
      <w:pPr>
        <w:sectPr w:rsidR="00E46144" w:rsidSect="00D12F87">
          <w:headerReference w:type="default" r:id="rId9"/>
          <w:pgSz w:w="11906" w:h="16838"/>
          <w:pgMar w:top="1440" w:right="1440" w:bottom="1440" w:left="2268" w:header="709" w:footer="709" w:gutter="0"/>
          <w:cols w:space="708"/>
          <w:docGrid w:linePitch="360"/>
        </w:sectPr>
      </w:pPr>
      <w:r>
        <w:t xml:space="preserve">The case study </w:t>
      </w:r>
      <w:r w:rsidR="00732BFC">
        <w:t>district heating network</w:t>
      </w:r>
      <w:r>
        <w:t xml:space="preserve"> was shown to be profitable, with a </w:t>
      </w:r>
      <w:r w:rsidR="00732BFC">
        <w:t>net present value</w:t>
      </w:r>
      <w:r>
        <w:t xml:space="preserve"> of £3.13 million after a 40</w:t>
      </w:r>
      <w:r w:rsidR="00C27538">
        <w:noBreakHyphen/>
      </w:r>
      <w:r>
        <w:t xml:space="preserve">year lifespan. </w:t>
      </w:r>
      <w:r w:rsidR="00732BFC">
        <w:t>The network</w:t>
      </w:r>
      <w:r>
        <w:t xml:space="preserve"> was shown to be environmentally better than natural gas heating, saving 19,300 tonnes CO</w:t>
      </w:r>
      <w:r>
        <w:rPr>
          <w:vertAlign w:val="subscript"/>
        </w:rPr>
        <w:t>2</w:t>
      </w:r>
      <w:r>
        <w:t>e</w:t>
      </w:r>
      <w:r w:rsidR="00732BFC">
        <w:t xml:space="preserve"> per annum</w:t>
      </w:r>
      <w:r>
        <w:t xml:space="preserve">. The heat demand variation of the </w:t>
      </w:r>
      <w:r w:rsidR="00732BFC">
        <w:t xml:space="preserve">network </w:t>
      </w:r>
      <w:r>
        <w:t>was 2.63</w:t>
      </w:r>
      <w:r w:rsidR="00C27538">
        <w:t> </w:t>
      </w:r>
      <w:r>
        <w:t>–</w:t>
      </w:r>
      <w:r w:rsidR="00C27538">
        <w:t> </w:t>
      </w:r>
      <w:r>
        <w:t>8.99 MW, which was supplied by 0.228</w:t>
      </w:r>
      <w:r w:rsidR="000865F0">
        <w:t> – </w:t>
      </w:r>
      <w:r>
        <w:t xml:space="preserve">3.29 MW of industrial </w:t>
      </w:r>
      <w:r w:rsidR="00732BFC">
        <w:t>waste heat</w:t>
      </w:r>
      <w:r>
        <w:t xml:space="preserve">. The heat supply and demand were balanced using the thermal inertia of the pipe network of the </w:t>
      </w:r>
      <w:r w:rsidR="00732BFC">
        <w:t>network as thermal energy storage</w:t>
      </w:r>
      <w:r w:rsidR="001410DF">
        <w:t xml:space="preserve"> and a gas burner</w:t>
      </w:r>
      <w:r>
        <w:t>.</w:t>
      </w:r>
    </w:p>
    <w:p w14:paraId="7DFBCA44" w14:textId="6A0E2731" w:rsidR="00864100" w:rsidRDefault="00864100" w:rsidP="003E0481">
      <w:pPr>
        <w:pStyle w:val="Heading8"/>
      </w:pPr>
      <w:r>
        <w:lastRenderedPageBreak/>
        <w:t>Acknowledgements</w:t>
      </w:r>
    </w:p>
    <w:p w14:paraId="3C027571" w14:textId="7C713CDD" w:rsidR="000678BB" w:rsidRDefault="000678BB" w:rsidP="000678BB">
      <w:r>
        <w:t xml:space="preserve">I would firstly like to thank Professors Peter </w:t>
      </w:r>
      <w:proofErr w:type="spellStart"/>
      <w:r>
        <w:t>Styring</w:t>
      </w:r>
      <w:proofErr w:type="spellEnd"/>
      <w:r>
        <w:t xml:space="preserve"> and Stephen Beck in their roles </w:t>
      </w:r>
      <w:r w:rsidR="00732BFC">
        <w:t>as</w:t>
      </w:r>
      <w:r>
        <w:t xml:space="preserve"> my primary and secondary supervisors. </w:t>
      </w:r>
      <w:r w:rsidR="005E0B44">
        <w:t>They have provided the overall direction for this thesis and vital guidance throughout</w:t>
      </w:r>
      <w:r>
        <w:t xml:space="preserve">. In particular I would like to thank Peter for his contacts and help with finding an industrial sponsor, without which </w:t>
      </w:r>
      <w:r w:rsidR="005E0B44">
        <w:t>this</w:t>
      </w:r>
      <w:r>
        <w:t xml:space="preserve"> PhD would not have been possible.</w:t>
      </w:r>
    </w:p>
    <w:p w14:paraId="01A7C3E0" w14:textId="2E4F2E49" w:rsidR="000678BB" w:rsidRPr="000678BB" w:rsidRDefault="000678BB" w:rsidP="000678BB">
      <w:r>
        <w:t xml:space="preserve">Next, I would like to thank HJ </w:t>
      </w:r>
      <w:proofErr w:type="spellStart"/>
      <w:r>
        <w:t>Enthoven</w:t>
      </w:r>
      <w:proofErr w:type="spellEnd"/>
      <w:r>
        <w:t xml:space="preserve"> and Sons, in particular Robin Idle, </w:t>
      </w:r>
      <w:r w:rsidR="005E0B44">
        <w:t>for</w:t>
      </w:r>
      <w:r>
        <w:t xml:space="preserve"> their role</w:t>
      </w:r>
      <w:r w:rsidR="00563777">
        <w:t>s</w:t>
      </w:r>
      <w:r>
        <w:t xml:space="preserve"> of industrial sponsor and industrial supervisor</w:t>
      </w:r>
      <w:r w:rsidR="005E0B44">
        <w:t xml:space="preserve"> respectively</w:t>
      </w:r>
      <w:r>
        <w:t xml:space="preserve">. </w:t>
      </w:r>
      <w:r w:rsidR="005E0B44">
        <w:t xml:space="preserve">HJ </w:t>
      </w:r>
      <w:proofErr w:type="spellStart"/>
      <w:r w:rsidR="005E0B44">
        <w:t>Enthoven</w:t>
      </w:r>
      <w:proofErr w:type="spellEnd"/>
      <w:r w:rsidR="005E0B44">
        <w:t xml:space="preserve"> provided clear and viable objectives that vastly improved the feasibility of this thesis</w:t>
      </w:r>
      <w:r>
        <w:t xml:space="preserve">. In addition, </w:t>
      </w:r>
      <w:r w:rsidR="005E0B44">
        <w:t xml:space="preserve">HJ </w:t>
      </w:r>
      <w:proofErr w:type="spellStart"/>
      <w:r w:rsidR="005E0B44">
        <w:t>Enthoven</w:t>
      </w:r>
      <w:proofErr w:type="spellEnd"/>
      <w:r w:rsidR="005E0B44">
        <w:t xml:space="preserve"> provided primary data which was the basis for the models produced throughout</w:t>
      </w:r>
      <w:r>
        <w:t xml:space="preserve">. </w:t>
      </w:r>
      <w:r w:rsidR="00C27538">
        <w:t>To Robin</w:t>
      </w:r>
      <w:r w:rsidR="00B00A04">
        <w:t>,</w:t>
      </w:r>
      <w:r>
        <w:t xml:space="preserve"> I would like to thank </w:t>
      </w:r>
      <w:r w:rsidR="00C27538">
        <w:t>him</w:t>
      </w:r>
      <w:r>
        <w:t xml:space="preserve"> for all the advice </w:t>
      </w:r>
      <w:r w:rsidR="00732BFC">
        <w:t xml:space="preserve">I received </w:t>
      </w:r>
      <w:r>
        <w:t xml:space="preserve">when I was floundering, particularly when I was trying to model the </w:t>
      </w:r>
      <w:proofErr w:type="spellStart"/>
      <w:r>
        <w:t>Enthoven</w:t>
      </w:r>
      <w:proofErr w:type="spellEnd"/>
      <w:r>
        <w:t xml:space="preserve"> process.</w:t>
      </w:r>
    </w:p>
    <w:p w14:paraId="2F316412" w14:textId="2FD82A91" w:rsidR="000678BB" w:rsidRDefault="000678BB" w:rsidP="00864100">
      <w:r>
        <w:t>I would like to thank the Energy Storage CDT, in particular Sharon Brown, without whom my PhD would not be possible or funded.</w:t>
      </w:r>
      <w:r w:rsidR="00AE32C7">
        <w:t xml:space="preserve"> In particular</w:t>
      </w:r>
      <w:r w:rsidR="00B00A04">
        <w:t>,</w:t>
      </w:r>
      <w:r w:rsidR="00AE32C7">
        <w:t xml:space="preserve"> the first year of training that they provided into energy storage and its applications has greatly increased my knowledge of environmental engineering. Sharon Brown was particularly ad</w:t>
      </w:r>
      <w:r w:rsidR="00B00A04">
        <w:t>e</w:t>
      </w:r>
      <w:r w:rsidR="00AE32C7">
        <w:t>pt at being aware of significant problems that were occurring in my work</w:t>
      </w:r>
      <w:r w:rsidR="00732BFC">
        <w:t>,</w:t>
      </w:r>
      <w:r w:rsidR="00AE32C7">
        <w:t xml:space="preserve"> offering timely and intelligent solutions to said problems.</w:t>
      </w:r>
    </w:p>
    <w:p w14:paraId="5F0E08C7" w14:textId="312BDCDF" w:rsidR="00AE32C7" w:rsidRDefault="00AE32C7" w:rsidP="00864100">
      <w:r>
        <w:t>I would like to acknowledge the Engineering and Physical Sciences Research Council for funding my thesis under the Centre for Doctoral Training in Energy Storage and its Applications (</w:t>
      </w:r>
      <w:r w:rsidRPr="00692CF4">
        <w:t>EP/L016818/1</w:t>
      </w:r>
      <w:r>
        <w:t>).</w:t>
      </w:r>
    </w:p>
    <w:p w14:paraId="115E136B" w14:textId="26E5C08D" w:rsidR="00A035AB" w:rsidRDefault="00A035AB" w:rsidP="00864100">
      <w:r>
        <w:t>In addition, I would like to thank all of the students with whom I have shared office space and communicated with over the course of my work. The students were available to provide</w:t>
      </w:r>
      <w:r w:rsidR="00AE32C7">
        <w:t xml:space="preserve"> me with</w:t>
      </w:r>
      <w:r>
        <w:t xml:space="preserve"> motivation, help when I was stuck and a sympathetic ear when I needed it.</w:t>
      </w:r>
    </w:p>
    <w:p w14:paraId="248B7603" w14:textId="29162688" w:rsidR="00A035AB" w:rsidRDefault="00A035AB" w:rsidP="00864100">
      <w:r>
        <w:t>Finally, I would like to thank my family, my girlfriend and my friends for keeping m</w:t>
      </w:r>
      <w:r w:rsidR="005E0B44">
        <w:t>e</w:t>
      </w:r>
      <w:r>
        <w:t xml:space="preserve"> happy and motivated throughout the four years of my study.</w:t>
      </w:r>
    </w:p>
    <w:p w14:paraId="73582B7F" w14:textId="26F338E8" w:rsidR="00E37CB0" w:rsidRDefault="00E37CB0">
      <w:pPr>
        <w:jc w:val="left"/>
      </w:pPr>
      <w:r>
        <w:br w:type="page"/>
      </w:r>
    </w:p>
    <w:p w14:paraId="07D15377" w14:textId="77777777" w:rsidR="002A6A73" w:rsidRDefault="002A6A73" w:rsidP="002A6A73">
      <w:pPr>
        <w:pStyle w:val="Heading7"/>
      </w:pPr>
      <w:r>
        <w:lastRenderedPageBreak/>
        <w:t>Contents</w:t>
      </w:r>
    </w:p>
    <w:p w14:paraId="55A6A5E8" w14:textId="21C9F531" w:rsidR="00CB7456" w:rsidRDefault="002A6A73">
      <w:pPr>
        <w:pStyle w:val="TOC1"/>
        <w:tabs>
          <w:tab w:val="right" w:leader="dot" w:pos="8188"/>
        </w:tabs>
        <w:rPr>
          <w:noProof/>
          <w:lang w:eastAsia="en-GB"/>
        </w:rPr>
      </w:pPr>
      <w:r>
        <w:fldChar w:fldCharType="begin"/>
      </w:r>
      <w:r>
        <w:instrText xml:space="preserve"> TOC \o "1-5" \h \z \u </w:instrText>
      </w:r>
      <w:r>
        <w:fldChar w:fldCharType="separate"/>
      </w:r>
      <w:hyperlink w:anchor="_Toc7187425" w:history="1">
        <w:r w:rsidR="00CB7456" w:rsidRPr="00326D76">
          <w:rPr>
            <w:rStyle w:val="Hyperlink"/>
            <w:noProof/>
          </w:rPr>
          <w:t>1 Introduction</w:t>
        </w:r>
        <w:r w:rsidR="00CB7456">
          <w:rPr>
            <w:noProof/>
            <w:webHidden/>
          </w:rPr>
          <w:tab/>
        </w:r>
        <w:r w:rsidR="00CB7456">
          <w:rPr>
            <w:noProof/>
            <w:webHidden/>
          </w:rPr>
          <w:fldChar w:fldCharType="begin"/>
        </w:r>
        <w:r w:rsidR="00CB7456">
          <w:rPr>
            <w:noProof/>
            <w:webHidden/>
          </w:rPr>
          <w:instrText xml:space="preserve"> PAGEREF _Toc7187425 \h </w:instrText>
        </w:r>
        <w:r w:rsidR="00CB7456">
          <w:rPr>
            <w:noProof/>
            <w:webHidden/>
          </w:rPr>
        </w:r>
        <w:r w:rsidR="00CB7456">
          <w:rPr>
            <w:noProof/>
            <w:webHidden/>
          </w:rPr>
          <w:fldChar w:fldCharType="separate"/>
        </w:r>
        <w:r w:rsidR="00CB7456">
          <w:rPr>
            <w:noProof/>
            <w:webHidden/>
          </w:rPr>
          <w:t>21</w:t>
        </w:r>
        <w:r w:rsidR="00CB7456">
          <w:rPr>
            <w:noProof/>
            <w:webHidden/>
          </w:rPr>
          <w:fldChar w:fldCharType="end"/>
        </w:r>
      </w:hyperlink>
    </w:p>
    <w:p w14:paraId="7537A153" w14:textId="21E14BDC" w:rsidR="00CB7456" w:rsidRDefault="00CB7456">
      <w:pPr>
        <w:pStyle w:val="TOC2"/>
        <w:tabs>
          <w:tab w:val="right" w:leader="dot" w:pos="8188"/>
        </w:tabs>
        <w:rPr>
          <w:noProof/>
          <w:lang w:eastAsia="en-GB"/>
        </w:rPr>
      </w:pPr>
      <w:hyperlink w:anchor="_Toc7187426" w:history="1">
        <w:r w:rsidRPr="00326D76">
          <w:rPr>
            <w:rStyle w:val="Hyperlink"/>
            <w:noProof/>
          </w:rPr>
          <w:t>1.1 District Heating</w:t>
        </w:r>
        <w:r>
          <w:rPr>
            <w:noProof/>
            <w:webHidden/>
          </w:rPr>
          <w:tab/>
        </w:r>
        <w:r>
          <w:rPr>
            <w:noProof/>
            <w:webHidden/>
          </w:rPr>
          <w:fldChar w:fldCharType="begin"/>
        </w:r>
        <w:r>
          <w:rPr>
            <w:noProof/>
            <w:webHidden/>
          </w:rPr>
          <w:instrText xml:space="preserve"> PAGEREF _Toc7187426 \h </w:instrText>
        </w:r>
        <w:r>
          <w:rPr>
            <w:noProof/>
            <w:webHidden/>
          </w:rPr>
        </w:r>
        <w:r>
          <w:rPr>
            <w:noProof/>
            <w:webHidden/>
          </w:rPr>
          <w:fldChar w:fldCharType="separate"/>
        </w:r>
        <w:r>
          <w:rPr>
            <w:noProof/>
            <w:webHidden/>
          </w:rPr>
          <w:t>22</w:t>
        </w:r>
        <w:r>
          <w:rPr>
            <w:noProof/>
            <w:webHidden/>
          </w:rPr>
          <w:fldChar w:fldCharType="end"/>
        </w:r>
      </w:hyperlink>
    </w:p>
    <w:p w14:paraId="7234EA81" w14:textId="4B604908" w:rsidR="00CB7456" w:rsidRDefault="00CB7456">
      <w:pPr>
        <w:pStyle w:val="TOC2"/>
        <w:tabs>
          <w:tab w:val="right" w:leader="dot" w:pos="8188"/>
        </w:tabs>
        <w:rPr>
          <w:noProof/>
          <w:lang w:eastAsia="en-GB"/>
        </w:rPr>
      </w:pPr>
      <w:hyperlink w:anchor="_Toc7187427" w:history="1">
        <w:r w:rsidRPr="00326D76">
          <w:rPr>
            <w:rStyle w:val="Hyperlink"/>
            <w:noProof/>
          </w:rPr>
          <w:t>1.2 Research Objectives</w:t>
        </w:r>
        <w:r>
          <w:rPr>
            <w:noProof/>
            <w:webHidden/>
          </w:rPr>
          <w:tab/>
        </w:r>
        <w:r>
          <w:rPr>
            <w:noProof/>
            <w:webHidden/>
          </w:rPr>
          <w:fldChar w:fldCharType="begin"/>
        </w:r>
        <w:r>
          <w:rPr>
            <w:noProof/>
            <w:webHidden/>
          </w:rPr>
          <w:instrText xml:space="preserve"> PAGEREF _Toc7187427 \h </w:instrText>
        </w:r>
        <w:r>
          <w:rPr>
            <w:noProof/>
            <w:webHidden/>
          </w:rPr>
        </w:r>
        <w:r>
          <w:rPr>
            <w:noProof/>
            <w:webHidden/>
          </w:rPr>
          <w:fldChar w:fldCharType="separate"/>
        </w:r>
        <w:r>
          <w:rPr>
            <w:noProof/>
            <w:webHidden/>
          </w:rPr>
          <w:t>24</w:t>
        </w:r>
        <w:r>
          <w:rPr>
            <w:noProof/>
            <w:webHidden/>
          </w:rPr>
          <w:fldChar w:fldCharType="end"/>
        </w:r>
      </w:hyperlink>
    </w:p>
    <w:p w14:paraId="731552B8" w14:textId="34AA7E9D" w:rsidR="00CB7456" w:rsidRDefault="00CB7456">
      <w:pPr>
        <w:pStyle w:val="TOC2"/>
        <w:tabs>
          <w:tab w:val="right" w:leader="dot" w:pos="8188"/>
        </w:tabs>
        <w:rPr>
          <w:noProof/>
          <w:lang w:eastAsia="en-GB"/>
        </w:rPr>
      </w:pPr>
      <w:hyperlink w:anchor="_Toc7187428" w:history="1">
        <w:r w:rsidRPr="00326D76">
          <w:rPr>
            <w:rStyle w:val="Hyperlink"/>
            <w:noProof/>
          </w:rPr>
          <w:t>1.3 Layout of the Thesis</w:t>
        </w:r>
        <w:r>
          <w:rPr>
            <w:noProof/>
            <w:webHidden/>
          </w:rPr>
          <w:tab/>
        </w:r>
        <w:r>
          <w:rPr>
            <w:noProof/>
            <w:webHidden/>
          </w:rPr>
          <w:fldChar w:fldCharType="begin"/>
        </w:r>
        <w:r>
          <w:rPr>
            <w:noProof/>
            <w:webHidden/>
          </w:rPr>
          <w:instrText xml:space="preserve"> PAGEREF _Toc7187428 \h </w:instrText>
        </w:r>
        <w:r>
          <w:rPr>
            <w:noProof/>
            <w:webHidden/>
          </w:rPr>
        </w:r>
        <w:r>
          <w:rPr>
            <w:noProof/>
            <w:webHidden/>
          </w:rPr>
          <w:fldChar w:fldCharType="separate"/>
        </w:r>
        <w:r>
          <w:rPr>
            <w:noProof/>
            <w:webHidden/>
          </w:rPr>
          <w:t>24</w:t>
        </w:r>
        <w:r>
          <w:rPr>
            <w:noProof/>
            <w:webHidden/>
          </w:rPr>
          <w:fldChar w:fldCharType="end"/>
        </w:r>
      </w:hyperlink>
    </w:p>
    <w:p w14:paraId="1413406D" w14:textId="64B7E9C6" w:rsidR="00CB7456" w:rsidRDefault="00CB7456">
      <w:pPr>
        <w:pStyle w:val="TOC2"/>
        <w:tabs>
          <w:tab w:val="right" w:leader="dot" w:pos="8188"/>
        </w:tabs>
        <w:rPr>
          <w:noProof/>
          <w:lang w:eastAsia="en-GB"/>
        </w:rPr>
      </w:pPr>
      <w:hyperlink w:anchor="_Toc7187429" w:history="1">
        <w:r w:rsidRPr="00326D76">
          <w:rPr>
            <w:rStyle w:val="Hyperlink"/>
            <w:noProof/>
          </w:rPr>
          <w:t>1.4 Case Study and HJ Enthoven</w:t>
        </w:r>
        <w:r>
          <w:rPr>
            <w:noProof/>
            <w:webHidden/>
          </w:rPr>
          <w:tab/>
        </w:r>
        <w:r>
          <w:rPr>
            <w:noProof/>
            <w:webHidden/>
          </w:rPr>
          <w:fldChar w:fldCharType="begin"/>
        </w:r>
        <w:r>
          <w:rPr>
            <w:noProof/>
            <w:webHidden/>
          </w:rPr>
          <w:instrText xml:space="preserve"> PAGEREF _Toc7187429 \h </w:instrText>
        </w:r>
        <w:r>
          <w:rPr>
            <w:noProof/>
            <w:webHidden/>
          </w:rPr>
        </w:r>
        <w:r>
          <w:rPr>
            <w:noProof/>
            <w:webHidden/>
          </w:rPr>
          <w:fldChar w:fldCharType="separate"/>
        </w:r>
        <w:r>
          <w:rPr>
            <w:noProof/>
            <w:webHidden/>
          </w:rPr>
          <w:t>25</w:t>
        </w:r>
        <w:r>
          <w:rPr>
            <w:noProof/>
            <w:webHidden/>
          </w:rPr>
          <w:fldChar w:fldCharType="end"/>
        </w:r>
      </w:hyperlink>
    </w:p>
    <w:p w14:paraId="419B5882" w14:textId="641FDABA" w:rsidR="00CB7456" w:rsidRDefault="00CB7456">
      <w:pPr>
        <w:pStyle w:val="TOC1"/>
        <w:tabs>
          <w:tab w:val="right" w:leader="dot" w:pos="8188"/>
        </w:tabs>
        <w:rPr>
          <w:noProof/>
          <w:lang w:eastAsia="en-GB"/>
        </w:rPr>
      </w:pPr>
      <w:hyperlink w:anchor="_Toc7187430" w:history="1">
        <w:r w:rsidRPr="00326D76">
          <w:rPr>
            <w:rStyle w:val="Hyperlink"/>
            <w:noProof/>
          </w:rPr>
          <w:t>2 Literature Review</w:t>
        </w:r>
        <w:r>
          <w:rPr>
            <w:noProof/>
            <w:webHidden/>
          </w:rPr>
          <w:tab/>
        </w:r>
        <w:r>
          <w:rPr>
            <w:noProof/>
            <w:webHidden/>
          </w:rPr>
          <w:fldChar w:fldCharType="begin"/>
        </w:r>
        <w:r>
          <w:rPr>
            <w:noProof/>
            <w:webHidden/>
          </w:rPr>
          <w:instrText xml:space="preserve"> PAGEREF _Toc7187430 \h </w:instrText>
        </w:r>
        <w:r>
          <w:rPr>
            <w:noProof/>
            <w:webHidden/>
          </w:rPr>
        </w:r>
        <w:r>
          <w:rPr>
            <w:noProof/>
            <w:webHidden/>
          </w:rPr>
          <w:fldChar w:fldCharType="separate"/>
        </w:r>
        <w:r>
          <w:rPr>
            <w:noProof/>
            <w:webHidden/>
          </w:rPr>
          <w:t>27</w:t>
        </w:r>
        <w:r>
          <w:rPr>
            <w:noProof/>
            <w:webHidden/>
          </w:rPr>
          <w:fldChar w:fldCharType="end"/>
        </w:r>
      </w:hyperlink>
    </w:p>
    <w:p w14:paraId="7F9F54EE" w14:textId="78E15EAE" w:rsidR="00CB7456" w:rsidRDefault="00CB7456">
      <w:pPr>
        <w:pStyle w:val="TOC2"/>
        <w:tabs>
          <w:tab w:val="right" w:leader="dot" w:pos="8188"/>
        </w:tabs>
        <w:rPr>
          <w:noProof/>
          <w:lang w:eastAsia="en-GB"/>
        </w:rPr>
      </w:pPr>
      <w:hyperlink w:anchor="_Toc7187431" w:history="1">
        <w:r w:rsidRPr="00326D76">
          <w:rPr>
            <w:rStyle w:val="Hyperlink"/>
            <w:noProof/>
          </w:rPr>
          <w:t>2.1 Introduction</w:t>
        </w:r>
        <w:r>
          <w:rPr>
            <w:noProof/>
            <w:webHidden/>
          </w:rPr>
          <w:tab/>
        </w:r>
        <w:r>
          <w:rPr>
            <w:noProof/>
            <w:webHidden/>
          </w:rPr>
          <w:fldChar w:fldCharType="begin"/>
        </w:r>
        <w:r>
          <w:rPr>
            <w:noProof/>
            <w:webHidden/>
          </w:rPr>
          <w:instrText xml:space="preserve"> PAGEREF _Toc7187431 \h </w:instrText>
        </w:r>
        <w:r>
          <w:rPr>
            <w:noProof/>
            <w:webHidden/>
          </w:rPr>
        </w:r>
        <w:r>
          <w:rPr>
            <w:noProof/>
            <w:webHidden/>
          </w:rPr>
          <w:fldChar w:fldCharType="separate"/>
        </w:r>
        <w:r>
          <w:rPr>
            <w:noProof/>
            <w:webHidden/>
          </w:rPr>
          <w:t>27</w:t>
        </w:r>
        <w:r>
          <w:rPr>
            <w:noProof/>
            <w:webHidden/>
          </w:rPr>
          <w:fldChar w:fldCharType="end"/>
        </w:r>
      </w:hyperlink>
    </w:p>
    <w:p w14:paraId="1E8A2945" w14:textId="17BBE208" w:rsidR="00CB7456" w:rsidRDefault="00CB7456">
      <w:pPr>
        <w:pStyle w:val="TOC2"/>
        <w:tabs>
          <w:tab w:val="right" w:leader="dot" w:pos="8188"/>
        </w:tabs>
        <w:rPr>
          <w:noProof/>
          <w:lang w:eastAsia="en-GB"/>
        </w:rPr>
      </w:pPr>
      <w:hyperlink w:anchor="_Toc7187432" w:history="1">
        <w:r w:rsidRPr="00326D76">
          <w:rPr>
            <w:rStyle w:val="Hyperlink"/>
            <w:noProof/>
          </w:rPr>
          <w:t>2.2 District Heating Technologies</w:t>
        </w:r>
        <w:r>
          <w:rPr>
            <w:noProof/>
            <w:webHidden/>
          </w:rPr>
          <w:tab/>
        </w:r>
        <w:r>
          <w:rPr>
            <w:noProof/>
            <w:webHidden/>
          </w:rPr>
          <w:fldChar w:fldCharType="begin"/>
        </w:r>
        <w:r>
          <w:rPr>
            <w:noProof/>
            <w:webHidden/>
          </w:rPr>
          <w:instrText xml:space="preserve"> PAGEREF _Toc7187432 \h </w:instrText>
        </w:r>
        <w:r>
          <w:rPr>
            <w:noProof/>
            <w:webHidden/>
          </w:rPr>
        </w:r>
        <w:r>
          <w:rPr>
            <w:noProof/>
            <w:webHidden/>
          </w:rPr>
          <w:fldChar w:fldCharType="separate"/>
        </w:r>
        <w:r>
          <w:rPr>
            <w:noProof/>
            <w:webHidden/>
          </w:rPr>
          <w:t>27</w:t>
        </w:r>
        <w:r>
          <w:rPr>
            <w:noProof/>
            <w:webHidden/>
          </w:rPr>
          <w:fldChar w:fldCharType="end"/>
        </w:r>
      </w:hyperlink>
    </w:p>
    <w:p w14:paraId="355E0AD1" w14:textId="23213B16" w:rsidR="00CB7456" w:rsidRDefault="00CB7456">
      <w:pPr>
        <w:pStyle w:val="TOC3"/>
        <w:tabs>
          <w:tab w:val="right" w:leader="dot" w:pos="8188"/>
        </w:tabs>
        <w:rPr>
          <w:noProof/>
          <w:lang w:eastAsia="en-GB"/>
        </w:rPr>
      </w:pPr>
      <w:hyperlink w:anchor="_Toc7187433" w:history="1">
        <w:r w:rsidRPr="00326D76">
          <w:rPr>
            <w:rStyle w:val="Hyperlink"/>
            <w:noProof/>
          </w:rPr>
          <w:t>2.2.1 The District Heating System</w:t>
        </w:r>
        <w:r>
          <w:rPr>
            <w:noProof/>
            <w:webHidden/>
          </w:rPr>
          <w:tab/>
        </w:r>
        <w:r>
          <w:rPr>
            <w:noProof/>
            <w:webHidden/>
          </w:rPr>
          <w:fldChar w:fldCharType="begin"/>
        </w:r>
        <w:r>
          <w:rPr>
            <w:noProof/>
            <w:webHidden/>
          </w:rPr>
          <w:instrText xml:space="preserve"> PAGEREF _Toc7187433 \h </w:instrText>
        </w:r>
        <w:r>
          <w:rPr>
            <w:noProof/>
            <w:webHidden/>
          </w:rPr>
        </w:r>
        <w:r>
          <w:rPr>
            <w:noProof/>
            <w:webHidden/>
          </w:rPr>
          <w:fldChar w:fldCharType="separate"/>
        </w:r>
        <w:r>
          <w:rPr>
            <w:noProof/>
            <w:webHidden/>
          </w:rPr>
          <w:t>27</w:t>
        </w:r>
        <w:r>
          <w:rPr>
            <w:noProof/>
            <w:webHidden/>
          </w:rPr>
          <w:fldChar w:fldCharType="end"/>
        </w:r>
      </w:hyperlink>
    </w:p>
    <w:p w14:paraId="73D1CA17" w14:textId="66228263" w:rsidR="00CB7456" w:rsidRDefault="00CB7456">
      <w:pPr>
        <w:pStyle w:val="TOC3"/>
        <w:tabs>
          <w:tab w:val="right" w:leader="dot" w:pos="8188"/>
        </w:tabs>
        <w:rPr>
          <w:noProof/>
          <w:lang w:eastAsia="en-GB"/>
        </w:rPr>
      </w:pPr>
      <w:hyperlink w:anchor="_Toc7187434" w:history="1">
        <w:r w:rsidRPr="00326D76">
          <w:rPr>
            <w:rStyle w:val="Hyperlink"/>
            <w:noProof/>
          </w:rPr>
          <w:t>2.2.2 Thermal Energy Generating Units</w:t>
        </w:r>
        <w:r>
          <w:rPr>
            <w:noProof/>
            <w:webHidden/>
          </w:rPr>
          <w:tab/>
        </w:r>
        <w:r>
          <w:rPr>
            <w:noProof/>
            <w:webHidden/>
          </w:rPr>
          <w:fldChar w:fldCharType="begin"/>
        </w:r>
        <w:r>
          <w:rPr>
            <w:noProof/>
            <w:webHidden/>
          </w:rPr>
          <w:instrText xml:space="preserve"> PAGEREF _Toc7187434 \h </w:instrText>
        </w:r>
        <w:r>
          <w:rPr>
            <w:noProof/>
            <w:webHidden/>
          </w:rPr>
        </w:r>
        <w:r>
          <w:rPr>
            <w:noProof/>
            <w:webHidden/>
          </w:rPr>
          <w:fldChar w:fldCharType="separate"/>
        </w:r>
        <w:r>
          <w:rPr>
            <w:noProof/>
            <w:webHidden/>
          </w:rPr>
          <w:t>27</w:t>
        </w:r>
        <w:r>
          <w:rPr>
            <w:noProof/>
            <w:webHidden/>
          </w:rPr>
          <w:fldChar w:fldCharType="end"/>
        </w:r>
      </w:hyperlink>
    </w:p>
    <w:p w14:paraId="5242D036" w14:textId="483688C5" w:rsidR="00CB7456" w:rsidRDefault="00CB7456">
      <w:pPr>
        <w:pStyle w:val="TOC4"/>
        <w:tabs>
          <w:tab w:val="right" w:leader="dot" w:pos="8188"/>
        </w:tabs>
        <w:rPr>
          <w:noProof/>
          <w:lang w:eastAsia="en-GB"/>
        </w:rPr>
      </w:pPr>
      <w:hyperlink w:anchor="_Toc7187435" w:history="1">
        <w:r w:rsidRPr="00326D76">
          <w:rPr>
            <w:rStyle w:val="Hyperlink"/>
            <w:noProof/>
          </w:rPr>
          <w:t>2.2.2.1 Boilers</w:t>
        </w:r>
        <w:r>
          <w:rPr>
            <w:noProof/>
            <w:webHidden/>
          </w:rPr>
          <w:tab/>
        </w:r>
        <w:r>
          <w:rPr>
            <w:noProof/>
            <w:webHidden/>
          </w:rPr>
          <w:fldChar w:fldCharType="begin"/>
        </w:r>
        <w:r>
          <w:rPr>
            <w:noProof/>
            <w:webHidden/>
          </w:rPr>
          <w:instrText xml:space="preserve"> PAGEREF _Toc7187435 \h </w:instrText>
        </w:r>
        <w:r>
          <w:rPr>
            <w:noProof/>
            <w:webHidden/>
          </w:rPr>
        </w:r>
        <w:r>
          <w:rPr>
            <w:noProof/>
            <w:webHidden/>
          </w:rPr>
          <w:fldChar w:fldCharType="separate"/>
        </w:r>
        <w:r>
          <w:rPr>
            <w:noProof/>
            <w:webHidden/>
          </w:rPr>
          <w:t>27</w:t>
        </w:r>
        <w:r>
          <w:rPr>
            <w:noProof/>
            <w:webHidden/>
          </w:rPr>
          <w:fldChar w:fldCharType="end"/>
        </w:r>
      </w:hyperlink>
    </w:p>
    <w:p w14:paraId="683A8B32" w14:textId="6F4D478F" w:rsidR="00CB7456" w:rsidRDefault="00CB7456">
      <w:pPr>
        <w:pStyle w:val="TOC4"/>
        <w:tabs>
          <w:tab w:val="right" w:leader="dot" w:pos="8188"/>
        </w:tabs>
        <w:rPr>
          <w:noProof/>
          <w:lang w:eastAsia="en-GB"/>
        </w:rPr>
      </w:pPr>
      <w:hyperlink w:anchor="_Toc7187436" w:history="1">
        <w:r w:rsidRPr="00326D76">
          <w:rPr>
            <w:rStyle w:val="Hyperlink"/>
            <w:noProof/>
          </w:rPr>
          <w:t>2.2.2.2 Combined Heat and Power</w:t>
        </w:r>
        <w:r>
          <w:rPr>
            <w:noProof/>
            <w:webHidden/>
          </w:rPr>
          <w:tab/>
        </w:r>
        <w:r>
          <w:rPr>
            <w:noProof/>
            <w:webHidden/>
          </w:rPr>
          <w:fldChar w:fldCharType="begin"/>
        </w:r>
        <w:r>
          <w:rPr>
            <w:noProof/>
            <w:webHidden/>
          </w:rPr>
          <w:instrText xml:space="preserve"> PAGEREF _Toc7187436 \h </w:instrText>
        </w:r>
        <w:r>
          <w:rPr>
            <w:noProof/>
            <w:webHidden/>
          </w:rPr>
        </w:r>
        <w:r>
          <w:rPr>
            <w:noProof/>
            <w:webHidden/>
          </w:rPr>
          <w:fldChar w:fldCharType="separate"/>
        </w:r>
        <w:r>
          <w:rPr>
            <w:noProof/>
            <w:webHidden/>
          </w:rPr>
          <w:t>28</w:t>
        </w:r>
        <w:r>
          <w:rPr>
            <w:noProof/>
            <w:webHidden/>
          </w:rPr>
          <w:fldChar w:fldCharType="end"/>
        </w:r>
      </w:hyperlink>
    </w:p>
    <w:p w14:paraId="28FAE65D" w14:textId="62B3B163" w:rsidR="00CB7456" w:rsidRDefault="00CB7456">
      <w:pPr>
        <w:pStyle w:val="TOC4"/>
        <w:tabs>
          <w:tab w:val="right" w:leader="dot" w:pos="8188"/>
        </w:tabs>
        <w:rPr>
          <w:noProof/>
          <w:lang w:eastAsia="en-GB"/>
        </w:rPr>
      </w:pPr>
      <w:hyperlink w:anchor="_Toc7187437" w:history="1">
        <w:r w:rsidRPr="00326D76">
          <w:rPr>
            <w:rStyle w:val="Hyperlink"/>
            <w:noProof/>
          </w:rPr>
          <w:t>2.2.2.3 Heat Pumps</w:t>
        </w:r>
        <w:r>
          <w:rPr>
            <w:noProof/>
            <w:webHidden/>
          </w:rPr>
          <w:tab/>
        </w:r>
        <w:r>
          <w:rPr>
            <w:noProof/>
            <w:webHidden/>
          </w:rPr>
          <w:fldChar w:fldCharType="begin"/>
        </w:r>
        <w:r>
          <w:rPr>
            <w:noProof/>
            <w:webHidden/>
          </w:rPr>
          <w:instrText xml:space="preserve"> PAGEREF _Toc7187437 \h </w:instrText>
        </w:r>
        <w:r>
          <w:rPr>
            <w:noProof/>
            <w:webHidden/>
          </w:rPr>
        </w:r>
        <w:r>
          <w:rPr>
            <w:noProof/>
            <w:webHidden/>
          </w:rPr>
          <w:fldChar w:fldCharType="separate"/>
        </w:r>
        <w:r>
          <w:rPr>
            <w:noProof/>
            <w:webHidden/>
          </w:rPr>
          <w:t>28</w:t>
        </w:r>
        <w:r>
          <w:rPr>
            <w:noProof/>
            <w:webHidden/>
          </w:rPr>
          <w:fldChar w:fldCharType="end"/>
        </w:r>
      </w:hyperlink>
    </w:p>
    <w:p w14:paraId="3C645886" w14:textId="4C47409D" w:rsidR="00CB7456" w:rsidRDefault="00CB7456">
      <w:pPr>
        <w:pStyle w:val="TOC3"/>
        <w:tabs>
          <w:tab w:val="right" w:leader="dot" w:pos="8188"/>
        </w:tabs>
        <w:rPr>
          <w:noProof/>
          <w:lang w:eastAsia="en-GB"/>
        </w:rPr>
      </w:pPr>
      <w:hyperlink w:anchor="_Toc7187438" w:history="1">
        <w:r w:rsidRPr="00326D76">
          <w:rPr>
            <w:rStyle w:val="Hyperlink"/>
            <w:noProof/>
          </w:rPr>
          <w:t>2.2.3 Thermal Energy Sources</w:t>
        </w:r>
        <w:r>
          <w:rPr>
            <w:noProof/>
            <w:webHidden/>
          </w:rPr>
          <w:tab/>
        </w:r>
        <w:r>
          <w:rPr>
            <w:noProof/>
            <w:webHidden/>
          </w:rPr>
          <w:fldChar w:fldCharType="begin"/>
        </w:r>
        <w:r>
          <w:rPr>
            <w:noProof/>
            <w:webHidden/>
          </w:rPr>
          <w:instrText xml:space="preserve"> PAGEREF _Toc7187438 \h </w:instrText>
        </w:r>
        <w:r>
          <w:rPr>
            <w:noProof/>
            <w:webHidden/>
          </w:rPr>
        </w:r>
        <w:r>
          <w:rPr>
            <w:noProof/>
            <w:webHidden/>
          </w:rPr>
          <w:fldChar w:fldCharType="separate"/>
        </w:r>
        <w:r>
          <w:rPr>
            <w:noProof/>
            <w:webHidden/>
          </w:rPr>
          <w:t>28</w:t>
        </w:r>
        <w:r>
          <w:rPr>
            <w:noProof/>
            <w:webHidden/>
          </w:rPr>
          <w:fldChar w:fldCharType="end"/>
        </w:r>
      </w:hyperlink>
    </w:p>
    <w:p w14:paraId="70A4E53E" w14:textId="037B230E" w:rsidR="00CB7456" w:rsidRDefault="00CB7456">
      <w:pPr>
        <w:pStyle w:val="TOC4"/>
        <w:tabs>
          <w:tab w:val="right" w:leader="dot" w:pos="8188"/>
        </w:tabs>
        <w:rPr>
          <w:noProof/>
          <w:lang w:eastAsia="en-GB"/>
        </w:rPr>
      </w:pPr>
      <w:hyperlink w:anchor="_Toc7187439" w:history="1">
        <w:r w:rsidRPr="00326D76">
          <w:rPr>
            <w:rStyle w:val="Hyperlink"/>
            <w:noProof/>
          </w:rPr>
          <w:t>2.2.3.1 Waste Heat Recovery</w:t>
        </w:r>
        <w:r>
          <w:rPr>
            <w:noProof/>
            <w:webHidden/>
          </w:rPr>
          <w:tab/>
        </w:r>
        <w:r>
          <w:rPr>
            <w:noProof/>
            <w:webHidden/>
          </w:rPr>
          <w:fldChar w:fldCharType="begin"/>
        </w:r>
        <w:r>
          <w:rPr>
            <w:noProof/>
            <w:webHidden/>
          </w:rPr>
          <w:instrText xml:space="preserve"> PAGEREF _Toc7187439 \h </w:instrText>
        </w:r>
        <w:r>
          <w:rPr>
            <w:noProof/>
            <w:webHidden/>
          </w:rPr>
        </w:r>
        <w:r>
          <w:rPr>
            <w:noProof/>
            <w:webHidden/>
          </w:rPr>
          <w:fldChar w:fldCharType="separate"/>
        </w:r>
        <w:r>
          <w:rPr>
            <w:noProof/>
            <w:webHidden/>
          </w:rPr>
          <w:t>28</w:t>
        </w:r>
        <w:r>
          <w:rPr>
            <w:noProof/>
            <w:webHidden/>
          </w:rPr>
          <w:fldChar w:fldCharType="end"/>
        </w:r>
      </w:hyperlink>
    </w:p>
    <w:p w14:paraId="00FB7031" w14:textId="346F13F4" w:rsidR="00CB7456" w:rsidRDefault="00CB7456">
      <w:pPr>
        <w:pStyle w:val="TOC4"/>
        <w:tabs>
          <w:tab w:val="right" w:leader="dot" w:pos="8188"/>
        </w:tabs>
        <w:rPr>
          <w:noProof/>
          <w:lang w:eastAsia="en-GB"/>
        </w:rPr>
      </w:pPr>
      <w:hyperlink w:anchor="_Toc7187440" w:history="1">
        <w:r w:rsidRPr="00326D76">
          <w:rPr>
            <w:rStyle w:val="Hyperlink"/>
            <w:noProof/>
          </w:rPr>
          <w:t>2.2.3.2 Waste to Energy</w:t>
        </w:r>
        <w:r>
          <w:rPr>
            <w:noProof/>
            <w:webHidden/>
          </w:rPr>
          <w:tab/>
        </w:r>
        <w:r>
          <w:rPr>
            <w:noProof/>
            <w:webHidden/>
          </w:rPr>
          <w:fldChar w:fldCharType="begin"/>
        </w:r>
        <w:r>
          <w:rPr>
            <w:noProof/>
            <w:webHidden/>
          </w:rPr>
          <w:instrText xml:space="preserve"> PAGEREF _Toc7187440 \h </w:instrText>
        </w:r>
        <w:r>
          <w:rPr>
            <w:noProof/>
            <w:webHidden/>
          </w:rPr>
        </w:r>
        <w:r>
          <w:rPr>
            <w:noProof/>
            <w:webHidden/>
          </w:rPr>
          <w:fldChar w:fldCharType="separate"/>
        </w:r>
        <w:r>
          <w:rPr>
            <w:noProof/>
            <w:webHidden/>
          </w:rPr>
          <w:t>28</w:t>
        </w:r>
        <w:r>
          <w:rPr>
            <w:noProof/>
            <w:webHidden/>
          </w:rPr>
          <w:fldChar w:fldCharType="end"/>
        </w:r>
      </w:hyperlink>
    </w:p>
    <w:p w14:paraId="490BB43C" w14:textId="7CA099E7" w:rsidR="00CB7456" w:rsidRDefault="00CB7456">
      <w:pPr>
        <w:pStyle w:val="TOC4"/>
        <w:tabs>
          <w:tab w:val="right" w:leader="dot" w:pos="8188"/>
        </w:tabs>
        <w:rPr>
          <w:noProof/>
          <w:lang w:eastAsia="en-GB"/>
        </w:rPr>
      </w:pPr>
      <w:hyperlink w:anchor="_Toc7187441" w:history="1">
        <w:r w:rsidRPr="00326D76">
          <w:rPr>
            <w:rStyle w:val="Hyperlink"/>
            <w:noProof/>
          </w:rPr>
          <w:t>2.2.3.3 Fossil Fuels</w:t>
        </w:r>
        <w:r>
          <w:rPr>
            <w:noProof/>
            <w:webHidden/>
          </w:rPr>
          <w:tab/>
        </w:r>
        <w:r>
          <w:rPr>
            <w:noProof/>
            <w:webHidden/>
          </w:rPr>
          <w:fldChar w:fldCharType="begin"/>
        </w:r>
        <w:r>
          <w:rPr>
            <w:noProof/>
            <w:webHidden/>
          </w:rPr>
          <w:instrText xml:space="preserve"> PAGEREF _Toc7187441 \h </w:instrText>
        </w:r>
        <w:r>
          <w:rPr>
            <w:noProof/>
            <w:webHidden/>
          </w:rPr>
        </w:r>
        <w:r>
          <w:rPr>
            <w:noProof/>
            <w:webHidden/>
          </w:rPr>
          <w:fldChar w:fldCharType="separate"/>
        </w:r>
        <w:r>
          <w:rPr>
            <w:noProof/>
            <w:webHidden/>
          </w:rPr>
          <w:t>29</w:t>
        </w:r>
        <w:r>
          <w:rPr>
            <w:noProof/>
            <w:webHidden/>
          </w:rPr>
          <w:fldChar w:fldCharType="end"/>
        </w:r>
      </w:hyperlink>
    </w:p>
    <w:p w14:paraId="610E309F" w14:textId="3C5342F3" w:rsidR="00CB7456" w:rsidRDefault="00CB7456">
      <w:pPr>
        <w:pStyle w:val="TOC4"/>
        <w:tabs>
          <w:tab w:val="right" w:leader="dot" w:pos="8188"/>
        </w:tabs>
        <w:rPr>
          <w:noProof/>
          <w:lang w:eastAsia="en-GB"/>
        </w:rPr>
      </w:pPr>
      <w:hyperlink w:anchor="_Toc7187442" w:history="1">
        <w:r w:rsidRPr="00326D76">
          <w:rPr>
            <w:rStyle w:val="Hyperlink"/>
            <w:noProof/>
          </w:rPr>
          <w:t>2.2.3.4 Renewable Fuels and Biomass</w:t>
        </w:r>
        <w:r>
          <w:rPr>
            <w:noProof/>
            <w:webHidden/>
          </w:rPr>
          <w:tab/>
        </w:r>
        <w:r>
          <w:rPr>
            <w:noProof/>
            <w:webHidden/>
          </w:rPr>
          <w:fldChar w:fldCharType="begin"/>
        </w:r>
        <w:r>
          <w:rPr>
            <w:noProof/>
            <w:webHidden/>
          </w:rPr>
          <w:instrText xml:space="preserve"> PAGEREF _Toc7187442 \h </w:instrText>
        </w:r>
        <w:r>
          <w:rPr>
            <w:noProof/>
            <w:webHidden/>
          </w:rPr>
        </w:r>
        <w:r>
          <w:rPr>
            <w:noProof/>
            <w:webHidden/>
          </w:rPr>
          <w:fldChar w:fldCharType="separate"/>
        </w:r>
        <w:r>
          <w:rPr>
            <w:noProof/>
            <w:webHidden/>
          </w:rPr>
          <w:t>29</w:t>
        </w:r>
        <w:r>
          <w:rPr>
            <w:noProof/>
            <w:webHidden/>
          </w:rPr>
          <w:fldChar w:fldCharType="end"/>
        </w:r>
      </w:hyperlink>
    </w:p>
    <w:p w14:paraId="786C2C5C" w14:textId="607DE995" w:rsidR="00CB7456" w:rsidRDefault="00CB7456">
      <w:pPr>
        <w:pStyle w:val="TOC4"/>
        <w:tabs>
          <w:tab w:val="right" w:leader="dot" w:pos="8188"/>
        </w:tabs>
        <w:rPr>
          <w:noProof/>
          <w:lang w:eastAsia="en-GB"/>
        </w:rPr>
      </w:pPr>
      <w:hyperlink w:anchor="_Toc7187443" w:history="1">
        <w:r w:rsidRPr="00326D76">
          <w:rPr>
            <w:rStyle w:val="Hyperlink"/>
            <w:noProof/>
          </w:rPr>
          <w:t>2.2.3.5 Nuclear</w:t>
        </w:r>
        <w:r>
          <w:rPr>
            <w:noProof/>
            <w:webHidden/>
          </w:rPr>
          <w:tab/>
        </w:r>
        <w:r>
          <w:rPr>
            <w:noProof/>
            <w:webHidden/>
          </w:rPr>
          <w:fldChar w:fldCharType="begin"/>
        </w:r>
        <w:r>
          <w:rPr>
            <w:noProof/>
            <w:webHidden/>
          </w:rPr>
          <w:instrText xml:space="preserve"> PAGEREF _Toc7187443 \h </w:instrText>
        </w:r>
        <w:r>
          <w:rPr>
            <w:noProof/>
            <w:webHidden/>
          </w:rPr>
        </w:r>
        <w:r>
          <w:rPr>
            <w:noProof/>
            <w:webHidden/>
          </w:rPr>
          <w:fldChar w:fldCharType="separate"/>
        </w:r>
        <w:r>
          <w:rPr>
            <w:noProof/>
            <w:webHidden/>
          </w:rPr>
          <w:t>29</w:t>
        </w:r>
        <w:r>
          <w:rPr>
            <w:noProof/>
            <w:webHidden/>
          </w:rPr>
          <w:fldChar w:fldCharType="end"/>
        </w:r>
      </w:hyperlink>
    </w:p>
    <w:p w14:paraId="68EEB523" w14:textId="5E032B07" w:rsidR="00CB7456" w:rsidRDefault="00CB7456">
      <w:pPr>
        <w:pStyle w:val="TOC3"/>
        <w:tabs>
          <w:tab w:val="right" w:leader="dot" w:pos="8188"/>
        </w:tabs>
        <w:rPr>
          <w:noProof/>
          <w:lang w:eastAsia="en-GB"/>
        </w:rPr>
      </w:pPr>
      <w:hyperlink w:anchor="_Toc7187444" w:history="1">
        <w:r w:rsidRPr="00326D76">
          <w:rPr>
            <w:rStyle w:val="Hyperlink"/>
            <w:noProof/>
          </w:rPr>
          <w:t>2.2.4 Thermal Energy Storage</w:t>
        </w:r>
        <w:r>
          <w:rPr>
            <w:noProof/>
            <w:webHidden/>
          </w:rPr>
          <w:tab/>
        </w:r>
        <w:r>
          <w:rPr>
            <w:noProof/>
            <w:webHidden/>
          </w:rPr>
          <w:fldChar w:fldCharType="begin"/>
        </w:r>
        <w:r>
          <w:rPr>
            <w:noProof/>
            <w:webHidden/>
          </w:rPr>
          <w:instrText xml:space="preserve"> PAGEREF _Toc7187444 \h </w:instrText>
        </w:r>
        <w:r>
          <w:rPr>
            <w:noProof/>
            <w:webHidden/>
          </w:rPr>
        </w:r>
        <w:r>
          <w:rPr>
            <w:noProof/>
            <w:webHidden/>
          </w:rPr>
          <w:fldChar w:fldCharType="separate"/>
        </w:r>
        <w:r>
          <w:rPr>
            <w:noProof/>
            <w:webHidden/>
          </w:rPr>
          <w:t>30</w:t>
        </w:r>
        <w:r>
          <w:rPr>
            <w:noProof/>
            <w:webHidden/>
          </w:rPr>
          <w:fldChar w:fldCharType="end"/>
        </w:r>
      </w:hyperlink>
    </w:p>
    <w:p w14:paraId="28A7F953" w14:textId="37190826" w:rsidR="00CB7456" w:rsidRDefault="00CB7456">
      <w:pPr>
        <w:pStyle w:val="TOC4"/>
        <w:tabs>
          <w:tab w:val="right" w:leader="dot" w:pos="8188"/>
        </w:tabs>
        <w:rPr>
          <w:noProof/>
          <w:lang w:eastAsia="en-GB"/>
        </w:rPr>
      </w:pPr>
      <w:hyperlink w:anchor="_Toc7187445" w:history="1">
        <w:r w:rsidRPr="00326D76">
          <w:rPr>
            <w:rStyle w:val="Hyperlink"/>
            <w:noProof/>
          </w:rPr>
          <w:t>2.2.4.1 Hot Water Tank Thermal Energy Storage</w:t>
        </w:r>
        <w:r>
          <w:rPr>
            <w:noProof/>
            <w:webHidden/>
          </w:rPr>
          <w:tab/>
        </w:r>
        <w:r>
          <w:rPr>
            <w:noProof/>
            <w:webHidden/>
          </w:rPr>
          <w:fldChar w:fldCharType="begin"/>
        </w:r>
        <w:r>
          <w:rPr>
            <w:noProof/>
            <w:webHidden/>
          </w:rPr>
          <w:instrText xml:space="preserve"> PAGEREF _Toc7187445 \h </w:instrText>
        </w:r>
        <w:r>
          <w:rPr>
            <w:noProof/>
            <w:webHidden/>
          </w:rPr>
        </w:r>
        <w:r>
          <w:rPr>
            <w:noProof/>
            <w:webHidden/>
          </w:rPr>
          <w:fldChar w:fldCharType="separate"/>
        </w:r>
        <w:r>
          <w:rPr>
            <w:noProof/>
            <w:webHidden/>
          </w:rPr>
          <w:t>30</w:t>
        </w:r>
        <w:r>
          <w:rPr>
            <w:noProof/>
            <w:webHidden/>
          </w:rPr>
          <w:fldChar w:fldCharType="end"/>
        </w:r>
      </w:hyperlink>
    </w:p>
    <w:p w14:paraId="4F14B76C" w14:textId="48B1C52B" w:rsidR="00CB7456" w:rsidRDefault="00CB7456">
      <w:pPr>
        <w:pStyle w:val="TOC4"/>
        <w:tabs>
          <w:tab w:val="right" w:leader="dot" w:pos="8188"/>
        </w:tabs>
        <w:rPr>
          <w:noProof/>
          <w:lang w:eastAsia="en-GB"/>
        </w:rPr>
      </w:pPr>
      <w:hyperlink w:anchor="_Toc7187446" w:history="1">
        <w:r w:rsidRPr="00326D76">
          <w:rPr>
            <w:rStyle w:val="Hyperlink"/>
            <w:noProof/>
          </w:rPr>
          <w:t>2.2.4.2 Chemical Energy Storage</w:t>
        </w:r>
        <w:r>
          <w:rPr>
            <w:noProof/>
            <w:webHidden/>
          </w:rPr>
          <w:tab/>
        </w:r>
        <w:r>
          <w:rPr>
            <w:noProof/>
            <w:webHidden/>
          </w:rPr>
          <w:fldChar w:fldCharType="begin"/>
        </w:r>
        <w:r>
          <w:rPr>
            <w:noProof/>
            <w:webHidden/>
          </w:rPr>
          <w:instrText xml:space="preserve"> PAGEREF _Toc7187446 \h </w:instrText>
        </w:r>
        <w:r>
          <w:rPr>
            <w:noProof/>
            <w:webHidden/>
          </w:rPr>
        </w:r>
        <w:r>
          <w:rPr>
            <w:noProof/>
            <w:webHidden/>
          </w:rPr>
          <w:fldChar w:fldCharType="separate"/>
        </w:r>
        <w:r>
          <w:rPr>
            <w:noProof/>
            <w:webHidden/>
          </w:rPr>
          <w:t>30</w:t>
        </w:r>
        <w:r>
          <w:rPr>
            <w:noProof/>
            <w:webHidden/>
          </w:rPr>
          <w:fldChar w:fldCharType="end"/>
        </w:r>
      </w:hyperlink>
    </w:p>
    <w:p w14:paraId="68CD9501" w14:textId="2274426D" w:rsidR="00CB7456" w:rsidRDefault="00CB7456">
      <w:pPr>
        <w:pStyle w:val="TOC4"/>
        <w:tabs>
          <w:tab w:val="right" w:leader="dot" w:pos="8188"/>
        </w:tabs>
        <w:rPr>
          <w:noProof/>
          <w:lang w:eastAsia="en-GB"/>
        </w:rPr>
      </w:pPr>
      <w:hyperlink w:anchor="_Toc7187447" w:history="1">
        <w:r w:rsidRPr="00326D76">
          <w:rPr>
            <w:rStyle w:val="Hyperlink"/>
            <w:noProof/>
          </w:rPr>
          <w:t>2.2.4.3 Phase Change Materials</w:t>
        </w:r>
        <w:r>
          <w:rPr>
            <w:noProof/>
            <w:webHidden/>
          </w:rPr>
          <w:tab/>
        </w:r>
        <w:r>
          <w:rPr>
            <w:noProof/>
            <w:webHidden/>
          </w:rPr>
          <w:fldChar w:fldCharType="begin"/>
        </w:r>
        <w:r>
          <w:rPr>
            <w:noProof/>
            <w:webHidden/>
          </w:rPr>
          <w:instrText xml:space="preserve"> PAGEREF _Toc7187447 \h </w:instrText>
        </w:r>
        <w:r>
          <w:rPr>
            <w:noProof/>
            <w:webHidden/>
          </w:rPr>
        </w:r>
        <w:r>
          <w:rPr>
            <w:noProof/>
            <w:webHidden/>
          </w:rPr>
          <w:fldChar w:fldCharType="separate"/>
        </w:r>
        <w:r>
          <w:rPr>
            <w:noProof/>
            <w:webHidden/>
          </w:rPr>
          <w:t>31</w:t>
        </w:r>
        <w:r>
          <w:rPr>
            <w:noProof/>
            <w:webHidden/>
          </w:rPr>
          <w:fldChar w:fldCharType="end"/>
        </w:r>
      </w:hyperlink>
    </w:p>
    <w:p w14:paraId="31DA4159" w14:textId="43C0D402" w:rsidR="00CB7456" w:rsidRDefault="00CB7456">
      <w:pPr>
        <w:pStyle w:val="TOC4"/>
        <w:tabs>
          <w:tab w:val="right" w:leader="dot" w:pos="8188"/>
        </w:tabs>
        <w:rPr>
          <w:noProof/>
          <w:lang w:eastAsia="en-GB"/>
        </w:rPr>
      </w:pPr>
      <w:hyperlink w:anchor="_Toc7187448" w:history="1">
        <w:r w:rsidRPr="00326D76">
          <w:rPr>
            <w:rStyle w:val="Hyperlink"/>
            <w:noProof/>
          </w:rPr>
          <w:t>2.2.4.4 Borehole Thermal Energy Storage</w:t>
        </w:r>
        <w:r>
          <w:rPr>
            <w:noProof/>
            <w:webHidden/>
          </w:rPr>
          <w:tab/>
        </w:r>
        <w:r>
          <w:rPr>
            <w:noProof/>
            <w:webHidden/>
          </w:rPr>
          <w:fldChar w:fldCharType="begin"/>
        </w:r>
        <w:r>
          <w:rPr>
            <w:noProof/>
            <w:webHidden/>
          </w:rPr>
          <w:instrText xml:space="preserve"> PAGEREF _Toc7187448 \h </w:instrText>
        </w:r>
        <w:r>
          <w:rPr>
            <w:noProof/>
            <w:webHidden/>
          </w:rPr>
        </w:r>
        <w:r>
          <w:rPr>
            <w:noProof/>
            <w:webHidden/>
          </w:rPr>
          <w:fldChar w:fldCharType="separate"/>
        </w:r>
        <w:r>
          <w:rPr>
            <w:noProof/>
            <w:webHidden/>
          </w:rPr>
          <w:t>31</w:t>
        </w:r>
        <w:r>
          <w:rPr>
            <w:noProof/>
            <w:webHidden/>
          </w:rPr>
          <w:fldChar w:fldCharType="end"/>
        </w:r>
      </w:hyperlink>
    </w:p>
    <w:p w14:paraId="1D09C216" w14:textId="73A2BB14" w:rsidR="00CB7456" w:rsidRDefault="00CB7456">
      <w:pPr>
        <w:pStyle w:val="TOC4"/>
        <w:tabs>
          <w:tab w:val="right" w:leader="dot" w:pos="8188"/>
        </w:tabs>
        <w:rPr>
          <w:noProof/>
          <w:lang w:eastAsia="en-GB"/>
        </w:rPr>
      </w:pPr>
      <w:hyperlink w:anchor="_Toc7187449" w:history="1">
        <w:r w:rsidRPr="00326D76">
          <w:rPr>
            <w:rStyle w:val="Hyperlink"/>
            <w:noProof/>
          </w:rPr>
          <w:t>2.2.4.5 Pit Thermal Energy Storage</w:t>
        </w:r>
        <w:r>
          <w:rPr>
            <w:noProof/>
            <w:webHidden/>
          </w:rPr>
          <w:tab/>
        </w:r>
        <w:r>
          <w:rPr>
            <w:noProof/>
            <w:webHidden/>
          </w:rPr>
          <w:fldChar w:fldCharType="begin"/>
        </w:r>
        <w:r>
          <w:rPr>
            <w:noProof/>
            <w:webHidden/>
          </w:rPr>
          <w:instrText xml:space="preserve"> PAGEREF _Toc7187449 \h </w:instrText>
        </w:r>
        <w:r>
          <w:rPr>
            <w:noProof/>
            <w:webHidden/>
          </w:rPr>
        </w:r>
        <w:r>
          <w:rPr>
            <w:noProof/>
            <w:webHidden/>
          </w:rPr>
          <w:fldChar w:fldCharType="separate"/>
        </w:r>
        <w:r>
          <w:rPr>
            <w:noProof/>
            <w:webHidden/>
          </w:rPr>
          <w:t>31</w:t>
        </w:r>
        <w:r>
          <w:rPr>
            <w:noProof/>
            <w:webHidden/>
          </w:rPr>
          <w:fldChar w:fldCharType="end"/>
        </w:r>
      </w:hyperlink>
    </w:p>
    <w:p w14:paraId="1A6775CD" w14:textId="0637BDF4" w:rsidR="00CB7456" w:rsidRDefault="00CB7456">
      <w:pPr>
        <w:pStyle w:val="TOC4"/>
        <w:tabs>
          <w:tab w:val="right" w:leader="dot" w:pos="8188"/>
        </w:tabs>
        <w:rPr>
          <w:noProof/>
          <w:lang w:eastAsia="en-GB"/>
        </w:rPr>
      </w:pPr>
      <w:hyperlink w:anchor="_Toc7187450" w:history="1">
        <w:r w:rsidRPr="00326D76">
          <w:rPr>
            <w:rStyle w:val="Hyperlink"/>
            <w:noProof/>
          </w:rPr>
          <w:t>2.2.4.6 Aquifer Thermal Energy Storage</w:t>
        </w:r>
        <w:r>
          <w:rPr>
            <w:noProof/>
            <w:webHidden/>
          </w:rPr>
          <w:tab/>
        </w:r>
        <w:r>
          <w:rPr>
            <w:noProof/>
            <w:webHidden/>
          </w:rPr>
          <w:fldChar w:fldCharType="begin"/>
        </w:r>
        <w:r>
          <w:rPr>
            <w:noProof/>
            <w:webHidden/>
          </w:rPr>
          <w:instrText xml:space="preserve"> PAGEREF _Toc7187450 \h </w:instrText>
        </w:r>
        <w:r>
          <w:rPr>
            <w:noProof/>
            <w:webHidden/>
          </w:rPr>
        </w:r>
        <w:r>
          <w:rPr>
            <w:noProof/>
            <w:webHidden/>
          </w:rPr>
          <w:fldChar w:fldCharType="separate"/>
        </w:r>
        <w:r>
          <w:rPr>
            <w:noProof/>
            <w:webHidden/>
          </w:rPr>
          <w:t>31</w:t>
        </w:r>
        <w:r>
          <w:rPr>
            <w:noProof/>
            <w:webHidden/>
          </w:rPr>
          <w:fldChar w:fldCharType="end"/>
        </w:r>
      </w:hyperlink>
    </w:p>
    <w:p w14:paraId="0E1EE89B" w14:textId="4C6BF970" w:rsidR="00CB7456" w:rsidRDefault="00CB7456">
      <w:pPr>
        <w:pStyle w:val="TOC2"/>
        <w:tabs>
          <w:tab w:val="right" w:leader="dot" w:pos="8188"/>
        </w:tabs>
        <w:rPr>
          <w:noProof/>
          <w:lang w:eastAsia="en-GB"/>
        </w:rPr>
      </w:pPr>
      <w:hyperlink w:anchor="_Toc7187451" w:history="1">
        <w:r w:rsidRPr="00326D76">
          <w:rPr>
            <w:rStyle w:val="Hyperlink"/>
            <w:noProof/>
          </w:rPr>
          <w:t>2.3 Waste Heat Recovery</w:t>
        </w:r>
        <w:r>
          <w:rPr>
            <w:noProof/>
            <w:webHidden/>
          </w:rPr>
          <w:tab/>
        </w:r>
        <w:r>
          <w:rPr>
            <w:noProof/>
            <w:webHidden/>
          </w:rPr>
          <w:fldChar w:fldCharType="begin"/>
        </w:r>
        <w:r>
          <w:rPr>
            <w:noProof/>
            <w:webHidden/>
          </w:rPr>
          <w:instrText xml:space="preserve"> PAGEREF _Toc7187451 \h </w:instrText>
        </w:r>
        <w:r>
          <w:rPr>
            <w:noProof/>
            <w:webHidden/>
          </w:rPr>
        </w:r>
        <w:r>
          <w:rPr>
            <w:noProof/>
            <w:webHidden/>
          </w:rPr>
          <w:fldChar w:fldCharType="separate"/>
        </w:r>
        <w:r>
          <w:rPr>
            <w:noProof/>
            <w:webHidden/>
          </w:rPr>
          <w:t>32</w:t>
        </w:r>
        <w:r>
          <w:rPr>
            <w:noProof/>
            <w:webHidden/>
          </w:rPr>
          <w:fldChar w:fldCharType="end"/>
        </w:r>
      </w:hyperlink>
    </w:p>
    <w:p w14:paraId="52CE3F73" w14:textId="7215C970" w:rsidR="00CB7456" w:rsidRDefault="00CB7456">
      <w:pPr>
        <w:pStyle w:val="TOC3"/>
        <w:tabs>
          <w:tab w:val="right" w:leader="dot" w:pos="8188"/>
        </w:tabs>
        <w:rPr>
          <w:noProof/>
          <w:lang w:eastAsia="en-GB"/>
        </w:rPr>
      </w:pPr>
      <w:hyperlink w:anchor="_Toc7187452" w:history="1">
        <w:r w:rsidRPr="00326D76">
          <w:rPr>
            <w:rStyle w:val="Hyperlink"/>
            <w:noProof/>
          </w:rPr>
          <w:t>2.3.1 Waste Heat Characterisation</w:t>
        </w:r>
        <w:r>
          <w:rPr>
            <w:noProof/>
            <w:webHidden/>
          </w:rPr>
          <w:tab/>
        </w:r>
        <w:r>
          <w:rPr>
            <w:noProof/>
            <w:webHidden/>
          </w:rPr>
          <w:fldChar w:fldCharType="begin"/>
        </w:r>
        <w:r>
          <w:rPr>
            <w:noProof/>
            <w:webHidden/>
          </w:rPr>
          <w:instrText xml:space="preserve"> PAGEREF _Toc7187452 \h </w:instrText>
        </w:r>
        <w:r>
          <w:rPr>
            <w:noProof/>
            <w:webHidden/>
          </w:rPr>
        </w:r>
        <w:r>
          <w:rPr>
            <w:noProof/>
            <w:webHidden/>
          </w:rPr>
          <w:fldChar w:fldCharType="separate"/>
        </w:r>
        <w:r>
          <w:rPr>
            <w:noProof/>
            <w:webHidden/>
          </w:rPr>
          <w:t>32</w:t>
        </w:r>
        <w:r>
          <w:rPr>
            <w:noProof/>
            <w:webHidden/>
          </w:rPr>
          <w:fldChar w:fldCharType="end"/>
        </w:r>
      </w:hyperlink>
    </w:p>
    <w:p w14:paraId="4D650102" w14:textId="473374DF" w:rsidR="00CB7456" w:rsidRDefault="00CB7456">
      <w:pPr>
        <w:pStyle w:val="TOC3"/>
        <w:tabs>
          <w:tab w:val="right" w:leader="dot" w:pos="8188"/>
        </w:tabs>
        <w:rPr>
          <w:noProof/>
          <w:lang w:eastAsia="en-GB"/>
        </w:rPr>
      </w:pPr>
      <w:hyperlink w:anchor="_Toc7187453" w:history="1">
        <w:r w:rsidRPr="00326D76">
          <w:rPr>
            <w:rStyle w:val="Hyperlink"/>
            <w:noProof/>
          </w:rPr>
          <w:t>2.3.2 Waste Heat Recovery Technologies</w:t>
        </w:r>
        <w:r>
          <w:rPr>
            <w:noProof/>
            <w:webHidden/>
          </w:rPr>
          <w:tab/>
        </w:r>
        <w:r>
          <w:rPr>
            <w:noProof/>
            <w:webHidden/>
          </w:rPr>
          <w:fldChar w:fldCharType="begin"/>
        </w:r>
        <w:r>
          <w:rPr>
            <w:noProof/>
            <w:webHidden/>
          </w:rPr>
          <w:instrText xml:space="preserve"> PAGEREF _Toc7187453 \h </w:instrText>
        </w:r>
        <w:r>
          <w:rPr>
            <w:noProof/>
            <w:webHidden/>
          </w:rPr>
        </w:r>
        <w:r>
          <w:rPr>
            <w:noProof/>
            <w:webHidden/>
          </w:rPr>
          <w:fldChar w:fldCharType="separate"/>
        </w:r>
        <w:r>
          <w:rPr>
            <w:noProof/>
            <w:webHidden/>
          </w:rPr>
          <w:t>32</w:t>
        </w:r>
        <w:r>
          <w:rPr>
            <w:noProof/>
            <w:webHidden/>
          </w:rPr>
          <w:fldChar w:fldCharType="end"/>
        </w:r>
      </w:hyperlink>
    </w:p>
    <w:p w14:paraId="36E48896" w14:textId="14759EED" w:rsidR="00CB7456" w:rsidRDefault="00CB7456">
      <w:pPr>
        <w:pStyle w:val="TOC4"/>
        <w:tabs>
          <w:tab w:val="right" w:leader="dot" w:pos="8188"/>
        </w:tabs>
        <w:rPr>
          <w:noProof/>
          <w:lang w:eastAsia="en-GB"/>
        </w:rPr>
      </w:pPr>
      <w:hyperlink w:anchor="_Toc7187454" w:history="1">
        <w:r w:rsidRPr="00326D76">
          <w:rPr>
            <w:rStyle w:val="Hyperlink"/>
            <w:noProof/>
          </w:rPr>
          <w:t>2.3.2.1 Heat Exchangers</w:t>
        </w:r>
        <w:r>
          <w:rPr>
            <w:noProof/>
            <w:webHidden/>
          </w:rPr>
          <w:tab/>
        </w:r>
        <w:r>
          <w:rPr>
            <w:noProof/>
            <w:webHidden/>
          </w:rPr>
          <w:fldChar w:fldCharType="begin"/>
        </w:r>
        <w:r>
          <w:rPr>
            <w:noProof/>
            <w:webHidden/>
          </w:rPr>
          <w:instrText xml:space="preserve"> PAGEREF _Toc7187454 \h </w:instrText>
        </w:r>
        <w:r>
          <w:rPr>
            <w:noProof/>
            <w:webHidden/>
          </w:rPr>
        </w:r>
        <w:r>
          <w:rPr>
            <w:noProof/>
            <w:webHidden/>
          </w:rPr>
          <w:fldChar w:fldCharType="separate"/>
        </w:r>
        <w:r>
          <w:rPr>
            <w:noProof/>
            <w:webHidden/>
          </w:rPr>
          <w:t>32</w:t>
        </w:r>
        <w:r>
          <w:rPr>
            <w:noProof/>
            <w:webHidden/>
          </w:rPr>
          <w:fldChar w:fldCharType="end"/>
        </w:r>
      </w:hyperlink>
    </w:p>
    <w:p w14:paraId="7858BAAE" w14:textId="4DC34912" w:rsidR="00CB7456" w:rsidRDefault="00CB7456">
      <w:pPr>
        <w:pStyle w:val="TOC4"/>
        <w:tabs>
          <w:tab w:val="right" w:leader="dot" w:pos="8188"/>
        </w:tabs>
        <w:rPr>
          <w:noProof/>
          <w:lang w:eastAsia="en-GB"/>
        </w:rPr>
      </w:pPr>
      <w:hyperlink w:anchor="_Toc7187455" w:history="1">
        <w:r w:rsidRPr="00326D76">
          <w:rPr>
            <w:rStyle w:val="Hyperlink"/>
            <w:noProof/>
          </w:rPr>
          <w:t>2.3.2.2 Heat Pumps</w:t>
        </w:r>
        <w:r>
          <w:rPr>
            <w:noProof/>
            <w:webHidden/>
          </w:rPr>
          <w:tab/>
        </w:r>
        <w:r>
          <w:rPr>
            <w:noProof/>
            <w:webHidden/>
          </w:rPr>
          <w:fldChar w:fldCharType="begin"/>
        </w:r>
        <w:r>
          <w:rPr>
            <w:noProof/>
            <w:webHidden/>
          </w:rPr>
          <w:instrText xml:space="preserve"> PAGEREF _Toc7187455 \h </w:instrText>
        </w:r>
        <w:r>
          <w:rPr>
            <w:noProof/>
            <w:webHidden/>
          </w:rPr>
        </w:r>
        <w:r>
          <w:rPr>
            <w:noProof/>
            <w:webHidden/>
          </w:rPr>
          <w:fldChar w:fldCharType="separate"/>
        </w:r>
        <w:r>
          <w:rPr>
            <w:noProof/>
            <w:webHidden/>
          </w:rPr>
          <w:t>33</w:t>
        </w:r>
        <w:r>
          <w:rPr>
            <w:noProof/>
            <w:webHidden/>
          </w:rPr>
          <w:fldChar w:fldCharType="end"/>
        </w:r>
      </w:hyperlink>
    </w:p>
    <w:p w14:paraId="7EFE9D64" w14:textId="71E3D4C6" w:rsidR="00CB7456" w:rsidRDefault="00CB7456">
      <w:pPr>
        <w:pStyle w:val="TOC4"/>
        <w:tabs>
          <w:tab w:val="right" w:leader="dot" w:pos="8188"/>
        </w:tabs>
        <w:rPr>
          <w:noProof/>
          <w:lang w:eastAsia="en-GB"/>
        </w:rPr>
      </w:pPr>
      <w:hyperlink w:anchor="_Toc7187456" w:history="1">
        <w:r w:rsidRPr="00326D76">
          <w:rPr>
            <w:rStyle w:val="Hyperlink"/>
            <w:noProof/>
          </w:rPr>
          <w:t>2.3.2.3 Organic Rankine Cycles</w:t>
        </w:r>
        <w:r>
          <w:rPr>
            <w:noProof/>
            <w:webHidden/>
          </w:rPr>
          <w:tab/>
        </w:r>
        <w:r>
          <w:rPr>
            <w:noProof/>
            <w:webHidden/>
          </w:rPr>
          <w:fldChar w:fldCharType="begin"/>
        </w:r>
        <w:r>
          <w:rPr>
            <w:noProof/>
            <w:webHidden/>
          </w:rPr>
          <w:instrText xml:space="preserve"> PAGEREF _Toc7187456 \h </w:instrText>
        </w:r>
        <w:r>
          <w:rPr>
            <w:noProof/>
            <w:webHidden/>
          </w:rPr>
        </w:r>
        <w:r>
          <w:rPr>
            <w:noProof/>
            <w:webHidden/>
          </w:rPr>
          <w:fldChar w:fldCharType="separate"/>
        </w:r>
        <w:r>
          <w:rPr>
            <w:noProof/>
            <w:webHidden/>
          </w:rPr>
          <w:t>33</w:t>
        </w:r>
        <w:r>
          <w:rPr>
            <w:noProof/>
            <w:webHidden/>
          </w:rPr>
          <w:fldChar w:fldCharType="end"/>
        </w:r>
      </w:hyperlink>
    </w:p>
    <w:p w14:paraId="08E91305" w14:textId="4FD71FD3" w:rsidR="00CB7456" w:rsidRDefault="00CB7456">
      <w:pPr>
        <w:pStyle w:val="TOC4"/>
        <w:tabs>
          <w:tab w:val="right" w:leader="dot" w:pos="8188"/>
        </w:tabs>
        <w:rPr>
          <w:noProof/>
          <w:lang w:eastAsia="en-GB"/>
        </w:rPr>
      </w:pPr>
      <w:hyperlink w:anchor="_Toc7187457" w:history="1">
        <w:r w:rsidRPr="00326D76">
          <w:rPr>
            <w:rStyle w:val="Hyperlink"/>
            <w:noProof/>
          </w:rPr>
          <w:t>2.3.2.4 Kalina Cycles</w:t>
        </w:r>
        <w:r>
          <w:rPr>
            <w:noProof/>
            <w:webHidden/>
          </w:rPr>
          <w:tab/>
        </w:r>
        <w:r>
          <w:rPr>
            <w:noProof/>
            <w:webHidden/>
          </w:rPr>
          <w:fldChar w:fldCharType="begin"/>
        </w:r>
        <w:r>
          <w:rPr>
            <w:noProof/>
            <w:webHidden/>
          </w:rPr>
          <w:instrText xml:space="preserve"> PAGEREF _Toc7187457 \h </w:instrText>
        </w:r>
        <w:r>
          <w:rPr>
            <w:noProof/>
            <w:webHidden/>
          </w:rPr>
        </w:r>
        <w:r>
          <w:rPr>
            <w:noProof/>
            <w:webHidden/>
          </w:rPr>
          <w:fldChar w:fldCharType="separate"/>
        </w:r>
        <w:r>
          <w:rPr>
            <w:noProof/>
            <w:webHidden/>
          </w:rPr>
          <w:t>34</w:t>
        </w:r>
        <w:r>
          <w:rPr>
            <w:noProof/>
            <w:webHidden/>
          </w:rPr>
          <w:fldChar w:fldCharType="end"/>
        </w:r>
      </w:hyperlink>
    </w:p>
    <w:p w14:paraId="708B6CDF" w14:textId="2AB4E1B6" w:rsidR="00CB7456" w:rsidRDefault="00CB7456">
      <w:pPr>
        <w:pStyle w:val="TOC4"/>
        <w:tabs>
          <w:tab w:val="right" w:leader="dot" w:pos="8188"/>
        </w:tabs>
        <w:rPr>
          <w:noProof/>
          <w:lang w:eastAsia="en-GB"/>
        </w:rPr>
      </w:pPr>
      <w:hyperlink w:anchor="_Toc7187458" w:history="1">
        <w:r w:rsidRPr="00326D76">
          <w:rPr>
            <w:rStyle w:val="Hyperlink"/>
            <w:noProof/>
          </w:rPr>
          <w:t>2.3.2.5 Thermoelectric Generation</w:t>
        </w:r>
        <w:r>
          <w:rPr>
            <w:noProof/>
            <w:webHidden/>
          </w:rPr>
          <w:tab/>
        </w:r>
        <w:r>
          <w:rPr>
            <w:noProof/>
            <w:webHidden/>
          </w:rPr>
          <w:fldChar w:fldCharType="begin"/>
        </w:r>
        <w:r>
          <w:rPr>
            <w:noProof/>
            <w:webHidden/>
          </w:rPr>
          <w:instrText xml:space="preserve"> PAGEREF _Toc7187458 \h </w:instrText>
        </w:r>
        <w:r>
          <w:rPr>
            <w:noProof/>
            <w:webHidden/>
          </w:rPr>
        </w:r>
        <w:r>
          <w:rPr>
            <w:noProof/>
            <w:webHidden/>
          </w:rPr>
          <w:fldChar w:fldCharType="separate"/>
        </w:r>
        <w:r>
          <w:rPr>
            <w:noProof/>
            <w:webHidden/>
          </w:rPr>
          <w:t>34</w:t>
        </w:r>
        <w:r>
          <w:rPr>
            <w:noProof/>
            <w:webHidden/>
          </w:rPr>
          <w:fldChar w:fldCharType="end"/>
        </w:r>
      </w:hyperlink>
    </w:p>
    <w:p w14:paraId="2FDCA0D9" w14:textId="5F9DEFAE" w:rsidR="00CB7456" w:rsidRDefault="00CB7456">
      <w:pPr>
        <w:pStyle w:val="TOC4"/>
        <w:tabs>
          <w:tab w:val="right" w:leader="dot" w:pos="8188"/>
        </w:tabs>
        <w:rPr>
          <w:noProof/>
          <w:lang w:eastAsia="en-GB"/>
        </w:rPr>
      </w:pPr>
      <w:hyperlink w:anchor="_Toc7187459" w:history="1">
        <w:r w:rsidRPr="00326D76">
          <w:rPr>
            <w:rStyle w:val="Hyperlink"/>
            <w:noProof/>
          </w:rPr>
          <w:t>2.3.2.6 Waste Heat Recovery Technology Summary</w:t>
        </w:r>
        <w:r>
          <w:rPr>
            <w:noProof/>
            <w:webHidden/>
          </w:rPr>
          <w:tab/>
        </w:r>
        <w:r>
          <w:rPr>
            <w:noProof/>
            <w:webHidden/>
          </w:rPr>
          <w:fldChar w:fldCharType="begin"/>
        </w:r>
        <w:r>
          <w:rPr>
            <w:noProof/>
            <w:webHidden/>
          </w:rPr>
          <w:instrText xml:space="preserve"> PAGEREF _Toc7187459 \h </w:instrText>
        </w:r>
        <w:r>
          <w:rPr>
            <w:noProof/>
            <w:webHidden/>
          </w:rPr>
        </w:r>
        <w:r>
          <w:rPr>
            <w:noProof/>
            <w:webHidden/>
          </w:rPr>
          <w:fldChar w:fldCharType="separate"/>
        </w:r>
        <w:r>
          <w:rPr>
            <w:noProof/>
            <w:webHidden/>
          </w:rPr>
          <w:t>34</w:t>
        </w:r>
        <w:r>
          <w:rPr>
            <w:noProof/>
            <w:webHidden/>
          </w:rPr>
          <w:fldChar w:fldCharType="end"/>
        </w:r>
      </w:hyperlink>
    </w:p>
    <w:p w14:paraId="3E1365CC" w14:textId="7EDDDEBA" w:rsidR="00CB7456" w:rsidRDefault="00CB7456">
      <w:pPr>
        <w:pStyle w:val="TOC3"/>
        <w:tabs>
          <w:tab w:val="right" w:leader="dot" w:pos="8188"/>
        </w:tabs>
        <w:rPr>
          <w:noProof/>
          <w:lang w:eastAsia="en-GB"/>
        </w:rPr>
      </w:pPr>
      <w:hyperlink w:anchor="_Toc7187460" w:history="1">
        <w:r w:rsidRPr="00326D76">
          <w:rPr>
            <w:rStyle w:val="Hyperlink"/>
            <w:noProof/>
          </w:rPr>
          <w:t>2.3.3 Waste Heat Recovery Modelling</w:t>
        </w:r>
        <w:r>
          <w:rPr>
            <w:noProof/>
            <w:webHidden/>
          </w:rPr>
          <w:tab/>
        </w:r>
        <w:r>
          <w:rPr>
            <w:noProof/>
            <w:webHidden/>
          </w:rPr>
          <w:fldChar w:fldCharType="begin"/>
        </w:r>
        <w:r>
          <w:rPr>
            <w:noProof/>
            <w:webHidden/>
          </w:rPr>
          <w:instrText xml:space="preserve"> PAGEREF _Toc7187460 \h </w:instrText>
        </w:r>
        <w:r>
          <w:rPr>
            <w:noProof/>
            <w:webHidden/>
          </w:rPr>
        </w:r>
        <w:r>
          <w:rPr>
            <w:noProof/>
            <w:webHidden/>
          </w:rPr>
          <w:fldChar w:fldCharType="separate"/>
        </w:r>
        <w:r>
          <w:rPr>
            <w:noProof/>
            <w:webHidden/>
          </w:rPr>
          <w:t>36</w:t>
        </w:r>
        <w:r>
          <w:rPr>
            <w:noProof/>
            <w:webHidden/>
          </w:rPr>
          <w:fldChar w:fldCharType="end"/>
        </w:r>
      </w:hyperlink>
    </w:p>
    <w:p w14:paraId="09350919" w14:textId="592C40C1" w:rsidR="00CB7456" w:rsidRDefault="00CB7456">
      <w:pPr>
        <w:pStyle w:val="TOC3"/>
        <w:tabs>
          <w:tab w:val="right" w:leader="dot" w:pos="8188"/>
        </w:tabs>
        <w:rPr>
          <w:noProof/>
          <w:lang w:eastAsia="en-GB"/>
        </w:rPr>
      </w:pPr>
      <w:hyperlink w:anchor="_Toc7187461" w:history="1">
        <w:r w:rsidRPr="00326D76">
          <w:rPr>
            <w:rStyle w:val="Hyperlink"/>
            <w:noProof/>
          </w:rPr>
          <w:t>2.3.4 Waste Heat Recovery and District Heating Examples</w:t>
        </w:r>
        <w:r>
          <w:rPr>
            <w:noProof/>
            <w:webHidden/>
          </w:rPr>
          <w:tab/>
        </w:r>
        <w:r>
          <w:rPr>
            <w:noProof/>
            <w:webHidden/>
          </w:rPr>
          <w:fldChar w:fldCharType="begin"/>
        </w:r>
        <w:r>
          <w:rPr>
            <w:noProof/>
            <w:webHidden/>
          </w:rPr>
          <w:instrText xml:space="preserve"> PAGEREF _Toc7187461 \h </w:instrText>
        </w:r>
        <w:r>
          <w:rPr>
            <w:noProof/>
            <w:webHidden/>
          </w:rPr>
        </w:r>
        <w:r>
          <w:rPr>
            <w:noProof/>
            <w:webHidden/>
          </w:rPr>
          <w:fldChar w:fldCharType="separate"/>
        </w:r>
        <w:r>
          <w:rPr>
            <w:noProof/>
            <w:webHidden/>
          </w:rPr>
          <w:t>37</w:t>
        </w:r>
        <w:r>
          <w:rPr>
            <w:noProof/>
            <w:webHidden/>
          </w:rPr>
          <w:fldChar w:fldCharType="end"/>
        </w:r>
      </w:hyperlink>
    </w:p>
    <w:p w14:paraId="52AAAA38" w14:textId="447CF1B2" w:rsidR="00CB7456" w:rsidRDefault="00CB7456">
      <w:pPr>
        <w:pStyle w:val="TOC3"/>
        <w:tabs>
          <w:tab w:val="right" w:leader="dot" w:pos="8188"/>
        </w:tabs>
        <w:rPr>
          <w:noProof/>
          <w:lang w:eastAsia="en-GB"/>
        </w:rPr>
      </w:pPr>
      <w:hyperlink w:anchor="_Toc7187462" w:history="1">
        <w:r w:rsidRPr="00326D76">
          <w:rPr>
            <w:rStyle w:val="Hyperlink"/>
            <w:noProof/>
          </w:rPr>
          <w:t>2.3.5 Problems with Waste Heat Recovery</w:t>
        </w:r>
        <w:r>
          <w:rPr>
            <w:noProof/>
            <w:webHidden/>
          </w:rPr>
          <w:tab/>
        </w:r>
        <w:r>
          <w:rPr>
            <w:noProof/>
            <w:webHidden/>
          </w:rPr>
          <w:fldChar w:fldCharType="begin"/>
        </w:r>
        <w:r>
          <w:rPr>
            <w:noProof/>
            <w:webHidden/>
          </w:rPr>
          <w:instrText xml:space="preserve"> PAGEREF _Toc7187462 \h </w:instrText>
        </w:r>
        <w:r>
          <w:rPr>
            <w:noProof/>
            <w:webHidden/>
          </w:rPr>
        </w:r>
        <w:r>
          <w:rPr>
            <w:noProof/>
            <w:webHidden/>
          </w:rPr>
          <w:fldChar w:fldCharType="separate"/>
        </w:r>
        <w:r>
          <w:rPr>
            <w:noProof/>
            <w:webHidden/>
          </w:rPr>
          <w:t>38</w:t>
        </w:r>
        <w:r>
          <w:rPr>
            <w:noProof/>
            <w:webHidden/>
          </w:rPr>
          <w:fldChar w:fldCharType="end"/>
        </w:r>
      </w:hyperlink>
    </w:p>
    <w:p w14:paraId="785111A3" w14:textId="35B796EF" w:rsidR="00CB7456" w:rsidRDefault="00CB7456">
      <w:pPr>
        <w:pStyle w:val="TOC2"/>
        <w:tabs>
          <w:tab w:val="right" w:leader="dot" w:pos="8188"/>
        </w:tabs>
        <w:rPr>
          <w:noProof/>
          <w:lang w:eastAsia="en-GB"/>
        </w:rPr>
      </w:pPr>
      <w:hyperlink w:anchor="_Toc7187463" w:history="1">
        <w:r w:rsidRPr="00326D76">
          <w:rPr>
            <w:rStyle w:val="Hyperlink"/>
            <w:noProof/>
          </w:rPr>
          <w:t>2.4 Heat Mapping</w:t>
        </w:r>
        <w:r>
          <w:rPr>
            <w:noProof/>
            <w:webHidden/>
          </w:rPr>
          <w:tab/>
        </w:r>
        <w:r>
          <w:rPr>
            <w:noProof/>
            <w:webHidden/>
          </w:rPr>
          <w:fldChar w:fldCharType="begin"/>
        </w:r>
        <w:r>
          <w:rPr>
            <w:noProof/>
            <w:webHidden/>
          </w:rPr>
          <w:instrText xml:space="preserve"> PAGEREF _Toc7187463 \h </w:instrText>
        </w:r>
        <w:r>
          <w:rPr>
            <w:noProof/>
            <w:webHidden/>
          </w:rPr>
        </w:r>
        <w:r>
          <w:rPr>
            <w:noProof/>
            <w:webHidden/>
          </w:rPr>
          <w:fldChar w:fldCharType="separate"/>
        </w:r>
        <w:r>
          <w:rPr>
            <w:noProof/>
            <w:webHidden/>
          </w:rPr>
          <w:t>39</w:t>
        </w:r>
        <w:r>
          <w:rPr>
            <w:noProof/>
            <w:webHidden/>
          </w:rPr>
          <w:fldChar w:fldCharType="end"/>
        </w:r>
      </w:hyperlink>
    </w:p>
    <w:p w14:paraId="591E9E9D" w14:textId="0994C9D7" w:rsidR="00CB7456" w:rsidRDefault="00CB7456">
      <w:pPr>
        <w:pStyle w:val="TOC3"/>
        <w:tabs>
          <w:tab w:val="right" w:leader="dot" w:pos="8188"/>
        </w:tabs>
        <w:rPr>
          <w:noProof/>
          <w:lang w:eastAsia="en-GB"/>
        </w:rPr>
      </w:pPr>
      <w:hyperlink w:anchor="_Toc7187464" w:history="1">
        <w:r w:rsidRPr="00326D76">
          <w:rPr>
            <w:rStyle w:val="Hyperlink"/>
            <w:noProof/>
          </w:rPr>
          <w:t>2.4.1 Heat Mapping Methodologies</w:t>
        </w:r>
        <w:r>
          <w:rPr>
            <w:noProof/>
            <w:webHidden/>
          </w:rPr>
          <w:tab/>
        </w:r>
        <w:r>
          <w:rPr>
            <w:noProof/>
            <w:webHidden/>
          </w:rPr>
          <w:fldChar w:fldCharType="begin"/>
        </w:r>
        <w:r>
          <w:rPr>
            <w:noProof/>
            <w:webHidden/>
          </w:rPr>
          <w:instrText xml:space="preserve"> PAGEREF _Toc7187464 \h </w:instrText>
        </w:r>
        <w:r>
          <w:rPr>
            <w:noProof/>
            <w:webHidden/>
          </w:rPr>
        </w:r>
        <w:r>
          <w:rPr>
            <w:noProof/>
            <w:webHidden/>
          </w:rPr>
          <w:fldChar w:fldCharType="separate"/>
        </w:r>
        <w:r>
          <w:rPr>
            <w:noProof/>
            <w:webHidden/>
          </w:rPr>
          <w:t>39</w:t>
        </w:r>
        <w:r>
          <w:rPr>
            <w:noProof/>
            <w:webHidden/>
          </w:rPr>
          <w:fldChar w:fldCharType="end"/>
        </w:r>
      </w:hyperlink>
    </w:p>
    <w:p w14:paraId="06B7C561" w14:textId="40411D42" w:rsidR="00CB7456" w:rsidRDefault="00CB7456">
      <w:pPr>
        <w:pStyle w:val="TOC3"/>
        <w:tabs>
          <w:tab w:val="right" w:leader="dot" w:pos="8188"/>
        </w:tabs>
        <w:rPr>
          <w:noProof/>
          <w:lang w:eastAsia="en-GB"/>
        </w:rPr>
      </w:pPr>
      <w:hyperlink w:anchor="_Toc7187465" w:history="1">
        <w:r w:rsidRPr="00326D76">
          <w:rPr>
            <w:rStyle w:val="Hyperlink"/>
            <w:noProof/>
          </w:rPr>
          <w:t>2.4.2 Heat Demand Calculation Methodologies</w:t>
        </w:r>
        <w:r>
          <w:rPr>
            <w:noProof/>
            <w:webHidden/>
          </w:rPr>
          <w:tab/>
        </w:r>
        <w:r>
          <w:rPr>
            <w:noProof/>
            <w:webHidden/>
          </w:rPr>
          <w:fldChar w:fldCharType="begin"/>
        </w:r>
        <w:r>
          <w:rPr>
            <w:noProof/>
            <w:webHidden/>
          </w:rPr>
          <w:instrText xml:space="preserve"> PAGEREF _Toc7187465 \h </w:instrText>
        </w:r>
        <w:r>
          <w:rPr>
            <w:noProof/>
            <w:webHidden/>
          </w:rPr>
        </w:r>
        <w:r>
          <w:rPr>
            <w:noProof/>
            <w:webHidden/>
          </w:rPr>
          <w:fldChar w:fldCharType="separate"/>
        </w:r>
        <w:r>
          <w:rPr>
            <w:noProof/>
            <w:webHidden/>
          </w:rPr>
          <w:t>40</w:t>
        </w:r>
        <w:r>
          <w:rPr>
            <w:noProof/>
            <w:webHidden/>
          </w:rPr>
          <w:fldChar w:fldCharType="end"/>
        </w:r>
      </w:hyperlink>
    </w:p>
    <w:p w14:paraId="531BD3A2" w14:textId="02F619F2" w:rsidR="00CB7456" w:rsidRDefault="00CB7456">
      <w:pPr>
        <w:pStyle w:val="TOC3"/>
        <w:tabs>
          <w:tab w:val="right" w:leader="dot" w:pos="8188"/>
        </w:tabs>
        <w:rPr>
          <w:noProof/>
          <w:lang w:eastAsia="en-GB"/>
        </w:rPr>
      </w:pPr>
      <w:hyperlink w:anchor="_Toc7187466" w:history="1">
        <w:r w:rsidRPr="00326D76">
          <w:rPr>
            <w:rStyle w:val="Hyperlink"/>
            <w:noProof/>
          </w:rPr>
          <w:t>2.4.3 Data Sources Used for Heat Demand Calculations</w:t>
        </w:r>
        <w:r>
          <w:rPr>
            <w:noProof/>
            <w:webHidden/>
          </w:rPr>
          <w:tab/>
        </w:r>
        <w:r>
          <w:rPr>
            <w:noProof/>
            <w:webHidden/>
          </w:rPr>
          <w:fldChar w:fldCharType="begin"/>
        </w:r>
        <w:r>
          <w:rPr>
            <w:noProof/>
            <w:webHidden/>
          </w:rPr>
          <w:instrText xml:space="preserve"> PAGEREF _Toc7187466 \h </w:instrText>
        </w:r>
        <w:r>
          <w:rPr>
            <w:noProof/>
            <w:webHidden/>
          </w:rPr>
        </w:r>
        <w:r>
          <w:rPr>
            <w:noProof/>
            <w:webHidden/>
          </w:rPr>
          <w:fldChar w:fldCharType="separate"/>
        </w:r>
        <w:r>
          <w:rPr>
            <w:noProof/>
            <w:webHidden/>
          </w:rPr>
          <w:t>42</w:t>
        </w:r>
        <w:r>
          <w:rPr>
            <w:noProof/>
            <w:webHidden/>
          </w:rPr>
          <w:fldChar w:fldCharType="end"/>
        </w:r>
      </w:hyperlink>
    </w:p>
    <w:p w14:paraId="6D92CCEF" w14:textId="15023E55" w:rsidR="00CB7456" w:rsidRDefault="00CB7456">
      <w:pPr>
        <w:pStyle w:val="TOC2"/>
        <w:tabs>
          <w:tab w:val="right" w:leader="dot" w:pos="8188"/>
        </w:tabs>
        <w:rPr>
          <w:noProof/>
          <w:lang w:eastAsia="en-GB"/>
        </w:rPr>
      </w:pPr>
      <w:hyperlink w:anchor="_Toc7187467" w:history="1">
        <w:r w:rsidRPr="00326D76">
          <w:rPr>
            <w:rStyle w:val="Hyperlink"/>
            <w:noProof/>
          </w:rPr>
          <w:t>2.5 Modelling District Heating Networks</w:t>
        </w:r>
        <w:r>
          <w:rPr>
            <w:noProof/>
            <w:webHidden/>
          </w:rPr>
          <w:tab/>
        </w:r>
        <w:r>
          <w:rPr>
            <w:noProof/>
            <w:webHidden/>
          </w:rPr>
          <w:fldChar w:fldCharType="begin"/>
        </w:r>
        <w:r>
          <w:rPr>
            <w:noProof/>
            <w:webHidden/>
          </w:rPr>
          <w:instrText xml:space="preserve"> PAGEREF _Toc7187467 \h </w:instrText>
        </w:r>
        <w:r>
          <w:rPr>
            <w:noProof/>
            <w:webHidden/>
          </w:rPr>
        </w:r>
        <w:r>
          <w:rPr>
            <w:noProof/>
            <w:webHidden/>
          </w:rPr>
          <w:fldChar w:fldCharType="separate"/>
        </w:r>
        <w:r>
          <w:rPr>
            <w:noProof/>
            <w:webHidden/>
          </w:rPr>
          <w:t>42</w:t>
        </w:r>
        <w:r>
          <w:rPr>
            <w:noProof/>
            <w:webHidden/>
          </w:rPr>
          <w:fldChar w:fldCharType="end"/>
        </w:r>
      </w:hyperlink>
    </w:p>
    <w:p w14:paraId="33CCD9EC" w14:textId="1B820143" w:rsidR="00CB7456" w:rsidRDefault="00CB7456">
      <w:pPr>
        <w:pStyle w:val="TOC3"/>
        <w:tabs>
          <w:tab w:val="right" w:leader="dot" w:pos="8188"/>
        </w:tabs>
        <w:rPr>
          <w:noProof/>
          <w:lang w:eastAsia="en-GB"/>
        </w:rPr>
      </w:pPr>
      <w:hyperlink w:anchor="_Toc7187468" w:history="1">
        <w:r w:rsidRPr="00326D76">
          <w:rPr>
            <w:rStyle w:val="Hyperlink"/>
            <w:noProof/>
          </w:rPr>
          <w:t>2.5.1 Component Modelling of District Heating Networks</w:t>
        </w:r>
        <w:r>
          <w:rPr>
            <w:noProof/>
            <w:webHidden/>
          </w:rPr>
          <w:tab/>
        </w:r>
        <w:r>
          <w:rPr>
            <w:noProof/>
            <w:webHidden/>
          </w:rPr>
          <w:fldChar w:fldCharType="begin"/>
        </w:r>
        <w:r>
          <w:rPr>
            <w:noProof/>
            <w:webHidden/>
          </w:rPr>
          <w:instrText xml:space="preserve"> PAGEREF _Toc7187468 \h </w:instrText>
        </w:r>
        <w:r>
          <w:rPr>
            <w:noProof/>
            <w:webHidden/>
          </w:rPr>
        </w:r>
        <w:r>
          <w:rPr>
            <w:noProof/>
            <w:webHidden/>
          </w:rPr>
          <w:fldChar w:fldCharType="separate"/>
        </w:r>
        <w:r>
          <w:rPr>
            <w:noProof/>
            <w:webHidden/>
          </w:rPr>
          <w:t>42</w:t>
        </w:r>
        <w:r>
          <w:rPr>
            <w:noProof/>
            <w:webHidden/>
          </w:rPr>
          <w:fldChar w:fldCharType="end"/>
        </w:r>
      </w:hyperlink>
    </w:p>
    <w:p w14:paraId="54D0F831" w14:textId="3A28200D" w:rsidR="00CB7456" w:rsidRDefault="00CB7456">
      <w:pPr>
        <w:pStyle w:val="TOC4"/>
        <w:tabs>
          <w:tab w:val="right" w:leader="dot" w:pos="8188"/>
        </w:tabs>
        <w:rPr>
          <w:noProof/>
          <w:lang w:eastAsia="en-GB"/>
        </w:rPr>
      </w:pPr>
      <w:hyperlink w:anchor="_Toc7187469" w:history="1">
        <w:r w:rsidRPr="00326D76">
          <w:rPr>
            <w:rStyle w:val="Hyperlink"/>
            <w:noProof/>
          </w:rPr>
          <w:t>2.5.1.1 Historical Models</w:t>
        </w:r>
        <w:r>
          <w:rPr>
            <w:noProof/>
            <w:webHidden/>
          </w:rPr>
          <w:tab/>
        </w:r>
        <w:r>
          <w:rPr>
            <w:noProof/>
            <w:webHidden/>
          </w:rPr>
          <w:fldChar w:fldCharType="begin"/>
        </w:r>
        <w:r>
          <w:rPr>
            <w:noProof/>
            <w:webHidden/>
          </w:rPr>
          <w:instrText xml:space="preserve"> PAGEREF _Toc7187469 \h </w:instrText>
        </w:r>
        <w:r>
          <w:rPr>
            <w:noProof/>
            <w:webHidden/>
          </w:rPr>
        </w:r>
        <w:r>
          <w:rPr>
            <w:noProof/>
            <w:webHidden/>
          </w:rPr>
          <w:fldChar w:fldCharType="separate"/>
        </w:r>
        <w:r>
          <w:rPr>
            <w:noProof/>
            <w:webHidden/>
          </w:rPr>
          <w:t>43</w:t>
        </w:r>
        <w:r>
          <w:rPr>
            <w:noProof/>
            <w:webHidden/>
          </w:rPr>
          <w:fldChar w:fldCharType="end"/>
        </w:r>
      </w:hyperlink>
    </w:p>
    <w:p w14:paraId="6FCE5840" w14:textId="7BC591C0" w:rsidR="00CB7456" w:rsidRDefault="00CB7456">
      <w:pPr>
        <w:pStyle w:val="TOC4"/>
        <w:tabs>
          <w:tab w:val="right" w:leader="dot" w:pos="8188"/>
        </w:tabs>
        <w:rPr>
          <w:noProof/>
          <w:lang w:eastAsia="en-GB"/>
        </w:rPr>
      </w:pPr>
      <w:hyperlink w:anchor="_Toc7187470" w:history="1">
        <w:r w:rsidRPr="00326D76">
          <w:rPr>
            <w:rStyle w:val="Hyperlink"/>
            <w:noProof/>
          </w:rPr>
          <w:t>2.5.1.2 Splitting the Heat Demand into Components</w:t>
        </w:r>
        <w:r>
          <w:rPr>
            <w:noProof/>
            <w:webHidden/>
          </w:rPr>
          <w:tab/>
        </w:r>
        <w:r>
          <w:rPr>
            <w:noProof/>
            <w:webHidden/>
          </w:rPr>
          <w:fldChar w:fldCharType="begin"/>
        </w:r>
        <w:r>
          <w:rPr>
            <w:noProof/>
            <w:webHidden/>
          </w:rPr>
          <w:instrText xml:space="preserve"> PAGEREF _Toc7187470 \h </w:instrText>
        </w:r>
        <w:r>
          <w:rPr>
            <w:noProof/>
            <w:webHidden/>
          </w:rPr>
        </w:r>
        <w:r>
          <w:rPr>
            <w:noProof/>
            <w:webHidden/>
          </w:rPr>
          <w:fldChar w:fldCharType="separate"/>
        </w:r>
        <w:r>
          <w:rPr>
            <w:noProof/>
            <w:webHidden/>
          </w:rPr>
          <w:t>45</w:t>
        </w:r>
        <w:r>
          <w:rPr>
            <w:noProof/>
            <w:webHidden/>
          </w:rPr>
          <w:fldChar w:fldCharType="end"/>
        </w:r>
      </w:hyperlink>
    </w:p>
    <w:p w14:paraId="5A1C7108" w14:textId="6A5E498E" w:rsidR="00CB7456" w:rsidRDefault="00CB7456">
      <w:pPr>
        <w:pStyle w:val="TOC4"/>
        <w:tabs>
          <w:tab w:val="right" w:leader="dot" w:pos="8188"/>
        </w:tabs>
        <w:rPr>
          <w:noProof/>
          <w:lang w:eastAsia="en-GB"/>
        </w:rPr>
      </w:pPr>
      <w:hyperlink w:anchor="_Toc7187471" w:history="1">
        <w:r w:rsidRPr="00326D76">
          <w:rPr>
            <w:rStyle w:val="Hyperlink"/>
            <w:noProof/>
          </w:rPr>
          <w:t>2.5.1.3 Deterministic Models</w:t>
        </w:r>
        <w:r>
          <w:rPr>
            <w:noProof/>
            <w:webHidden/>
          </w:rPr>
          <w:tab/>
        </w:r>
        <w:r>
          <w:rPr>
            <w:noProof/>
            <w:webHidden/>
          </w:rPr>
          <w:fldChar w:fldCharType="begin"/>
        </w:r>
        <w:r>
          <w:rPr>
            <w:noProof/>
            <w:webHidden/>
          </w:rPr>
          <w:instrText xml:space="preserve"> PAGEREF _Toc7187471 \h </w:instrText>
        </w:r>
        <w:r>
          <w:rPr>
            <w:noProof/>
            <w:webHidden/>
          </w:rPr>
        </w:r>
        <w:r>
          <w:rPr>
            <w:noProof/>
            <w:webHidden/>
          </w:rPr>
          <w:fldChar w:fldCharType="separate"/>
        </w:r>
        <w:r>
          <w:rPr>
            <w:noProof/>
            <w:webHidden/>
          </w:rPr>
          <w:t>46</w:t>
        </w:r>
        <w:r>
          <w:rPr>
            <w:noProof/>
            <w:webHidden/>
          </w:rPr>
          <w:fldChar w:fldCharType="end"/>
        </w:r>
      </w:hyperlink>
    </w:p>
    <w:p w14:paraId="10291B66" w14:textId="2FE65B6E" w:rsidR="00CB7456" w:rsidRDefault="00CB7456">
      <w:pPr>
        <w:pStyle w:val="TOC4"/>
        <w:tabs>
          <w:tab w:val="right" w:leader="dot" w:pos="8188"/>
        </w:tabs>
        <w:rPr>
          <w:noProof/>
          <w:lang w:eastAsia="en-GB"/>
        </w:rPr>
      </w:pPr>
      <w:hyperlink w:anchor="_Toc7187472" w:history="1">
        <w:r w:rsidRPr="00326D76">
          <w:rPr>
            <w:rStyle w:val="Hyperlink"/>
            <w:noProof/>
          </w:rPr>
          <w:t>2.5.1.4 Predictive Time Series Models</w:t>
        </w:r>
        <w:r>
          <w:rPr>
            <w:noProof/>
            <w:webHidden/>
          </w:rPr>
          <w:tab/>
        </w:r>
        <w:r>
          <w:rPr>
            <w:noProof/>
            <w:webHidden/>
          </w:rPr>
          <w:fldChar w:fldCharType="begin"/>
        </w:r>
        <w:r>
          <w:rPr>
            <w:noProof/>
            <w:webHidden/>
          </w:rPr>
          <w:instrText xml:space="preserve"> PAGEREF _Toc7187472 \h </w:instrText>
        </w:r>
        <w:r>
          <w:rPr>
            <w:noProof/>
            <w:webHidden/>
          </w:rPr>
        </w:r>
        <w:r>
          <w:rPr>
            <w:noProof/>
            <w:webHidden/>
          </w:rPr>
          <w:fldChar w:fldCharType="separate"/>
        </w:r>
        <w:r>
          <w:rPr>
            <w:noProof/>
            <w:webHidden/>
          </w:rPr>
          <w:t>46</w:t>
        </w:r>
        <w:r>
          <w:rPr>
            <w:noProof/>
            <w:webHidden/>
          </w:rPr>
          <w:fldChar w:fldCharType="end"/>
        </w:r>
      </w:hyperlink>
    </w:p>
    <w:p w14:paraId="140CC337" w14:textId="217C7A06" w:rsidR="00CB7456" w:rsidRDefault="00CB7456">
      <w:pPr>
        <w:pStyle w:val="TOC3"/>
        <w:tabs>
          <w:tab w:val="right" w:leader="dot" w:pos="8188"/>
        </w:tabs>
        <w:rPr>
          <w:noProof/>
          <w:lang w:eastAsia="en-GB"/>
        </w:rPr>
      </w:pPr>
      <w:hyperlink w:anchor="_Toc7187473" w:history="1">
        <w:r w:rsidRPr="00326D76">
          <w:rPr>
            <w:rStyle w:val="Hyperlink"/>
            <w:noProof/>
          </w:rPr>
          <w:t>2.5.2 Holistic Modelling of District Heating Networks</w:t>
        </w:r>
        <w:r>
          <w:rPr>
            <w:noProof/>
            <w:webHidden/>
          </w:rPr>
          <w:tab/>
        </w:r>
        <w:r>
          <w:rPr>
            <w:noProof/>
            <w:webHidden/>
          </w:rPr>
          <w:fldChar w:fldCharType="begin"/>
        </w:r>
        <w:r>
          <w:rPr>
            <w:noProof/>
            <w:webHidden/>
          </w:rPr>
          <w:instrText xml:space="preserve"> PAGEREF _Toc7187473 \h </w:instrText>
        </w:r>
        <w:r>
          <w:rPr>
            <w:noProof/>
            <w:webHidden/>
          </w:rPr>
        </w:r>
        <w:r>
          <w:rPr>
            <w:noProof/>
            <w:webHidden/>
          </w:rPr>
          <w:fldChar w:fldCharType="separate"/>
        </w:r>
        <w:r>
          <w:rPr>
            <w:noProof/>
            <w:webHidden/>
          </w:rPr>
          <w:t>49</w:t>
        </w:r>
        <w:r>
          <w:rPr>
            <w:noProof/>
            <w:webHidden/>
          </w:rPr>
          <w:fldChar w:fldCharType="end"/>
        </w:r>
      </w:hyperlink>
    </w:p>
    <w:p w14:paraId="48A9E06F" w14:textId="716E78B5" w:rsidR="00CB7456" w:rsidRDefault="00CB7456">
      <w:pPr>
        <w:pStyle w:val="TOC4"/>
        <w:tabs>
          <w:tab w:val="right" w:leader="dot" w:pos="8188"/>
        </w:tabs>
        <w:rPr>
          <w:noProof/>
          <w:lang w:eastAsia="en-GB"/>
        </w:rPr>
      </w:pPr>
      <w:hyperlink w:anchor="_Toc7187474" w:history="1">
        <w:r w:rsidRPr="00326D76">
          <w:rPr>
            <w:rStyle w:val="Hyperlink"/>
            <w:noProof/>
          </w:rPr>
          <w:t>2.5.2.1 Black Box Models</w:t>
        </w:r>
        <w:r>
          <w:rPr>
            <w:noProof/>
            <w:webHidden/>
          </w:rPr>
          <w:tab/>
        </w:r>
        <w:r>
          <w:rPr>
            <w:noProof/>
            <w:webHidden/>
          </w:rPr>
          <w:fldChar w:fldCharType="begin"/>
        </w:r>
        <w:r>
          <w:rPr>
            <w:noProof/>
            <w:webHidden/>
          </w:rPr>
          <w:instrText xml:space="preserve"> PAGEREF _Toc7187474 \h </w:instrText>
        </w:r>
        <w:r>
          <w:rPr>
            <w:noProof/>
            <w:webHidden/>
          </w:rPr>
        </w:r>
        <w:r>
          <w:rPr>
            <w:noProof/>
            <w:webHidden/>
          </w:rPr>
          <w:fldChar w:fldCharType="separate"/>
        </w:r>
        <w:r>
          <w:rPr>
            <w:noProof/>
            <w:webHidden/>
          </w:rPr>
          <w:t>49</w:t>
        </w:r>
        <w:r>
          <w:rPr>
            <w:noProof/>
            <w:webHidden/>
          </w:rPr>
          <w:fldChar w:fldCharType="end"/>
        </w:r>
      </w:hyperlink>
    </w:p>
    <w:p w14:paraId="3813D8CB" w14:textId="6DE8C4E4" w:rsidR="00CB7456" w:rsidRDefault="00CB7456">
      <w:pPr>
        <w:pStyle w:val="TOC4"/>
        <w:tabs>
          <w:tab w:val="right" w:leader="dot" w:pos="8188"/>
        </w:tabs>
        <w:rPr>
          <w:noProof/>
          <w:lang w:eastAsia="en-GB"/>
        </w:rPr>
      </w:pPr>
      <w:hyperlink w:anchor="_Toc7187475" w:history="1">
        <w:r w:rsidRPr="00326D76">
          <w:rPr>
            <w:rStyle w:val="Hyperlink"/>
            <w:noProof/>
          </w:rPr>
          <w:t>2.5.2.2 Statistical Models</w:t>
        </w:r>
        <w:r>
          <w:rPr>
            <w:noProof/>
            <w:webHidden/>
          </w:rPr>
          <w:tab/>
        </w:r>
        <w:r>
          <w:rPr>
            <w:noProof/>
            <w:webHidden/>
          </w:rPr>
          <w:fldChar w:fldCharType="begin"/>
        </w:r>
        <w:r>
          <w:rPr>
            <w:noProof/>
            <w:webHidden/>
          </w:rPr>
          <w:instrText xml:space="preserve"> PAGEREF _Toc7187475 \h </w:instrText>
        </w:r>
        <w:r>
          <w:rPr>
            <w:noProof/>
            <w:webHidden/>
          </w:rPr>
        </w:r>
        <w:r>
          <w:rPr>
            <w:noProof/>
            <w:webHidden/>
          </w:rPr>
          <w:fldChar w:fldCharType="separate"/>
        </w:r>
        <w:r>
          <w:rPr>
            <w:noProof/>
            <w:webHidden/>
          </w:rPr>
          <w:t>49</w:t>
        </w:r>
        <w:r>
          <w:rPr>
            <w:noProof/>
            <w:webHidden/>
          </w:rPr>
          <w:fldChar w:fldCharType="end"/>
        </w:r>
      </w:hyperlink>
    </w:p>
    <w:p w14:paraId="6C70AEBF" w14:textId="3019C170" w:rsidR="00CB7456" w:rsidRDefault="00CB7456">
      <w:pPr>
        <w:pStyle w:val="TOC4"/>
        <w:tabs>
          <w:tab w:val="right" w:leader="dot" w:pos="8188"/>
        </w:tabs>
        <w:rPr>
          <w:noProof/>
          <w:lang w:eastAsia="en-GB"/>
        </w:rPr>
      </w:pPr>
      <w:hyperlink w:anchor="_Toc7187476" w:history="1">
        <w:r w:rsidRPr="00326D76">
          <w:rPr>
            <w:rStyle w:val="Hyperlink"/>
            <w:noProof/>
          </w:rPr>
          <w:t>2.5.2.3 Physical Models</w:t>
        </w:r>
        <w:r>
          <w:rPr>
            <w:noProof/>
            <w:webHidden/>
          </w:rPr>
          <w:tab/>
        </w:r>
        <w:r>
          <w:rPr>
            <w:noProof/>
            <w:webHidden/>
          </w:rPr>
          <w:fldChar w:fldCharType="begin"/>
        </w:r>
        <w:r>
          <w:rPr>
            <w:noProof/>
            <w:webHidden/>
          </w:rPr>
          <w:instrText xml:space="preserve"> PAGEREF _Toc7187476 \h </w:instrText>
        </w:r>
        <w:r>
          <w:rPr>
            <w:noProof/>
            <w:webHidden/>
          </w:rPr>
        </w:r>
        <w:r>
          <w:rPr>
            <w:noProof/>
            <w:webHidden/>
          </w:rPr>
          <w:fldChar w:fldCharType="separate"/>
        </w:r>
        <w:r>
          <w:rPr>
            <w:noProof/>
            <w:webHidden/>
          </w:rPr>
          <w:t>49</w:t>
        </w:r>
        <w:r>
          <w:rPr>
            <w:noProof/>
            <w:webHidden/>
          </w:rPr>
          <w:fldChar w:fldCharType="end"/>
        </w:r>
      </w:hyperlink>
    </w:p>
    <w:p w14:paraId="39ECCEC5" w14:textId="17CD4973" w:rsidR="00CB7456" w:rsidRDefault="00CB7456">
      <w:pPr>
        <w:pStyle w:val="TOC3"/>
        <w:tabs>
          <w:tab w:val="right" w:leader="dot" w:pos="8188"/>
        </w:tabs>
        <w:rPr>
          <w:noProof/>
          <w:lang w:eastAsia="en-GB"/>
        </w:rPr>
      </w:pPr>
      <w:hyperlink w:anchor="_Toc7187477" w:history="1">
        <w:r w:rsidRPr="00326D76">
          <w:rPr>
            <w:rStyle w:val="Hyperlink"/>
            <w:noProof/>
          </w:rPr>
          <w:t>2.5.3 District Heating Network Optimisation</w:t>
        </w:r>
        <w:r>
          <w:rPr>
            <w:noProof/>
            <w:webHidden/>
          </w:rPr>
          <w:tab/>
        </w:r>
        <w:r>
          <w:rPr>
            <w:noProof/>
            <w:webHidden/>
          </w:rPr>
          <w:fldChar w:fldCharType="begin"/>
        </w:r>
        <w:r>
          <w:rPr>
            <w:noProof/>
            <w:webHidden/>
          </w:rPr>
          <w:instrText xml:space="preserve"> PAGEREF _Toc7187477 \h </w:instrText>
        </w:r>
        <w:r>
          <w:rPr>
            <w:noProof/>
            <w:webHidden/>
          </w:rPr>
        </w:r>
        <w:r>
          <w:rPr>
            <w:noProof/>
            <w:webHidden/>
          </w:rPr>
          <w:fldChar w:fldCharType="separate"/>
        </w:r>
        <w:r>
          <w:rPr>
            <w:noProof/>
            <w:webHidden/>
          </w:rPr>
          <w:t>50</w:t>
        </w:r>
        <w:r>
          <w:rPr>
            <w:noProof/>
            <w:webHidden/>
          </w:rPr>
          <w:fldChar w:fldCharType="end"/>
        </w:r>
      </w:hyperlink>
    </w:p>
    <w:p w14:paraId="4CC53F4C" w14:textId="21399FD3" w:rsidR="00CB7456" w:rsidRDefault="00CB7456">
      <w:pPr>
        <w:pStyle w:val="TOC4"/>
        <w:tabs>
          <w:tab w:val="right" w:leader="dot" w:pos="8188"/>
        </w:tabs>
        <w:rPr>
          <w:noProof/>
          <w:lang w:eastAsia="en-GB"/>
        </w:rPr>
      </w:pPr>
      <w:hyperlink w:anchor="_Toc7187478" w:history="1">
        <w:r w:rsidRPr="00326D76">
          <w:rPr>
            <w:rStyle w:val="Hyperlink"/>
            <w:noProof/>
          </w:rPr>
          <w:t>2.5.3.1 Technologies for District Heating Optimisation</w:t>
        </w:r>
        <w:r>
          <w:rPr>
            <w:noProof/>
            <w:webHidden/>
          </w:rPr>
          <w:tab/>
        </w:r>
        <w:r>
          <w:rPr>
            <w:noProof/>
            <w:webHidden/>
          </w:rPr>
          <w:fldChar w:fldCharType="begin"/>
        </w:r>
        <w:r>
          <w:rPr>
            <w:noProof/>
            <w:webHidden/>
          </w:rPr>
          <w:instrText xml:space="preserve"> PAGEREF _Toc7187478 \h </w:instrText>
        </w:r>
        <w:r>
          <w:rPr>
            <w:noProof/>
            <w:webHidden/>
          </w:rPr>
        </w:r>
        <w:r>
          <w:rPr>
            <w:noProof/>
            <w:webHidden/>
          </w:rPr>
          <w:fldChar w:fldCharType="separate"/>
        </w:r>
        <w:r>
          <w:rPr>
            <w:noProof/>
            <w:webHidden/>
          </w:rPr>
          <w:t>50</w:t>
        </w:r>
        <w:r>
          <w:rPr>
            <w:noProof/>
            <w:webHidden/>
          </w:rPr>
          <w:fldChar w:fldCharType="end"/>
        </w:r>
      </w:hyperlink>
    </w:p>
    <w:p w14:paraId="461A1762" w14:textId="654579A4" w:rsidR="00CB7456" w:rsidRDefault="00CB7456">
      <w:pPr>
        <w:pStyle w:val="TOC4"/>
        <w:tabs>
          <w:tab w:val="right" w:leader="dot" w:pos="8188"/>
        </w:tabs>
        <w:rPr>
          <w:noProof/>
          <w:lang w:eastAsia="en-GB"/>
        </w:rPr>
      </w:pPr>
      <w:hyperlink w:anchor="_Toc7187479" w:history="1">
        <w:r w:rsidRPr="00326D76">
          <w:rPr>
            <w:rStyle w:val="Hyperlink"/>
            <w:noProof/>
          </w:rPr>
          <w:t>2.5.3.2 Optimisation Modelling Techniques</w:t>
        </w:r>
        <w:r>
          <w:rPr>
            <w:noProof/>
            <w:webHidden/>
          </w:rPr>
          <w:tab/>
        </w:r>
        <w:r>
          <w:rPr>
            <w:noProof/>
            <w:webHidden/>
          </w:rPr>
          <w:fldChar w:fldCharType="begin"/>
        </w:r>
        <w:r>
          <w:rPr>
            <w:noProof/>
            <w:webHidden/>
          </w:rPr>
          <w:instrText xml:space="preserve"> PAGEREF _Toc7187479 \h </w:instrText>
        </w:r>
        <w:r>
          <w:rPr>
            <w:noProof/>
            <w:webHidden/>
          </w:rPr>
        </w:r>
        <w:r>
          <w:rPr>
            <w:noProof/>
            <w:webHidden/>
          </w:rPr>
          <w:fldChar w:fldCharType="separate"/>
        </w:r>
        <w:r>
          <w:rPr>
            <w:noProof/>
            <w:webHidden/>
          </w:rPr>
          <w:t>54</w:t>
        </w:r>
        <w:r>
          <w:rPr>
            <w:noProof/>
            <w:webHidden/>
          </w:rPr>
          <w:fldChar w:fldCharType="end"/>
        </w:r>
      </w:hyperlink>
    </w:p>
    <w:p w14:paraId="71FFDD18" w14:textId="5A5CF797" w:rsidR="00CB7456" w:rsidRDefault="00CB7456">
      <w:pPr>
        <w:pStyle w:val="TOC3"/>
        <w:tabs>
          <w:tab w:val="right" w:leader="dot" w:pos="8188"/>
        </w:tabs>
        <w:rPr>
          <w:noProof/>
          <w:lang w:eastAsia="en-GB"/>
        </w:rPr>
      </w:pPr>
      <w:hyperlink w:anchor="_Toc7187480" w:history="1">
        <w:r w:rsidRPr="00326D76">
          <w:rPr>
            <w:rStyle w:val="Hyperlink"/>
            <w:noProof/>
          </w:rPr>
          <w:t>2.5.4 Issues with Current Modelling Procedure</w:t>
        </w:r>
        <w:r>
          <w:rPr>
            <w:noProof/>
            <w:webHidden/>
          </w:rPr>
          <w:tab/>
        </w:r>
        <w:r>
          <w:rPr>
            <w:noProof/>
            <w:webHidden/>
          </w:rPr>
          <w:fldChar w:fldCharType="begin"/>
        </w:r>
        <w:r>
          <w:rPr>
            <w:noProof/>
            <w:webHidden/>
          </w:rPr>
          <w:instrText xml:space="preserve"> PAGEREF _Toc7187480 \h </w:instrText>
        </w:r>
        <w:r>
          <w:rPr>
            <w:noProof/>
            <w:webHidden/>
          </w:rPr>
        </w:r>
        <w:r>
          <w:rPr>
            <w:noProof/>
            <w:webHidden/>
          </w:rPr>
          <w:fldChar w:fldCharType="separate"/>
        </w:r>
        <w:r>
          <w:rPr>
            <w:noProof/>
            <w:webHidden/>
          </w:rPr>
          <w:t>56</w:t>
        </w:r>
        <w:r>
          <w:rPr>
            <w:noProof/>
            <w:webHidden/>
          </w:rPr>
          <w:fldChar w:fldCharType="end"/>
        </w:r>
      </w:hyperlink>
    </w:p>
    <w:p w14:paraId="7FD1E165" w14:textId="0F8C9FDC" w:rsidR="00CB7456" w:rsidRDefault="00CB7456">
      <w:pPr>
        <w:pStyle w:val="TOC2"/>
        <w:tabs>
          <w:tab w:val="right" w:leader="dot" w:pos="8188"/>
        </w:tabs>
        <w:rPr>
          <w:noProof/>
          <w:lang w:eastAsia="en-GB"/>
        </w:rPr>
      </w:pPr>
      <w:hyperlink w:anchor="_Toc7187481" w:history="1">
        <w:r w:rsidRPr="00326D76">
          <w:rPr>
            <w:rStyle w:val="Hyperlink"/>
            <w:noProof/>
          </w:rPr>
          <w:t>2.6 Economic and Environmental Assessments of District Heating</w:t>
        </w:r>
        <w:r>
          <w:rPr>
            <w:noProof/>
            <w:webHidden/>
          </w:rPr>
          <w:tab/>
        </w:r>
        <w:r>
          <w:rPr>
            <w:noProof/>
            <w:webHidden/>
          </w:rPr>
          <w:fldChar w:fldCharType="begin"/>
        </w:r>
        <w:r>
          <w:rPr>
            <w:noProof/>
            <w:webHidden/>
          </w:rPr>
          <w:instrText xml:space="preserve"> PAGEREF _Toc7187481 \h </w:instrText>
        </w:r>
        <w:r>
          <w:rPr>
            <w:noProof/>
            <w:webHidden/>
          </w:rPr>
        </w:r>
        <w:r>
          <w:rPr>
            <w:noProof/>
            <w:webHidden/>
          </w:rPr>
          <w:fldChar w:fldCharType="separate"/>
        </w:r>
        <w:r>
          <w:rPr>
            <w:noProof/>
            <w:webHidden/>
          </w:rPr>
          <w:t>56</w:t>
        </w:r>
        <w:r>
          <w:rPr>
            <w:noProof/>
            <w:webHidden/>
          </w:rPr>
          <w:fldChar w:fldCharType="end"/>
        </w:r>
      </w:hyperlink>
    </w:p>
    <w:p w14:paraId="31C0CD50" w14:textId="501EC7BD" w:rsidR="00CB7456" w:rsidRDefault="00CB7456">
      <w:pPr>
        <w:pStyle w:val="TOC3"/>
        <w:tabs>
          <w:tab w:val="right" w:leader="dot" w:pos="8188"/>
        </w:tabs>
        <w:rPr>
          <w:noProof/>
          <w:lang w:eastAsia="en-GB"/>
        </w:rPr>
      </w:pPr>
      <w:hyperlink w:anchor="_Toc7187482" w:history="1">
        <w:r w:rsidRPr="00326D76">
          <w:rPr>
            <w:rStyle w:val="Hyperlink"/>
            <w:noProof/>
          </w:rPr>
          <w:t>2.6.1 Techno-Economic Assessments of District Heating</w:t>
        </w:r>
        <w:r>
          <w:rPr>
            <w:noProof/>
            <w:webHidden/>
          </w:rPr>
          <w:tab/>
        </w:r>
        <w:r>
          <w:rPr>
            <w:noProof/>
            <w:webHidden/>
          </w:rPr>
          <w:fldChar w:fldCharType="begin"/>
        </w:r>
        <w:r>
          <w:rPr>
            <w:noProof/>
            <w:webHidden/>
          </w:rPr>
          <w:instrText xml:space="preserve"> PAGEREF _Toc7187482 \h </w:instrText>
        </w:r>
        <w:r>
          <w:rPr>
            <w:noProof/>
            <w:webHidden/>
          </w:rPr>
        </w:r>
        <w:r>
          <w:rPr>
            <w:noProof/>
            <w:webHidden/>
          </w:rPr>
          <w:fldChar w:fldCharType="separate"/>
        </w:r>
        <w:r>
          <w:rPr>
            <w:noProof/>
            <w:webHidden/>
          </w:rPr>
          <w:t>56</w:t>
        </w:r>
        <w:r>
          <w:rPr>
            <w:noProof/>
            <w:webHidden/>
          </w:rPr>
          <w:fldChar w:fldCharType="end"/>
        </w:r>
      </w:hyperlink>
    </w:p>
    <w:p w14:paraId="4C914603" w14:textId="7C730476" w:rsidR="00CB7456" w:rsidRDefault="00CB7456">
      <w:pPr>
        <w:pStyle w:val="TOC3"/>
        <w:tabs>
          <w:tab w:val="right" w:leader="dot" w:pos="8188"/>
        </w:tabs>
        <w:rPr>
          <w:noProof/>
          <w:lang w:eastAsia="en-GB"/>
        </w:rPr>
      </w:pPr>
      <w:hyperlink w:anchor="_Toc7187483" w:history="1">
        <w:r w:rsidRPr="00326D76">
          <w:rPr>
            <w:rStyle w:val="Hyperlink"/>
            <w:noProof/>
          </w:rPr>
          <w:t>2.6.2 Environmental Assessments of District Heating Networks</w:t>
        </w:r>
        <w:r>
          <w:rPr>
            <w:noProof/>
            <w:webHidden/>
          </w:rPr>
          <w:tab/>
        </w:r>
        <w:r>
          <w:rPr>
            <w:noProof/>
            <w:webHidden/>
          </w:rPr>
          <w:fldChar w:fldCharType="begin"/>
        </w:r>
        <w:r>
          <w:rPr>
            <w:noProof/>
            <w:webHidden/>
          </w:rPr>
          <w:instrText xml:space="preserve"> PAGEREF _Toc7187483 \h </w:instrText>
        </w:r>
        <w:r>
          <w:rPr>
            <w:noProof/>
            <w:webHidden/>
          </w:rPr>
        </w:r>
        <w:r>
          <w:rPr>
            <w:noProof/>
            <w:webHidden/>
          </w:rPr>
          <w:fldChar w:fldCharType="separate"/>
        </w:r>
        <w:r>
          <w:rPr>
            <w:noProof/>
            <w:webHidden/>
          </w:rPr>
          <w:t>59</w:t>
        </w:r>
        <w:r>
          <w:rPr>
            <w:noProof/>
            <w:webHidden/>
          </w:rPr>
          <w:fldChar w:fldCharType="end"/>
        </w:r>
      </w:hyperlink>
    </w:p>
    <w:p w14:paraId="7C37B3A8" w14:textId="5CD2FD4A" w:rsidR="00CB7456" w:rsidRDefault="00CB7456">
      <w:pPr>
        <w:pStyle w:val="TOC2"/>
        <w:tabs>
          <w:tab w:val="right" w:leader="dot" w:pos="8188"/>
        </w:tabs>
        <w:rPr>
          <w:noProof/>
          <w:lang w:eastAsia="en-GB"/>
        </w:rPr>
      </w:pPr>
      <w:hyperlink w:anchor="_Toc7187484" w:history="1">
        <w:r w:rsidRPr="00326D76">
          <w:rPr>
            <w:rStyle w:val="Hyperlink"/>
            <w:noProof/>
          </w:rPr>
          <w:t>2.7 UK and European District Heating Markets</w:t>
        </w:r>
        <w:r>
          <w:rPr>
            <w:noProof/>
            <w:webHidden/>
          </w:rPr>
          <w:tab/>
        </w:r>
        <w:r>
          <w:rPr>
            <w:noProof/>
            <w:webHidden/>
          </w:rPr>
          <w:fldChar w:fldCharType="begin"/>
        </w:r>
        <w:r>
          <w:rPr>
            <w:noProof/>
            <w:webHidden/>
          </w:rPr>
          <w:instrText xml:space="preserve"> PAGEREF _Toc7187484 \h </w:instrText>
        </w:r>
        <w:r>
          <w:rPr>
            <w:noProof/>
            <w:webHidden/>
          </w:rPr>
        </w:r>
        <w:r>
          <w:rPr>
            <w:noProof/>
            <w:webHidden/>
          </w:rPr>
          <w:fldChar w:fldCharType="separate"/>
        </w:r>
        <w:r>
          <w:rPr>
            <w:noProof/>
            <w:webHidden/>
          </w:rPr>
          <w:t>61</w:t>
        </w:r>
        <w:r>
          <w:rPr>
            <w:noProof/>
            <w:webHidden/>
          </w:rPr>
          <w:fldChar w:fldCharType="end"/>
        </w:r>
      </w:hyperlink>
    </w:p>
    <w:p w14:paraId="7FF43AAC" w14:textId="619B86F9" w:rsidR="00CB7456" w:rsidRDefault="00CB7456">
      <w:pPr>
        <w:pStyle w:val="TOC3"/>
        <w:tabs>
          <w:tab w:val="right" w:leader="dot" w:pos="8188"/>
        </w:tabs>
        <w:rPr>
          <w:noProof/>
          <w:lang w:eastAsia="en-GB"/>
        </w:rPr>
      </w:pPr>
      <w:hyperlink w:anchor="_Toc7187485" w:history="1">
        <w:r w:rsidRPr="00326D76">
          <w:rPr>
            <w:rStyle w:val="Hyperlink"/>
            <w:noProof/>
          </w:rPr>
          <w:t>2.7.1 UK District Heating Market</w:t>
        </w:r>
        <w:r>
          <w:rPr>
            <w:noProof/>
            <w:webHidden/>
          </w:rPr>
          <w:tab/>
        </w:r>
        <w:r>
          <w:rPr>
            <w:noProof/>
            <w:webHidden/>
          </w:rPr>
          <w:fldChar w:fldCharType="begin"/>
        </w:r>
        <w:r>
          <w:rPr>
            <w:noProof/>
            <w:webHidden/>
          </w:rPr>
          <w:instrText xml:space="preserve"> PAGEREF _Toc7187485 \h </w:instrText>
        </w:r>
        <w:r>
          <w:rPr>
            <w:noProof/>
            <w:webHidden/>
          </w:rPr>
        </w:r>
        <w:r>
          <w:rPr>
            <w:noProof/>
            <w:webHidden/>
          </w:rPr>
          <w:fldChar w:fldCharType="separate"/>
        </w:r>
        <w:r>
          <w:rPr>
            <w:noProof/>
            <w:webHidden/>
          </w:rPr>
          <w:t>61</w:t>
        </w:r>
        <w:r>
          <w:rPr>
            <w:noProof/>
            <w:webHidden/>
          </w:rPr>
          <w:fldChar w:fldCharType="end"/>
        </w:r>
      </w:hyperlink>
    </w:p>
    <w:p w14:paraId="577BE86C" w14:textId="149F658B" w:rsidR="00CB7456" w:rsidRDefault="00CB7456">
      <w:pPr>
        <w:pStyle w:val="TOC3"/>
        <w:tabs>
          <w:tab w:val="right" w:leader="dot" w:pos="8188"/>
        </w:tabs>
        <w:rPr>
          <w:noProof/>
          <w:lang w:eastAsia="en-GB"/>
        </w:rPr>
      </w:pPr>
      <w:hyperlink w:anchor="_Toc7187486" w:history="1">
        <w:r w:rsidRPr="00326D76">
          <w:rPr>
            <w:rStyle w:val="Hyperlink"/>
            <w:noProof/>
          </w:rPr>
          <w:t>2.7.2 UK District Heating Related Legislation</w:t>
        </w:r>
        <w:r>
          <w:rPr>
            <w:noProof/>
            <w:webHidden/>
          </w:rPr>
          <w:tab/>
        </w:r>
        <w:r>
          <w:rPr>
            <w:noProof/>
            <w:webHidden/>
          </w:rPr>
          <w:fldChar w:fldCharType="begin"/>
        </w:r>
        <w:r>
          <w:rPr>
            <w:noProof/>
            <w:webHidden/>
          </w:rPr>
          <w:instrText xml:space="preserve"> PAGEREF _Toc7187486 \h </w:instrText>
        </w:r>
        <w:r>
          <w:rPr>
            <w:noProof/>
            <w:webHidden/>
          </w:rPr>
        </w:r>
        <w:r>
          <w:rPr>
            <w:noProof/>
            <w:webHidden/>
          </w:rPr>
          <w:fldChar w:fldCharType="separate"/>
        </w:r>
        <w:r>
          <w:rPr>
            <w:noProof/>
            <w:webHidden/>
          </w:rPr>
          <w:t>63</w:t>
        </w:r>
        <w:r>
          <w:rPr>
            <w:noProof/>
            <w:webHidden/>
          </w:rPr>
          <w:fldChar w:fldCharType="end"/>
        </w:r>
      </w:hyperlink>
    </w:p>
    <w:p w14:paraId="47904E87" w14:textId="35D0E8CD" w:rsidR="00CB7456" w:rsidRDefault="00CB7456">
      <w:pPr>
        <w:pStyle w:val="TOC3"/>
        <w:tabs>
          <w:tab w:val="right" w:leader="dot" w:pos="8188"/>
        </w:tabs>
        <w:rPr>
          <w:noProof/>
          <w:lang w:eastAsia="en-GB"/>
        </w:rPr>
      </w:pPr>
      <w:hyperlink w:anchor="_Toc7187487" w:history="1">
        <w:r w:rsidRPr="00326D76">
          <w:rPr>
            <w:rStyle w:val="Hyperlink"/>
            <w:noProof/>
          </w:rPr>
          <w:t>2.7.3 UK Government Carbon Reduction Plans</w:t>
        </w:r>
        <w:r>
          <w:rPr>
            <w:noProof/>
            <w:webHidden/>
          </w:rPr>
          <w:tab/>
        </w:r>
        <w:r>
          <w:rPr>
            <w:noProof/>
            <w:webHidden/>
          </w:rPr>
          <w:fldChar w:fldCharType="begin"/>
        </w:r>
        <w:r>
          <w:rPr>
            <w:noProof/>
            <w:webHidden/>
          </w:rPr>
          <w:instrText xml:space="preserve"> PAGEREF _Toc7187487 \h </w:instrText>
        </w:r>
        <w:r>
          <w:rPr>
            <w:noProof/>
            <w:webHidden/>
          </w:rPr>
        </w:r>
        <w:r>
          <w:rPr>
            <w:noProof/>
            <w:webHidden/>
          </w:rPr>
          <w:fldChar w:fldCharType="separate"/>
        </w:r>
        <w:r>
          <w:rPr>
            <w:noProof/>
            <w:webHidden/>
          </w:rPr>
          <w:t>64</w:t>
        </w:r>
        <w:r>
          <w:rPr>
            <w:noProof/>
            <w:webHidden/>
          </w:rPr>
          <w:fldChar w:fldCharType="end"/>
        </w:r>
      </w:hyperlink>
    </w:p>
    <w:p w14:paraId="06215BFA" w14:textId="78B5BA80" w:rsidR="00CB7456" w:rsidRDefault="00CB7456">
      <w:pPr>
        <w:pStyle w:val="TOC3"/>
        <w:tabs>
          <w:tab w:val="right" w:leader="dot" w:pos="8188"/>
        </w:tabs>
        <w:rPr>
          <w:noProof/>
          <w:lang w:eastAsia="en-GB"/>
        </w:rPr>
      </w:pPr>
      <w:hyperlink w:anchor="_Toc7187488" w:history="1">
        <w:r w:rsidRPr="00326D76">
          <w:rPr>
            <w:rStyle w:val="Hyperlink"/>
            <w:noProof/>
          </w:rPr>
          <w:t>2.7.4 EU District Heating Market</w:t>
        </w:r>
        <w:r>
          <w:rPr>
            <w:noProof/>
            <w:webHidden/>
          </w:rPr>
          <w:tab/>
        </w:r>
        <w:r>
          <w:rPr>
            <w:noProof/>
            <w:webHidden/>
          </w:rPr>
          <w:fldChar w:fldCharType="begin"/>
        </w:r>
        <w:r>
          <w:rPr>
            <w:noProof/>
            <w:webHidden/>
          </w:rPr>
          <w:instrText xml:space="preserve"> PAGEREF _Toc7187488 \h </w:instrText>
        </w:r>
        <w:r>
          <w:rPr>
            <w:noProof/>
            <w:webHidden/>
          </w:rPr>
        </w:r>
        <w:r>
          <w:rPr>
            <w:noProof/>
            <w:webHidden/>
          </w:rPr>
          <w:fldChar w:fldCharType="separate"/>
        </w:r>
        <w:r>
          <w:rPr>
            <w:noProof/>
            <w:webHidden/>
          </w:rPr>
          <w:t>65</w:t>
        </w:r>
        <w:r>
          <w:rPr>
            <w:noProof/>
            <w:webHidden/>
          </w:rPr>
          <w:fldChar w:fldCharType="end"/>
        </w:r>
      </w:hyperlink>
    </w:p>
    <w:p w14:paraId="48D22B82" w14:textId="5A135B66" w:rsidR="00CB7456" w:rsidRDefault="00CB7456">
      <w:pPr>
        <w:pStyle w:val="TOC3"/>
        <w:tabs>
          <w:tab w:val="right" w:leader="dot" w:pos="8188"/>
        </w:tabs>
        <w:rPr>
          <w:noProof/>
          <w:lang w:eastAsia="en-GB"/>
        </w:rPr>
      </w:pPr>
      <w:hyperlink w:anchor="_Toc7187489" w:history="1">
        <w:r w:rsidRPr="00326D76">
          <w:rPr>
            <w:rStyle w:val="Hyperlink"/>
            <w:noProof/>
          </w:rPr>
          <w:t>2.7.5 EU District Heating Market Legislation</w:t>
        </w:r>
        <w:r>
          <w:rPr>
            <w:noProof/>
            <w:webHidden/>
          </w:rPr>
          <w:tab/>
        </w:r>
        <w:r>
          <w:rPr>
            <w:noProof/>
            <w:webHidden/>
          </w:rPr>
          <w:fldChar w:fldCharType="begin"/>
        </w:r>
        <w:r>
          <w:rPr>
            <w:noProof/>
            <w:webHidden/>
          </w:rPr>
          <w:instrText xml:space="preserve"> PAGEREF _Toc7187489 \h </w:instrText>
        </w:r>
        <w:r>
          <w:rPr>
            <w:noProof/>
            <w:webHidden/>
          </w:rPr>
        </w:r>
        <w:r>
          <w:rPr>
            <w:noProof/>
            <w:webHidden/>
          </w:rPr>
          <w:fldChar w:fldCharType="separate"/>
        </w:r>
        <w:r>
          <w:rPr>
            <w:noProof/>
            <w:webHidden/>
          </w:rPr>
          <w:t>65</w:t>
        </w:r>
        <w:r>
          <w:rPr>
            <w:noProof/>
            <w:webHidden/>
          </w:rPr>
          <w:fldChar w:fldCharType="end"/>
        </w:r>
      </w:hyperlink>
    </w:p>
    <w:p w14:paraId="41DC0214" w14:textId="34378C9D" w:rsidR="00CB7456" w:rsidRDefault="00CB7456">
      <w:pPr>
        <w:pStyle w:val="TOC3"/>
        <w:tabs>
          <w:tab w:val="right" w:leader="dot" w:pos="8188"/>
        </w:tabs>
        <w:rPr>
          <w:noProof/>
          <w:lang w:eastAsia="en-GB"/>
        </w:rPr>
      </w:pPr>
      <w:hyperlink w:anchor="_Toc7187490" w:history="1">
        <w:r w:rsidRPr="00326D76">
          <w:rPr>
            <w:rStyle w:val="Hyperlink"/>
            <w:noProof/>
          </w:rPr>
          <w:t>2.7.6 EU Government Carbon Reduction Plans</w:t>
        </w:r>
        <w:r>
          <w:rPr>
            <w:noProof/>
            <w:webHidden/>
          </w:rPr>
          <w:tab/>
        </w:r>
        <w:r>
          <w:rPr>
            <w:noProof/>
            <w:webHidden/>
          </w:rPr>
          <w:fldChar w:fldCharType="begin"/>
        </w:r>
        <w:r>
          <w:rPr>
            <w:noProof/>
            <w:webHidden/>
          </w:rPr>
          <w:instrText xml:space="preserve"> PAGEREF _Toc7187490 \h </w:instrText>
        </w:r>
        <w:r>
          <w:rPr>
            <w:noProof/>
            <w:webHidden/>
          </w:rPr>
        </w:r>
        <w:r>
          <w:rPr>
            <w:noProof/>
            <w:webHidden/>
          </w:rPr>
          <w:fldChar w:fldCharType="separate"/>
        </w:r>
        <w:r>
          <w:rPr>
            <w:noProof/>
            <w:webHidden/>
          </w:rPr>
          <w:t>65</w:t>
        </w:r>
        <w:r>
          <w:rPr>
            <w:noProof/>
            <w:webHidden/>
          </w:rPr>
          <w:fldChar w:fldCharType="end"/>
        </w:r>
      </w:hyperlink>
    </w:p>
    <w:p w14:paraId="304889AA" w14:textId="2A179E9F" w:rsidR="00CB7456" w:rsidRDefault="00CB7456">
      <w:pPr>
        <w:pStyle w:val="TOC2"/>
        <w:tabs>
          <w:tab w:val="right" w:leader="dot" w:pos="8188"/>
        </w:tabs>
        <w:rPr>
          <w:noProof/>
          <w:lang w:eastAsia="en-GB"/>
        </w:rPr>
      </w:pPr>
      <w:hyperlink w:anchor="_Toc7187491" w:history="1">
        <w:r w:rsidRPr="00326D76">
          <w:rPr>
            <w:rStyle w:val="Hyperlink"/>
            <w:noProof/>
          </w:rPr>
          <w:t>2.8 The Future for District Heating</w:t>
        </w:r>
        <w:r>
          <w:rPr>
            <w:noProof/>
            <w:webHidden/>
          </w:rPr>
          <w:tab/>
        </w:r>
        <w:r>
          <w:rPr>
            <w:noProof/>
            <w:webHidden/>
          </w:rPr>
          <w:fldChar w:fldCharType="begin"/>
        </w:r>
        <w:r>
          <w:rPr>
            <w:noProof/>
            <w:webHidden/>
          </w:rPr>
          <w:instrText xml:space="preserve"> PAGEREF _Toc7187491 \h </w:instrText>
        </w:r>
        <w:r>
          <w:rPr>
            <w:noProof/>
            <w:webHidden/>
          </w:rPr>
        </w:r>
        <w:r>
          <w:rPr>
            <w:noProof/>
            <w:webHidden/>
          </w:rPr>
          <w:fldChar w:fldCharType="separate"/>
        </w:r>
        <w:r>
          <w:rPr>
            <w:noProof/>
            <w:webHidden/>
          </w:rPr>
          <w:t>66</w:t>
        </w:r>
        <w:r>
          <w:rPr>
            <w:noProof/>
            <w:webHidden/>
          </w:rPr>
          <w:fldChar w:fldCharType="end"/>
        </w:r>
      </w:hyperlink>
    </w:p>
    <w:p w14:paraId="69D614C6" w14:textId="2E3EB99A" w:rsidR="00CB7456" w:rsidRDefault="00CB7456">
      <w:pPr>
        <w:pStyle w:val="TOC3"/>
        <w:tabs>
          <w:tab w:val="right" w:leader="dot" w:pos="8188"/>
        </w:tabs>
        <w:rPr>
          <w:noProof/>
          <w:lang w:eastAsia="en-GB"/>
        </w:rPr>
      </w:pPr>
      <w:hyperlink w:anchor="_Toc7187492" w:history="1">
        <w:r w:rsidRPr="00326D76">
          <w:rPr>
            <w:rStyle w:val="Hyperlink"/>
            <w:noProof/>
          </w:rPr>
          <w:t>2.8.1 District Heating as a System</w:t>
        </w:r>
        <w:r>
          <w:rPr>
            <w:noProof/>
            <w:webHidden/>
          </w:rPr>
          <w:tab/>
        </w:r>
        <w:r>
          <w:rPr>
            <w:noProof/>
            <w:webHidden/>
          </w:rPr>
          <w:fldChar w:fldCharType="begin"/>
        </w:r>
        <w:r>
          <w:rPr>
            <w:noProof/>
            <w:webHidden/>
          </w:rPr>
          <w:instrText xml:space="preserve"> PAGEREF _Toc7187492 \h </w:instrText>
        </w:r>
        <w:r>
          <w:rPr>
            <w:noProof/>
            <w:webHidden/>
          </w:rPr>
        </w:r>
        <w:r>
          <w:rPr>
            <w:noProof/>
            <w:webHidden/>
          </w:rPr>
          <w:fldChar w:fldCharType="separate"/>
        </w:r>
        <w:r>
          <w:rPr>
            <w:noProof/>
            <w:webHidden/>
          </w:rPr>
          <w:t>66</w:t>
        </w:r>
        <w:r>
          <w:rPr>
            <w:noProof/>
            <w:webHidden/>
          </w:rPr>
          <w:fldChar w:fldCharType="end"/>
        </w:r>
      </w:hyperlink>
    </w:p>
    <w:p w14:paraId="54E7DDD9" w14:textId="2D406F82" w:rsidR="00CB7456" w:rsidRDefault="00CB7456">
      <w:pPr>
        <w:pStyle w:val="TOC3"/>
        <w:tabs>
          <w:tab w:val="right" w:leader="dot" w:pos="8188"/>
        </w:tabs>
        <w:rPr>
          <w:noProof/>
          <w:lang w:eastAsia="en-GB"/>
        </w:rPr>
      </w:pPr>
      <w:hyperlink w:anchor="_Toc7187493" w:history="1">
        <w:r w:rsidRPr="00326D76">
          <w:rPr>
            <w:rStyle w:val="Hyperlink"/>
            <w:noProof/>
          </w:rPr>
          <w:t>2.8.2 Reducing Supply Temperature</w:t>
        </w:r>
        <w:r>
          <w:rPr>
            <w:noProof/>
            <w:webHidden/>
          </w:rPr>
          <w:tab/>
        </w:r>
        <w:r>
          <w:rPr>
            <w:noProof/>
            <w:webHidden/>
          </w:rPr>
          <w:fldChar w:fldCharType="begin"/>
        </w:r>
        <w:r>
          <w:rPr>
            <w:noProof/>
            <w:webHidden/>
          </w:rPr>
          <w:instrText xml:space="preserve"> PAGEREF _Toc7187493 \h </w:instrText>
        </w:r>
        <w:r>
          <w:rPr>
            <w:noProof/>
            <w:webHidden/>
          </w:rPr>
        </w:r>
        <w:r>
          <w:rPr>
            <w:noProof/>
            <w:webHidden/>
          </w:rPr>
          <w:fldChar w:fldCharType="separate"/>
        </w:r>
        <w:r>
          <w:rPr>
            <w:noProof/>
            <w:webHidden/>
          </w:rPr>
          <w:t>66</w:t>
        </w:r>
        <w:r>
          <w:rPr>
            <w:noProof/>
            <w:webHidden/>
          </w:rPr>
          <w:fldChar w:fldCharType="end"/>
        </w:r>
      </w:hyperlink>
    </w:p>
    <w:p w14:paraId="5E36B994" w14:textId="064486F8" w:rsidR="00CB7456" w:rsidRDefault="00CB7456">
      <w:pPr>
        <w:pStyle w:val="TOC3"/>
        <w:tabs>
          <w:tab w:val="right" w:leader="dot" w:pos="8188"/>
        </w:tabs>
        <w:rPr>
          <w:noProof/>
          <w:lang w:eastAsia="en-GB"/>
        </w:rPr>
      </w:pPr>
      <w:hyperlink w:anchor="_Toc7187494" w:history="1">
        <w:r w:rsidRPr="00326D76">
          <w:rPr>
            <w:rStyle w:val="Hyperlink"/>
            <w:noProof/>
          </w:rPr>
          <w:t>2.8.3 Changing the Pipe Network</w:t>
        </w:r>
        <w:r>
          <w:rPr>
            <w:noProof/>
            <w:webHidden/>
          </w:rPr>
          <w:tab/>
        </w:r>
        <w:r>
          <w:rPr>
            <w:noProof/>
            <w:webHidden/>
          </w:rPr>
          <w:fldChar w:fldCharType="begin"/>
        </w:r>
        <w:r>
          <w:rPr>
            <w:noProof/>
            <w:webHidden/>
          </w:rPr>
          <w:instrText xml:space="preserve"> PAGEREF _Toc7187494 \h </w:instrText>
        </w:r>
        <w:r>
          <w:rPr>
            <w:noProof/>
            <w:webHidden/>
          </w:rPr>
        </w:r>
        <w:r>
          <w:rPr>
            <w:noProof/>
            <w:webHidden/>
          </w:rPr>
          <w:fldChar w:fldCharType="separate"/>
        </w:r>
        <w:r>
          <w:rPr>
            <w:noProof/>
            <w:webHidden/>
          </w:rPr>
          <w:t>67</w:t>
        </w:r>
        <w:r>
          <w:rPr>
            <w:noProof/>
            <w:webHidden/>
          </w:rPr>
          <w:fldChar w:fldCharType="end"/>
        </w:r>
      </w:hyperlink>
    </w:p>
    <w:p w14:paraId="747A443F" w14:textId="110EE9B8" w:rsidR="00CB7456" w:rsidRDefault="00CB7456">
      <w:pPr>
        <w:pStyle w:val="TOC2"/>
        <w:tabs>
          <w:tab w:val="right" w:leader="dot" w:pos="8188"/>
        </w:tabs>
        <w:rPr>
          <w:noProof/>
          <w:lang w:eastAsia="en-GB"/>
        </w:rPr>
      </w:pPr>
      <w:hyperlink w:anchor="_Toc7187495" w:history="1">
        <w:r w:rsidRPr="00326D76">
          <w:rPr>
            <w:rStyle w:val="Hyperlink"/>
            <w:noProof/>
          </w:rPr>
          <w:t>2.9 Rural District Heating</w:t>
        </w:r>
        <w:r>
          <w:rPr>
            <w:noProof/>
            <w:webHidden/>
          </w:rPr>
          <w:tab/>
        </w:r>
        <w:r>
          <w:rPr>
            <w:noProof/>
            <w:webHidden/>
          </w:rPr>
          <w:fldChar w:fldCharType="begin"/>
        </w:r>
        <w:r>
          <w:rPr>
            <w:noProof/>
            <w:webHidden/>
          </w:rPr>
          <w:instrText xml:space="preserve"> PAGEREF _Toc7187495 \h </w:instrText>
        </w:r>
        <w:r>
          <w:rPr>
            <w:noProof/>
            <w:webHidden/>
          </w:rPr>
        </w:r>
        <w:r>
          <w:rPr>
            <w:noProof/>
            <w:webHidden/>
          </w:rPr>
          <w:fldChar w:fldCharType="separate"/>
        </w:r>
        <w:r>
          <w:rPr>
            <w:noProof/>
            <w:webHidden/>
          </w:rPr>
          <w:t>67</w:t>
        </w:r>
        <w:r>
          <w:rPr>
            <w:noProof/>
            <w:webHidden/>
          </w:rPr>
          <w:fldChar w:fldCharType="end"/>
        </w:r>
      </w:hyperlink>
    </w:p>
    <w:p w14:paraId="11990ACB" w14:textId="6C7115A3" w:rsidR="00CB7456" w:rsidRDefault="00CB7456">
      <w:pPr>
        <w:pStyle w:val="TOC2"/>
        <w:tabs>
          <w:tab w:val="right" w:leader="dot" w:pos="8188"/>
        </w:tabs>
        <w:rPr>
          <w:noProof/>
          <w:lang w:eastAsia="en-GB"/>
        </w:rPr>
      </w:pPr>
      <w:hyperlink w:anchor="_Toc7187496" w:history="1">
        <w:r w:rsidRPr="00326D76">
          <w:rPr>
            <w:rStyle w:val="Hyperlink"/>
            <w:noProof/>
          </w:rPr>
          <w:t>2.10 District Heating as a Sociotechnical Process</w:t>
        </w:r>
        <w:r>
          <w:rPr>
            <w:noProof/>
            <w:webHidden/>
          </w:rPr>
          <w:tab/>
        </w:r>
        <w:r>
          <w:rPr>
            <w:noProof/>
            <w:webHidden/>
          </w:rPr>
          <w:fldChar w:fldCharType="begin"/>
        </w:r>
        <w:r>
          <w:rPr>
            <w:noProof/>
            <w:webHidden/>
          </w:rPr>
          <w:instrText xml:space="preserve"> PAGEREF _Toc7187496 \h </w:instrText>
        </w:r>
        <w:r>
          <w:rPr>
            <w:noProof/>
            <w:webHidden/>
          </w:rPr>
        </w:r>
        <w:r>
          <w:rPr>
            <w:noProof/>
            <w:webHidden/>
          </w:rPr>
          <w:fldChar w:fldCharType="separate"/>
        </w:r>
        <w:r>
          <w:rPr>
            <w:noProof/>
            <w:webHidden/>
          </w:rPr>
          <w:t>68</w:t>
        </w:r>
        <w:r>
          <w:rPr>
            <w:noProof/>
            <w:webHidden/>
          </w:rPr>
          <w:fldChar w:fldCharType="end"/>
        </w:r>
      </w:hyperlink>
    </w:p>
    <w:p w14:paraId="373FC26C" w14:textId="288FA40E" w:rsidR="00CB7456" w:rsidRDefault="00CB7456">
      <w:pPr>
        <w:pStyle w:val="TOC3"/>
        <w:tabs>
          <w:tab w:val="right" w:leader="dot" w:pos="8188"/>
        </w:tabs>
        <w:rPr>
          <w:noProof/>
          <w:lang w:eastAsia="en-GB"/>
        </w:rPr>
      </w:pPr>
      <w:hyperlink w:anchor="_Toc7187497" w:history="1">
        <w:r w:rsidRPr="00326D76">
          <w:rPr>
            <w:rStyle w:val="Hyperlink"/>
            <w:noProof/>
          </w:rPr>
          <w:t>2.10.1 Financial Viability of District Heating</w:t>
        </w:r>
        <w:r>
          <w:rPr>
            <w:noProof/>
            <w:webHidden/>
          </w:rPr>
          <w:tab/>
        </w:r>
        <w:r>
          <w:rPr>
            <w:noProof/>
            <w:webHidden/>
          </w:rPr>
          <w:fldChar w:fldCharType="begin"/>
        </w:r>
        <w:r>
          <w:rPr>
            <w:noProof/>
            <w:webHidden/>
          </w:rPr>
          <w:instrText xml:space="preserve"> PAGEREF _Toc7187497 \h </w:instrText>
        </w:r>
        <w:r>
          <w:rPr>
            <w:noProof/>
            <w:webHidden/>
          </w:rPr>
        </w:r>
        <w:r>
          <w:rPr>
            <w:noProof/>
            <w:webHidden/>
          </w:rPr>
          <w:fldChar w:fldCharType="separate"/>
        </w:r>
        <w:r>
          <w:rPr>
            <w:noProof/>
            <w:webHidden/>
          </w:rPr>
          <w:t>68</w:t>
        </w:r>
        <w:r>
          <w:rPr>
            <w:noProof/>
            <w:webHidden/>
          </w:rPr>
          <w:fldChar w:fldCharType="end"/>
        </w:r>
      </w:hyperlink>
    </w:p>
    <w:p w14:paraId="24127750" w14:textId="67E5020B" w:rsidR="00CB7456" w:rsidRDefault="00CB7456">
      <w:pPr>
        <w:pStyle w:val="TOC3"/>
        <w:tabs>
          <w:tab w:val="right" w:leader="dot" w:pos="8188"/>
        </w:tabs>
        <w:rPr>
          <w:noProof/>
          <w:lang w:eastAsia="en-GB"/>
        </w:rPr>
      </w:pPr>
      <w:hyperlink w:anchor="_Toc7187498" w:history="1">
        <w:r w:rsidRPr="00326D76">
          <w:rPr>
            <w:rStyle w:val="Hyperlink"/>
            <w:noProof/>
          </w:rPr>
          <w:t>2.10.2 The Role of Actors</w:t>
        </w:r>
        <w:r>
          <w:rPr>
            <w:noProof/>
            <w:webHidden/>
          </w:rPr>
          <w:tab/>
        </w:r>
        <w:r>
          <w:rPr>
            <w:noProof/>
            <w:webHidden/>
          </w:rPr>
          <w:fldChar w:fldCharType="begin"/>
        </w:r>
        <w:r>
          <w:rPr>
            <w:noProof/>
            <w:webHidden/>
          </w:rPr>
          <w:instrText xml:space="preserve"> PAGEREF _Toc7187498 \h </w:instrText>
        </w:r>
        <w:r>
          <w:rPr>
            <w:noProof/>
            <w:webHidden/>
          </w:rPr>
        </w:r>
        <w:r>
          <w:rPr>
            <w:noProof/>
            <w:webHidden/>
          </w:rPr>
          <w:fldChar w:fldCharType="separate"/>
        </w:r>
        <w:r>
          <w:rPr>
            <w:noProof/>
            <w:webHidden/>
          </w:rPr>
          <w:t>69</w:t>
        </w:r>
        <w:r>
          <w:rPr>
            <w:noProof/>
            <w:webHidden/>
          </w:rPr>
          <w:fldChar w:fldCharType="end"/>
        </w:r>
      </w:hyperlink>
    </w:p>
    <w:p w14:paraId="7377F5E0" w14:textId="56AA6017" w:rsidR="00CB7456" w:rsidRDefault="00CB7456">
      <w:pPr>
        <w:pStyle w:val="TOC3"/>
        <w:tabs>
          <w:tab w:val="right" w:leader="dot" w:pos="8188"/>
        </w:tabs>
        <w:rPr>
          <w:noProof/>
          <w:lang w:eastAsia="en-GB"/>
        </w:rPr>
      </w:pPr>
      <w:hyperlink w:anchor="_Toc7187499" w:history="1">
        <w:r w:rsidRPr="00326D76">
          <w:rPr>
            <w:rStyle w:val="Hyperlink"/>
            <w:noProof/>
          </w:rPr>
          <w:t>2.10.3 District Heating as a Sociotechnical Process in the UK</w:t>
        </w:r>
        <w:r>
          <w:rPr>
            <w:noProof/>
            <w:webHidden/>
          </w:rPr>
          <w:tab/>
        </w:r>
        <w:r>
          <w:rPr>
            <w:noProof/>
            <w:webHidden/>
          </w:rPr>
          <w:fldChar w:fldCharType="begin"/>
        </w:r>
        <w:r>
          <w:rPr>
            <w:noProof/>
            <w:webHidden/>
          </w:rPr>
          <w:instrText xml:space="preserve"> PAGEREF _Toc7187499 \h </w:instrText>
        </w:r>
        <w:r>
          <w:rPr>
            <w:noProof/>
            <w:webHidden/>
          </w:rPr>
        </w:r>
        <w:r>
          <w:rPr>
            <w:noProof/>
            <w:webHidden/>
          </w:rPr>
          <w:fldChar w:fldCharType="separate"/>
        </w:r>
        <w:r>
          <w:rPr>
            <w:noProof/>
            <w:webHidden/>
          </w:rPr>
          <w:t>69</w:t>
        </w:r>
        <w:r>
          <w:rPr>
            <w:noProof/>
            <w:webHidden/>
          </w:rPr>
          <w:fldChar w:fldCharType="end"/>
        </w:r>
      </w:hyperlink>
    </w:p>
    <w:p w14:paraId="5C208CF5" w14:textId="2173CECB" w:rsidR="00CB7456" w:rsidRDefault="00CB7456">
      <w:pPr>
        <w:pStyle w:val="TOC2"/>
        <w:tabs>
          <w:tab w:val="right" w:leader="dot" w:pos="8188"/>
        </w:tabs>
        <w:rPr>
          <w:noProof/>
          <w:lang w:eastAsia="en-GB"/>
        </w:rPr>
      </w:pPr>
      <w:hyperlink w:anchor="_Toc7187500" w:history="1">
        <w:r w:rsidRPr="00326D76">
          <w:rPr>
            <w:rStyle w:val="Hyperlink"/>
            <w:noProof/>
          </w:rPr>
          <w:t>2.11 Lead Acid Batteries</w:t>
        </w:r>
        <w:r>
          <w:rPr>
            <w:noProof/>
            <w:webHidden/>
          </w:rPr>
          <w:tab/>
        </w:r>
        <w:r>
          <w:rPr>
            <w:noProof/>
            <w:webHidden/>
          </w:rPr>
          <w:fldChar w:fldCharType="begin"/>
        </w:r>
        <w:r>
          <w:rPr>
            <w:noProof/>
            <w:webHidden/>
          </w:rPr>
          <w:instrText xml:space="preserve"> PAGEREF _Toc7187500 \h </w:instrText>
        </w:r>
        <w:r>
          <w:rPr>
            <w:noProof/>
            <w:webHidden/>
          </w:rPr>
        </w:r>
        <w:r>
          <w:rPr>
            <w:noProof/>
            <w:webHidden/>
          </w:rPr>
          <w:fldChar w:fldCharType="separate"/>
        </w:r>
        <w:r>
          <w:rPr>
            <w:noProof/>
            <w:webHidden/>
          </w:rPr>
          <w:t>70</w:t>
        </w:r>
        <w:r>
          <w:rPr>
            <w:noProof/>
            <w:webHidden/>
          </w:rPr>
          <w:fldChar w:fldCharType="end"/>
        </w:r>
      </w:hyperlink>
    </w:p>
    <w:p w14:paraId="67CC7323" w14:textId="231E00F5" w:rsidR="00CB7456" w:rsidRDefault="00CB7456">
      <w:pPr>
        <w:pStyle w:val="TOC3"/>
        <w:tabs>
          <w:tab w:val="right" w:leader="dot" w:pos="8188"/>
        </w:tabs>
        <w:rPr>
          <w:noProof/>
          <w:lang w:eastAsia="en-GB"/>
        </w:rPr>
      </w:pPr>
      <w:hyperlink w:anchor="_Toc7187501" w:history="1">
        <w:r w:rsidRPr="00326D76">
          <w:rPr>
            <w:rStyle w:val="Hyperlink"/>
            <w:noProof/>
          </w:rPr>
          <w:t>2.11.1 HJ Enthoven</w:t>
        </w:r>
        <w:r>
          <w:rPr>
            <w:noProof/>
            <w:webHidden/>
          </w:rPr>
          <w:tab/>
        </w:r>
        <w:r>
          <w:rPr>
            <w:noProof/>
            <w:webHidden/>
          </w:rPr>
          <w:fldChar w:fldCharType="begin"/>
        </w:r>
        <w:r>
          <w:rPr>
            <w:noProof/>
            <w:webHidden/>
          </w:rPr>
          <w:instrText xml:space="preserve"> PAGEREF _Toc7187501 \h </w:instrText>
        </w:r>
        <w:r>
          <w:rPr>
            <w:noProof/>
            <w:webHidden/>
          </w:rPr>
        </w:r>
        <w:r>
          <w:rPr>
            <w:noProof/>
            <w:webHidden/>
          </w:rPr>
          <w:fldChar w:fldCharType="separate"/>
        </w:r>
        <w:r>
          <w:rPr>
            <w:noProof/>
            <w:webHidden/>
          </w:rPr>
          <w:t>70</w:t>
        </w:r>
        <w:r>
          <w:rPr>
            <w:noProof/>
            <w:webHidden/>
          </w:rPr>
          <w:fldChar w:fldCharType="end"/>
        </w:r>
      </w:hyperlink>
    </w:p>
    <w:p w14:paraId="2969E147" w14:textId="7CEEC654" w:rsidR="00CB7456" w:rsidRDefault="00CB7456">
      <w:pPr>
        <w:pStyle w:val="TOC3"/>
        <w:tabs>
          <w:tab w:val="right" w:leader="dot" w:pos="8188"/>
        </w:tabs>
        <w:rPr>
          <w:noProof/>
          <w:lang w:eastAsia="en-GB"/>
        </w:rPr>
      </w:pPr>
      <w:hyperlink w:anchor="_Toc7187502" w:history="1">
        <w:r w:rsidRPr="00326D76">
          <w:rPr>
            <w:rStyle w:val="Hyperlink"/>
            <w:noProof/>
          </w:rPr>
          <w:t>2.11.2 Lead Acid Battery Market</w:t>
        </w:r>
        <w:r>
          <w:rPr>
            <w:noProof/>
            <w:webHidden/>
          </w:rPr>
          <w:tab/>
        </w:r>
        <w:r>
          <w:rPr>
            <w:noProof/>
            <w:webHidden/>
          </w:rPr>
          <w:fldChar w:fldCharType="begin"/>
        </w:r>
        <w:r>
          <w:rPr>
            <w:noProof/>
            <w:webHidden/>
          </w:rPr>
          <w:instrText xml:space="preserve"> PAGEREF _Toc7187502 \h </w:instrText>
        </w:r>
        <w:r>
          <w:rPr>
            <w:noProof/>
            <w:webHidden/>
          </w:rPr>
        </w:r>
        <w:r>
          <w:rPr>
            <w:noProof/>
            <w:webHidden/>
          </w:rPr>
          <w:fldChar w:fldCharType="separate"/>
        </w:r>
        <w:r>
          <w:rPr>
            <w:noProof/>
            <w:webHidden/>
          </w:rPr>
          <w:t>70</w:t>
        </w:r>
        <w:r>
          <w:rPr>
            <w:noProof/>
            <w:webHidden/>
          </w:rPr>
          <w:fldChar w:fldCharType="end"/>
        </w:r>
      </w:hyperlink>
    </w:p>
    <w:p w14:paraId="5DF43948" w14:textId="45BC8FA1" w:rsidR="00CB7456" w:rsidRDefault="00CB7456">
      <w:pPr>
        <w:pStyle w:val="TOC3"/>
        <w:tabs>
          <w:tab w:val="right" w:leader="dot" w:pos="8188"/>
        </w:tabs>
        <w:rPr>
          <w:noProof/>
          <w:lang w:eastAsia="en-GB"/>
        </w:rPr>
      </w:pPr>
      <w:hyperlink w:anchor="_Toc7187503" w:history="1">
        <w:r w:rsidRPr="00326D76">
          <w:rPr>
            <w:rStyle w:val="Hyperlink"/>
            <w:noProof/>
          </w:rPr>
          <w:t>2.11.3 Lead Acid Battery Recycling</w:t>
        </w:r>
        <w:r>
          <w:rPr>
            <w:noProof/>
            <w:webHidden/>
          </w:rPr>
          <w:tab/>
        </w:r>
        <w:r>
          <w:rPr>
            <w:noProof/>
            <w:webHidden/>
          </w:rPr>
          <w:fldChar w:fldCharType="begin"/>
        </w:r>
        <w:r>
          <w:rPr>
            <w:noProof/>
            <w:webHidden/>
          </w:rPr>
          <w:instrText xml:space="preserve"> PAGEREF _Toc7187503 \h </w:instrText>
        </w:r>
        <w:r>
          <w:rPr>
            <w:noProof/>
            <w:webHidden/>
          </w:rPr>
        </w:r>
        <w:r>
          <w:rPr>
            <w:noProof/>
            <w:webHidden/>
          </w:rPr>
          <w:fldChar w:fldCharType="separate"/>
        </w:r>
        <w:r>
          <w:rPr>
            <w:noProof/>
            <w:webHidden/>
          </w:rPr>
          <w:t>70</w:t>
        </w:r>
        <w:r>
          <w:rPr>
            <w:noProof/>
            <w:webHidden/>
          </w:rPr>
          <w:fldChar w:fldCharType="end"/>
        </w:r>
      </w:hyperlink>
    </w:p>
    <w:p w14:paraId="7D466CD9" w14:textId="734E2CFF" w:rsidR="00CB7456" w:rsidRDefault="00CB7456">
      <w:pPr>
        <w:pStyle w:val="TOC3"/>
        <w:tabs>
          <w:tab w:val="right" w:leader="dot" w:pos="8188"/>
        </w:tabs>
        <w:rPr>
          <w:noProof/>
          <w:lang w:eastAsia="en-GB"/>
        </w:rPr>
      </w:pPr>
      <w:hyperlink w:anchor="_Toc7187504" w:history="1">
        <w:r w:rsidRPr="00326D76">
          <w:rPr>
            <w:rStyle w:val="Hyperlink"/>
            <w:noProof/>
          </w:rPr>
          <w:t>2.11.4 Lead Acid Batteries Legislation</w:t>
        </w:r>
        <w:r>
          <w:rPr>
            <w:noProof/>
            <w:webHidden/>
          </w:rPr>
          <w:tab/>
        </w:r>
        <w:r>
          <w:rPr>
            <w:noProof/>
            <w:webHidden/>
          </w:rPr>
          <w:fldChar w:fldCharType="begin"/>
        </w:r>
        <w:r>
          <w:rPr>
            <w:noProof/>
            <w:webHidden/>
          </w:rPr>
          <w:instrText xml:space="preserve"> PAGEREF _Toc7187504 \h </w:instrText>
        </w:r>
        <w:r>
          <w:rPr>
            <w:noProof/>
            <w:webHidden/>
          </w:rPr>
        </w:r>
        <w:r>
          <w:rPr>
            <w:noProof/>
            <w:webHidden/>
          </w:rPr>
          <w:fldChar w:fldCharType="separate"/>
        </w:r>
        <w:r>
          <w:rPr>
            <w:noProof/>
            <w:webHidden/>
          </w:rPr>
          <w:t>71</w:t>
        </w:r>
        <w:r>
          <w:rPr>
            <w:noProof/>
            <w:webHidden/>
          </w:rPr>
          <w:fldChar w:fldCharType="end"/>
        </w:r>
      </w:hyperlink>
    </w:p>
    <w:p w14:paraId="11CABE0A" w14:textId="4092D876" w:rsidR="00CB7456" w:rsidRDefault="00CB7456">
      <w:pPr>
        <w:pStyle w:val="TOC2"/>
        <w:tabs>
          <w:tab w:val="right" w:leader="dot" w:pos="8188"/>
        </w:tabs>
        <w:rPr>
          <w:noProof/>
          <w:lang w:eastAsia="en-GB"/>
        </w:rPr>
      </w:pPr>
      <w:hyperlink w:anchor="_Toc7187505" w:history="1">
        <w:r w:rsidRPr="00326D76">
          <w:rPr>
            <w:rStyle w:val="Hyperlink"/>
            <w:noProof/>
          </w:rPr>
          <w:t>2.12 Conclusion</w:t>
        </w:r>
        <w:r>
          <w:rPr>
            <w:noProof/>
            <w:webHidden/>
          </w:rPr>
          <w:tab/>
        </w:r>
        <w:r>
          <w:rPr>
            <w:noProof/>
            <w:webHidden/>
          </w:rPr>
          <w:fldChar w:fldCharType="begin"/>
        </w:r>
        <w:r>
          <w:rPr>
            <w:noProof/>
            <w:webHidden/>
          </w:rPr>
          <w:instrText xml:space="preserve"> PAGEREF _Toc7187505 \h </w:instrText>
        </w:r>
        <w:r>
          <w:rPr>
            <w:noProof/>
            <w:webHidden/>
          </w:rPr>
        </w:r>
        <w:r>
          <w:rPr>
            <w:noProof/>
            <w:webHidden/>
          </w:rPr>
          <w:fldChar w:fldCharType="separate"/>
        </w:r>
        <w:r>
          <w:rPr>
            <w:noProof/>
            <w:webHidden/>
          </w:rPr>
          <w:t>71</w:t>
        </w:r>
        <w:r>
          <w:rPr>
            <w:noProof/>
            <w:webHidden/>
          </w:rPr>
          <w:fldChar w:fldCharType="end"/>
        </w:r>
      </w:hyperlink>
    </w:p>
    <w:p w14:paraId="29E94D31" w14:textId="62270FB1" w:rsidR="00CB7456" w:rsidRDefault="00CB7456">
      <w:pPr>
        <w:pStyle w:val="TOC1"/>
        <w:tabs>
          <w:tab w:val="right" w:leader="dot" w:pos="8188"/>
        </w:tabs>
        <w:rPr>
          <w:noProof/>
          <w:lang w:eastAsia="en-GB"/>
        </w:rPr>
      </w:pPr>
      <w:hyperlink w:anchor="_Toc7187506" w:history="1">
        <w:r w:rsidRPr="00326D76">
          <w:rPr>
            <w:rStyle w:val="Hyperlink"/>
            <w:noProof/>
          </w:rPr>
          <w:t>3 Heat Mapping</w:t>
        </w:r>
        <w:r>
          <w:rPr>
            <w:noProof/>
            <w:webHidden/>
          </w:rPr>
          <w:tab/>
        </w:r>
        <w:r>
          <w:rPr>
            <w:noProof/>
            <w:webHidden/>
          </w:rPr>
          <w:fldChar w:fldCharType="begin"/>
        </w:r>
        <w:r>
          <w:rPr>
            <w:noProof/>
            <w:webHidden/>
          </w:rPr>
          <w:instrText xml:space="preserve"> PAGEREF _Toc7187506 \h </w:instrText>
        </w:r>
        <w:r>
          <w:rPr>
            <w:noProof/>
            <w:webHidden/>
          </w:rPr>
        </w:r>
        <w:r>
          <w:rPr>
            <w:noProof/>
            <w:webHidden/>
          </w:rPr>
          <w:fldChar w:fldCharType="separate"/>
        </w:r>
        <w:r>
          <w:rPr>
            <w:noProof/>
            <w:webHidden/>
          </w:rPr>
          <w:t>74</w:t>
        </w:r>
        <w:r>
          <w:rPr>
            <w:noProof/>
            <w:webHidden/>
          </w:rPr>
          <w:fldChar w:fldCharType="end"/>
        </w:r>
      </w:hyperlink>
    </w:p>
    <w:p w14:paraId="7643162E" w14:textId="130179D8" w:rsidR="00CB7456" w:rsidRDefault="00CB7456">
      <w:pPr>
        <w:pStyle w:val="TOC2"/>
        <w:tabs>
          <w:tab w:val="right" w:leader="dot" w:pos="8188"/>
        </w:tabs>
        <w:rPr>
          <w:noProof/>
          <w:lang w:eastAsia="en-GB"/>
        </w:rPr>
      </w:pPr>
      <w:hyperlink w:anchor="_Toc7187507" w:history="1">
        <w:r w:rsidRPr="00326D76">
          <w:rPr>
            <w:rStyle w:val="Hyperlink"/>
            <w:noProof/>
          </w:rPr>
          <w:t>3.1 Methodology</w:t>
        </w:r>
        <w:r>
          <w:rPr>
            <w:noProof/>
            <w:webHidden/>
          </w:rPr>
          <w:tab/>
        </w:r>
        <w:r>
          <w:rPr>
            <w:noProof/>
            <w:webHidden/>
          </w:rPr>
          <w:fldChar w:fldCharType="begin"/>
        </w:r>
        <w:r>
          <w:rPr>
            <w:noProof/>
            <w:webHidden/>
          </w:rPr>
          <w:instrText xml:space="preserve"> PAGEREF _Toc7187507 \h </w:instrText>
        </w:r>
        <w:r>
          <w:rPr>
            <w:noProof/>
            <w:webHidden/>
          </w:rPr>
        </w:r>
        <w:r>
          <w:rPr>
            <w:noProof/>
            <w:webHidden/>
          </w:rPr>
          <w:fldChar w:fldCharType="separate"/>
        </w:r>
        <w:r>
          <w:rPr>
            <w:noProof/>
            <w:webHidden/>
          </w:rPr>
          <w:t>74</w:t>
        </w:r>
        <w:r>
          <w:rPr>
            <w:noProof/>
            <w:webHidden/>
          </w:rPr>
          <w:fldChar w:fldCharType="end"/>
        </w:r>
      </w:hyperlink>
    </w:p>
    <w:p w14:paraId="06B6EA8F" w14:textId="23632CEA" w:rsidR="00CB7456" w:rsidRDefault="00CB7456">
      <w:pPr>
        <w:pStyle w:val="TOC3"/>
        <w:tabs>
          <w:tab w:val="right" w:leader="dot" w:pos="8188"/>
        </w:tabs>
        <w:rPr>
          <w:noProof/>
          <w:lang w:eastAsia="en-GB"/>
        </w:rPr>
      </w:pPr>
      <w:hyperlink w:anchor="_Toc7187508" w:history="1">
        <w:r w:rsidRPr="00326D76">
          <w:rPr>
            <w:rStyle w:val="Hyperlink"/>
            <w:noProof/>
          </w:rPr>
          <w:t>3.1.1 Commercial Heat Mapping Methodology</w:t>
        </w:r>
        <w:r>
          <w:rPr>
            <w:noProof/>
            <w:webHidden/>
          </w:rPr>
          <w:tab/>
        </w:r>
        <w:r>
          <w:rPr>
            <w:noProof/>
            <w:webHidden/>
          </w:rPr>
          <w:fldChar w:fldCharType="begin"/>
        </w:r>
        <w:r>
          <w:rPr>
            <w:noProof/>
            <w:webHidden/>
          </w:rPr>
          <w:instrText xml:space="preserve"> PAGEREF _Toc7187508 \h </w:instrText>
        </w:r>
        <w:r>
          <w:rPr>
            <w:noProof/>
            <w:webHidden/>
          </w:rPr>
        </w:r>
        <w:r>
          <w:rPr>
            <w:noProof/>
            <w:webHidden/>
          </w:rPr>
          <w:fldChar w:fldCharType="separate"/>
        </w:r>
        <w:r>
          <w:rPr>
            <w:noProof/>
            <w:webHidden/>
          </w:rPr>
          <w:t>74</w:t>
        </w:r>
        <w:r>
          <w:rPr>
            <w:noProof/>
            <w:webHidden/>
          </w:rPr>
          <w:fldChar w:fldCharType="end"/>
        </w:r>
      </w:hyperlink>
    </w:p>
    <w:p w14:paraId="32512F91" w14:textId="4C6EA5F2" w:rsidR="00CB7456" w:rsidRDefault="00CB7456">
      <w:pPr>
        <w:pStyle w:val="TOC3"/>
        <w:tabs>
          <w:tab w:val="right" w:leader="dot" w:pos="8188"/>
        </w:tabs>
        <w:rPr>
          <w:noProof/>
          <w:lang w:eastAsia="en-GB"/>
        </w:rPr>
      </w:pPr>
      <w:hyperlink w:anchor="_Toc7187509" w:history="1">
        <w:r w:rsidRPr="00326D76">
          <w:rPr>
            <w:rStyle w:val="Hyperlink"/>
            <w:noProof/>
          </w:rPr>
          <w:t>3.1.2 Domestic Heat Mapping Methodology</w:t>
        </w:r>
        <w:r>
          <w:rPr>
            <w:noProof/>
            <w:webHidden/>
          </w:rPr>
          <w:tab/>
        </w:r>
        <w:r>
          <w:rPr>
            <w:noProof/>
            <w:webHidden/>
          </w:rPr>
          <w:fldChar w:fldCharType="begin"/>
        </w:r>
        <w:r>
          <w:rPr>
            <w:noProof/>
            <w:webHidden/>
          </w:rPr>
          <w:instrText xml:space="preserve"> PAGEREF _Toc7187509 \h </w:instrText>
        </w:r>
        <w:r>
          <w:rPr>
            <w:noProof/>
            <w:webHidden/>
          </w:rPr>
        </w:r>
        <w:r>
          <w:rPr>
            <w:noProof/>
            <w:webHidden/>
          </w:rPr>
          <w:fldChar w:fldCharType="separate"/>
        </w:r>
        <w:r>
          <w:rPr>
            <w:noProof/>
            <w:webHidden/>
          </w:rPr>
          <w:t>77</w:t>
        </w:r>
        <w:r>
          <w:rPr>
            <w:noProof/>
            <w:webHidden/>
          </w:rPr>
          <w:fldChar w:fldCharType="end"/>
        </w:r>
      </w:hyperlink>
    </w:p>
    <w:p w14:paraId="6F9A8951" w14:textId="5CBE7B28" w:rsidR="00CB7456" w:rsidRDefault="00CB7456">
      <w:pPr>
        <w:pStyle w:val="TOC2"/>
        <w:tabs>
          <w:tab w:val="right" w:leader="dot" w:pos="8188"/>
        </w:tabs>
        <w:rPr>
          <w:noProof/>
          <w:lang w:eastAsia="en-GB"/>
        </w:rPr>
      </w:pPr>
      <w:hyperlink w:anchor="_Toc7187510" w:history="1">
        <w:r w:rsidRPr="00326D76">
          <w:rPr>
            <w:rStyle w:val="Hyperlink"/>
            <w:noProof/>
          </w:rPr>
          <w:t>3.2 Results</w:t>
        </w:r>
        <w:r>
          <w:rPr>
            <w:noProof/>
            <w:webHidden/>
          </w:rPr>
          <w:tab/>
        </w:r>
        <w:r>
          <w:rPr>
            <w:noProof/>
            <w:webHidden/>
          </w:rPr>
          <w:fldChar w:fldCharType="begin"/>
        </w:r>
        <w:r>
          <w:rPr>
            <w:noProof/>
            <w:webHidden/>
          </w:rPr>
          <w:instrText xml:space="preserve"> PAGEREF _Toc7187510 \h </w:instrText>
        </w:r>
        <w:r>
          <w:rPr>
            <w:noProof/>
            <w:webHidden/>
          </w:rPr>
        </w:r>
        <w:r>
          <w:rPr>
            <w:noProof/>
            <w:webHidden/>
          </w:rPr>
          <w:fldChar w:fldCharType="separate"/>
        </w:r>
        <w:r>
          <w:rPr>
            <w:noProof/>
            <w:webHidden/>
          </w:rPr>
          <w:t>77</w:t>
        </w:r>
        <w:r>
          <w:rPr>
            <w:noProof/>
            <w:webHidden/>
          </w:rPr>
          <w:fldChar w:fldCharType="end"/>
        </w:r>
      </w:hyperlink>
    </w:p>
    <w:p w14:paraId="1692D8BF" w14:textId="1C3F9B70" w:rsidR="00CB7456" w:rsidRDefault="00CB7456">
      <w:pPr>
        <w:pStyle w:val="TOC3"/>
        <w:tabs>
          <w:tab w:val="right" w:leader="dot" w:pos="8188"/>
        </w:tabs>
        <w:rPr>
          <w:noProof/>
          <w:lang w:eastAsia="en-GB"/>
        </w:rPr>
      </w:pPr>
      <w:hyperlink w:anchor="_Toc7187511" w:history="1">
        <w:r w:rsidRPr="00326D76">
          <w:rPr>
            <w:rStyle w:val="Hyperlink"/>
            <w:noProof/>
          </w:rPr>
          <w:t>3.2.1 Commercial Heat Mapping</w:t>
        </w:r>
        <w:r>
          <w:rPr>
            <w:noProof/>
            <w:webHidden/>
          </w:rPr>
          <w:tab/>
        </w:r>
        <w:r>
          <w:rPr>
            <w:noProof/>
            <w:webHidden/>
          </w:rPr>
          <w:fldChar w:fldCharType="begin"/>
        </w:r>
        <w:r>
          <w:rPr>
            <w:noProof/>
            <w:webHidden/>
          </w:rPr>
          <w:instrText xml:space="preserve"> PAGEREF _Toc7187511 \h </w:instrText>
        </w:r>
        <w:r>
          <w:rPr>
            <w:noProof/>
            <w:webHidden/>
          </w:rPr>
        </w:r>
        <w:r>
          <w:rPr>
            <w:noProof/>
            <w:webHidden/>
          </w:rPr>
          <w:fldChar w:fldCharType="separate"/>
        </w:r>
        <w:r>
          <w:rPr>
            <w:noProof/>
            <w:webHidden/>
          </w:rPr>
          <w:t>78</w:t>
        </w:r>
        <w:r>
          <w:rPr>
            <w:noProof/>
            <w:webHidden/>
          </w:rPr>
          <w:fldChar w:fldCharType="end"/>
        </w:r>
      </w:hyperlink>
    </w:p>
    <w:p w14:paraId="1A91D5A8" w14:textId="636215F9" w:rsidR="00CB7456" w:rsidRDefault="00CB7456">
      <w:pPr>
        <w:pStyle w:val="TOC3"/>
        <w:tabs>
          <w:tab w:val="right" w:leader="dot" w:pos="8188"/>
        </w:tabs>
        <w:rPr>
          <w:noProof/>
          <w:lang w:eastAsia="en-GB"/>
        </w:rPr>
      </w:pPr>
      <w:hyperlink w:anchor="_Toc7187512" w:history="1">
        <w:r w:rsidRPr="00326D76">
          <w:rPr>
            <w:rStyle w:val="Hyperlink"/>
            <w:noProof/>
          </w:rPr>
          <w:t>3.2.2 Domestic Heat Mapping</w:t>
        </w:r>
        <w:r>
          <w:rPr>
            <w:noProof/>
            <w:webHidden/>
          </w:rPr>
          <w:tab/>
        </w:r>
        <w:r>
          <w:rPr>
            <w:noProof/>
            <w:webHidden/>
          </w:rPr>
          <w:fldChar w:fldCharType="begin"/>
        </w:r>
        <w:r>
          <w:rPr>
            <w:noProof/>
            <w:webHidden/>
          </w:rPr>
          <w:instrText xml:space="preserve"> PAGEREF _Toc7187512 \h </w:instrText>
        </w:r>
        <w:r>
          <w:rPr>
            <w:noProof/>
            <w:webHidden/>
          </w:rPr>
        </w:r>
        <w:r>
          <w:rPr>
            <w:noProof/>
            <w:webHidden/>
          </w:rPr>
          <w:fldChar w:fldCharType="separate"/>
        </w:r>
        <w:r>
          <w:rPr>
            <w:noProof/>
            <w:webHidden/>
          </w:rPr>
          <w:t>82</w:t>
        </w:r>
        <w:r>
          <w:rPr>
            <w:noProof/>
            <w:webHidden/>
          </w:rPr>
          <w:fldChar w:fldCharType="end"/>
        </w:r>
      </w:hyperlink>
    </w:p>
    <w:p w14:paraId="67BE3F55" w14:textId="11724B27" w:rsidR="00CB7456" w:rsidRDefault="00CB7456">
      <w:pPr>
        <w:pStyle w:val="TOC3"/>
        <w:tabs>
          <w:tab w:val="right" w:leader="dot" w:pos="8188"/>
        </w:tabs>
        <w:rPr>
          <w:noProof/>
          <w:lang w:eastAsia="en-GB"/>
        </w:rPr>
      </w:pPr>
      <w:hyperlink w:anchor="_Toc7187513" w:history="1">
        <w:r w:rsidRPr="00326D76">
          <w:rPr>
            <w:rStyle w:val="Hyperlink"/>
            <w:noProof/>
          </w:rPr>
          <w:t>3.2.3 Heat Mapping Validation</w:t>
        </w:r>
        <w:r>
          <w:rPr>
            <w:noProof/>
            <w:webHidden/>
          </w:rPr>
          <w:tab/>
        </w:r>
        <w:r>
          <w:rPr>
            <w:noProof/>
            <w:webHidden/>
          </w:rPr>
          <w:fldChar w:fldCharType="begin"/>
        </w:r>
        <w:r>
          <w:rPr>
            <w:noProof/>
            <w:webHidden/>
          </w:rPr>
          <w:instrText xml:space="preserve"> PAGEREF _Toc7187513 \h </w:instrText>
        </w:r>
        <w:r>
          <w:rPr>
            <w:noProof/>
            <w:webHidden/>
          </w:rPr>
        </w:r>
        <w:r>
          <w:rPr>
            <w:noProof/>
            <w:webHidden/>
          </w:rPr>
          <w:fldChar w:fldCharType="separate"/>
        </w:r>
        <w:r>
          <w:rPr>
            <w:noProof/>
            <w:webHidden/>
          </w:rPr>
          <w:t>85</w:t>
        </w:r>
        <w:r>
          <w:rPr>
            <w:noProof/>
            <w:webHidden/>
          </w:rPr>
          <w:fldChar w:fldCharType="end"/>
        </w:r>
      </w:hyperlink>
    </w:p>
    <w:p w14:paraId="08908DA7" w14:textId="0D10C62A" w:rsidR="00CB7456" w:rsidRDefault="00CB7456">
      <w:pPr>
        <w:pStyle w:val="TOC2"/>
        <w:tabs>
          <w:tab w:val="right" w:leader="dot" w:pos="8188"/>
        </w:tabs>
        <w:rPr>
          <w:noProof/>
          <w:lang w:eastAsia="en-GB"/>
        </w:rPr>
      </w:pPr>
      <w:hyperlink w:anchor="_Toc7187514" w:history="1">
        <w:r w:rsidRPr="00326D76">
          <w:rPr>
            <w:rStyle w:val="Hyperlink"/>
            <w:noProof/>
          </w:rPr>
          <w:t>3.3 Conclusion</w:t>
        </w:r>
        <w:r>
          <w:rPr>
            <w:noProof/>
            <w:webHidden/>
          </w:rPr>
          <w:tab/>
        </w:r>
        <w:r>
          <w:rPr>
            <w:noProof/>
            <w:webHidden/>
          </w:rPr>
          <w:fldChar w:fldCharType="begin"/>
        </w:r>
        <w:r>
          <w:rPr>
            <w:noProof/>
            <w:webHidden/>
          </w:rPr>
          <w:instrText xml:space="preserve"> PAGEREF _Toc7187514 \h </w:instrText>
        </w:r>
        <w:r>
          <w:rPr>
            <w:noProof/>
            <w:webHidden/>
          </w:rPr>
        </w:r>
        <w:r>
          <w:rPr>
            <w:noProof/>
            <w:webHidden/>
          </w:rPr>
          <w:fldChar w:fldCharType="separate"/>
        </w:r>
        <w:r>
          <w:rPr>
            <w:noProof/>
            <w:webHidden/>
          </w:rPr>
          <w:t>88</w:t>
        </w:r>
        <w:r>
          <w:rPr>
            <w:noProof/>
            <w:webHidden/>
          </w:rPr>
          <w:fldChar w:fldCharType="end"/>
        </w:r>
      </w:hyperlink>
    </w:p>
    <w:p w14:paraId="2C96F71E" w14:textId="1F04A719" w:rsidR="00CB7456" w:rsidRDefault="00CB7456">
      <w:pPr>
        <w:pStyle w:val="TOC1"/>
        <w:tabs>
          <w:tab w:val="right" w:leader="dot" w:pos="8188"/>
        </w:tabs>
        <w:rPr>
          <w:noProof/>
          <w:lang w:eastAsia="en-GB"/>
        </w:rPr>
      </w:pPr>
      <w:hyperlink w:anchor="_Toc7187515" w:history="1">
        <w:r w:rsidRPr="00326D76">
          <w:rPr>
            <w:rStyle w:val="Hyperlink"/>
            <w:noProof/>
          </w:rPr>
          <w:t>4 Waste Heat Supply Quantification</w:t>
        </w:r>
        <w:r>
          <w:rPr>
            <w:noProof/>
            <w:webHidden/>
          </w:rPr>
          <w:tab/>
        </w:r>
        <w:r>
          <w:rPr>
            <w:noProof/>
            <w:webHidden/>
          </w:rPr>
          <w:fldChar w:fldCharType="begin"/>
        </w:r>
        <w:r>
          <w:rPr>
            <w:noProof/>
            <w:webHidden/>
          </w:rPr>
          <w:instrText xml:space="preserve"> PAGEREF _Toc7187515 \h </w:instrText>
        </w:r>
        <w:r>
          <w:rPr>
            <w:noProof/>
            <w:webHidden/>
          </w:rPr>
        </w:r>
        <w:r>
          <w:rPr>
            <w:noProof/>
            <w:webHidden/>
          </w:rPr>
          <w:fldChar w:fldCharType="separate"/>
        </w:r>
        <w:r>
          <w:rPr>
            <w:noProof/>
            <w:webHidden/>
          </w:rPr>
          <w:t>90</w:t>
        </w:r>
        <w:r>
          <w:rPr>
            <w:noProof/>
            <w:webHidden/>
          </w:rPr>
          <w:fldChar w:fldCharType="end"/>
        </w:r>
      </w:hyperlink>
    </w:p>
    <w:p w14:paraId="3692FD43" w14:textId="3D45F5F3" w:rsidR="00CB7456" w:rsidRDefault="00CB7456">
      <w:pPr>
        <w:pStyle w:val="TOC2"/>
        <w:tabs>
          <w:tab w:val="right" w:leader="dot" w:pos="8188"/>
        </w:tabs>
        <w:rPr>
          <w:noProof/>
          <w:lang w:eastAsia="en-GB"/>
        </w:rPr>
      </w:pPr>
      <w:hyperlink w:anchor="_Toc7187516" w:history="1">
        <w:r w:rsidRPr="00326D76">
          <w:rPr>
            <w:rStyle w:val="Hyperlink"/>
            <w:noProof/>
          </w:rPr>
          <w:t>4.1 Methodology</w:t>
        </w:r>
        <w:r>
          <w:rPr>
            <w:noProof/>
            <w:webHidden/>
          </w:rPr>
          <w:tab/>
        </w:r>
        <w:r>
          <w:rPr>
            <w:noProof/>
            <w:webHidden/>
          </w:rPr>
          <w:fldChar w:fldCharType="begin"/>
        </w:r>
        <w:r>
          <w:rPr>
            <w:noProof/>
            <w:webHidden/>
          </w:rPr>
          <w:instrText xml:space="preserve"> PAGEREF _Toc7187516 \h </w:instrText>
        </w:r>
        <w:r>
          <w:rPr>
            <w:noProof/>
            <w:webHidden/>
          </w:rPr>
        </w:r>
        <w:r>
          <w:rPr>
            <w:noProof/>
            <w:webHidden/>
          </w:rPr>
          <w:fldChar w:fldCharType="separate"/>
        </w:r>
        <w:r>
          <w:rPr>
            <w:noProof/>
            <w:webHidden/>
          </w:rPr>
          <w:t>90</w:t>
        </w:r>
        <w:r>
          <w:rPr>
            <w:noProof/>
            <w:webHidden/>
          </w:rPr>
          <w:fldChar w:fldCharType="end"/>
        </w:r>
      </w:hyperlink>
    </w:p>
    <w:p w14:paraId="400AB221" w14:textId="727C7C6F" w:rsidR="00CB7456" w:rsidRDefault="00CB7456">
      <w:pPr>
        <w:pStyle w:val="TOC3"/>
        <w:tabs>
          <w:tab w:val="right" w:leader="dot" w:pos="8188"/>
        </w:tabs>
        <w:rPr>
          <w:noProof/>
          <w:lang w:eastAsia="en-GB"/>
        </w:rPr>
      </w:pPr>
      <w:hyperlink w:anchor="_Toc7187517" w:history="1">
        <w:r w:rsidRPr="00326D76">
          <w:rPr>
            <w:rStyle w:val="Hyperlink"/>
            <w:noProof/>
          </w:rPr>
          <w:t>4.1.1 Generic Methodology</w:t>
        </w:r>
        <w:r>
          <w:rPr>
            <w:noProof/>
            <w:webHidden/>
          </w:rPr>
          <w:tab/>
        </w:r>
        <w:r>
          <w:rPr>
            <w:noProof/>
            <w:webHidden/>
          </w:rPr>
          <w:fldChar w:fldCharType="begin"/>
        </w:r>
        <w:r>
          <w:rPr>
            <w:noProof/>
            <w:webHidden/>
          </w:rPr>
          <w:instrText xml:space="preserve"> PAGEREF _Toc7187517 \h </w:instrText>
        </w:r>
        <w:r>
          <w:rPr>
            <w:noProof/>
            <w:webHidden/>
          </w:rPr>
        </w:r>
        <w:r>
          <w:rPr>
            <w:noProof/>
            <w:webHidden/>
          </w:rPr>
          <w:fldChar w:fldCharType="separate"/>
        </w:r>
        <w:r>
          <w:rPr>
            <w:noProof/>
            <w:webHidden/>
          </w:rPr>
          <w:t>90</w:t>
        </w:r>
        <w:r>
          <w:rPr>
            <w:noProof/>
            <w:webHidden/>
          </w:rPr>
          <w:fldChar w:fldCharType="end"/>
        </w:r>
      </w:hyperlink>
    </w:p>
    <w:p w14:paraId="75607E11" w14:textId="10CA79C8" w:rsidR="00CB7456" w:rsidRDefault="00CB7456">
      <w:pPr>
        <w:pStyle w:val="TOC3"/>
        <w:tabs>
          <w:tab w:val="right" w:leader="dot" w:pos="8188"/>
        </w:tabs>
        <w:rPr>
          <w:noProof/>
          <w:lang w:eastAsia="en-GB"/>
        </w:rPr>
      </w:pPr>
      <w:hyperlink w:anchor="_Toc7187518" w:history="1">
        <w:r w:rsidRPr="00326D76">
          <w:rPr>
            <w:rStyle w:val="Hyperlink"/>
            <w:noProof/>
          </w:rPr>
          <w:t>4.1.2 Case Study Methodology</w:t>
        </w:r>
        <w:r>
          <w:rPr>
            <w:noProof/>
            <w:webHidden/>
          </w:rPr>
          <w:tab/>
        </w:r>
        <w:r>
          <w:rPr>
            <w:noProof/>
            <w:webHidden/>
          </w:rPr>
          <w:fldChar w:fldCharType="begin"/>
        </w:r>
        <w:r>
          <w:rPr>
            <w:noProof/>
            <w:webHidden/>
          </w:rPr>
          <w:instrText xml:space="preserve"> PAGEREF _Toc7187518 \h </w:instrText>
        </w:r>
        <w:r>
          <w:rPr>
            <w:noProof/>
            <w:webHidden/>
          </w:rPr>
        </w:r>
        <w:r>
          <w:rPr>
            <w:noProof/>
            <w:webHidden/>
          </w:rPr>
          <w:fldChar w:fldCharType="separate"/>
        </w:r>
        <w:r>
          <w:rPr>
            <w:noProof/>
            <w:webHidden/>
          </w:rPr>
          <w:t>92</w:t>
        </w:r>
        <w:r>
          <w:rPr>
            <w:noProof/>
            <w:webHidden/>
          </w:rPr>
          <w:fldChar w:fldCharType="end"/>
        </w:r>
      </w:hyperlink>
    </w:p>
    <w:p w14:paraId="11D14977" w14:textId="66A2CB41" w:rsidR="00CB7456" w:rsidRDefault="00CB7456">
      <w:pPr>
        <w:pStyle w:val="TOC2"/>
        <w:tabs>
          <w:tab w:val="right" w:leader="dot" w:pos="8188"/>
        </w:tabs>
        <w:rPr>
          <w:noProof/>
          <w:lang w:eastAsia="en-GB"/>
        </w:rPr>
      </w:pPr>
      <w:hyperlink w:anchor="_Toc7187519" w:history="1">
        <w:r w:rsidRPr="00326D76">
          <w:rPr>
            <w:rStyle w:val="Hyperlink"/>
            <w:noProof/>
          </w:rPr>
          <w:t>4.2 Results</w:t>
        </w:r>
        <w:r>
          <w:rPr>
            <w:noProof/>
            <w:webHidden/>
          </w:rPr>
          <w:tab/>
        </w:r>
        <w:r>
          <w:rPr>
            <w:noProof/>
            <w:webHidden/>
          </w:rPr>
          <w:fldChar w:fldCharType="begin"/>
        </w:r>
        <w:r>
          <w:rPr>
            <w:noProof/>
            <w:webHidden/>
          </w:rPr>
          <w:instrText xml:space="preserve"> PAGEREF _Toc7187519 \h </w:instrText>
        </w:r>
        <w:r>
          <w:rPr>
            <w:noProof/>
            <w:webHidden/>
          </w:rPr>
        </w:r>
        <w:r>
          <w:rPr>
            <w:noProof/>
            <w:webHidden/>
          </w:rPr>
          <w:fldChar w:fldCharType="separate"/>
        </w:r>
        <w:r>
          <w:rPr>
            <w:noProof/>
            <w:webHidden/>
          </w:rPr>
          <w:t>93</w:t>
        </w:r>
        <w:r>
          <w:rPr>
            <w:noProof/>
            <w:webHidden/>
          </w:rPr>
          <w:fldChar w:fldCharType="end"/>
        </w:r>
      </w:hyperlink>
    </w:p>
    <w:p w14:paraId="24FC144D" w14:textId="48BCF15C" w:rsidR="00CB7456" w:rsidRDefault="00CB7456">
      <w:pPr>
        <w:pStyle w:val="TOC2"/>
        <w:tabs>
          <w:tab w:val="right" w:leader="dot" w:pos="8188"/>
        </w:tabs>
        <w:rPr>
          <w:noProof/>
          <w:lang w:eastAsia="en-GB"/>
        </w:rPr>
      </w:pPr>
      <w:hyperlink w:anchor="_Toc7187520" w:history="1">
        <w:r w:rsidRPr="00326D76">
          <w:rPr>
            <w:rStyle w:val="Hyperlink"/>
            <w:noProof/>
          </w:rPr>
          <w:t>4.3 Conclusion</w:t>
        </w:r>
        <w:r>
          <w:rPr>
            <w:noProof/>
            <w:webHidden/>
          </w:rPr>
          <w:tab/>
        </w:r>
        <w:r>
          <w:rPr>
            <w:noProof/>
            <w:webHidden/>
          </w:rPr>
          <w:fldChar w:fldCharType="begin"/>
        </w:r>
        <w:r>
          <w:rPr>
            <w:noProof/>
            <w:webHidden/>
          </w:rPr>
          <w:instrText xml:space="preserve"> PAGEREF _Toc7187520 \h </w:instrText>
        </w:r>
        <w:r>
          <w:rPr>
            <w:noProof/>
            <w:webHidden/>
          </w:rPr>
        </w:r>
        <w:r>
          <w:rPr>
            <w:noProof/>
            <w:webHidden/>
          </w:rPr>
          <w:fldChar w:fldCharType="separate"/>
        </w:r>
        <w:r>
          <w:rPr>
            <w:noProof/>
            <w:webHidden/>
          </w:rPr>
          <w:t>98</w:t>
        </w:r>
        <w:r>
          <w:rPr>
            <w:noProof/>
            <w:webHidden/>
          </w:rPr>
          <w:fldChar w:fldCharType="end"/>
        </w:r>
      </w:hyperlink>
    </w:p>
    <w:p w14:paraId="75A39F0B" w14:textId="72D31416" w:rsidR="00CB7456" w:rsidRDefault="00CB7456">
      <w:pPr>
        <w:pStyle w:val="TOC1"/>
        <w:tabs>
          <w:tab w:val="right" w:leader="dot" w:pos="8188"/>
        </w:tabs>
        <w:rPr>
          <w:noProof/>
          <w:lang w:eastAsia="en-GB"/>
        </w:rPr>
      </w:pPr>
      <w:hyperlink w:anchor="_Toc7187521" w:history="1">
        <w:r w:rsidRPr="00326D76">
          <w:rPr>
            <w:rStyle w:val="Hyperlink"/>
            <w:noProof/>
          </w:rPr>
          <w:t>5 Waste Heat Recovery Modelling</w:t>
        </w:r>
        <w:r>
          <w:rPr>
            <w:noProof/>
            <w:webHidden/>
          </w:rPr>
          <w:tab/>
        </w:r>
        <w:r>
          <w:rPr>
            <w:noProof/>
            <w:webHidden/>
          </w:rPr>
          <w:fldChar w:fldCharType="begin"/>
        </w:r>
        <w:r>
          <w:rPr>
            <w:noProof/>
            <w:webHidden/>
          </w:rPr>
          <w:instrText xml:space="preserve"> PAGEREF _Toc7187521 \h </w:instrText>
        </w:r>
        <w:r>
          <w:rPr>
            <w:noProof/>
            <w:webHidden/>
          </w:rPr>
        </w:r>
        <w:r>
          <w:rPr>
            <w:noProof/>
            <w:webHidden/>
          </w:rPr>
          <w:fldChar w:fldCharType="separate"/>
        </w:r>
        <w:r>
          <w:rPr>
            <w:noProof/>
            <w:webHidden/>
          </w:rPr>
          <w:t>100</w:t>
        </w:r>
        <w:r>
          <w:rPr>
            <w:noProof/>
            <w:webHidden/>
          </w:rPr>
          <w:fldChar w:fldCharType="end"/>
        </w:r>
      </w:hyperlink>
    </w:p>
    <w:p w14:paraId="2119575E" w14:textId="4908AA25" w:rsidR="00CB7456" w:rsidRDefault="00CB7456">
      <w:pPr>
        <w:pStyle w:val="TOC2"/>
        <w:tabs>
          <w:tab w:val="right" w:leader="dot" w:pos="8188"/>
        </w:tabs>
        <w:rPr>
          <w:noProof/>
          <w:lang w:eastAsia="en-GB"/>
        </w:rPr>
      </w:pPr>
      <w:hyperlink w:anchor="_Toc7187522" w:history="1">
        <w:r w:rsidRPr="00326D76">
          <w:rPr>
            <w:rStyle w:val="Hyperlink"/>
            <w:noProof/>
          </w:rPr>
          <w:t>5.1 Methodology</w:t>
        </w:r>
        <w:r>
          <w:rPr>
            <w:noProof/>
            <w:webHidden/>
          </w:rPr>
          <w:tab/>
        </w:r>
        <w:r>
          <w:rPr>
            <w:noProof/>
            <w:webHidden/>
          </w:rPr>
          <w:fldChar w:fldCharType="begin"/>
        </w:r>
        <w:r>
          <w:rPr>
            <w:noProof/>
            <w:webHidden/>
          </w:rPr>
          <w:instrText xml:space="preserve"> PAGEREF _Toc7187522 \h </w:instrText>
        </w:r>
        <w:r>
          <w:rPr>
            <w:noProof/>
            <w:webHidden/>
          </w:rPr>
        </w:r>
        <w:r>
          <w:rPr>
            <w:noProof/>
            <w:webHidden/>
          </w:rPr>
          <w:fldChar w:fldCharType="separate"/>
        </w:r>
        <w:r>
          <w:rPr>
            <w:noProof/>
            <w:webHidden/>
          </w:rPr>
          <w:t>100</w:t>
        </w:r>
        <w:r>
          <w:rPr>
            <w:noProof/>
            <w:webHidden/>
          </w:rPr>
          <w:fldChar w:fldCharType="end"/>
        </w:r>
      </w:hyperlink>
    </w:p>
    <w:p w14:paraId="64397A0D" w14:textId="4A1ABA98" w:rsidR="00CB7456" w:rsidRDefault="00CB7456">
      <w:pPr>
        <w:pStyle w:val="TOC3"/>
        <w:tabs>
          <w:tab w:val="right" w:leader="dot" w:pos="8188"/>
        </w:tabs>
        <w:rPr>
          <w:noProof/>
          <w:lang w:eastAsia="en-GB"/>
        </w:rPr>
      </w:pPr>
      <w:hyperlink w:anchor="_Toc7187523" w:history="1">
        <w:r w:rsidRPr="00326D76">
          <w:rPr>
            <w:rStyle w:val="Hyperlink"/>
            <w:noProof/>
          </w:rPr>
          <w:t>5.1.1 Waste Heat Recovery Equipment</w:t>
        </w:r>
        <w:r>
          <w:rPr>
            <w:noProof/>
            <w:webHidden/>
          </w:rPr>
          <w:tab/>
        </w:r>
        <w:r>
          <w:rPr>
            <w:noProof/>
            <w:webHidden/>
          </w:rPr>
          <w:fldChar w:fldCharType="begin"/>
        </w:r>
        <w:r>
          <w:rPr>
            <w:noProof/>
            <w:webHidden/>
          </w:rPr>
          <w:instrText xml:space="preserve"> PAGEREF _Toc7187523 \h </w:instrText>
        </w:r>
        <w:r>
          <w:rPr>
            <w:noProof/>
            <w:webHidden/>
          </w:rPr>
        </w:r>
        <w:r>
          <w:rPr>
            <w:noProof/>
            <w:webHidden/>
          </w:rPr>
          <w:fldChar w:fldCharType="separate"/>
        </w:r>
        <w:r>
          <w:rPr>
            <w:noProof/>
            <w:webHidden/>
          </w:rPr>
          <w:t>100</w:t>
        </w:r>
        <w:r>
          <w:rPr>
            <w:noProof/>
            <w:webHidden/>
          </w:rPr>
          <w:fldChar w:fldCharType="end"/>
        </w:r>
      </w:hyperlink>
    </w:p>
    <w:p w14:paraId="0C0C3AD0" w14:textId="38B343C0" w:rsidR="00CB7456" w:rsidRDefault="00CB7456">
      <w:pPr>
        <w:pStyle w:val="TOC4"/>
        <w:tabs>
          <w:tab w:val="right" w:leader="dot" w:pos="8188"/>
        </w:tabs>
        <w:rPr>
          <w:noProof/>
          <w:lang w:eastAsia="en-GB"/>
        </w:rPr>
      </w:pPr>
      <w:hyperlink w:anchor="_Toc7187524" w:history="1">
        <w:r w:rsidRPr="00326D76">
          <w:rPr>
            <w:rStyle w:val="Hyperlink"/>
            <w:noProof/>
          </w:rPr>
          <w:t>5.1.1.1 Double Pipe Heat Exchanger</w:t>
        </w:r>
        <w:r>
          <w:rPr>
            <w:noProof/>
            <w:webHidden/>
          </w:rPr>
          <w:tab/>
        </w:r>
        <w:r>
          <w:rPr>
            <w:noProof/>
            <w:webHidden/>
          </w:rPr>
          <w:fldChar w:fldCharType="begin"/>
        </w:r>
        <w:r>
          <w:rPr>
            <w:noProof/>
            <w:webHidden/>
          </w:rPr>
          <w:instrText xml:space="preserve"> PAGEREF _Toc7187524 \h </w:instrText>
        </w:r>
        <w:r>
          <w:rPr>
            <w:noProof/>
            <w:webHidden/>
          </w:rPr>
        </w:r>
        <w:r>
          <w:rPr>
            <w:noProof/>
            <w:webHidden/>
          </w:rPr>
          <w:fldChar w:fldCharType="separate"/>
        </w:r>
        <w:r>
          <w:rPr>
            <w:noProof/>
            <w:webHidden/>
          </w:rPr>
          <w:t>100</w:t>
        </w:r>
        <w:r>
          <w:rPr>
            <w:noProof/>
            <w:webHidden/>
          </w:rPr>
          <w:fldChar w:fldCharType="end"/>
        </w:r>
      </w:hyperlink>
    </w:p>
    <w:p w14:paraId="4C38FB3A" w14:textId="4D45EE73" w:rsidR="00CB7456" w:rsidRDefault="00CB7456">
      <w:pPr>
        <w:pStyle w:val="TOC4"/>
        <w:tabs>
          <w:tab w:val="right" w:leader="dot" w:pos="8188"/>
        </w:tabs>
        <w:rPr>
          <w:noProof/>
          <w:lang w:eastAsia="en-GB"/>
        </w:rPr>
      </w:pPr>
      <w:hyperlink w:anchor="_Toc7187525" w:history="1">
        <w:r w:rsidRPr="00326D76">
          <w:rPr>
            <w:rStyle w:val="Hyperlink"/>
            <w:noProof/>
          </w:rPr>
          <w:t>5.1.1.2 Shell and Tube Heat Exchanger</w:t>
        </w:r>
        <w:r>
          <w:rPr>
            <w:noProof/>
            <w:webHidden/>
          </w:rPr>
          <w:tab/>
        </w:r>
        <w:r>
          <w:rPr>
            <w:noProof/>
            <w:webHidden/>
          </w:rPr>
          <w:fldChar w:fldCharType="begin"/>
        </w:r>
        <w:r>
          <w:rPr>
            <w:noProof/>
            <w:webHidden/>
          </w:rPr>
          <w:instrText xml:space="preserve"> PAGEREF _Toc7187525 \h </w:instrText>
        </w:r>
        <w:r>
          <w:rPr>
            <w:noProof/>
            <w:webHidden/>
          </w:rPr>
        </w:r>
        <w:r>
          <w:rPr>
            <w:noProof/>
            <w:webHidden/>
          </w:rPr>
          <w:fldChar w:fldCharType="separate"/>
        </w:r>
        <w:r>
          <w:rPr>
            <w:noProof/>
            <w:webHidden/>
          </w:rPr>
          <w:t>102</w:t>
        </w:r>
        <w:r>
          <w:rPr>
            <w:noProof/>
            <w:webHidden/>
          </w:rPr>
          <w:fldChar w:fldCharType="end"/>
        </w:r>
      </w:hyperlink>
    </w:p>
    <w:p w14:paraId="410ACCB7" w14:textId="05034F1A" w:rsidR="00CB7456" w:rsidRDefault="00CB7456">
      <w:pPr>
        <w:pStyle w:val="TOC4"/>
        <w:tabs>
          <w:tab w:val="right" w:leader="dot" w:pos="8188"/>
        </w:tabs>
        <w:rPr>
          <w:noProof/>
          <w:lang w:eastAsia="en-GB"/>
        </w:rPr>
      </w:pPr>
      <w:hyperlink w:anchor="_Toc7187526" w:history="1">
        <w:r w:rsidRPr="00326D76">
          <w:rPr>
            <w:rStyle w:val="Hyperlink"/>
            <w:noProof/>
          </w:rPr>
          <w:t>5.1.1.3 Finned Tube Heat Exchanger</w:t>
        </w:r>
        <w:r>
          <w:rPr>
            <w:noProof/>
            <w:webHidden/>
          </w:rPr>
          <w:tab/>
        </w:r>
        <w:r>
          <w:rPr>
            <w:noProof/>
            <w:webHidden/>
          </w:rPr>
          <w:fldChar w:fldCharType="begin"/>
        </w:r>
        <w:r>
          <w:rPr>
            <w:noProof/>
            <w:webHidden/>
          </w:rPr>
          <w:instrText xml:space="preserve"> PAGEREF _Toc7187526 \h </w:instrText>
        </w:r>
        <w:r>
          <w:rPr>
            <w:noProof/>
            <w:webHidden/>
          </w:rPr>
        </w:r>
        <w:r>
          <w:rPr>
            <w:noProof/>
            <w:webHidden/>
          </w:rPr>
          <w:fldChar w:fldCharType="separate"/>
        </w:r>
        <w:r>
          <w:rPr>
            <w:noProof/>
            <w:webHidden/>
          </w:rPr>
          <w:t>102</w:t>
        </w:r>
        <w:r>
          <w:rPr>
            <w:noProof/>
            <w:webHidden/>
          </w:rPr>
          <w:fldChar w:fldCharType="end"/>
        </w:r>
      </w:hyperlink>
    </w:p>
    <w:p w14:paraId="565C70DB" w14:textId="674FBD25" w:rsidR="00CB7456" w:rsidRDefault="00CB7456">
      <w:pPr>
        <w:pStyle w:val="TOC4"/>
        <w:tabs>
          <w:tab w:val="right" w:leader="dot" w:pos="8188"/>
        </w:tabs>
        <w:rPr>
          <w:noProof/>
          <w:lang w:eastAsia="en-GB"/>
        </w:rPr>
      </w:pPr>
      <w:hyperlink w:anchor="_Toc7187527" w:history="1">
        <w:r w:rsidRPr="00326D76">
          <w:rPr>
            <w:rStyle w:val="Hyperlink"/>
            <w:noProof/>
          </w:rPr>
          <w:t>5.1.1.4 Plate Heat Exchanger</w:t>
        </w:r>
        <w:r>
          <w:rPr>
            <w:noProof/>
            <w:webHidden/>
          </w:rPr>
          <w:tab/>
        </w:r>
        <w:r>
          <w:rPr>
            <w:noProof/>
            <w:webHidden/>
          </w:rPr>
          <w:fldChar w:fldCharType="begin"/>
        </w:r>
        <w:r>
          <w:rPr>
            <w:noProof/>
            <w:webHidden/>
          </w:rPr>
          <w:instrText xml:space="preserve"> PAGEREF _Toc7187527 \h </w:instrText>
        </w:r>
        <w:r>
          <w:rPr>
            <w:noProof/>
            <w:webHidden/>
          </w:rPr>
        </w:r>
        <w:r>
          <w:rPr>
            <w:noProof/>
            <w:webHidden/>
          </w:rPr>
          <w:fldChar w:fldCharType="separate"/>
        </w:r>
        <w:r>
          <w:rPr>
            <w:noProof/>
            <w:webHidden/>
          </w:rPr>
          <w:t>102</w:t>
        </w:r>
        <w:r>
          <w:rPr>
            <w:noProof/>
            <w:webHidden/>
          </w:rPr>
          <w:fldChar w:fldCharType="end"/>
        </w:r>
      </w:hyperlink>
    </w:p>
    <w:p w14:paraId="33625C5F" w14:textId="72066294" w:rsidR="00CB7456" w:rsidRDefault="00CB7456">
      <w:pPr>
        <w:pStyle w:val="TOC4"/>
        <w:tabs>
          <w:tab w:val="right" w:leader="dot" w:pos="8188"/>
        </w:tabs>
        <w:rPr>
          <w:noProof/>
          <w:lang w:eastAsia="en-GB"/>
        </w:rPr>
      </w:pPr>
      <w:hyperlink w:anchor="_Toc7187528" w:history="1">
        <w:r w:rsidRPr="00326D76">
          <w:rPr>
            <w:rStyle w:val="Hyperlink"/>
            <w:noProof/>
          </w:rPr>
          <w:t>5.1.1.5 Fired Heater</w:t>
        </w:r>
        <w:r>
          <w:rPr>
            <w:noProof/>
            <w:webHidden/>
          </w:rPr>
          <w:tab/>
        </w:r>
        <w:r>
          <w:rPr>
            <w:noProof/>
            <w:webHidden/>
          </w:rPr>
          <w:fldChar w:fldCharType="begin"/>
        </w:r>
        <w:r>
          <w:rPr>
            <w:noProof/>
            <w:webHidden/>
          </w:rPr>
          <w:instrText xml:space="preserve"> PAGEREF _Toc7187528 \h </w:instrText>
        </w:r>
        <w:r>
          <w:rPr>
            <w:noProof/>
            <w:webHidden/>
          </w:rPr>
        </w:r>
        <w:r>
          <w:rPr>
            <w:noProof/>
            <w:webHidden/>
          </w:rPr>
          <w:fldChar w:fldCharType="separate"/>
        </w:r>
        <w:r>
          <w:rPr>
            <w:noProof/>
            <w:webHidden/>
          </w:rPr>
          <w:t>103</w:t>
        </w:r>
        <w:r>
          <w:rPr>
            <w:noProof/>
            <w:webHidden/>
          </w:rPr>
          <w:fldChar w:fldCharType="end"/>
        </w:r>
      </w:hyperlink>
    </w:p>
    <w:p w14:paraId="5F7E880B" w14:textId="789A6455" w:rsidR="00CB7456" w:rsidRDefault="00CB7456">
      <w:pPr>
        <w:pStyle w:val="TOC4"/>
        <w:tabs>
          <w:tab w:val="right" w:leader="dot" w:pos="8188"/>
        </w:tabs>
        <w:rPr>
          <w:noProof/>
          <w:lang w:eastAsia="en-GB"/>
        </w:rPr>
      </w:pPr>
      <w:hyperlink w:anchor="_Toc7187529" w:history="1">
        <w:r w:rsidRPr="00326D76">
          <w:rPr>
            <w:rStyle w:val="Hyperlink"/>
            <w:noProof/>
          </w:rPr>
          <w:t>5.1.1.6 Organic Rankine Cycle</w:t>
        </w:r>
        <w:r>
          <w:rPr>
            <w:noProof/>
            <w:webHidden/>
          </w:rPr>
          <w:tab/>
        </w:r>
        <w:r>
          <w:rPr>
            <w:noProof/>
            <w:webHidden/>
          </w:rPr>
          <w:fldChar w:fldCharType="begin"/>
        </w:r>
        <w:r>
          <w:rPr>
            <w:noProof/>
            <w:webHidden/>
          </w:rPr>
          <w:instrText xml:space="preserve"> PAGEREF _Toc7187529 \h </w:instrText>
        </w:r>
        <w:r>
          <w:rPr>
            <w:noProof/>
            <w:webHidden/>
          </w:rPr>
        </w:r>
        <w:r>
          <w:rPr>
            <w:noProof/>
            <w:webHidden/>
          </w:rPr>
          <w:fldChar w:fldCharType="separate"/>
        </w:r>
        <w:r>
          <w:rPr>
            <w:noProof/>
            <w:webHidden/>
          </w:rPr>
          <w:t>104</w:t>
        </w:r>
        <w:r>
          <w:rPr>
            <w:noProof/>
            <w:webHidden/>
          </w:rPr>
          <w:fldChar w:fldCharType="end"/>
        </w:r>
      </w:hyperlink>
    </w:p>
    <w:p w14:paraId="1435FE8B" w14:textId="696C61EA" w:rsidR="00CB7456" w:rsidRDefault="00CB7456">
      <w:pPr>
        <w:pStyle w:val="TOC4"/>
        <w:tabs>
          <w:tab w:val="right" w:leader="dot" w:pos="8188"/>
        </w:tabs>
        <w:rPr>
          <w:noProof/>
          <w:lang w:eastAsia="en-GB"/>
        </w:rPr>
      </w:pPr>
      <w:hyperlink w:anchor="_Toc7187530" w:history="1">
        <w:r w:rsidRPr="00326D76">
          <w:rPr>
            <w:rStyle w:val="Hyperlink"/>
            <w:noProof/>
          </w:rPr>
          <w:t>5.1.1.7 Boiler</w:t>
        </w:r>
        <w:r>
          <w:rPr>
            <w:noProof/>
            <w:webHidden/>
          </w:rPr>
          <w:tab/>
        </w:r>
        <w:r>
          <w:rPr>
            <w:noProof/>
            <w:webHidden/>
          </w:rPr>
          <w:fldChar w:fldCharType="begin"/>
        </w:r>
        <w:r>
          <w:rPr>
            <w:noProof/>
            <w:webHidden/>
          </w:rPr>
          <w:instrText xml:space="preserve"> PAGEREF _Toc7187530 \h </w:instrText>
        </w:r>
        <w:r>
          <w:rPr>
            <w:noProof/>
            <w:webHidden/>
          </w:rPr>
        </w:r>
        <w:r>
          <w:rPr>
            <w:noProof/>
            <w:webHidden/>
          </w:rPr>
          <w:fldChar w:fldCharType="separate"/>
        </w:r>
        <w:r>
          <w:rPr>
            <w:noProof/>
            <w:webHidden/>
          </w:rPr>
          <w:t>105</w:t>
        </w:r>
        <w:r>
          <w:rPr>
            <w:noProof/>
            <w:webHidden/>
          </w:rPr>
          <w:fldChar w:fldCharType="end"/>
        </w:r>
      </w:hyperlink>
    </w:p>
    <w:p w14:paraId="7672C73A" w14:textId="5052E14D" w:rsidR="00CB7456" w:rsidRDefault="00CB7456">
      <w:pPr>
        <w:pStyle w:val="TOC4"/>
        <w:tabs>
          <w:tab w:val="right" w:leader="dot" w:pos="8188"/>
        </w:tabs>
        <w:rPr>
          <w:noProof/>
          <w:lang w:eastAsia="en-GB"/>
        </w:rPr>
      </w:pPr>
      <w:hyperlink w:anchor="_Toc7187531" w:history="1">
        <w:r w:rsidRPr="00326D76">
          <w:rPr>
            <w:rStyle w:val="Hyperlink"/>
            <w:noProof/>
          </w:rPr>
          <w:t>5.1.1.8 Condenser</w:t>
        </w:r>
        <w:r>
          <w:rPr>
            <w:noProof/>
            <w:webHidden/>
          </w:rPr>
          <w:tab/>
        </w:r>
        <w:r>
          <w:rPr>
            <w:noProof/>
            <w:webHidden/>
          </w:rPr>
          <w:fldChar w:fldCharType="begin"/>
        </w:r>
        <w:r>
          <w:rPr>
            <w:noProof/>
            <w:webHidden/>
          </w:rPr>
          <w:instrText xml:space="preserve"> PAGEREF _Toc7187531 \h </w:instrText>
        </w:r>
        <w:r>
          <w:rPr>
            <w:noProof/>
            <w:webHidden/>
          </w:rPr>
        </w:r>
        <w:r>
          <w:rPr>
            <w:noProof/>
            <w:webHidden/>
          </w:rPr>
          <w:fldChar w:fldCharType="separate"/>
        </w:r>
        <w:r>
          <w:rPr>
            <w:noProof/>
            <w:webHidden/>
          </w:rPr>
          <w:t>105</w:t>
        </w:r>
        <w:r>
          <w:rPr>
            <w:noProof/>
            <w:webHidden/>
          </w:rPr>
          <w:fldChar w:fldCharType="end"/>
        </w:r>
      </w:hyperlink>
    </w:p>
    <w:p w14:paraId="2C51E6C5" w14:textId="6D9BA956" w:rsidR="00CB7456" w:rsidRDefault="00CB7456">
      <w:pPr>
        <w:pStyle w:val="TOC4"/>
        <w:tabs>
          <w:tab w:val="right" w:leader="dot" w:pos="8188"/>
        </w:tabs>
        <w:rPr>
          <w:noProof/>
          <w:lang w:eastAsia="en-GB"/>
        </w:rPr>
      </w:pPr>
      <w:hyperlink w:anchor="_Toc7187532" w:history="1">
        <w:r w:rsidRPr="00326D76">
          <w:rPr>
            <w:rStyle w:val="Hyperlink"/>
            <w:noProof/>
          </w:rPr>
          <w:t>5.1.1.9 Pump</w:t>
        </w:r>
        <w:r>
          <w:rPr>
            <w:noProof/>
            <w:webHidden/>
          </w:rPr>
          <w:tab/>
        </w:r>
        <w:r>
          <w:rPr>
            <w:noProof/>
            <w:webHidden/>
          </w:rPr>
          <w:fldChar w:fldCharType="begin"/>
        </w:r>
        <w:r>
          <w:rPr>
            <w:noProof/>
            <w:webHidden/>
          </w:rPr>
          <w:instrText xml:space="preserve"> PAGEREF _Toc7187532 \h </w:instrText>
        </w:r>
        <w:r>
          <w:rPr>
            <w:noProof/>
            <w:webHidden/>
          </w:rPr>
        </w:r>
        <w:r>
          <w:rPr>
            <w:noProof/>
            <w:webHidden/>
          </w:rPr>
          <w:fldChar w:fldCharType="separate"/>
        </w:r>
        <w:r>
          <w:rPr>
            <w:noProof/>
            <w:webHidden/>
          </w:rPr>
          <w:t>106</w:t>
        </w:r>
        <w:r>
          <w:rPr>
            <w:noProof/>
            <w:webHidden/>
          </w:rPr>
          <w:fldChar w:fldCharType="end"/>
        </w:r>
      </w:hyperlink>
    </w:p>
    <w:p w14:paraId="5D0EE037" w14:textId="56DF88A1" w:rsidR="00CB7456" w:rsidRDefault="00CB7456">
      <w:pPr>
        <w:pStyle w:val="TOC4"/>
        <w:tabs>
          <w:tab w:val="right" w:leader="dot" w:pos="8188"/>
        </w:tabs>
        <w:rPr>
          <w:noProof/>
          <w:lang w:eastAsia="en-GB"/>
        </w:rPr>
      </w:pPr>
      <w:hyperlink w:anchor="_Toc7187533" w:history="1">
        <w:r w:rsidRPr="00326D76">
          <w:rPr>
            <w:rStyle w:val="Hyperlink"/>
            <w:noProof/>
          </w:rPr>
          <w:t>5.1.1.10 Turbine</w:t>
        </w:r>
        <w:r>
          <w:rPr>
            <w:noProof/>
            <w:webHidden/>
          </w:rPr>
          <w:tab/>
        </w:r>
        <w:r>
          <w:rPr>
            <w:noProof/>
            <w:webHidden/>
          </w:rPr>
          <w:fldChar w:fldCharType="begin"/>
        </w:r>
        <w:r>
          <w:rPr>
            <w:noProof/>
            <w:webHidden/>
          </w:rPr>
          <w:instrText xml:space="preserve"> PAGEREF _Toc7187533 \h </w:instrText>
        </w:r>
        <w:r>
          <w:rPr>
            <w:noProof/>
            <w:webHidden/>
          </w:rPr>
        </w:r>
        <w:r>
          <w:rPr>
            <w:noProof/>
            <w:webHidden/>
          </w:rPr>
          <w:fldChar w:fldCharType="separate"/>
        </w:r>
        <w:r>
          <w:rPr>
            <w:noProof/>
            <w:webHidden/>
          </w:rPr>
          <w:t>107</w:t>
        </w:r>
        <w:r>
          <w:rPr>
            <w:noProof/>
            <w:webHidden/>
          </w:rPr>
          <w:fldChar w:fldCharType="end"/>
        </w:r>
      </w:hyperlink>
    </w:p>
    <w:p w14:paraId="1EBC9738" w14:textId="7A8FAF88" w:rsidR="00CB7456" w:rsidRDefault="00CB7456">
      <w:pPr>
        <w:pStyle w:val="TOC4"/>
        <w:tabs>
          <w:tab w:val="right" w:leader="dot" w:pos="8188"/>
        </w:tabs>
        <w:rPr>
          <w:noProof/>
          <w:lang w:eastAsia="en-GB"/>
        </w:rPr>
      </w:pPr>
      <w:hyperlink w:anchor="_Toc7187534" w:history="1">
        <w:r w:rsidRPr="00326D76">
          <w:rPr>
            <w:rStyle w:val="Hyperlink"/>
            <w:noProof/>
          </w:rPr>
          <w:t>5.1.1.11 Rankine Cycle and Corresponding Components</w:t>
        </w:r>
        <w:r>
          <w:rPr>
            <w:noProof/>
            <w:webHidden/>
          </w:rPr>
          <w:tab/>
        </w:r>
        <w:r>
          <w:rPr>
            <w:noProof/>
            <w:webHidden/>
          </w:rPr>
          <w:fldChar w:fldCharType="begin"/>
        </w:r>
        <w:r>
          <w:rPr>
            <w:noProof/>
            <w:webHidden/>
          </w:rPr>
          <w:instrText xml:space="preserve"> PAGEREF _Toc7187534 \h </w:instrText>
        </w:r>
        <w:r>
          <w:rPr>
            <w:noProof/>
            <w:webHidden/>
          </w:rPr>
        </w:r>
        <w:r>
          <w:rPr>
            <w:noProof/>
            <w:webHidden/>
          </w:rPr>
          <w:fldChar w:fldCharType="separate"/>
        </w:r>
        <w:r>
          <w:rPr>
            <w:noProof/>
            <w:webHidden/>
          </w:rPr>
          <w:t>108</w:t>
        </w:r>
        <w:r>
          <w:rPr>
            <w:noProof/>
            <w:webHidden/>
          </w:rPr>
          <w:fldChar w:fldCharType="end"/>
        </w:r>
      </w:hyperlink>
    </w:p>
    <w:p w14:paraId="4401EEC6" w14:textId="47B9CDAC" w:rsidR="00CB7456" w:rsidRDefault="00CB7456">
      <w:pPr>
        <w:pStyle w:val="TOC3"/>
        <w:tabs>
          <w:tab w:val="right" w:leader="dot" w:pos="8188"/>
        </w:tabs>
        <w:rPr>
          <w:noProof/>
          <w:lang w:eastAsia="en-GB"/>
        </w:rPr>
      </w:pPr>
      <w:hyperlink w:anchor="_Toc7187535" w:history="1">
        <w:r w:rsidRPr="00326D76">
          <w:rPr>
            <w:rStyle w:val="Hyperlink"/>
            <w:noProof/>
          </w:rPr>
          <w:t>5.1.2 Costs</w:t>
        </w:r>
        <w:r>
          <w:rPr>
            <w:noProof/>
            <w:webHidden/>
          </w:rPr>
          <w:tab/>
        </w:r>
        <w:r>
          <w:rPr>
            <w:noProof/>
            <w:webHidden/>
          </w:rPr>
          <w:fldChar w:fldCharType="begin"/>
        </w:r>
        <w:r>
          <w:rPr>
            <w:noProof/>
            <w:webHidden/>
          </w:rPr>
          <w:instrText xml:space="preserve"> PAGEREF _Toc7187535 \h </w:instrText>
        </w:r>
        <w:r>
          <w:rPr>
            <w:noProof/>
            <w:webHidden/>
          </w:rPr>
        </w:r>
        <w:r>
          <w:rPr>
            <w:noProof/>
            <w:webHidden/>
          </w:rPr>
          <w:fldChar w:fldCharType="separate"/>
        </w:r>
        <w:r>
          <w:rPr>
            <w:noProof/>
            <w:webHidden/>
          </w:rPr>
          <w:t>108</w:t>
        </w:r>
        <w:r>
          <w:rPr>
            <w:noProof/>
            <w:webHidden/>
          </w:rPr>
          <w:fldChar w:fldCharType="end"/>
        </w:r>
      </w:hyperlink>
    </w:p>
    <w:p w14:paraId="1931FAF2" w14:textId="4094FAD5" w:rsidR="00CB7456" w:rsidRDefault="00CB7456">
      <w:pPr>
        <w:pStyle w:val="TOC3"/>
        <w:tabs>
          <w:tab w:val="right" w:leader="dot" w:pos="8188"/>
        </w:tabs>
        <w:rPr>
          <w:noProof/>
          <w:lang w:eastAsia="en-GB"/>
        </w:rPr>
      </w:pPr>
      <w:hyperlink w:anchor="_Toc7187536" w:history="1">
        <w:r w:rsidRPr="00326D76">
          <w:rPr>
            <w:rStyle w:val="Hyperlink"/>
            <w:noProof/>
          </w:rPr>
          <w:t>5.1.3 Keeping the Model Simple in Structure</w:t>
        </w:r>
        <w:r>
          <w:rPr>
            <w:noProof/>
            <w:webHidden/>
          </w:rPr>
          <w:tab/>
        </w:r>
        <w:r>
          <w:rPr>
            <w:noProof/>
            <w:webHidden/>
          </w:rPr>
          <w:fldChar w:fldCharType="begin"/>
        </w:r>
        <w:r>
          <w:rPr>
            <w:noProof/>
            <w:webHidden/>
          </w:rPr>
          <w:instrText xml:space="preserve"> PAGEREF _Toc7187536 \h </w:instrText>
        </w:r>
        <w:r>
          <w:rPr>
            <w:noProof/>
            <w:webHidden/>
          </w:rPr>
        </w:r>
        <w:r>
          <w:rPr>
            <w:noProof/>
            <w:webHidden/>
          </w:rPr>
          <w:fldChar w:fldCharType="separate"/>
        </w:r>
        <w:r>
          <w:rPr>
            <w:noProof/>
            <w:webHidden/>
          </w:rPr>
          <w:t>109</w:t>
        </w:r>
        <w:r>
          <w:rPr>
            <w:noProof/>
            <w:webHidden/>
          </w:rPr>
          <w:fldChar w:fldCharType="end"/>
        </w:r>
      </w:hyperlink>
    </w:p>
    <w:p w14:paraId="2D74E7AA" w14:textId="35491353" w:rsidR="00CB7456" w:rsidRDefault="00CB7456">
      <w:pPr>
        <w:pStyle w:val="TOC2"/>
        <w:tabs>
          <w:tab w:val="right" w:leader="dot" w:pos="8188"/>
        </w:tabs>
        <w:rPr>
          <w:noProof/>
          <w:lang w:eastAsia="en-GB"/>
        </w:rPr>
      </w:pPr>
      <w:hyperlink w:anchor="_Toc7187537" w:history="1">
        <w:r w:rsidRPr="00326D76">
          <w:rPr>
            <w:rStyle w:val="Hyperlink"/>
            <w:noProof/>
          </w:rPr>
          <w:t>5.2 Results</w:t>
        </w:r>
        <w:r>
          <w:rPr>
            <w:noProof/>
            <w:webHidden/>
          </w:rPr>
          <w:tab/>
        </w:r>
        <w:r>
          <w:rPr>
            <w:noProof/>
            <w:webHidden/>
          </w:rPr>
          <w:fldChar w:fldCharType="begin"/>
        </w:r>
        <w:r>
          <w:rPr>
            <w:noProof/>
            <w:webHidden/>
          </w:rPr>
          <w:instrText xml:space="preserve"> PAGEREF _Toc7187537 \h </w:instrText>
        </w:r>
        <w:r>
          <w:rPr>
            <w:noProof/>
            <w:webHidden/>
          </w:rPr>
        </w:r>
        <w:r>
          <w:rPr>
            <w:noProof/>
            <w:webHidden/>
          </w:rPr>
          <w:fldChar w:fldCharType="separate"/>
        </w:r>
        <w:r>
          <w:rPr>
            <w:noProof/>
            <w:webHidden/>
          </w:rPr>
          <w:t>111</w:t>
        </w:r>
        <w:r>
          <w:rPr>
            <w:noProof/>
            <w:webHidden/>
          </w:rPr>
          <w:fldChar w:fldCharType="end"/>
        </w:r>
      </w:hyperlink>
    </w:p>
    <w:p w14:paraId="78E81EC0" w14:textId="292F8F88" w:rsidR="00CB7456" w:rsidRDefault="00CB7456">
      <w:pPr>
        <w:pStyle w:val="TOC3"/>
        <w:tabs>
          <w:tab w:val="right" w:leader="dot" w:pos="8188"/>
        </w:tabs>
        <w:rPr>
          <w:noProof/>
          <w:lang w:eastAsia="en-GB"/>
        </w:rPr>
      </w:pPr>
      <w:hyperlink w:anchor="_Toc7187538" w:history="1">
        <w:r w:rsidRPr="00326D76">
          <w:rPr>
            <w:rStyle w:val="Hyperlink"/>
            <w:noProof/>
          </w:rPr>
          <w:t>5.2.1 Case Study Results</w:t>
        </w:r>
        <w:r>
          <w:rPr>
            <w:noProof/>
            <w:webHidden/>
          </w:rPr>
          <w:tab/>
        </w:r>
        <w:r>
          <w:rPr>
            <w:noProof/>
            <w:webHidden/>
          </w:rPr>
          <w:fldChar w:fldCharType="begin"/>
        </w:r>
        <w:r>
          <w:rPr>
            <w:noProof/>
            <w:webHidden/>
          </w:rPr>
          <w:instrText xml:space="preserve"> PAGEREF _Toc7187538 \h </w:instrText>
        </w:r>
        <w:r>
          <w:rPr>
            <w:noProof/>
            <w:webHidden/>
          </w:rPr>
        </w:r>
        <w:r>
          <w:rPr>
            <w:noProof/>
            <w:webHidden/>
          </w:rPr>
          <w:fldChar w:fldCharType="separate"/>
        </w:r>
        <w:r>
          <w:rPr>
            <w:noProof/>
            <w:webHidden/>
          </w:rPr>
          <w:t>111</w:t>
        </w:r>
        <w:r>
          <w:rPr>
            <w:noProof/>
            <w:webHidden/>
          </w:rPr>
          <w:fldChar w:fldCharType="end"/>
        </w:r>
      </w:hyperlink>
    </w:p>
    <w:p w14:paraId="7BF09C37" w14:textId="5C62B8AA" w:rsidR="00CB7456" w:rsidRDefault="00CB7456">
      <w:pPr>
        <w:pStyle w:val="TOC3"/>
        <w:tabs>
          <w:tab w:val="right" w:leader="dot" w:pos="8188"/>
        </w:tabs>
        <w:rPr>
          <w:noProof/>
          <w:lang w:eastAsia="en-GB"/>
        </w:rPr>
      </w:pPr>
      <w:hyperlink w:anchor="_Toc7187539" w:history="1">
        <w:r w:rsidRPr="00326D76">
          <w:rPr>
            <w:rStyle w:val="Hyperlink"/>
            <w:noProof/>
          </w:rPr>
          <w:t>5.2.2 Waste Heat Recovery Model Validation</w:t>
        </w:r>
        <w:r>
          <w:rPr>
            <w:noProof/>
            <w:webHidden/>
          </w:rPr>
          <w:tab/>
        </w:r>
        <w:r>
          <w:rPr>
            <w:noProof/>
            <w:webHidden/>
          </w:rPr>
          <w:fldChar w:fldCharType="begin"/>
        </w:r>
        <w:r>
          <w:rPr>
            <w:noProof/>
            <w:webHidden/>
          </w:rPr>
          <w:instrText xml:space="preserve"> PAGEREF _Toc7187539 \h </w:instrText>
        </w:r>
        <w:r>
          <w:rPr>
            <w:noProof/>
            <w:webHidden/>
          </w:rPr>
        </w:r>
        <w:r>
          <w:rPr>
            <w:noProof/>
            <w:webHidden/>
          </w:rPr>
          <w:fldChar w:fldCharType="separate"/>
        </w:r>
        <w:r>
          <w:rPr>
            <w:noProof/>
            <w:webHidden/>
          </w:rPr>
          <w:t>114</w:t>
        </w:r>
        <w:r>
          <w:rPr>
            <w:noProof/>
            <w:webHidden/>
          </w:rPr>
          <w:fldChar w:fldCharType="end"/>
        </w:r>
      </w:hyperlink>
    </w:p>
    <w:p w14:paraId="58A5DC8B" w14:textId="0E5E7AD6" w:rsidR="00CB7456" w:rsidRDefault="00CB7456">
      <w:pPr>
        <w:pStyle w:val="TOC2"/>
        <w:tabs>
          <w:tab w:val="right" w:leader="dot" w:pos="8188"/>
        </w:tabs>
        <w:rPr>
          <w:noProof/>
          <w:lang w:eastAsia="en-GB"/>
        </w:rPr>
      </w:pPr>
      <w:hyperlink w:anchor="_Toc7187540" w:history="1">
        <w:r w:rsidRPr="00326D76">
          <w:rPr>
            <w:rStyle w:val="Hyperlink"/>
            <w:noProof/>
          </w:rPr>
          <w:t>5.3 Conclusion</w:t>
        </w:r>
        <w:r>
          <w:rPr>
            <w:noProof/>
            <w:webHidden/>
          </w:rPr>
          <w:tab/>
        </w:r>
        <w:r>
          <w:rPr>
            <w:noProof/>
            <w:webHidden/>
          </w:rPr>
          <w:fldChar w:fldCharType="begin"/>
        </w:r>
        <w:r>
          <w:rPr>
            <w:noProof/>
            <w:webHidden/>
          </w:rPr>
          <w:instrText xml:space="preserve"> PAGEREF _Toc7187540 \h </w:instrText>
        </w:r>
        <w:r>
          <w:rPr>
            <w:noProof/>
            <w:webHidden/>
          </w:rPr>
        </w:r>
        <w:r>
          <w:rPr>
            <w:noProof/>
            <w:webHidden/>
          </w:rPr>
          <w:fldChar w:fldCharType="separate"/>
        </w:r>
        <w:r>
          <w:rPr>
            <w:noProof/>
            <w:webHidden/>
          </w:rPr>
          <w:t>117</w:t>
        </w:r>
        <w:r>
          <w:rPr>
            <w:noProof/>
            <w:webHidden/>
          </w:rPr>
          <w:fldChar w:fldCharType="end"/>
        </w:r>
      </w:hyperlink>
    </w:p>
    <w:p w14:paraId="6E0AB65B" w14:textId="5C14E31A" w:rsidR="00CB7456" w:rsidRDefault="00CB7456">
      <w:pPr>
        <w:pStyle w:val="TOC1"/>
        <w:tabs>
          <w:tab w:val="right" w:leader="dot" w:pos="8188"/>
        </w:tabs>
        <w:rPr>
          <w:noProof/>
          <w:lang w:eastAsia="en-GB"/>
        </w:rPr>
      </w:pPr>
      <w:hyperlink w:anchor="_Toc7187541" w:history="1">
        <w:r w:rsidRPr="00326D76">
          <w:rPr>
            <w:rStyle w:val="Hyperlink"/>
            <w:noProof/>
          </w:rPr>
          <w:t>6 Heat Demand Modelling</w:t>
        </w:r>
        <w:r>
          <w:rPr>
            <w:noProof/>
            <w:webHidden/>
          </w:rPr>
          <w:tab/>
        </w:r>
        <w:r>
          <w:rPr>
            <w:noProof/>
            <w:webHidden/>
          </w:rPr>
          <w:fldChar w:fldCharType="begin"/>
        </w:r>
        <w:r>
          <w:rPr>
            <w:noProof/>
            <w:webHidden/>
          </w:rPr>
          <w:instrText xml:space="preserve"> PAGEREF _Toc7187541 \h </w:instrText>
        </w:r>
        <w:r>
          <w:rPr>
            <w:noProof/>
            <w:webHidden/>
          </w:rPr>
        </w:r>
        <w:r>
          <w:rPr>
            <w:noProof/>
            <w:webHidden/>
          </w:rPr>
          <w:fldChar w:fldCharType="separate"/>
        </w:r>
        <w:r>
          <w:rPr>
            <w:noProof/>
            <w:webHidden/>
          </w:rPr>
          <w:t>118</w:t>
        </w:r>
        <w:r>
          <w:rPr>
            <w:noProof/>
            <w:webHidden/>
          </w:rPr>
          <w:fldChar w:fldCharType="end"/>
        </w:r>
      </w:hyperlink>
    </w:p>
    <w:p w14:paraId="2C02B68C" w14:textId="1B118AE0" w:rsidR="00CB7456" w:rsidRDefault="00CB7456">
      <w:pPr>
        <w:pStyle w:val="TOC2"/>
        <w:tabs>
          <w:tab w:val="right" w:leader="dot" w:pos="8188"/>
        </w:tabs>
        <w:rPr>
          <w:noProof/>
          <w:lang w:eastAsia="en-GB"/>
        </w:rPr>
      </w:pPr>
      <w:hyperlink w:anchor="_Toc7187542" w:history="1">
        <w:r w:rsidRPr="00326D76">
          <w:rPr>
            <w:rStyle w:val="Hyperlink"/>
            <w:noProof/>
          </w:rPr>
          <w:t>6.1 Methodology</w:t>
        </w:r>
        <w:r>
          <w:rPr>
            <w:noProof/>
            <w:webHidden/>
          </w:rPr>
          <w:tab/>
        </w:r>
        <w:r>
          <w:rPr>
            <w:noProof/>
            <w:webHidden/>
          </w:rPr>
          <w:fldChar w:fldCharType="begin"/>
        </w:r>
        <w:r>
          <w:rPr>
            <w:noProof/>
            <w:webHidden/>
          </w:rPr>
          <w:instrText xml:space="preserve"> PAGEREF _Toc7187542 \h </w:instrText>
        </w:r>
        <w:r>
          <w:rPr>
            <w:noProof/>
            <w:webHidden/>
          </w:rPr>
        </w:r>
        <w:r>
          <w:rPr>
            <w:noProof/>
            <w:webHidden/>
          </w:rPr>
          <w:fldChar w:fldCharType="separate"/>
        </w:r>
        <w:r>
          <w:rPr>
            <w:noProof/>
            <w:webHidden/>
          </w:rPr>
          <w:t>118</w:t>
        </w:r>
        <w:r>
          <w:rPr>
            <w:noProof/>
            <w:webHidden/>
          </w:rPr>
          <w:fldChar w:fldCharType="end"/>
        </w:r>
      </w:hyperlink>
    </w:p>
    <w:p w14:paraId="7F21EB80" w14:textId="5B9B526B" w:rsidR="00CB7456" w:rsidRDefault="00CB7456">
      <w:pPr>
        <w:pStyle w:val="TOC2"/>
        <w:tabs>
          <w:tab w:val="right" w:leader="dot" w:pos="8188"/>
        </w:tabs>
        <w:rPr>
          <w:noProof/>
          <w:lang w:eastAsia="en-GB"/>
        </w:rPr>
      </w:pPr>
      <w:hyperlink w:anchor="_Toc7187543" w:history="1">
        <w:r w:rsidRPr="00326D76">
          <w:rPr>
            <w:rStyle w:val="Hyperlink"/>
            <w:noProof/>
          </w:rPr>
          <w:t>6.2 Case Studies</w:t>
        </w:r>
        <w:r>
          <w:rPr>
            <w:noProof/>
            <w:webHidden/>
          </w:rPr>
          <w:tab/>
        </w:r>
        <w:r>
          <w:rPr>
            <w:noProof/>
            <w:webHidden/>
          </w:rPr>
          <w:fldChar w:fldCharType="begin"/>
        </w:r>
        <w:r>
          <w:rPr>
            <w:noProof/>
            <w:webHidden/>
          </w:rPr>
          <w:instrText xml:space="preserve"> PAGEREF _Toc7187543 \h </w:instrText>
        </w:r>
        <w:r>
          <w:rPr>
            <w:noProof/>
            <w:webHidden/>
          </w:rPr>
        </w:r>
        <w:r>
          <w:rPr>
            <w:noProof/>
            <w:webHidden/>
          </w:rPr>
          <w:fldChar w:fldCharType="separate"/>
        </w:r>
        <w:r>
          <w:rPr>
            <w:noProof/>
            <w:webHidden/>
          </w:rPr>
          <w:t>122</w:t>
        </w:r>
        <w:r>
          <w:rPr>
            <w:noProof/>
            <w:webHidden/>
          </w:rPr>
          <w:fldChar w:fldCharType="end"/>
        </w:r>
      </w:hyperlink>
    </w:p>
    <w:p w14:paraId="53549B1D" w14:textId="5158AED2" w:rsidR="00CB7456" w:rsidRDefault="00CB7456">
      <w:pPr>
        <w:pStyle w:val="TOC3"/>
        <w:tabs>
          <w:tab w:val="right" w:leader="dot" w:pos="8188"/>
        </w:tabs>
        <w:rPr>
          <w:noProof/>
          <w:lang w:eastAsia="en-GB"/>
        </w:rPr>
      </w:pPr>
      <w:hyperlink w:anchor="_Toc7187544" w:history="1">
        <w:r w:rsidRPr="00326D76">
          <w:rPr>
            <w:rStyle w:val="Hyperlink"/>
            <w:noProof/>
          </w:rPr>
          <w:t>6.2.1 Case Study 1 – Darley Dale, England</w:t>
        </w:r>
        <w:r>
          <w:rPr>
            <w:noProof/>
            <w:webHidden/>
          </w:rPr>
          <w:tab/>
        </w:r>
        <w:r>
          <w:rPr>
            <w:noProof/>
            <w:webHidden/>
          </w:rPr>
          <w:fldChar w:fldCharType="begin"/>
        </w:r>
        <w:r>
          <w:rPr>
            <w:noProof/>
            <w:webHidden/>
          </w:rPr>
          <w:instrText xml:space="preserve"> PAGEREF _Toc7187544 \h </w:instrText>
        </w:r>
        <w:r>
          <w:rPr>
            <w:noProof/>
            <w:webHidden/>
          </w:rPr>
        </w:r>
        <w:r>
          <w:rPr>
            <w:noProof/>
            <w:webHidden/>
          </w:rPr>
          <w:fldChar w:fldCharType="separate"/>
        </w:r>
        <w:r>
          <w:rPr>
            <w:noProof/>
            <w:webHidden/>
          </w:rPr>
          <w:t>122</w:t>
        </w:r>
        <w:r>
          <w:rPr>
            <w:noProof/>
            <w:webHidden/>
          </w:rPr>
          <w:fldChar w:fldCharType="end"/>
        </w:r>
      </w:hyperlink>
    </w:p>
    <w:p w14:paraId="6FCF8D0F" w14:textId="0AE8F5B6" w:rsidR="00CB7456" w:rsidRDefault="00CB7456">
      <w:pPr>
        <w:pStyle w:val="TOC3"/>
        <w:tabs>
          <w:tab w:val="right" w:leader="dot" w:pos="8188"/>
        </w:tabs>
        <w:rPr>
          <w:noProof/>
          <w:lang w:eastAsia="en-GB"/>
        </w:rPr>
      </w:pPr>
      <w:hyperlink w:anchor="_Toc7187545" w:history="1">
        <w:r w:rsidRPr="00326D76">
          <w:rPr>
            <w:rStyle w:val="Hyperlink"/>
            <w:noProof/>
          </w:rPr>
          <w:t>6.2.2 Case Study 2 – Sheffield, England</w:t>
        </w:r>
        <w:r>
          <w:rPr>
            <w:noProof/>
            <w:webHidden/>
          </w:rPr>
          <w:tab/>
        </w:r>
        <w:r>
          <w:rPr>
            <w:noProof/>
            <w:webHidden/>
          </w:rPr>
          <w:fldChar w:fldCharType="begin"/>
        </w:r>
        <w:r>
          <w:rPr>
            <w:noProof/>
            <w:webHidden/>
          </w:rPr>
          <w:instrText xml:space="preserve"> PAGEREF _Toc7187545 \h </w:instrText>
        </w:r>
        <w:r>
          <w:rPr>
            <w:noProof/>
            <w:webHidden/>
          </w:rPr>
        </w:r>
        <w:r>
          <w:rPr>
            <w:noProof/>
            <w:webHidden/>
          </w:rPr>
          <w:fldChar w:fldCharType="separate"/>
        </w:r>
        <w:r>
          <w:rPr>
            <w:noProof/>
            <w:webHidden/>
          </w:rPr>
          <w:t>122</w:t>
        </w:r>
        <w:r>
          <w:rPr>
            <w:noProof/>
            <w:webHidden/>
          </w:rPr>
          <w:fldChar w:fldCharType="end"/>
        </w:r>
      </w:hyperlink>
    </w:p>
    <w:p w14:paraId="08637D60" w14:textId="519D326B" w:rsidR="00CB7456" w:rsidRDefault="00CB7456">
      <w:pPr>
        <w:pStyle w:val="TOC3"/>
        <w:tabs>
          <w:tab w:val="right" w:leader="dot" w:pos="8188"/>
        </w:tabs>
        <w:rPr>
          <w:noProof/>
          <w:lang w:eastAsia="en-GB"/>
        </w:rPr>
      </w:pPr>
      <w:hyperlink w:anchor="_Toc7187546" w:history="1">
        <w:r w:rsidRPr="00326D76">
          <w:rPr>
            <w:rStyle w:val="Hyperlink"/>
            <w:noProof/>
          </w:rPr>
          <w:t>6.2.3 Case Study 3 – Hayange, France</w:t>
        </w:r>
        <w:r>
          <w:rPr>
            <w:noProof/>
            <w:webHidden/>
          </w:rPr>
          <w:tab/>
        </w:r>
        <w:r>
          <w:rPr>
            <w:noProof/>
            <w:webHidden/>
          </w:rPr>
          <w:fldChar w:fldCharType="begin"/>
        </w:r>
        <w:r>
          <w:rPr>
            <w:noProof/>
            <w:webHidden/>
          </w:rPr>
          <w:instrText xml:space="preserve"> PAGEREF _Toc7187546 \h </w:instrText>
        </w:r>
        <w:r>
          <w:rPr>
            <w:noProof/>
            <w:webHidden/>
          </w:rPr>
        </w:r>
        <w:r>
          <w:rPr>
            <w:noProof/>
            <w:webHidden/>
          </w:rPr>
          <w:fldChar w:fldCharType="separate"/>
        </w:r>
        <w:r>
          <w:rPr>
            <w:noProof/>
            <w:webHidden/>
          </w:rPr>
          <w:t>123</w:t>
        </w:r>
        <w:r>
          <w:rPr>
            <w:noProof/>
            <w:webHidden/>
          </w:rPr>
          <w:fldChar w:fldCharType="end"/>
        </w:r>
      </w:hyperlink>
    </w:p>
    <w:p w14:paraId="6BCD8857" w14:textId="544A9941" w:rsidR="00CB7456" w:rsidRDefault="00CB7456">
      <w:pPr>
        <w:pStyle w:val="TOC2"/>
        <w:tabs>
          <w:tab w:val="right" w:leader="dot" w:pos="8188"/>
        </w:tabs>
        <w:rPr>
          <w:noProof/>
          <w:lang w:eastAsia="en-GB"/>
        </w:rPr>
      </w:pPr>
      <w:hyperlink w:anchor="_Toc7187547" w:history="1">
        <w:r w:rsidRPr="00326D76">
          <w:rPr>
            <w:rStyle w:val="Hyperlink"/>
            <w:noProof/>
          </w:rPr>
          <w:t>6.3 Results and Discussion</w:t>
        </w:r>
        <w:r>
          <w:rPr>
            <w:noProof/>
            <w:webHidden/>
          </w:rPr>
          <w:tab/>
        </w:r>
        <w:r>
          <w:rPr>
            <w:noProof/>
            <w:webHidden/>
          </w:rPr>
          <w:fldChar w:fldCharType="begin"/>
        </w:r>
        <w:r>
          <w:rPr>
            <w:noProof/>
            <w:webHidden/>
          </w:rPr>
          <w:instrText xml:space="preserve"> PAGEREF _Toc7187547 \h </w:instrText>
        </w:r>
        <w:r>
          <w:rPr>
            <w:noProof/>
            <w:webHidden/>
          </w:rPr>
        </w:r>
        <w:r>
          <w:rPr>
            <w:noProof/>
            <w:webHidden/>
          </w:rPr>
          <w:fldChar w:fldCharType="separate"/>
        </w:r>
        <w:r>
          <w:rPr>
            <w:noProof/>
            <w:webHidden/>
          </w:rPr>
          <w:t>123</w:t>
        </w:r>
        <w:r>
          <w:rPr>
            <w:noProof/>
            <w:webHidden/>
          </w:rPr>
          <w:fldChar w:fldCharType="end"/>
        </w:r>
      </w:hyperlink>
    </w:p>
    <w:p w14:paraId="46F461D9" w14:textId="2542CC40" w:rsidR="00CB7456" w:rsidRDefault="00CB7456">
      <w:pPr>
        <w:pStyle w:val="TOC3"/>
        <w:tabs>
          <w:tab w:val="right" w:leader="dot" w:pos="8188"/>
        </w:tabs>
        <w:rPr>
          <w:noProof/>
          <w:lang w:eastAsia="en-GB"/>
        </w:rPr>
      </w:pPr>
      <w:hyperlink w:anchor="_Toc7187548" w:history="1">
        <w:r w:rsidRPr="00326D76">
          <w:rPr>
            <w:rStyle w:val="Hyperlink"/>
            <w:noProof/>
          </w:rPr>
          <w:t>6.3.1 Assessing the Model in Different Population Areas</w:t>
        </w:r>
        <w:r>
          <w:rPr>
            <w:noProof/>
            <w:webHidden/>
          </w:rPr>
          <w:tab/>
        </w:r>
        <w:r>
          <w:rPr>
            <w:noProof/>
            <w:webHidden/>
          </w:rPr>
          <w:fldChar w:fldCharType="begin"/>
        </w:r>
        <w:r>
          <w:rPr>
            <w:noProof/>
            <w:webHidden/>
          </w:rPr>
          <w:instrText xml:space="preserve"> PAGEREF _Toc7187548 \h </w:instrText>
        </w:r>
        <w:r>
          <w:rPr>
            <w:noProof/>
            <w:webHidden/>
          </w:rPr>
        </w:r>
        <w:r>
          <w:rPr>
            <w:noProof/>
            <w:webHidden/>
          </w:rPr>
          <w:fldChar w:fldCharType="separate"/>
        </w:r>
        <w:r>
          <w:rPr>
            <w:noProof/>
            <w:webHidden/>
          </w:rPr>
          <w:t>123</w:t>
        </w:r>
        <w:r>
          <w:rPr>
            <w:noProof/>
            <w:webHidden/>
          </w:rPr>
          <w:fldChar w:fldCharType="end"/>
        </w:r>
      </w:hyperlink>
    </w:p>
    <w:p w14:paraId="285A9F92" w14:textId="5DBC4498" w:rsidR="00CB7456" w:rsidRDefault="00CB7456">
      <w:pPr>
        <w:pStyle w:val="TOC3"/>
        <w:tabs>
          <w:tab w:val="right" w:leader="dot" w:pos="8188"/>
        </w:tabs>
        <w:rPr>
          <w:noProof/>
          <w:lang w:eastAsia="en-GB"/>
        </w:rPr>
      </w:pPr>
      <w:hyperlink w:anchor="_Toc7187549" w:history="1">
        <w:r w:rsidRPr="00326D76">
          <w:rPr>
            <w:rStyle w:val="Hyperlink"/>
            <w:noProof/>
          </w:rPr>
          <w:t>6.3.2 Validating the Heat Demand Model</w:t>
        </w:r>
        <w:r>
          <w:rPr>
            <w:noProof/>
            <w:webHidden/>
          </w:rPr>
          <w:tab/>
        </w:r>
        <w:r>
          <w:rPr>
            <w:noProof/>
            <w:webHidden/>
          </w:rPr>
          <w:fldChar w:fldCharType="begin"/>
        </w:r>
        <w:r>
          <w:rPr>
            <w:noProof/>
            <w:webHidden/>
          </w:rPr>
          <w:instrText xml:space="preserve"> PAGEREF _Toc7187549 \h </w:instrText>
        </w:r>
        <w:r>
          <w:rPr>
            <w:noProof/>
            <w:webHidden/>
          </w:rPr>
        </w:r>
        <w:r>
          <w:rPr>
            <w:noProof/>
            <w:webHidden/>
          </w:rPr>
          <w:fldChar w:fldCharType="separate"/>
        </w:r>
        <w:r>
          <w:rPr>
            <w:noProof/>
            <w:webHidden/>
          </w:rPr>
          <w:t>127</w:t>
        </w:r>
        <w:r>
          <w:rPr>
            <w:noProof/>
            <w:webHidden/>
          </w:rPr>
          <w:fldChar w:fldCharType="end"/>
        </w:r>
      </w:hyperlink>
    </w:p>
    <w:p w14:paraId="37A8606F" w14:textId="76B5FEAD" w:rsidR="00CB7456" w:rsidRDefault="00CB7456">
      <w:pPr>
        <w:pStyle w:val="TOC2"/>
        <w:tabs>
          <w:tab w:val="right" w:leader="dot" w:pos="8188"/>
        </w:tabs>
        <w:rPr>
          <w:noProof/>
          <w:lang w:eastAsia="en-GB"/>
        </w:rPr>
      </w:pPr>
      <w:hyperlink w:anchor="_Toc7187550" w:history="1">
        <w:r w:rsidRPr="00326D76">
          <w:rPr>
            <w:rStyle w:val="Hyperlink"/>
            <w:noProof/>
          </w:rPr>
          <w:t>6.4 Conclusions</w:t>
        </w:r>
        <w:r>
          <w:rPr>
            <w:noProof/>
            <w:webHidden/>
          </w:rPr>
          <w:tab/>
        </w:r>
        <w:r>
          <w:rPr>
            <w:noProof/>
            <w:webHidden/>
          </w:rPr>
          <w:fldChar w:fldCharType="begin"/>
        </w:r>
        <w:r>
          <w:rPr>
            <w:noProof/>
            <w:webHidden/>
          </w:rPr>
          <w:instrText xml:space="preserve"> PAGEREF _Toc7187550 \h </w:instrText>
        </w:r>
        <w:r>
          <w:rPr>
            <w:noProof/>
            <w:webHidden/>
          </w:rPr>
        </w:r>
        <w:r>
          <w:rPr>
            <w:noProof/>
            <w:webHidden/>
          </w:rPr>
          <w:fldChar w:fldCharType="separate"/>
        </w:r>
        <w:r>
          <w:rPr>
            <w:noProof/>
            <w:webHidden/>
          </w:rPr>
          <w:t>135</w:t>
        </w:r>
        <w:r>
          <w:rPr>
            <w:noProof/>
            <w:webHidden/>
          </w:rPr>
          <w:fldChar w:fldCharType="end"/>
        </w:r>
      </w:hyperlink>
    </w:p>
    <w:p w14:paraId="5188453C" w14:textId="7218669D" w:rsidR="00CB7456" w:rsidRDefault="00CB7456">
      <w:pPr>
        <w:pStyle w:val="TOC1"/>
        <w:tabs>
          <w:tab w:val="right" w:leader="dot" w:pos="8188"/>
        </w:tabs>
        <w:rPr>
          <w:noProof/>
          <w:lang w:eastAsia="en-GB"/>
        </w:rPr>
      </w:pPr>
      <w:hyperlink w:anchor="_Toc7187551" w:history="1">
        <w:r w:rsidRPr="00326D76">
          <w:rPr>
            <w:rStyle w:val="Hyperlink"/>
            <w:noProof/>
          </w:rPr>
          <w:t>7 District Heating Network Optimisation Using Thermal Energy Storage</w:t>
        </w:r>
        <w:r>
          <w:rPr>
            <w:noProof/>
            <w:webHidden/>
          </w:rPr>
          <w:tab/>
        </w:r>
        <w:r>
          <w:rPr>
            <w:noProof/>
            <w:webHidden/>
          </w:rPr>
          <w:fldChar w:fldCharType="begin"/>
        </w:r>
        <w:r>
          <w:rPr>
            <w:noProof/>
            <w:webHidden/>
          </w:rPr>
          <w:instrText xml:space="preserve"> PAGEREF _Toc7187551 \h </w:instrText>
        </w:r>
        <w:r>
          <w:rPr>
            <w:noProof/>
            <w:webHidden/>
          </w:rPr>
        </w:r>
        <w:r>
          <w:rPr>
            <w:noProof/>
            <w:webHidden/>
          </w:rPr>
          <w:fldChar w:fldCharType="separate"/>
        </w:r>
        <w:r>
          <w:rPr>
            <w:noProof/>
            <w:webHidden/>
          </w:rPr>
          <w:t>137</w:t>
        </w:r>
        <w:r>
          <w:rPr>
            <w:noProof/>
            <w:webHidden/>
          </w:rPr>
          <w:fldChar w:fldCharType="end"/>
        </w:r>
      </w:hyperlink>
    </w:p>
    <w:p w14:paraId="73D4F080" w14:textId="45BB507C" w:rsidR="00CB7456" w:rsidRDefault="00CB7456">
      <w:pPr>
        <w:pStyle w:val="TOC2"/>
        <w:tabs>
          <w:tab w:val="right" w:leader="dot" w:pos="8188"/>
        </w:tabs>
        <w:rPr>
          <w:noProof/>
          <w:lang w:eastAsia="en-GB"/>
        </w:rPr>
      </w:pPr>
      <w:hyperlink w:anchor="_Toc7187552" w:history="1">
        <w:r w:rsidRPr="00326D76">
          <w:rPr>
            <w:rStyle w:val="Hyperlink"/>
            <w:noProof/>
          </w:rPr>
          <w:t>7.1 Methodology</w:t>
        </w:r>
        <w:r>
          <w:rPr>
            <w:noProof/>
            <w:webHidden/>
          </w:rPr>
          <w:tab/>
        </w:r>
        <w:r>
          <w:rPr>
            <w:noProof/>
            <w:webHidden/>
          </w:rPr>
          <w:fldChar w:fldCharType="begin"/>
        </w:r>
        <w:r>
          <w:rPr>
            <w:noProof/>
            <w:webHidden/>
          </w:rPr>
          <w:instrText xml:space="preserve"> PAGEREF _Toc7187552 \h </w:instrText>
        </w:r>
        <w:r>
          <w:rPr>
            <w:noProof/>
            <w:webHidden/>
          </w:rPr>
        </w:r>
        <w:r>
          <w:rPr>
            <w:noProof/>
            <w:webHidden/>
          </w:rPr>
          <w:fldChar w:fldCharType="separate"/>
        </w:r>
        <w:r>
          <w:rPr>
            <w:noProof/>
            <w:webHidden/>
          </w:rPr>
          <w:t>137</w:t>
        </w:r>
        <w:r>
          <w:rPr>
            <w:noProof/>
            <w:webHidden/>
          </w:rPr>
          <w:fldChar w:fldCharType="end"/>
        </w:r>
      </w:hyperlink>
    </w:p>
    <w:p w14:paraId="4B1B594F" w14:textId="548CCC9A" w:rsidR="00CB7456" w:rsidRDefault="00CB7456">
      <w:pPr>
        <w:pStyle w:val="TOC3"/>
        <w:tabs>
          <w:tab w:val="right" w:leader="dot" w:pos="8188"/>
        </w:tabs>
        <w:rPr>
          <w:noProof/>
          <w:lang w:eastAsia="en-GB"/>
        </w:rPr>
      </w:pPr>
      <w:hyperlink w:anchor="_Toc7187553" w:history="1">
        <w:r w:rsidRPr="00326D76">
          <w:rPr>
            <w:rStyle w:val="Hyperlink"/>
            <w:noProof/>
          </w:rPr>
          <w:t>7.1.1 Hot Water Tank Methodology</w:t>
        </w:r>
        <w:r>
          <w:rPr>
            <w:noProof/>
            <w:webHidden/>
          </w:rPr>
          <w:tab/>
        </w:r>
        <w:r>
          <w:rPr>
            <w:noProof/>
            <w:webHidden/>
          </w:rPr>
          <w:fldChar w:fldCharType="begin"/>
        </w:r>
        <w:r>
          <w:rPr>
            <w:noProof/>
            <w:webHidden/>
          </w:rPr>
          <w:instrText xml:space="preserve"> PAGEREF _Toc7187553 \h </w:instrText>
        </w:r>
        <w:r>
          <w:rPr>
            <w:noProof/>
            <w:webHidden/>
          </w:rPr>
        </w:r>
        <w:r>
          <w:rPr>
            <w:noProof/>
            <w:webHidden/>
          </w:rPr>
          <w:fldChar w:fldCharType="separate"/>
        </w:r>
        <w:r>
          <w:rPr>
            <w:noProof/>
            <w:webHidden/>
          </w:rPr>
          <w:t>138</w:t>
        </w:r>
        <w:r>
          <w:rPr>
            <w:noProof/>
            <w:webHidden/>
          </w:rPr>
          <w:fldChar w:fldCharType="end"/>
        </w:r>
      </w:hyperlink>
    </w:p>
    <w:p w14:paraId="733DFA72" w14:textId="46282350" w:rsidR="00CB7456" w:rsidRDefault="00CB7456">
      <w:pPr>
        <w:pStyle w:val="TOC3"/>
        <w:tabs>
          <w:tab w:val="right" w:leader="dot" w:pos="8188"/>
        </w:tabs>
        <w:rPr>
          <w:noProof/>
          <w:lang w:eastAsia="en-GB"/>
        </w:rPr>
      </w:pPr>
      <w:hyperlink w:anchor="_Toc7187554" w:history="1">
        <w:r w:rsidRPr="00326D76">
          <w:rPr>
            <w:rStyle w:val="Hyperlink"/>
            <w:noProof/>
          </w:rPr>
          <w:t>7.1.2 Building Thermal Inertia Methodology</w:t>
        </w:r>
        <w:r>
          <w:rPr>
            <w:noProof/>
            <w:webHidden/>
          </w:rPr>
          <w:tab/>
        </w:r>
        <w:r>
          <w:rPr>
            <w:noProof/>
            <w:webHidden/>
          </w:rPr>
          <w:fldChar w:fldCharType="begin"/>
        </w:r>
        <w:r>
          <w:rPr>
            <w:noProof/>
            <w:webHidden/>
          </w:rPr>
          <w:instrText xml:space="preserve"> PAGEREF _Toc7187554 \h </w:instrText>
        </w:r>
        <w:r>
          <w:rPr>
            <w:noProof/>
            <w:webHidden/>
          </w:rPr>
        </w:r>
        <w:r>
          <w:rPr>
            <w:noProof/>
            <w:webHidden/>
          </w:rPr>
          <w:fldChar w:fldCharType="separate"/>
        </w:r>
        <w:r>
          <w:rPr>
            <w:noProof/>
            <w:webHidden/>
          </w:rPr>
          <w:t>139</w:t>
        </w:r>
        <w:r>
          <w:rPr>
            <w:noProof/>
            <w:webHidden/>
          </w:rPr>
          <w:fldChar w:fldCharType="end"/>
        </w:r>
      </w:hyperlink>
    </w:p>
    <w:p w14:paraId="2BBDE3F2" w14:textId="7F6E71C9" w:rsidR="00CB7456" w:rsidRDefault="00CB7456">
      <w:pPr>
        <w:pStyle w:val="TOC3"/>
        <w:tabs>
          <w:tab w:val="right" w:leader="dot" w:pos="8188"/>
        </w:tabs>
        <w:rPr>
          <w:noProof/>
          <w:lang w:eastAsia="en-GB"/>
        </w:rPr>
      </w:pPr>
      <w:hyperlink w:anchor="_Toc7187555" w:history="1">
        <w:r w:rsidRPr="00326D76">
          <w:rPr>
            <w:rStyle w:val="Hyperlink"/>
            <w:noProof/>
          </w:rPr>
          <w:t>7.1.3 Network Thermal Inertia Methodology</w:t>
        </w:r>
        <w:r>
          <w:rPr>
            <w:noProof/>
            <w:webHidden/>
          </w:rPr>
          <w:tab/>
        </w:r>
        <w:r>
          <w:rPr>
            <w:noProof/>
            <w:webHidden/>
          </w:rPr>
          <w:fldChar w:fldCharType="begin"/>
        </w:r>
        <w:r>
          <w:rPr>
            <w:noProof/>
            <w:webHidden/>
          </w:rPr>
          <w:instrText xml:space="preserve"> PAGEREF _Toc7187555 \h </w:instrText>
        </w:r>
        <w:r>
          <w:rPr>
            <w:noProof/>
            <w:webHidden/>
          </w:rPr>
        </w:r>
        <w:r>
          <w:rPr>
            <w:noProof/>
            <w:webHidden/>
          </w:rPr>
          <w:fldChar w:fldCharType="separate"/>
        </w:r>
        <w:r>
          <w:rPr>
            <w:noProof/>
            <w:webHidden/>
          </w:rPr>
          <w:t>140</w:t>
        </w:r>
        <w:r>
          <w:rPr>
            <w:noProof/>
            <w:webHidden/>
          </w:rPr>
          <w:fldChar w:fldCharType="end"/>
        </w:r>
      </w:hyperlink>
    </w:p>
    <w:p w14:paraId="2EDE908F" w14:textId="18632DCE" w:rsidR="00CB7456" w:rsidRDefault="00CB7456">
      <w:pPr>
        <w:pStyle w:val="TOC2"/>
        <w:tabs>
          <w:tab w:val="right" w:leader="dot" w:pos="8188"/>
        </w:tabs>
        <w:rPr>
          <w:noProof/>
          <w:lang w:eastAsia="en-GB"/>
        </w:rPr>
      </w:pPr>
      <w:hyperlink w:anchor="_Toc7187556" w:history="1">
        <w:r w:rsidRPr="00326D76">
          <w:rPr>
            <w:rStyle w:val="Hyperlink"/>
            <w:noProof/>
          </w:rPr>
          <w:t>7.2 Case Study and Scenarios</w:t>
        </w:r>
        <w:r>
          <w:rPr>
            <w:noProof/>
            <w:webHidden/>
          </w:rPr>
          <w:tab/>
        </w:r>
        <w:r>
          <w:rPr>
            <w:noProof/>
            <w:webHidden/>
          </w:rPr>
          <w:fldChar w:fldCharType="begin"/>
        </w:r>
        <w:r>
          <w:rPr>
            <w:noProof/>
            <w:webHidden/>
          </w:rPr>
          <w:instrText xml:space="preserve"> PAGEREF _Toc7187556 \h </w:instrText>
        </w:r>
        <w:r>
          <w:rPr>
            <w:noProof/>
            <w:webHidden/>
          </w:rPr>
        </w:r>
        <w:r>
          <w:rPr>
            <w:noProof/>
            <w:webHidden/>
          </w:rPr>
          <w:fldChar w:fldCharType="separate"/>
        </w:r>
        <w:r>
          <w:rPr>
            <w:noProof/>
            <w:webHidden/>
          </w:rPr>
          <w:t>142</w:t>
        </w:r>
        <w:r>
          <w:rPr>
            <w:noProof/>
            <w:webHidden/>
          </w:rPr>
          <w:fldChar w:fldCharType="end"/>
        </w:r>
      </w:hyperlink>
    </w:p>
    <w:p w14:paraId="2B5C8907" w14:textId="3C2319E1" w:rsidR="00CB7456" w:rsidRDefault="00CB7456">
      <w:pPr>
        <w:pStyle w:val="TOC2"/>
        <w:tabs>
          <w:tab w:val="right" w:leader="dot" w:pos="8188"/>
        </w:tabs>
        <w:rPr>
          <w:noProof/>
          <w:lang w:eastAsia="en-GB"/>
        </w:rPr>
      </w:pPr>
      <w:hyperlink w:anchor="_Toc7187557" w:history="1">
        <w:r w:rsidRPr="00326D76">
          <w:rPr>
            <w:rStyle w:val="Hyperlink"/>
            <w:noProof/>
          </w:rPr>
          <w:t>7.3 Results</w:t>
        </w:r>
        <w:r>
          <w:rPr>
            <w:noProof/>
            <w:webHidden/>
          </w:rPr>
          <w:tab/>
        </w:r>
        <w:r>
          <w:rPr>
            <w:noProof/>
            <w:webHidden/>
          </w:rPr>
          <w:fldChar w:fldCharType="begin"/>
        </w:r>
        <w:r>
          <w:rPr>
            <w:noProof/>
            <w:webHidden/>
          </w:rPr>
          <w:instrText xml:space="preserve"> PAGEREF _Toc7187557 \h </w:instrText>
        </w:r>
        <w:r>
          <w:rPr>
            <w:noProof/>
            <w:webHidden/>
          </w:rPr>
        </w:r>
        <w:r>
          <w:rPr>
            <w:noProof/>
            <w:webHidden/>
          </w:rPr>
          <w:fldChar w:fldCharType="separate"/>
        </w:r>
        <w:r>
          <w:rPr>
            <w:noProof/>
            <w:webHidden/>
          </w:rPr>
          <w:t>143</w:t>
        </w:r>
        <w:r>
          <w:rPr>
            <w:noProof/>
            <w:webHidden/>
          </w:rPr>
          <w:fldChar w:fldCharType="end"/>
        </w:r>
      </w:hyperlink>
    </w:p>
    <w:p w14:paraId="1801AB89" w14:textId="3A927015" w:rsidR="00CB7456" w:rsidRDefault="00CB7456">
      <w:pPr>
        <w:pStyle w:val="TOC3"/>
        <w:tabs>
          <w:tab w:val="right" w:leader="dot" w:pos="8188"/>
        </w:tabs>
        <w:rPr>
          <w:noProof/>
          <w:lang w:eastAsia="en-GB"/>
        </w:rPr>
      </w:pPr>
      <w:hyperlink w:anchor="_Toc7187558" w:history="1">
        <w:r w:rsidRPr="00326D76">
          <w:rPr>
            <w:rStyle w:val="Hyperlink"/>
            <w:noProof/>
          </w:rPr>
          <w:t>7.3.1 Case Study Results</w:t>
        </w:r>
        <w:r>
          <w:rPr>
            <w:noProof/>
            <w:webHidden/>
          </w:rPr>
          <w:tab/>
        </w:r>
        <w:r>
          <w:rPr>
            <w:noProof/>
            <w:webHidden/>
          </w:rPr>
          <w:fldChar w:fldCharType="begin"/>
        </w:r>
        <w:r>
          <w:rPr>
            <w:noProof/>
            <w:webHidden/>
          </w:rPr>
          <w:instrText xml:space="preserve"> PAGEREF _Toc7187558 \h </w:instrText>
        </w:r>
        <w:r>
          <w:rPr>
            <w:noProof/>
            <w:webHidden/>
          </w:rPr>
        </w:r>
        <w:r>
          <w:rPr>
            <w:noProof/>
            <w:webHidden/>
          </w:rPr>
          <w:fldChar w:fldCharType="separate"/>
        </w:r>
        <w:r>
          <w:rPr>
            <w:noProof/>
            <w:webHidden/>
          </w:rPr>
          <w:t>144</w:t>
        </w:r>
        <w:r>
          <w:rPr>
            <w:noProof/>
            <w:webHidden/>
          </w:rPr>
          <w:fldChar w:fldCharType="end"/>
        </w:r>
      </w:hyperlink>
    </w:p>
    <w:p w14:paraId="131E6005" w14:textId="3E4BC002" w:rsidR="00CB7456" w:rsidRDefault="00CB7456">
      <w:pPr>
        <w:pStyle w:val="TOC3"/>
        <w:tabs>
          <w:tab w:val="right" w:leader="dot" w:pos="8188"/>
        </w:tabs>
        <w:rPr>
          <w:noProof/>
          <w:lang w:eastAsia="en-GB"/>
        </w:rPr>
      </w:pPr>
      <w:hyperlink w:anchor="_Toc7187559" w:history="1">
        <w:r w:rsidRPr="00326D76">
          <w:rPr>
            <w:rStyle w:val="Hyperlink"/>
            <w:noProof/>
          </w:rPr>
          <w:t>7.3.2 Lessons for Future DH Optimisation Work</w:t>
        </w:r>
        <w:r>
          <w:rPr>
            <w:noProof/>
            <w:webHidden/>
          </w:rPr>
          <w:tab/>
        </w:r>
        <w:r>
          <w:rPr>
            <w:noProof/>
            <w:webHidden/>
          </w:rPr>
          <w:fldChar w:fldCharType="begin"/>
        </w:r>
        <w:r>
          <w:rPr>
            <w:noProof/>
            <w:webHidden/>
          </w:rPr>
          <w:instrText xml:space="preserve"> PAGEREF _Toc7187559 \h </w:instrText>
        </w:r>
        <w:r>
          <w:rPr>
            <w:noProof/>
            <w:webHidden/>
          </w:rPr>
        </w:r>
        <w:r>
          <w:rPr>
            <w:noProof/>
            <w:webHidden/>
          </w:rPr>
          <w:fldChar w:fldCharType="separate"/>
        </w:r>
        <w:r>
          <w:rPr>
            <w:noProof/>
            <w:webHidden/>
          </w:rPr>
          <w:t>152</w:t>
        </w:r>
        <w:r>
          <w:rPr>
            <w:noProof/>
            <w:webHidden/>
          </w:rPr>
          <w:fldChar w:fldCharType="end"/>
        </w:r>
      </w:hyperlink>
    </w:p>
    <w:p w14:paraId="0F564A9B" w14:textId="6257FFE9" w:rsidR="00CB7456" w:rsidRDefault="00CB7456">
      <w:pPr>
        <w:pStyle w:val="TOC3"/>
        <w:tabs>
          <w:tab w:val="right" w:leader="dot" w:pos="8188"/>
        </w:tabs>
        <w:rPr>
          <w:noProof/>
          <w:lang w:eastAsia="en-GB"/>
        </w:rPr>
      </w:pPr>
      <w:hyperlink w:anchor="_Toc7187560" w:history="1">
        <w:r w:rsidRPr="00326D76">
          <w:rPr>
            <w:rStyle w:val="Hyperlink"/>
            <w:noProof/>
          </w:rPr>
          <w:t>7.3.3 Validation Study</w:t>
        </w:r>
        <w:r>
          <w:rPr>
            <w:noProof/>
            <w:webHidden/>
          </w:rPr>
          <w:tab/>
        </w:r>
        <w:r>
          <w:rPr>
            <w:noProof/>
            <w:webHidden/>
          </w:rPr>
          <w:fldChar w:fldCharType="begin"/>
        </w:r>
        <w:r>
          <w:rPr>
            <w:noProof/>
            <w:webHidden/>
          </w:rPr>
          <w:instrText xml:space="preserve"> PAGEREF _Toc7187560 \h </w:instrText>
        </w:r>
        <w:r>
          <w:rPr>
            <w:noProof/>
            <w:webHidden/>
          </w:rPr>
        </w:r>
        <w:r>
          <w:rPr>
            <w:noProof/>
            <w:webHidden/>
          </w:rPr>
          <w:fldChar w:fldCharType="separate"/>
        </w:r>
        <w:r>
          <w:rPr>
            <w:noProof/>
            <w:webHidden/>
          </w:rPr>
          <w:t>157</w:t>
        </w:r>
        <w:r>
          <w:rPr>
            <w:noProof/>
            <w:webHidden/>
          </w:rPr>
          <w:fldChar w:fldCharType="end"/>
        </w:r>
      </w:hyperlink>
    </w:p>
    <w:p w14:paraId="7C78C4EB" w14:textId="22B5BC49" w:rsidR="00CB7456" w:rsidRDefault="00CB7456">
      <w:pPr>
        <w:pStyle w:val="TOC2"/>
        <w:tabs>
          <w:tab w:val="right" w:leader="dot" w:pos="8188"/>
        </w:tabs>
        <w:rPr>
          <w:noProof/>
          <w:lang w:eastAsia="en-GB"/>
        </w:rPr>
      </w:pPr>
      <w:hyperlink w:anchor="_Toc7187561" w:history="1">
        <w:r w:rsidRPr="00326D76">
          <w:rPr>
            <w:rStyle w:val="Hyperlink"/>
            <w:noProof/>
          </w:rPr>
          <w:t>7.4 Conclusions</w:t>
        </w:r>
        <w:r>
          <w:rPr>
            <w:noProof/>
            <w:webHidden/>
          </w:rPr>
          <w:tab/>
        </w:r>
        <w:r>
          <w:rPr>
            <w:noProof/>
            <w:webHidden/>
          </w:rPr>
          <w:fldChar w:fldCharType="begin"/>
        </w:r>
        <w:r>
          <w:rPr>
            <w:noProof/>
            <w:webHidden/>
          </w:rPr>
          <w:instrText xml:space="preserve"> PAGEREF _Toc7187561 \h </w:instrText>
        </w:r>
        <w:r>
          <w:rPr>
            <w:noProof/>
            <w:webHidden/>
          </w:rPr>
        </w:r>
        <w:r>
          <w:rPr>
            <w:noProof/>
            <w:webHidden/>
          </w:rPr>
          <w:fldChar w:fldCharType="separate"/>
        </w:r>
        <w:r>
          <w:rPr>
            <w:noProof/>
            <w:webHidden/>
          </w:rPr>
          <w:t>158</w:t>
        </w:r>
        <w:r>
          <w:rPr>
            <w:noProof/>
            <w:webHidden/>
          </w:rPr>
          <w:fldChar w:fldCharType="end"/>
        </w:r>
      </w:hyperlink>
    </w:p>
    <w:p w14:paraId="40275672" w14:textId="34E414B1" w:rsidR="00CB7456" w:rsidRDefault="00CB7456">
      <w:pPr>
        <w:pStyle w:val="TOC1"/>
        <w:tabs>
          <w:tab w:val="right" w:leader="dot" w:pos="8188"/>
        </w:tabs>
        <w:rPr>
          <w:noProof/>
          <w:lang w:eastAsia="en-GB"/>
        </w:rPr>
      </w:pPr>
      <w:hyperlink w:anchor="_Toc7187562" w:history="1">
        <w:r w:rsidRPr="00326D76">
          <w:rPr>
            <w:rStyle w:val="Hyperlink"/>
            <w:noProof/>
          </w:rPr>
          <w:t>8 Techno-Economic and Environmental Assessments</w:t>
        </w:r>
        <w:r>
          <w:rPr>
            <w:noProof/>
            <w:webHidden/>
          </w:rPr>
          <w:tab/>
        </w:r>
        <w:r>
          <w:rPr>
            <w:noProof/>
            <w:webHidden/>
          </w:rPr>
          <w:fldChar w:fldCharType="begin"/>
        </w:r>
        <w:r>
          <w:rPr>
            <w:noProof/>
            <w:webHidden/>
          </w:rPr>
          <w:instrText xml:space="preserve"> PAGEREF _Toc7187562 \h </w:instrText>
        </w:r>
        <w:r>
          <w:rPr>
            <w:noProof/>
            <w:webHidden/>
          </w:rPr>
        </w:r>
        <w:r>
          <w:rPr>
            <w:noProof/>
            <w:webHidden/>
          </w:rPr>
          <w:fldChar w:fldCharType="separate"/>
        </w:r>
        <w:r>
          <w:rPr>
            <w:noProof/>
            <w:webHidden/>
          </w:rPr>
          <w:t>160</w:t>
        </w:r>
        <w:r>
          <w:rPr>
            <w:noProof/>
            <w:webHidden/>
          </w:rPr>
          <w:fldChar w:fldCharType="end"/>
        </w:r>
      </w:hyperlink>
    </w:p>
    <w:p w14:paraId="402C1C9F" w14:textId="4F43D874" w:rsidR="00CB7456" w:rsidRDefault="00CB7456">
      <w:pPr>
        <w:pStyle w:val="TOC2"/>
        <w:tabs>
          <w:tab w:val="right" w:leader="dot" w:pos="8188"/>
        </w:tabs>
        <w:rPr>
          <w:noProof/>
          <w:lang w:eastAsia="en-GB"/>
        </w:rPr>
      </w:pPr>
      <w:hyperlink w:anchor="_Toc7187563" w:history="1">
        <w:r w:rsidRPr="00326D76">
          <w:rPr>
            <w:rStyle w:val="Hyperlink"/>
            <w:noProof/>
          </w:rPr>
          <w:t>8.1 Methodology</w:t>
        </w:r>
        <w:r>
          <w:rPr>
            <w:noProof/>
            <w:webHidden/>
          </w:rPr>
          <w:tab/>
        </w:r>
        <w:r>
          <w:rPr>
            <w:noProof/>
            <w:webHidden/>
          </w:rPr>
          <w:fldChar w:fldCharType="begin"/>
        </w:r>
        <w:r>
          <w:rPr>
            <w:noProof/>
            <w:webHidden/>
          </w:rPr>
          <w:instrText xml:space="preserve"> PAGEREF _Toc7187563 \h </w:instrText>
        </w:r>
        <w:r>
          <w:rPr>
            <w:noProof/>
            <w:webHidden/>
          </w:rPr>
        </w:r>
        <w:r>
          <w:rPr>
            <w:noProof/>
            <w:webHidden/>
          </w:rPr>
          <w:fldChar w:fldCharType="separate"/>
        </w:r>
        <w:r>
          <w:rPr>
            <w:noProof/>
            <w:webHidden/>
          </w:rPr>
          <w:t>160</w:t>
        </w:r>
        <w:r>
          <w:rPr>
            <w:noProof/>
            <w:webHidden/>
          </w:rPr>
          <w:fldChar w:fldCharType="end"/>
        </w:r>
      </w:hyperlink>
    </w:p>
    <w:p w14:paraId="7752C4FE" w14:textId="78BE74AE" w:rsidR="00CB7456" w:rsidRDefault="00CB7456">
      <w:pPr>
        <w:pStyle w:val="TOC3"/>
        <w:tabs>
          <w:tab w:val="right" w:leader="dot" w:pos="8188"/>
        </w:tabs>
        <w:rPr>
          <w:noProof/>
          <w:lang w:eastAsia="en-GB"/>
        </w:rPr>
      </w:pPr>
      <w:hyperlink w:anchor="_Toc7187564" w:history="1">
        <w:r w:rsidRPr="00326D76">
          <w:rPr>
            <w:rStyle w:val="Hyperlink"/>
            <w:noProof/>
          </w:rPr>
          <w:t>8.1.1 Techno-Economic Assessment Methodology</w:t>
        </w:r>
        <w:r>
          <w:rPr>
            <w:noProof/>
            <w:webHidden/>
          </w:rPr>
          <w:tab/>
        </w:r>
        <w:r>
          <w:rPr>
            <w:noProof/>
            <w:webHidden/>
          </w:rPr>
          <w:fldChar w:fldCharType="begin"/>
        </w:r>
        <w:r>
          <w:rPr>
            <w:noProof/>
            <w:webHidden/>
          </w:rPr>
          <w:instrText xml:space="preserve"> PAGEREF _Toc7187564 \h </w:instrText>
        </w:r>
        <w:r>
          <w:rPr>
            <w:noProof/>
            <w:webHidden/>
          </w:rPr>
        </w:r>
        <w:r>
          <w:rPr>
            <w:noProof/>
            <w:webHidden/>
          </w:rPr>
          <w:fldChar w:fldCharType="separate"/>
        </w:r>
        <w:r>
          <w:rPr>
            <w:noProof/>
            <w:webHidden/>
          </w:rPr>
          <w:t>160</w:t>
        </w:r>
        <w:r>
          <w:rPr>
            <w:noProof/>
            <w:webHidden/>
          </w:rPr>
          <w:fldChar w:fldCharType="end"/>
        </w:r>
      </w:hyperlink>
    </w:p>
    <w:p w14:paraId="3D5C3E2F" w14:textId="66FD5047" w:rsidR="00CB7456" w:rsidRDefault="00CB7456">
      <w:pPr>
        <w:pStyle w:val="TOC3"/>
        <w:tabs>
          <w:tab w:val="right" w:leader="dot" w:pos="8188"/>
        </w:tabs>
        <w:rPr>
          <w:noProof/>
          <w:lang w:eastAsia="en-GB"/>
        </w:rPr>
      </w:pPr>
      <w:hyperlink w:anchor="_Toc7187565" w:history="1">
        <w:r w:rsidRPr="00326D76">
          <w:rPr>
            <w:rStyle w:val="Hyperlink"/>
            <w:noProof/>
          </w:rPr>
          <w:t>8.1.2 Environmental Assessment Methodology</w:t>
        </w:r>
        <w:r>
          <w:rPr>
            <w:noProof/>
            <w:webHidden/>
          </w:rPr>
          <w:tab/>
        </w:r>
        <w:r>
          <w:rPr>
            <w:noProof/>
            <w:webHidden/>
          </w:rPr>
          <w:fldChar w:fldCharType="begin"/>
        </w:r>
        <w:r>
          <w:rPr>
            <w:noProof/>
            <w:webHidden/>
          </w:rPr>
          <w:instrText xml:space="preserve"> PAGEREF _Toc7187565 \h </w:instrText>
        </w:r>
        <w:r>
          <w:rPr>
            <w:noProof/>
            <w:webHidden/>
          </w:rPr>
        </w:r>
        <w:r>
          <w:rPr>
            <w:noProof/>
            <w:webHidden/>
          </w:rPr>
          <w:fldChar w:fldCharType="separate"/>
        </w:r>
        <w:r>
          <w:rPr>
            <w:noProof/>
            <w:webHidden/>
          </w:rPr>
          <w:t>162</w:t>
        </w:r>
        <w:r>
          <w:rPr>
            <w:noProof/>
            <w:webHidden/>
          </w:rPr>
          <w:fldChar w:fldCharType="end"/>
        </w:r>
      </w:hyperlink>
    </w:p>
    <w:p w14:paraId="16CA58EF" w14:textId="19C04616" w:rsidR="00CB7456" w:rsidRDefault="00CB7456">
      <w:pPr>
        <w:pStyle w:val="TOC2"/>
        <w:tabs>
          <w:tab w:val="right" w:leader="dot" w:pos="8188"/>
        </w:tabs>
        <w:rPr>
          <w:noProof/>
          <w:lang w:eastAsia="en-GB"/>
        </w:rPr>
      </w:pPr>
      <w:hyperlink w:anchor="_Toc7187566" w:history="1">
        <w:r w:rsidRPr="00326D76">
          <w:rPr>
            <w:rStyle w:val="Hyperlink"/>
            <w:noProof/>
          </w:rPr>
          <w:t>8.2 Results</w:t>
        </w:r>
        <w:r>
          <w:rPr>
            <w:noProof/>
            <w:webHidden/>
          </w:rPr>
          <w:tab/>
        </w:r>
        <w:r>
          <w:rPr>
            <w:noProof/>
            <w:webHidden/>
          </w:rPr>
          <w:fldChar w:fldCharType="begin"/>
        </w:r>
        <w:r>
          <w:rPr>
            <w:noProof/>
            <w:webHidden/>
          </w:rPr>
          <w:instrText xml:space="preserve"> PAGEREF _Toc7187566 \h </w:instrText>
        </w:r>
        <w:r>
          <w:rPr>
            <w:noProof/>
            <w:webHidden/>
          </w:rPr>
        </w:r>
        <w:r>
          <w:rPr>
            <w:noProof/>
            <w:webHidden/>
          </w:rPr>
          <w:fldChar w:fldCharType="separate"/>
        </w:r>
        <w:r>
          <w:rPr>
            <w:noProof/>
            <w:webHidden/>
          </w:rPr>
          <w:t>163</w:t>
        </w:r>
        <w:r>
          <w:rPr>
            <w:noProof/>
            <w:webHidden/>
          </w:rPr>
          <w:fldChar w:fldCharType="end"/>
        </w:r>
      </w:hyperlink>
    </w:p>
    <w:p w14:paraId="6BC283B7" w14:textId="5CD54B41" w:rsidR="00CB7456" w:rsidRDefault="00CB7456">
      <w:pPr>
        <w:pStyle w:val="TOC3"/>
        <w:tabs>
          <w:tab w:val="right" w:leader="dot" w:pos="8188"/>
        </w:tabs>
        <w:rPr>
          <w:noProof/>
          <w:lang w:eastAsia="en-GB"/>
        </w:rPr>
      </w:pPr>
      <w:hyperlink w:anchor="_Toc7187567" w:history="1">
        <w:r w:rsidRPr="00326D76">
          <w:rPr>
            <w:rStyle w:val="Hyperlink"/>
            <w:noProof/>
          </w:rPr>
          <w:t>8.2.1 Techno-Economic Assessment Results</w:t>
        </w:r>
        <w:r>
          <w:rPr>
            <w:noProof/>
            <w:webHidden/>
          </w:rPr>
          <w:tab/>
        </w:r>
        <w:r>
          <w:rPr>
            <w:noProof/>
            <w:webHidden/>
          </w:rPr>
          <w:fldChar w:fldCharType="begin"/>
        </w:r>
        <w:r>
          <w:rPr>
            <w:noProof/>
            <w:webHidden/>
          </w:rPr>
          <w:instrText xml:space="preserve"> PAGEREF _Toc7187567 \h </w:instrText>
        </w:r>
        <w:r>
          <w:rPr>
            <w:noProof/>
            <w:webHidden/>
          </w:rPr>
        </w:r>
        <w:r>
          <w:rPr>
            <w:noProof/>
            <w:webHidden/>
          </w:rPr>
          <w:fldChar w:fldCharType="separate"/>
        </w:r>
        <w:r>
          <w:rPr>
            <w:noProof/>
            <w:webHidden/>
          </w:rPr>
          <w:t>163</w:t>
        </w:r>
        <w:r>
          <w:rPr>
            <w:noProof/>
            <w:webHidden/>
          </w:rPr>
          <w:fldChar w:fldCharType="end"/>
        </w:r>
      </w:hyperlink>
    </w:p>
    <w:p w14:paraId="2043FAD8" w14:textId="2E58AE74" w:rsidR="00CB7456" w:rsidRDefault="00CB7456">
      <w:pPr>
        <w:pStyle w:val="TOC3"/>
        <w:tabs>
          <w:tab w:val="right" w:leader="dot" w:pos="8188"/>
        </w:tabs>
        <w:rPr>
          <w:noProof/>
          <w:lang w:eastAsia="en-GB"/>
        </w:rPr>
      </w:pPr>
      <w:hyperlink w:anchor="_Toc7187568" w:history="1">
        <w:r w:rsidRPr="00326D76">
          <w:rPr>
            <w:rStyle w:val="Hyperlink"/>
            <w:noProof/>
          </w:rPr>
          <w:t>8.2.2 Environmental Assessment Results</w:t>
        </w:r>
        <w:r>
          <w:rPr>
            <w:noProof/>
            <w:webHidden/>
          </w:rPr>
          <w:tab/>
        </w:r>
        <w:r>
          <w:rPr>
            <w:noProof/>
            <w:webHidden/>
          </w:rPr>
          <w:fldChar w:fldCharType="begin"/>
        </w:r>
        <w:r>
          <w:rPr>
            <w:noProof/>
            <w:webHidden/>
          </w:rPr>
          <w:instrText xml:space="preserve"> PAGEREF _Toc7187568 \h </w:instrText>
        </w:r>
        <w:r>
          <w:rPr>
            <w:noProof/>
            <w:webHidden/>
          </w:rPr>
        </w:r>
        <w:r>
          <w:rPr>
            <w:noProof/>
            <w:webHidden/>
          </w:rPr>
          <w:fldChar w:fldCharType="separate"/>
        </w:r>
        <w:r>
          <w:rPr>
            <w:noProof/>
            <w:webHidden/>
          </w:rPr>
          <w:t>165</w:t>
        </w:r>
        <w:r>
          <w:rPr>
            <w:noProof/>
            <w:webHidden/>
          </w:rPr>
          <w:fldChar w:fldCharType="end"/>
        </w:r>
      </w:hyperlink>
    </w:p>
    <w:p w14:paraId="6AFAF194" w14:textId="7AFEB756" w:rsidR="00CB7456" w:rsidRDefault="00CB7456">
      <w:pPr>
        <w:pStyle w:val="TOC3"/>
        <w:tabs>
          <w:tab w:val="right" w:leader="dot" w:pos="8188"/>
        </w:tabs>
        <w:rPr>
          <w:noProof/>
          <w:lang w:eastAsia="en-GB"/>
        </w:rPr>
      </w:pPr>
      <w:hyperlink w:anchor="_Toc7187569" w:history="1">
        <w:r w:rsidRPr="00326D76">
          <w:rPr>
            <w:rStyle w:val="Hyperlink"/>
            <w:noProof/>
          </w:rPr>
          <w:t>8.2.3 Sensitivity Analysis</w:t>
        </w:r>
        <w:r>
          <w:rPr>
            <w:noProof/>
            <w:webHidden/>
          </w:rPr>
          <w:tab/>
        </w:r>
        <w:r>
          <w:rPr>
            <w:noProof/>
            <w:webHidden/>
          </w:rPr>
          <w:fldChar w:fldCharType="begin"/>
        </w:r>
        <w:r>
          <w:rPr>
            <w:noProof/>
            <w:webHidden/>
          </w:rPr>
          <w:instrText xml:space="preserve"> PAGEREF _Toc7187569 \h </w:instrText>
        </w:r>
        <w:r>
          <w:rPr>
            <w:noProof/>
            <w:webHidden/>
          </w:rPr>
        </w:r>
        <w:r>
          <w:rPr>
            <w:noProof/>
            <w:webHidden/>
          </w:rPr>
          <w:fldChar w:fldCharType="separate"/>
        </w:r>
        <w:r>
          <w:rPr>
            <w:noProof/>
            <w:webHidden/>
          </w:rPr>
          <w:t>165</w:t>
        </w:r>
        <w:r>
          <w:rPr>
            <w:noProof/>
            <w:webHidden/>
          </w:rPr>
          <w:fldChar w:fldCharType="end"/>
        </w:r>
      </w:hyperlink>
    </w:p>
    <w:p w14:paraId="3812B50D" w14:textId="37E3D84A" w:rsidR="00CB7456" w:rsidRDefault="00CB7456">
      <w:pPr>
        <w:pStyle w:val="TOC4"/>
        <w:tabs>
          <w:tab w:val="right" w:leader="dot" w:pos="8188"/>
        </w:tabs>
        <w:rPr>
          <w:noProof/>
          <w:lang w:eastAsia="en-GB"/>
        </w:rPr>
      </w:pPr>
      <w:hyperlink w:anchor="_Toc7187570" w:history="1">
        <w:r w:rsidRPr="00326D76">
          <w:rPr>
            <w:rStyle w:val="Hyperlink"/>
            <w:noProof/>
          </w:rPr>
          <w:t>8.2.3.1 Techno-Economic Sensitivity Analysis</w:t>
        </w:r>
        <w:r>
          <w:rPr>
            <w:noProof/>
            <w:webHidden/>
          </w:rPr>
          <w:tab/>
        </w:r>
        <w:r>
          <w:rPr>
            <w:noProof/>
            <w:webHidden/>
          </w:rPr>
          <w:fldChar w:fldCharType="begin"/>
        </w:r>
        <w:r>
          <w:rPr>
            <w:noProof/>
            <w:webHidden/>
          </w:rPr>
          <w:instrText xml:space="preserve"> PAGEREF _Toc7187570 \h </w:instrText>
        </w:r>
        <w:r>
          <w:rPr>
            <w:noProof/>
            <w:webHidden/>
          </w:rPr>
        </w:r>
        <w:r>
          <w:rPr>
            <w:noProof/>
            <w:webHidden/>
          </w:rPr>
          <w:fldChar w:fldCharType="separate"/>
        </w:r>
        <w:r>
          <w:rPr>
            <w:noProof/>
            <w:webHidden/>
          </w:rPr>
          <w:t>166</w:t>
        </w:r>
        <w:r>
          <w:rPr>
            <w:noProof/>
            <w:webHidden/>
          </w:rPr>
          <w:fldChar w:fldCharType="end"/>
        </w:r>
      </w:hyperlink>
    </w:p>
    <w:p w14:paraId="40B877FC" w14:textId="11EADB85" w:rsidR="00CB7456" w:rsidRDefault="00CB7456">
      <w:pPr>
        <w:pStyle w:val="TOC4"/>
        <w:tabs>
          <w:tab w:val="right" w:leader="dot" w:pos="8188"/>
        </w:tabs>
        <w:rPr>
          <w:noProof/>
          <w:lang w:eastAsia="en-GB"/>
        </w:rPr>
      </w:pPr>
      <w:hyperlink w:anchor="_Toc7187571" w:history="1">
        <w:r w:rsidRPr="00326D76">
          <w:rPr>
            <w:rStyle w:val="Hyperlink"/>
            <w:noProof/>
          </w:rPr>
          <w:t>8.2.3.2 Environmental Sensitivity Analysis</w:t>
        </w:r>
        <w:r>
          <w:rPr>
            <w:noProof/>
            <w:webHidden/>
          </w:rPr>
          <w:tab/>
        </w:r>
        <w:r>
          <w:rPr>
            <w:noProof/>
            <w:webHidden/>
          </w:rPr>
          <w:fldChar w:fldCharType="begin"/>
        </w:r>
        <w:r>
          <w:rPr>
            <w:noProof/>
            <w:webHidden/>
          </w:rPr>
          <w:instrText xml:space="preserve"> PAGEREF _Toc7187571 \h </w:instrText>
        </w:r>
        <w:r>
          <w:rPr>
            <w:noProof/>
            <w:webHidden/>
          </w:rPr>
        </w:r>
        <w:r>
          <w:rPr>
            <w:noProof/>
            <w:webHidden/>
          </w:rPr>
          <w:fldChar w:fldCharType="separate"/>
        </w:r>
        <w:r>
          <w:rPr>
            <w:noProof/>
            <w:webHidden/>
          </w:rPr>
          <w:t>167</w:t>
        </w:r>
        <w:r>
          <w:rPr>
            <w:noProof/>
            <w:webHidden/>
          </w:rPr>
          <w:fldChar w:fldCharType="end"/>
        </w:r>
      </w:hyperlink>
    </w:p>
    <w:p w14:paraId="7FDFC43A" w14:textId="19847376" w:rsidR="00CB7456" w:rsidRDefault="00CB7456">
      <w:pPr>
        <w:pStyle w:val="TOC2"/>
        <w:tabs>
          <w:tab w:val="right" w:leader="dot" w:pos="8188"/>
        </w:tabs>
        <w:rPr>
          <w:noProof/>
          <w:lang w:eastAsia="en-GB"/>
        </w:rPr>
      </w:pPr>
      <w:hyperlink w:anchor="_Toc7187572" w:history="1">
        <w:r w:rsidRPr="00326D76">
          <w:rPr>
            <w:rStyle w:val="Hyperlink"/>
            <w:noProof/>
          </w:rPr>
          <w:t>8.3 Conclusion</w:t>
        </w:r>
        <w:r>
          <w:rPr>
            <w:noProof/>
            <w:webHidden/>
          </w:rPr>
          <w:tab/>
        </w:r>
        <w:r>
          <w:rPr>
            <w:noProof/>
            <w:webHidden/>
          </w:rPr>
          <w:fldChar w:fldCharType="begin"/>
        </w:r>
        <w:r>
          <w:rPr>
            <w:noProof/>
            <w:webHidden/>
          </w:rPr>
          <w:instrText xml:space="preserve"> PAGEREF _Toc7187572 \h </w:instrText>
        </w:r>
        <w:r>
          <w:rPr>
            <w:noProof/>
            <w:webHidden/>
          </w:rPr>
        </w:r>
        <w:r>
          <w:rPr>
            <w:noProof/>
            <w:webHidden/>
          </w:rPr>
          <w:fldChar w:fldCharType="separate"/>
        </w:r>
        <w:r>
          <w:rPr>
            <w:noProof/>
            <w:webHidden/>
          </w:rPr>
          <w:t>168</w:t>
        </w:r>
        <w:r>
          <w:rPr>
            <w:noProof/>
            <w:webHidden/>
          </w:rPr>
          <w:fldChar w:fldCharType="end"/>
        </w:r>
      </w:hyperlink>
    </w:p>
    <w:p w14:paraId="4677E26D" w14:textId="65ADD9FE" w:rsidR="00CB7456" w:rsidRDefault="00CB7456">
      <w:pPr>
        <w:pStyle w:val="TOC1"/>
        <w:tabs>
          <w:tab w:val="right" w:leader="dot" w:pos="8188"/>
        </w:tabs>
        <w:rPr>
          <w:noProof/>
          <w:lang w:eastAsia="en-GB"/>
        </w:rPr>
      </w:pPr>
      <w:hyperlink w:anchor="_Toc7187573" w:history="1">
        <w:r w:rsidRPr="00326D76">
          <w:rPr>
            <w:rStyle w:val="Hyperlink"/>
            <w:noProof/>
          </w:rPr>
          <w:t>9 Discussion</w:t>
        </w:r>
        <w:r>
          <w:rPr>
            <w:noProof/>
            <w:webHidden/>
          </w:rPr>
          <w:tab/>
        </w:r>
        <w:r>
          <w:rPr>
            <w:noProof/>
            <w:webHidden/>
          </w:rPr>
          <w:fldChar w:fldCharType="begin"/>
        </w:r>
        <w:r>
          <w:rPr>
            <w:noProof/>
            <w:webHidden/>
          </w:rPr>
          <w:instrText xml:space="preserve"> PAGEREF _Toc7187573 \h </w:instrText>
        </w:r>
        <w:r>
          <w:rPr>
            <w:noProof/>
            <w:webHidden/>
          </w:rPr>
        </w:r>
        <w:r>
          <w:rPr>
            <w:noProof/>
            <w:webHidden/>
          </w:rPr>
          <w:fldChar w:fldCharType="separate"/>
        </w:r>
        <w:r>
          <w:rPr>
            <w:noProof/>
            <w:webHidden/>
          </w:rPr>
          <w:t>169</w:t>
        </w:r>
        <w:r>
          <w:rPr>
            <w:noProof/>
            <w:webHidden/>
          </w:rPr>
          <w:fldChar w:fldCharType="end"/>
        </w:r>
      </w:hyperlink>
    </w:p>
    <w:p w14:paraId="00364518" w14:textId="2B39C8C6" w:rsidR="00CB7456" w:rsidRDefault="00CB7456">
      <w:pPr>
        <w:pStyle w:val="TOC2"/>
        <w:tabs>
          <w:tab w:val="right" w:leader="dot" w:pos="8188"/>
        </w:tabs>
        <w:rPr>
          <w:noProof/>
          <w:lang w:eastAsia="en-GB"/>
        </w:rPr>
      </w:pPr>
      <w:hyperlink w:anchor="_Toc7187574" w:history="1">
        <w:r w:rsidRPr="00326D76">
          <w:rPr>
            <w:rStyle w:val="Hyperlink"/>
            <w:noProof/>
          </w:rPr>
          <w:t>9.1 Is the Simple Feasibility Model of a District Heating Network Accurate?</w:t>
        </w:r>
        <w:r>
          <w:rPr>
            <w:noProof/>
            <w:webHidden/>
          </w:rPr>
          <w:tab/>
        </w:r>
        <w:r>
          <w:rPr>
            <w:noProof/>
            <w:webHidden/>
          </w:rPr>
          <w:fldChar w:fldCharType="begin"/>
        </w:r>
        <w:r>
          <w:rPr>
            <w:noProof/>
            <w:webHidden/>
          </w:rPr>
          <w:instrText xml:space="preserve"> PAGEREF _Toc7187574 \h </w:instrText>
        </w:r>
        <w:r>
          <w:rPr>
            <w:noProof/>
            <w:webHidden/>
          </w:rPr>
        </w:r>
        <w:r>
          <w:rPr>
            <w:noProof/>
            <w:webHidden/>
          </w:rPr>
          <w:fldChar w:fldCharType="separate"/>
        </w:r>
        <w:r>
          <w:rPr>
            <w:noProof/>
            <w:webHidden/>
          </w:rPr>
          <w:t>170</w:t>
        </w:r>
        <w:r>
          <w:rPr>
            <w:noProof/>
            <w:webHidden/>
          </w:rPr>
          <w:fldChar w:fldCharType="end"/>
        </w:r>
      </w:hyperlink>
    </w:p>
    <w:p w14:paraId="3D0566DC" w14:textId="71BDA63E" w:rsidR="00CB7456" w:rsidRDefault="00CB7456">
      <w:pPr>
        <w:pStyle w:val="TOC3"/>
        <w:tabs>
          <w:tab w:val="right" w:leader="dot" w:pos="8188"/>
        </w:tabs>
        <w:rPr>
          <w:noProof/>
          <w:lang w:eastAsia="en-GB"/>
        </w:rPr>
      </w:pPr>
      <w:hyperlink w:anchor="_Toc7187575" w:history="1">
        <w:r w:rsidRPr="00326D76">
          <w:rPr>
            <w:rStyle w:val="Hyperlink"/>
            <w:noProof/>
          </w:rPr>
          <w:t>9.1.1 Is the Heat Mapping Methodology Accurate?</w:t>
        </w:r>
        <w:r>
          <w:rPr>
            <w:noProof/>
            <w:webHidden/>
          </w:rPr>
          <w:tab/>
        </w:r>
        <w:r>
          <w:rPr>
            <w:noProof/>
            <w:webHidden/>
          </w:rPr>
          <w:fldChar w:fldCharType="begin"/>
        </w:r>
        <w:r>
          <w:rPr>
            <w:noProof/>
            <w:webHidden/>
          </w:rPr>
          <w:instrText xml:space="preserve"> PAGEREF _Toc7187575 \h </w:instrText>
        </w:r>
        <w:r>
          <w:rPr>
            <w:noProof/>
            <w:webHidden/>
          </w:rPr>
        </w:r>
        <w:r>
          <w:rPr>
            <w:noProof/>
            <w:webHidden/>
          </w:rPr>
          <w:fldChar w:fldCharType="separate"/>
        </w:r>
        <w:r>
          <w:rPr>
            <w:noProof/>
            <w:webHidden/>
          </w:rPr>
          <w:t>170</w:t>
        </w:r>
        <w:r>
          <w:rPr>
            <w:noProof/>
            <w:webHidden/>
          </w:rPr>
          <w:fldChar w:fldCharType="end"/>
        </w:r>
      </w:hyperlink>
    </w:p>
    <w:p w14:paraId="1347E828" w14:textId="70C644E6" w:rsidR="00CB7456" w:rsidRDefault="00CB7456">
      <w:pPr>
        <w:pStyle w:val="TOC3"/>
        <w:tabs>
          <w:tab w:val="right" w:leader="dot" w:pos="8188"/>
        </w:tabs>
        <w:rPr>
          <w:noProof/>
          <w:lang w:eastAsia="en-GB"/>
        </w:rPr>
      </w:pPr>
      <w:hyperlink w:anchor="_Toc7187576" w:history="1">
        <w:r w:rsidRPr="00326D76">
          <w:rPr>
            <w:rStyle w:val="Hyperlink"/>
            <w:noProof/>
          </w:rPr>
          <w:t>9.1.2 Is the Quantification of the Industrial Heat Supply Variation Accurate?</w:t>
        </w:r>
        <w:r>
          <w:rPr>
            <w:noProof/>
            <w:webHidden/>
          </w:rPr>
          <w:tab/>
        </w:r>
        <w:r>
          <w:rPr>
            <w:noProof/>
            <w:webHidden/>
          </w:rPr>
          <w:fldChar w:fldCharType="begin"/>
        </w:r>
        <w:r>
          <w:rPr>
            <w:noProof/>
            <w:webHidden/>
          </w:rPr>
          <w:instrText xml:space="preserve"> PAGEREF _Toc7187576 \h </w:instrText>
        </w:r>
        <w:r>
          <w:rPr>
            <w:noProof/>
            <w:webHidden/>
          </w:rPr>
        </w:r>
        <w:r>
          <w:rPr>
            <w:noProof/>
            <w:webHidden/>
          </w:rPr>
          <w:fldChar w:fldCharType="separate"/>
        </w:r>
        <w:r>
          <w:rPr>
            <w:noProof/>
            <w:webHidden/>
          </w:rPr>
          <w:t>171</w:t>
        </w:r>
        <w:r>
          <w:rPr>
            <w:noProof/>
            <w:webHidden/>
          </w:rPr>
          <w:fldChar w:fldCharType="end"/>
        </w:r>
      </w:hyperlink>
    </w:p>
    <w:p w14:paraId="48A20D6A" w14:textId="64F7CD92" w:rsidR="00CB7456" w:rsidRDefault="00CB7456">
      <w:pPr>
        <w:pStyle w:val="TOC3"/>
        <w:tabs>
          <w:tab w:val="right" w:leader="dot" w:pos="8188"/>
        </w:tabs>
        <w:rPr>
          <w:noProof/>
          <w:lang w:eastAsia="en-GB"/>
        </w:rPr>
      </w:pPr>
      <w:hyperlink w:anchor="_Toc7187577" w:history="1">
        <w:r w:rsidRPr="00326D76">
          <w:rPr>
            <w:rStyle w:val="Hyperlink"/>
            <w:noProof/>
          </w:rPr>
          <w:t>9.1.3 Is the Waste Heat Recovery Model Accurate?</w:t>
        </w:r>
        <w:r>
          <w:rPr>
            <w:noProof/>
            <w:webHidden/>
          </w:rPr>
          <w:tab/>
        </w:r>
        <w:r>
          <w:rPr>
            <w:noProof/>
            <w:webHidden/>
          </w:rPr>
          <w:fldChar w:fldCharType="begin"/>
        </w:r>
        <w:r>
          <w:rPr>
            <w:noProof/>
            <w:webHidden/>
          </w:rPr>
          <w:instrText xml:space="preserve"> PAGEREF _Toc7187577 \h </w:instrText>
        </w:r>
        <w:r>
          <w:rPr>
            <w:noProof/>
            <w:webHidden/>
          </w:rPr>
        </w:r>
        <w:r>
          <w:rPr>
            <w:noProof/>
            <w:webHidden/>
          </w:rPr>
          <w:fldChar w:fldCharType="separate"/>
        </w:r>
        <w:r>
          <w:rPr>
            <w:noProof/>
            <w:webHidden/>
          </w:rPr>
          <w:t>172</w:t>
        </w:r>
        <w:r>
          <w:rPr>
            <w:noProof/>
            <w:webHidden/>
          </w:rPr>
          <w:fldChar w:fldCharType="end"/>
        </w:r>
      </w:hyperlink>
    </w:p>
    <w:p w14:paraId="0BE96EE8" w14:textId="4260AF03" w:rsidR="00CB7456" w:rsidRDefault="00CB7456">
      <w:pPr>
        <w:pStyle w:val="TOC3"/>
        <w:tabs>
          <w:tab w:val="right" w:leader="dot" w:pos="8188"/>
        </w:tabs>
        <w:rPr>
          <w:noProof/>
          <w:lang w:eastAsia="en-GB"/>
        </w:rPr>
      </w:pPr>
      <w:hyperlink w:anchor="_Toc7187578" w:history="1">
        <w:r w:rsidRPr="00326D76">
          <w:rPr>
            <w:rStyle w:val="Hyperlink"/>
            <w:noProof/>
          </w:rPr>
          <w:t>9.1.4 Is the Heat Demand Model Accurate?</w:t>
        </w:r>
        <w:r>
          <w:rPr>
            <w:noProof/>
            <w:webHidden/>
          </w:rPr>
          <w:tab/>
        </w:r>
        <w:r>
          <w:rPr>
            <w:noProof/>
            <w:webHidden/>
          </w:rPr>
          <w:fldChar w:fldCharType="begin"/>
        </w:r>
        <w:r>
          <w:rPr>
            <w:noProof/>
            <w:webHidden/>
          </w:rPr>
          <w:instrText xml:space="preserve"> PAGEREF _Toc7187578 \h </w:instrText>
        </w:r>
        <w:r>
          <w:rPr>
            <w:noProof/>
            <w:webHidden/>
          </w:rPr>
        </w:r>
        <w:r>
          <w:rPr>
            <w:noProof/>
            <w:webHidden/>
          </w:rPr>
          <w:fldChar w:fldCharType="separate"/>
        </w:r>
        <w:r>
          <w:rPr>
            <w:noProof/>
            <w:webHidden/>
          </w:rPr>
          <w:t>172</w:t>
        </w:r>
        <w:r>
          <w:rPr>
            <w:noProof/>
            <w:webHidden/>
          </w:rPr>
          <w:fldChar w:fldCharType="end"/>
        </w:r>
      </w:hyperlink>
    </w:p>
    <w:p w14:paraId="15507421" w14:textId="2155339E" w:rsidR="00CB7456" w:rsidRDefault="00CB7456">
      <w:pPr>
        <w:pStyle w:val="TOC3"/>
        <w:tabs>
          <w:tab w:val="right" w:leader="dot" w:pos="8188"/>
        </w:tabs>
        <w:rPr>
          <w:noProof/>
          <w:lang w:eastAsia="en-GB"/>
        </w:rPr>
      </w:pPr>
      <w:hyperlink w:anchor="_Toc7187579" w:history="1">
        <w:r w:rsidRPr="00326D76">
          <w:rPr>
            <w:rStyle w:val="Hyperlink"/>
            <w:noProof/>
          </w:rPr>
          <w:t>9.1.5 Is the District Heating Optimisation Model Accurate?</w:t>
        </w:r>
        <w:r>
          <w:rPr>
            <w:noProof/>
            <w:webHidden/>
          </w:rPr>
          <w:tab/>
        </w:r>
        <w:r>
          <w:rPr>
            <w:noProof/>
            <w:webHidden/>
          </w:rPr>
          <w:fldChar w:fldCharType="begin"/>
        </w:r>
        <w:r>
          <w:rPr>
            <w:noProof/>
            <w:webHidden/>
          </w:rPr>
          <w:instrText xml:space="preserve"> PAGEREF _Toc7187579 \h </w:instrText>
        </w:r>
        <w:r>
          <w:rPr>
            <w:noProof/>
            <w:webHidden/>
          </w:rPr>
        </w:r>
        <w:r>
          <w:rPr>
            <w:noProof/>
            <w:webHidden/>
          </w:rPr>
          <w:fldChar w:fldCharType="separate"/>
        </w:r>
        <w:r>
          <w:rPr>
            <w:noProof/>
            <w:webHidden/>
          </w:rPr>
          <w:t>173</w:t>
        </w:r>
        <w:r>
          <w:rPr>
            <w:noProof/>
            <w:webHidden/>
          </w:rPr>
          <w:fldChar w:fldCharType="end"/>
        </w:r>
      </w:hyperlink>
    </w:p>
    <w:p w14:paraId="4A83D228" w14:textId="0DDA8483" w:rsidR="00CB7456" w:rsidRDefault="00CB7456">
      <w:pPr>
        <w:pStyle w:val="TOC3"/>
        <w:tabs>
          <w:tab w:val="right" w:leader="dot" w:pos="8188"/>
        </w:tabs>
        <w:rPr>
          <w:noProof/>
          <w:lang w:eastAsia="en-GB"/>
        </w:rPr>
      </w:pPr>
      <w:hyperlink w:anchor="_Toc7187580" w:history="1">
        <w:r w:rsidRPr="00326D76">
          <w:rPr>
            <w:rStyle w:val="Hyperlink"/>
            <w:noProof/>
          </w:rPr>
          <w:t>9.1.6 Are the Techno-Economic and Environmental Models Accurate?</w:t>
        </w:r>
        <w:r>
          <w:rPr>
            <w:noProof/>
            <w:webHidden/>
          </w:rPr>
          <w:tab/>
        </w:r>
        <w:r>
          <w:rPr>
            <w:noProof/>
            <w:webHidden/>
          </w:rPr>
          <w:fldChar w:fldCharType="begin"/>
        </w:r>
        <w:r>
          <w:rPr>
            <w:noProof/>
            <w:webHidden/>
          </w:rPr>
          <w:instrText xml:space="preserve"> PAGEREF _Toc7187580 \h </w:instrText>
        </w:r>
        <w:r>
          <w:rPr>
            <w:noProof/>
            <w:webHidden/>
          </w:rPr>
        </w:r>
        <w:r>
          <w:rPr>
            <w:noProof/>
            <w:webHidden/>
          </w:rPr>
          <w:fldChar w:fldCharType="separate"/>
        </w:r>
        <w:r>
          <w:rPr>
            <w:noProof/>
            <w:webHidden/>
          </w:rPr>
          <w:t>173</w:t>
        </w:r>
        <w:r>
          <w:rPr>
            <w:noProof/>
            <w:webHidden/>
          </w:rPr>
          <w:fldChar w:fldCharType="end"/>
        </w:r>
      </w:hyperlink>
    </w:p>
    <w:p w14:paraId="3E221CE7" w14:textId="12111DA0" w:rsidR="00CB7456" w:rsidRDefault="00CB7456">
      <w:pPr>
        <w:pStyle w:val="TOC2"/>
        <w:tabs>
          <w:tab w:val="right" w:leader="dot" w:pos="8188"/>
        </w:tabs>
        <w:rPr>
          <w:noProof/>
          <w:lang w:eastAsia="en-GB"/>
        </w:rPr>
      </w:pPr>
      <w:hyperlink w:anchor="_Toc7187581" w:history="1">
        <w:r w:rsidRPr="00326D76">
          <w:rPr>
            <w:rStyle w:val="Hyperlink"/>
            <w:noProof/>
          </w:rPr>
          <w:t>9.2 Can the Feasibility Model be Applied to multiple District Heating Networks in the UK?</w:t>
        </w:r>
        <w:r>
          <w:rPr>
            <w:noProof/>
            <w:webHidden/>
          </w:rPr>
          <w:tab/>
        </w:r>
        <w:r>
          <w:rPr>
            <w:noProof/>
            <w:webHidden/>
          </w:rPr>
          <w:fldChar w:fldCharType="begin"/>
        </w:r>
        <w:r>
          <w:rPr>
            <w:noProof/>
            <w:webHidden/>
          </w:rPr>
          <w:instrText xml:space="preserve"> PAGEREF _Toc7187581 \h </w:instrText>
        </w:r>
        <w:r>
          <w:rPr>
            <w:noProof/>
            <w:webHidden/>
          </w:rPr>
        </w:r>
        <w:r>
          <w:rPr>
            <w:noProof/>
            <w:webHidden/>
          </w:rPr>
          <w:fldChar w:fldCharType="separate"/>
        </w:r>
        <w:r>
          <w:rPr>
            <w:noProof/>
            <w:webHidden/>
          </w:rPr>
          <w:t>174</w:t>
        </w:r>
        <w:r>
          <w:rPr>
            <w:noProof/>
            <w:webHidden/>
          </w:rPr>
          <w:fldChar w:fldCharType="end"/>
        </w:r>
      </w:hyperlink>
    </w:p>
    <w:p w14:paraId="3DBB91A0" w14:textId="3FACD8EB" w:rsidR="00CB7456" w:rsidRDefault="00CB7456">
      <w:pPr>
        <w:pStyle w:val="TOC3"/>
        <w:tabs>
          <w:tab w:val="right" w:leader="dot" w:pos="8188"/>
        </w:tabs>
        <w:rPr>
          <w:noProof/>
          <w:lang w:eastAsia="en-GB"/>
        </w:rPr>
      </w:pPr>
      <w:hyperlink w:anchor="_Toc7187582" w:history="1">
        <w:r w:rsidRPr="00326D76">
          <w:rPr>
            <w:rStyle w:val="Hyperlink"/>
            <w:noProof/>
          </w:rPr>
          <w:t>9.2.1 Can the Heat Mapping Methodology be Applied to multiple District Heating Networks in the UK?</w:t>
        </w:r>
        <w:r>
          <w:rPr>
            <w:noProof/>
            <w:webHidden/>
          </w:rPr>
          <w:tab/>
        </w:r>
        <w:r>
          <w:rPr>
            <w:noProof/>
            <w:webHidden/>
          </w:rPr>
          <w:fldChar w:fldCharType="begin"/>
        </w:r>
        <w:r>
          <w:rPr>
            <w:noProof/>
            <w:webHidden/>
          </w:rPr>
          <w:instrText xml:space="preserve"> PAGEREF _Toc7187582 \h </w:instrText>
        </w:r>
        <w:r>
          <w:rPr>
            <w:noProof/>
            <w:webHidden/>
          </w:rPr>
        </w:r>
        <w:r>
          <w:rPr>
            <w:noProof/>
            <w:webHidden/>
          </w:rPr>
          <w:fldChar w:fldCharType="separate"/>
        </w:r>
        <w:r>
          <w:rPr>
            <w:noProof/>
            <w:webHidden/>
          </w:rPr>
          <w:t>174</w:t>
        </w:r>
        <w:r>
          <w:rPr>
            <w:noProof/>
            <w:webHidden/>
          </w:rPr>
          <w:fldChar w:fldCharType="end"/>
        </w:r>
      </w:hyperlink>
    </w:p>
    <w:p w14:paraId="5FCE7A72" w14:textId="2EF311C6" w:rsidR="00CB7456" w:rsidRDefault="00CB7456">
      <w:pPr>
        <w:pStyle w:val="TOC3"/>
        <w:tabs>
          <w:tab w:val="right" w:leader="dot" w:pos="8188"/>
        </w:tabs>
        <w:rPr>
          <w:noProof/>
          <w:lang w:eastAsia="en-GB"/>
        </w:rPr>
      </w:pPr>
      <w:hyperlink w:anchor="_Toc7187583" w:history="1">
        <w:r w:rsidRPr="00326D76">
          <w:rPr>
            <w:rStyle w:val="Hyperlink"/>
            <w:noProof/>
          </w:rPr>
          <w:t>9.2.2 Can the Heat Demand Model be Applied to multiple District Heating Networks in the UK?</w:t>
        </w:r>
        <w:r>
          <w:rPr>
            <w:noProof/>
            <w:webHidden/>
          </w:rPr>
          <w:tab/>
        </w:r>
        <w:r>
          <w:rPr>
            <w:noProof/>
            <w:webHidden/>
          </w:rPr>
          <w:fldChar w:fldCharType="begin"/>
        </w:r>
        <w:r>
          <w:rPr>
            <w:noProof/>
            <w:webHidden/>
          </w:rPr>
          <w:instrText xml:space="preserve"> PAGEREF _Toc7187583 \h </w:instrText>
        </w:r>
        <w:r>
          <w:rPr>
            <w:noProof/>
            <w:webHidden/>
          </w:rPr>
        </w:r>
        <w:r>
          <w:rPr>
            <w:noProof/>
            <w:webHidden/>
          </w:rPr>
          <w:fldChar w:fldCharType="separate"/>
        </w:r>
        <w:r>
          <w:rPr>
            <w:noProof/>
            <w:webHidden/>
          </w:rPr>
          <w:t>175</w:t>
        </w:r>
        <w:r>
          <w:rPr>
            <w:noProof/>
            <w:webHidden/>
          </w:rPr>
          <w:fldChar w:fldCharType="end"/>
        </w:r>
      </w:hyperlink>
    </w:p>
    <w:p w14:paraId="0F3C40A8" w14:textId="703D3702" w:rsidR="00CB7456" w:rsidRDefault="00CB7456">
      <w:pPr>
        <w:pStyle w:val="TOC3"/>
        <w:tabs>
          <w:tab w:val="right" w:leader="dot" w:pos="8188"/>
        </w:tabs>
        <w:rPr>
          <w:noProof/>
          <w:lang w:eastAsia="en-GB"/>
        </w:rPr>
      </w:pPr>
      <w:hyperlink w:anchor="_Toc7187584" w:history="1">
        <w:r w:rsidRPr="00326D76">
          <w:rPr>
            <w:rStyle w:val="Hyperlink"/>
            <w:noProof/>
          </w:rPr>
          <w:t>9.2.3 Can the District Heating Optimisation Model be Applied to multiple District Heating Networks in the UK?</w:t>
        </w:r>
        <w:r>
          <w:rPr>
            <w:noProof/>
            <w:webHidden/>
          </w:rPr>
          <w:tab/>
        </w:r>
        <w:r>
          <w:rPr>
            <w:noProof/>
            <w:webHidden/>
          </w:rPr>
          <w:fldChar w:fldCharType="begin"/>
        </w:r>
        <w:r>
          <w:rPr>
            <w:noProof/>
            <w:webHidden/>
          </w:rPr>
          <w:instrText xml:space="preserve"> PAGEREF _Toc7187584 \h </w:instrText>
        </w:r>
        <w:r>
          <w:rPr>
            <w:noProof/>
            <w:webHidden/>
          </w:rPr>
        </w:r>
        <w:r>
          <w:rPr>
            <w:noProof/>
            <w:webHidden/>
          </w:rPr>
          <w:fldChar w:fldCharType="separate"/>
        </w:r>
        <w:r>
          <w:rPr>
            <w:noProof/>
            <w:webHidden/>
          </w:rPr>
          <w:t>175</w:t>
        </w:r>
        <w:r>
          <w:rPr>
            <w:noProof/>
            <w:webHidden/>
          </w:rPr>
          <w:fldChar w:fldCharType="end"/>
        </w:r>
      </w:hyperlink>
    </w:p>
    <w:p w14:paraId="15892D53" w14:textId="7489BB21" w:rsidR="00CB7456" w:rsidRDefault="00CB7456">
      <w:pPr>
        <w:pStyle w:val="TOC3"/>
        <w:tabs>
          <w:tab w:val="right" w:leader="dot" w:pos="8188"/>
        </w:tabs>
        <w:rPr>
          <w:noProof/>
          <w:lang w:eastAsia="en-GB"/>
        </w:rPr>
      </w:pPr>
      <w:hyperlink w:anchor="_Toc7187585" w:history="1">
        <w:r w:rsidRPr="00326D76">
          <w:rPr>
            <w:rStyle w:val="Hyperlink"/>
            <w:noProof/>
          </w:rPr>
          <w:t>9.2.4 Can the Techno-Economic and Environmental Assessment Models be Applied to multiple District Heating Networks in the UK?</w:t>
        </w:r>
        <w:r>
          <w:rPr>
            <w:noProof/>
            <w:webHidden/>
          </w:rPr>
          <w:tab/>
        </w:r>
        <w:r>
          <w:rPr>
            <w:noProof/>
            <w:webHidden/>
          </w:rPr>
          <w:fldChar w:fldCharType="begin"/>
        </w:r>
        <w:r>
          <w:rPr>
            <w:noProof/>
            <w:webHidden/>
          </w:rPr>
          <w:instrText xml:space="preserve"> PAGEREF _Toc7187585 \h </w:instrText>
        </w:r>
        <w:r>
          <w:rPr>
            <w:noProof/>
            <w:webHidden/>
          </w:rPr>
        </w:r>
        <w:r>
          <w:rPr>
            <w:noProof/>
            <w:webHidden/>
          </w:rPr>
          <w:fldChar w:fldCharType="separate"/>
        </w:r>
        <w:r>
          <w:rPr>
            <w:noProof/>
            <w:webHidden/>
          </w:rPr>
          <w:t>176</w:t>
        </w:r>
        <w:r>
          <w:rPr>
            <w:noProof/>
            <w:webHidden/>
          </w:rPr>
          <w:fldChar w:fldCharType="end"/>
        </w:r>
      </w:hyperlink>
    </w:p>
    <w:p w14:paraId="4A9C76C9" w14:textId="688AB0EC" w:rsidR="00CB7456" w:rsidRDefault="00CB7456">
      <w:pPr>
        <w:pStyle w:val="TOC2"/>
        <w:tabs>
          <w:tab w:val="right" w:leader="dot" w:pos="8188"/>
        </w:tabs>
        <w:rPr>
          <w:noProof/>
          <w:lang w:eastAsia="en-GB"/>
        </w:rPr>
      </w:pPr>
      <w:hyperlink w:anchor="_Toc7187586" w:history="1">
        <w:r w:rsidRPr="00326D76">
          <w:rPr>
            <w:rStyle w:val="Hyperlink"/>
            <w:noProof/>
          </w:rPr>
          <w:t>9.3 Is the Case Study District Heating Network Feasible?</w:t>
        </w:r>
        <w:r>
          <w:rPr>
            <w:noProof/>
            <w:webHidden/>
          </w:rPr>
          <w:tab/>
        </w:r>
        <w:r>
          <w:rPr>
            <w:noProof/>
            <w:webHidden/>
          </w:rPr>
          <w:fldChar w:fldCharType="begin"/>
        </w:r>
        <w:r>
          <w:rPr>
            <w:noProof/>
            <w:webHidden/>
          </w:rPr>
          <w:instrText xml:space="preserve"> PAGEREF _Toc7187586 \h </w:instrText>
        </w:r>
        <w:r>
          <w:rPr>
            <w:noProof/>
            <w:webHidden/>
          </w:rPr>
        </w:r>
        <w:r>
          <w:rPr>
            <w:noProof/>
            <w:webHidden/>
          </w:rPr>
          <w:fldChar w:fldCharType="separate"/>
        </w:r>
        <w:r>
          <w:rPr>
            <w:noProof/>
            <w:webHidden/>
          </w:rPr>
          <w:t>176</w:t>
        </w:r>
        <w:r>
          <w:rPr>
            <w:noProof/>
            <w:webHidden/>
          </w:rPr>
          <w:fldChar w:fldCharType="end"/>
        </w:r>
      </w:hyperlink>
    </w:p>
    <w:p w14:paraId="6F85C83F" w14:textId="1149BB81" w:rsidR="00CB7456" w:rsidRDefault="00CB7456">
      <w:pPr>
        <w:pStyle w:val="TOC1"/>
        <w:tabs>
          <w:tab w:val="right" w:leader="dot" w:pos="8188"/>
        </w:tabs>
        <w:rPr>
          <w:noProof/>
          <w:lang w:eastAsia="en-GB"/>
        </w:rPr>
      </w:pPr>
      <w:hyperlink w:anchor="_Toc7187587" w:history="1">
        <w:r w:rsidRPr="00326D76">
          <w:rPr>
            <w:rStyle w:val="Hyperlink"/>
            <w:noProof/>
          </w:rPr>
          <w:t>10 Conclusions</w:t>
        </w:r>
        <w:r>
          <w:rPr>
            <w:noProof/>
            <w:webHidden/>
          </w:rPr>
          <w:tab/>
        </w:r>
        <w:r>
          <w:rPr>
            <w:noProof/>
            <w:webHidden/>
          </w:rPr>
          <w:fldChar w:fldCharType="begin"/>
        </w:r>
        <w:r>
          <w:rPr>
            <w:noProof/>
            <w:webHidden/>
          </w:rPr>
          <w:instrText xml:space="preserve"> PAGEREF _Toc7187587 \h </w:instrText>
        </w:r>
        <w:r>
          <w:rPr>
            <w:noProof/>
            <w:webHidden/>
          </w:rPr>
        </w:r>
        <w:r>
          <w:rPr>
            <w:noProof/>
            <w:webHidden/>
          </w:rPr>
          <w:fldChar w:fldCharType="separate"/>
        </w:r>
        <w:r>
          <w:rPr>
            <w:noProof/>
            <w:webHidden/>
          </w:rPr>
          <w:t>178</w:t>
        </w:r>
        <w:r>
          <w:rPr>
            <w:noProof/>
            <w:webHidden/>
          </w:rPr>
          <w:fldChar w:fldCharType="end"/>
        </w:r>
      </w:hyperlink>
    </w:p>
    <w:p w14:paraId="7A6000CF" w14:textId="37BCE937" w:rsidR="00CB7456" w:rsidRDefault="00CB7456">
      <w:pPr>
        <w:pStyle w:val="TOC2"/>
        <w:tabs>
          <w:tab w:val="right" w:leader="dot" w:pos="8188"/>
        </w:tabs>
        <w:rPr>
          <w:noProof/>
          <w:lang w:eastAsia="en-GB"/>
        </w:rPr>
      </w:pPr>
      <w:hyperlink w:anchor="_Toc7187588" w:history="1">
        <w:r w:rsidRPr="00326D76">
          <w:rPr>
            <w:rStyle w:val="Hyperlink"/>
            <w:noProof/>
          </w:rPr>
          <w:t>10.1 Is the Simple Feasibility Model of multiple District Heating Networks Accurate?</w:t>
        </w:r>
        <w:r>
          <w:rPr>
            <w:noProof/>
            <w:webHidden/>
          </w:rPr>
          <w:tab/>
        </w:r>
        <w:r>
          <w:rPr>
            <w:noProof/>
            <w:webHidden/>
          </w:rPr>
          <w:fldChar w:fldCharType="begin"/>
        </w:r>
        <w:r>
          <w:rPr>
            <w:noProof/>
            <w:webHidden/>
          </w:rPr>
          <w:instrText xml:space="preserve"> PAGEREF _Toc7187588 \h </w:instrText>
        </w:r>
        <w:r>
          <w:rPr>
            <w:noProof/>
            <w:webHidden/>
          </w:rPr>
        </w:r>
        <w:r>
          <w:rPr>
            <w:noProof/>
            <w:webHidden/>
          </w:rPr>
          <w:fldChar w:fldCharType="separate"/>
        </w:r>
        <w:r>
          <w:rPr>
            <w:noProof/>
            <w:webHidden/>
          </w:rPr>
          <w:t>178</w:t>
        </w:r>
        <w:r>
          <w:rPr>
            <w:noProof/>
            <w:webHidden/>
          </w:rPr>
          <w:fldChar w:fldCharType="end"/>
        </w:r>
      </w:hyperlink>
    </w:p>
    <w:p w14:paraId="500C0301" w14:textId="73BF7DFD" w:rsidR="00CB7456" w:rsidRDefault="00CB7456">
      <w:pPr>
        <w:pStyle w:val="TOC2"/>
        <w:tabs>
          <w:tab w:val="right" w:leader="dot" w:pos="8188"/>
        </w:tabs>
        <w:rPr>
          <w:noProof/>
          <w:lang w:eastAsia="en-GB"/>
        </w:rPr>
      </w:pPr>
      <w:hyperlink w:anchor="_Toc7187589" w:history="1">
        <w:r w:rsidRPr="00326D76">
          <w:rPr>
            <w:rStyle w:val="Hyperlink"/>
            <w:noProof/>
          </w:rPr>
          <w:t>10.2 Can the Feasibility Model be Applied to multiple District Heating Networks in the UK?</w:t>
        </w:r>
        <w:r>
          <w:rPr>
            <w:noProof/>
            <w:webHidden/>
          </w:rPr>
          <w:tab/>
        </w:r>
        <w:r>
          <w:rPr>
            <w:noProof/>
            <w:webHidden/>
          </w:rPr>
          <w:fldChar w:fldCharType="begin"/>
        </w:r>
        <w:r>
          <w:rPr>
            <w:noProof/>
            <w:webHidden/>
          </w:rPr>
          <w:instrText xml:space="preserve"> PAGEREF _Toc7187589 \h </w:instrText>
        </w:r>
        <w:r>
          <w:rPr>
            <w:noProof/>
            <w:webHidden/>
          </w:rPr>
        </w:r>
        <w:r>
          <w:rPr>
            <w:noProof/>
            <w:webHidden/>
          </w:rPr>
          <w:fldChar w:fldCharType="separate"/>
        </w:r>
        <w:r>
          <w:rPr>
            <w:noProof/>
            <w:webHidden/>
          </w:rPr>
          <w:t>180</w:t>
        </w:r>
        <w:r>
          <w:rPr>
            <w:noProof/>
            <w:webHidden/>
          </w:rPr>
          <w:fldChar w:fldCharType="end"/>
        </w:r>
      </w:hyperlink>
    </w:p>
    <w:p w14:paraId="77DC164D" w14:textId="0B346DDD" w:rsidR="00CB7456" w:rsidRDefault="00CB7456">
      <w:pPr>
        <w:pStyle w:val="TOC2"/>
        <w:tabs>
          <w:tab w:val="right" w:leader="dot" w:pos="8188"/>
        </w:tabs>
        <w:rPr>
          <w:noProof/>
          <w:lang w:eastAsia="en-GB"/>
        </w:rPr>
      </w:pPr>
      <w:hyperlink w:anchor="_Toc7187590" w:history="1">
        <w:r w:rsidRPr="00326D76">
          <w:rPr>
            <w:rStyle w:val="Hyperlink"/>
            <w:noProof/>
          </w:rPr>
          <w:t>10.3 Is the Case Study District Heating Network Feasible?</w:t>
        </w:r>
        <w:r>
          <w:rPr>
            <w:noProof/>
            <w:webHidden/>
          </w:rPr>
          <w:tab/>
        </w:r>
        <w:r>
          <w:rPr>
            <w:noProof/>
            <w:webHidden/>
          </w:rPr>
          <w:fldChar w:fldCharType="begin"/>
        </w:r>
        <w:r>
          <w:rPr>
            <w:noProof/>
            <w:webHidden/>
          </w:rPr>
          <w:instrText xml:space="preserve"> PAGEREF _Toc7187590 \h </w:instrText>
        </w:r>
        <w:r>
          <w:rPr>
            <w:noProof/>
            <w:webHidden/>
          </w:rPr>
        </w:r>
        <w:r>
          <w:rPr>
            <w:noProof/>
            <w:webHidden/>
          </w:rPr>
          <w:fldChar w:fldCharType="separate"/>
        </w:r>
        <w:r>
          <w:rPr>
            <w:noProof/>
            <w:webHidden/>
          </w:rPr>
          <w:t>181</w:t>
        </w:r>
        <w:r>
          <w:rPr>
            <w:noProof/>
            <w:webHidden/>
          </w:rPr>
          <w:fldChar w:fldCharType="end"/>
        </w:r>
      </w:hyperlink>
    </w:p>
    <w:p w14:paraId="5150791D" w14:textId="3FFE9C88" w:rsidR="00CB7456" w:rsidRDefault="00CB7456">
      <w:pPr>
        <w:pStyle w:val="TOC1"/>
        <w:tabs>
          <w:tab w:val="right" w:leader="dot" w:pos="8188"/>
        </w:tabs>
        <w:rPr>
          <w:noProof/>
          <w:lang w:eastAsia="en-GB"/>
        </w:rPr>
      </w:pPr>
      <w:hyperlink w:anchor="_Toc7187591" w:history="1">
        <w:r w:rsidRPr="00326D76">
          <w:rPr>
            <w:rStyle w:val="Hyperlink"/>
            <w:noProof/>
          </w:rPr>
          <w:t>11 Future Work</w:t>
        </w:r>
        <w:r>
          <w:rPr>
            <w:noProof/>
            <w:webHidden/>
          </w:rPr>
          <w:tab/>
        </w:r>
        <w:r>
          <w:rPr>
            <w:noProof/>
            <w:webHidden/>
          </w:rPr>
          <w:fldChar w:fldCharType="begin"/>
        </w:r>
        <w:r>
          <w:rPr>
            <w:noProof/>
            <w:webHidden/>
          </w:rPr>
          <w:instrText xml:space="preserve"> PAGEREF _Toc7187591 \h </w:instrText>
        </w:r>
        <w:r>
          <w:rPr>
            <w:noProof/>
            <w:webHidden/>
          </w:rPr>
        </w:r>
        <w:r>
          <w:rPr>
            <w:noProof/>
            <w:webHidden/>
          </w:rPr>
          <w:fldChar w:fldCharType="separate"/>
        </w:r>
        <w:r>
          <w:rPr>
            <w:noProof/>
            <w:webHidden/>
          </w:rPr>
          <w:t>182</w:t>
        </w:r>
        <w:r>
          <w:rPr>
            <w:noProof/>
            <w:webHidden/>
          </w:rPr>
          <w:fldChar w:fldCharType="end"/>
        </w:r>
      </w:hyperlink>
    </w:p>
    <w:p w14:paraId="1743322B" w14:textId="3A1F9252" w:rsidR="00CB7456" w:rsidRDefault="00CB7456">
      <w:pPr>
        <w:pStyle w:val="TOC2"/>
        <w:tabs>
          <w:tab w:val="right" w:leader="dot" w:pos="8188"/>
        </w:tabs>
        <w:rPr>
          <w:noProof/>
          <w:lang w:eastAsia="en-GB"/>
        </w:rPr>
      </w:pPr>
      <w:hyperlink w:anchor="_Toc7187592" w:history="1">
        <w:r w:rsidRPr="00326D76">
          <w:rPr>
            <w:rStyle w:val="Hyperlink"/>
            <w:noProof/>
          </w:rPr>
          <w:t>11.1 Including More Thermal Energy Generating Options</w:t>
        </w:r>
        <w:r>
          <w:rPr>
            <w:noProof/>
            <w:webHidden/>
          </w:rPr>
          <w:tab/>
        </w:r>
        <w:r>
          <w:rPr>
            <w:noProof/>
            <w:webHidden/>
          </w:rPr>
          <w:fldChar w:fldCharType="begin"/>
        </w:r>
        <w:r>
          <w:rPr>
            <w:noProof/>
            <w:webHidden/>
          </w:rPr>
          <w:instrText xml:space="preserve"> PAGEREF _Toc7187592 \h </w:instrText>
        </w:r>
        <w:r>
          <w:rPr>
            <w:noProof/>
            <w:webHidden/>
          </w:rPr>
        </w:r>
        <w:r>
          <w:rPr>
            <w:noProof/>
            <w:webHidden/>
          </w:rPr>
          <w:fldChar w:fldCharType="separate"/>
        </w:r>
        <w:r>
          <w:rPr>
            <w:noProof/>
            <w:webHidden/>
          </w:rPr>
          <w:t>182</w:t>
        </w:r>
        <w:r>
          <w:rPr>
            <w:noProof/>
            <w:webHidden/>
          </w:rPr>
          <w:fldChar w:fldCharType="end"/>
        </w:r>
      </w:hyperlink>
    </w:p>
    <w:p w14:paraId="07E84CED" w14:textId="3CD928FE" w:rsidR="00CB7456" w:rsidRDefault="00CB7456">
      <w:pPr>
        <w:pStyle w:val="TOC2"/>
        <w:tabs>
          <w:tab w:val="right" w:leader="dot" w:pos="8188"/>
        </w:tabs>
        <w:rPr>
          <w:noProof/>
          <w:lang w:eastAsia="en-GB"/>
        </w:rPr>
      </w:pPr>
      <w:hyperlink w:anchor="_Toc7187593" w:history="1">
        <w:r w:rsidRPr="00326D76">
          <w:rPr>
            <w:rStyle w:val="Hyperlink"/>
            <w:noProof/>
          </w:rPr>
          <w:t>11.2 Considering More than One Heat Source in the District Heating Network</w:t>
        </w:r>
        <w:r>
          <w:rPr>
            <w:noProof/>
            <w:webHidden/>
          </w:rPr>
          <w:tab/>
        </w:r>
        <w:r>
          <w:rPr>
            <w:noProof/>
            <w:webHidden/>
          </w:rPr>
          <w:fldChar w:fldCharType="begin"/>
        </w:r>
        <w:r>
          <w:rPr>
            <w:noProof/>
            <w:webHidden/>
          </w:rPr>
          <w:instrText xml:space="preserve"> PAGEREF _Toc7187593 \h </w:instrText>
        </w:r>
        <w:r>
          <w:rPr>
            <w:noProof/>
            <w:webHidden/>
          </w:rPr>
        </w:r>
        <w:r>
          <w:rPr>
            <w:noProof/>
            <w:webHidden/>
          </w:rPr>
          <w:fldChar w:fldCharType="separate"/>
        </w:r>
        <w:r>
          <w:rPr>
            <w:noProof/>
            <w:webHidden/>
          </w:rPr>
          <w:t>182</w:t>
        </w:r>
        <w:r>
          <w:rPr>
            <w:noProof/>
            <w:webHidden/>
          </w:rPr>
          <w:fldChar w:fldCharType="end"/>
        </w:r>
      </w:hyperlink>
    </w:p>
    <w:p w14:paraId="75DBE780" w14:textId="4C625495" w:rsidR="00CB7456" w:rsidRDefault="00CB7456">
      <w:pPr>
        <w:pStyle w:val="TOC2"/>
        <w:tabs>
          <w:tab w:val="right" w:leader="dot" w:pos="8188"/>
        </w:tabs>
        <w:rPr>
          <w:noProof/>
          <w:lang w:eastAsia="en-GB"/>
        </w:rPr>
      </w:pPr>
      <w:hyperlink w:anchor="_Toc7187594" w:history="1">
        <w:r w:rsidRPr="00326D76">
          <w:rPr>
            <w:rStyle w:val="Hyperlink"/>
            <w:noProof/>
          </w:rPr>
          <w:t>11.3 Using Different Pipe Diameters and Pump Sizes in the District Heating Network</w:t>
        </w:r>
        <w:r>
          <w:rPr>
            <w:noProof/>
            <w:webHidden/>
          </w:rPr>
          <w:tab/>
        </w:r>
        <w:r>
          <w:rPr>
            <w:noProof/>
            <w:webHidden/>
          </w:rPr>
          <w:fldChar w:fldCharType="begin"/>
        </w:r>
        <w:r>
          <w:rPr>
            <w:noProof/>
            <w:webHidden/>
          </w:rPr>
          <w:instrText xml:space="preserve"> PAGEREF _Toc7187594 \h </w:instrText>
        </w:r>
        <w:r>
          <w:rPr>
            <w:noProof/>
            <w:webHidden/>
          </w:rPr>
        </w:r>
        <w:r>
          <w:rPr>
            <w:noProof/>
            <w:webHidden/>
          </w:rPr>
          <w:fldChar w:fldCharType="separate"/>
        </w:r>
        <w:r>
          <w:rPr>
            <w:noProof/>
            <w:webHidden/>
          </w:rPr>
          <w:t>183</w:t>
        </w:r>
        <w:r>
          <w:rPr>
            <w:noProof/>
            <w:webHidden/>
          </w:rPr>
          <w:fldChar w:fldCharType="end"/>
        </w:r>
      </w:hyperlink>
    </w:p>
    <w:p w14:paraId="104D1DAD" w14:textId="7FF839F7" w:rsidR="00CB7456" w:rsidRDefault="00CB7456">
      <w:pPr>
        <w:pStyle w:val="TOC2"/>
        <w:tabs>
          <w:tab w:val="right" w:leader="dot" w:pos="8188"/>
        </w:tabs>
        <w:rPr>
          <w:noProof/>
          <w:lang w:eastAsia="en-GB"/>
        </w:rPr>
      </w:pPr>
      <w:hyperlink w:anchor="_Toc7187595" w:history="1">
        <w:r w:rsidRPr="00326D76">
          <w:rPr>
            <w:rStyle w:val="Hyperlink"/>
            <w:noProof/>
          </w:rPr>
          <w:t>11.4 Expanding the District Heating Optimisation Model</w:t>
        </w:r>
        <w:r>
          <w:rPr>
            <w:noProof/>
            <w:webHidden/>
          </w:rPr>
          <w:tab/>
        </w:r>
        <w:r>
          <w:rPr>
            <w:noProof/>
            <w:webHidden/>
          </w:rPr>
          <w:fldChar w:fldCharType="begin"/>
        </w:r>
        <w:r>
          <w:rPr>
            <w:noProof/>
            <w:webHidden/>
          </w:rPr>
          <w:instrText xml:space="preserve"> PAGEREF _Toc7187595 \h </w:instrText>
        </w:r>
        <w:r>
          <w:rPr>
            <w:noProof/>
            <w:webHidden/>
          </w:rPr>
        </w:r>
        <w:r>
          <w:rPr>
            <w:noProof/>
            <w:webHidden/>
          </w:rPr>
          <w:fldChar w:fldCharType="separate"/>
        </w:r>
        <w:r>
          <w:rPr>
            <w:noProof/>
            <w:webHidden/>
          </w:rPr>
          <w:t>183</w:t>
        </w:r>
        <w:r>
          <w:rPr>
            <w:noProof/>
            <w:webHidden/>
          </w:rPr>
          <w:fldChar w:fldCharType="end"/>
        </w:r>
      </w:hyperlink>
    </w:p>
    <w:p w14:paraId="79783934" w14:textId="695C0B84" w:rsidR="00CB7456" w:rsidRDefault="00CB7456">
      <w:pPr>
        <w:pStyle w:val="TOC2"/>
        <w:tabs>
          <w:tab w:val="right" w:leader="dot" w:pos="8188"/>
        </w:tabs>
        <w:rPr>
          <w:noProof/>
          <w:lang w:eastAsia="en-GB"/>
        </w:rPr>
      </w:pPr>
      <w:hyperlink w:anchor="_Toc7187596" w:history="1">
        <w:r w:rsidRPr="00326D76">
          <w:rPr>
            <w:rStyle w:val="Hyperlink"/>
            <w:noProof/>
          </w:rPr>
          <w:t>11.5 Running a Validation Study for the District Heating Optimisation Model</w:t>
        </w:r>
        <w:r>
          <w:rPr>
            <w:noProof/>
            <w:webHidden/>
          </w:rPr>
          <w:tab/>
        </w:r>
        <w:r>
          <w:rPr>
            <w:noProof/>
            <w:webHidden/>
          </w:rPr>
          <w:fldChar w:fldCharType="begin"/>
        </w:r>
        <w:r>
          <w:rPr>
            <w:noProof/>
            <w:webHidden/>
          </w:rPr>
          <w:instrText xml:space="preserve"> PAGEREF _Toc7187596 \h </w:instrText>
        </w:r>
        <w:r>
          <w:rPr>
            <w:noProof/>
            <w:webHidden/>
          </w:rPr>
        </w:r>
        <w:r>
          <w:rPr>
            <w:noProof/>
            <w:webHidden/>
          </w:rPr>
          <w:fldChar w:fldCharType="separate"/>
        </w:r>
        <w:r>
          <w:rPr>
            <w:noProof/>
            <w:webHidden/>
          </w:rPr>
          <w:t>184</w:t>
        </w:r>
        <w:r>
          <w:rPr>
            <w:noProof/>
            <w:webHidden/>
          </w:rPr>
          <w:fldChar w:fldCharType="end"/>
        </w:r>
      </w:hyperlink>
    </w:p>
    <w:p w14:paraId="14378B69" w14:textId="2BB198BB" w:rsidR="00CB7456" w:rsidRDefault="00CB7456">
      <w:pPr>
        <w:pStyle w:val="TOC2"/>
        <w:tabs>
          <w:tab w:val="right" w:leader="dot" w:pos="8188"/>
        </w:tabs>
        <w:rPr>
          <w:noProof/>
          <w:lang w:eastAsia="en-GB"/>
        </w:rPr>
      </w:pPr>
      <w:hyperlink w:anchor="_Toc7187597" w:history="1">
        <w:r w:rsidRPr="00326D76">
          <w:rPr>
            <w:rStyle w:val="Hyperlink"/>
            <w:noProof/>
          </w:rPr>
          <w:t>11.6 More Detailed Techno-Economic and Environmental Assessment Models</w:t>
        </w:r>
        <w:r>
          <w:rPr>
            <w:noProof/>
            <w:webHidden/>
          </w:rPr>
          <w:tab/>
        </w:r>
        <w:r>
          <w:rPr>
            <w:noProof/>
            <w:webHidden/>
          </w:rPr>
          <w:fldChar w:fldCharType="begin"/>
        </w:r>
        <w:r>
          <w:rPr>
            <w:noProof/>
            <w:webHidden/>
          </w:rPr>
          <w:instrText xml:space="preserve"> PAGEREF _Toc7187597 \h </w:instrText>
        </w:r>
        <w:r>
          <w:rPr>
            <w:noProof/>
            <w:webHidden/>
          </w:rPr>
        </w:r>
        <w:r>
          <w:rPr>
            <w:noProof/>
            <w:webHidden/>
          </w:rPr>
          <w:fldChar w:fldCharType="separate"/>
        </w:r>
        <w:r>
          <w:rPr>
            <w:noProof/>
            <w:webHidden/>
          </w:rPr>
          <w:t>184</w:t>
        </w:r>
        <w:r>
          <w:rPr>
            <w:noProof/>
            <w:webHidden/>
          </w:rPr>
          <w:fldChar w:fldCharType="end"/>
        </w:r>
      </w:hyperlink>
    </w:p>
    <w:p w14:paraId="31EBF703" w14:textId="59616C66" w:rsidR="00CB7456" w:rsidRDefault="00CB7456">
      <w:pPr>
        <w:pStyle w:val="TOC2"/>
        <w:tabs>
          <w:tab w:val="right" w:leader="dot" w:pos="8188"/>
        </w:tabs>
        <w:rPr>
          <w:noProof/>
          <w:lang w:eastAsia="en-GB"/>
        </w:rPr>
      </w:pPr>
      <w:hyperlink w:anchor="_Toc7187598" w:history="1">
        <w:r w:rsidRPr="00326D76">
          <w:rPr>
            <w:rStyle w:val="Hyperlink"/>
            <w:noProof/>
          </w:rPr>
          <w:t>11.7 Using the Overall Feasibility Model for More than One Case Study</w:t>
        </w:r>
        <w:r>
          <w:rPr>
            <w:noProof/>
            <w:webHidden/>
          </w:rPr>
          <w:tab/>
        </w:r>
        <w:r>
          <w:rPr>
            <w:noProof/>
            <w:webHidden/>
          </w:rPr>
          <w:fldChar w:fldCharType="begin"/>
        </w:r>
        <w:r>
          <w:rPr>
            <w:noProof/>
            <w:webHidden/>
          </w:rPr>
          <w:instrText xml:space="preserve"> PAGEREF _Toc7187598 \h </w:instrText>
        </w:r>
        <w:r>
          <w:rPr>
            <w:noProof/>
            <w:webHidden/>
          </w:rPr>
        </w:r>
        <w:r>
          <w:rPr>
            <w:noProof/>
            <w:webHidden/>
          </w:rPr>
          <w:fldChar w:fldCharType="separate"/>
        </w:r>
        <w:r>
          <w:rPr>
            <w:noProof/>
            <w:webHidden/>
          </w:rPr>
          <w:t>185</w:t>
        </w:r>
        <w:r>
          <w:rPr>
            <w:noProof/>
            <w:webHidden/>
          </w:rPr>
          <w:fldChar w:fldCharType="end"/>
        </w:r>
      </w:hyperlink>
    </w:p>
    <w:p w14:paraId="44700CF3" w14:textId="7D2AF45B" w:rsidR="00CB7456" w:rsidRDefault="00CB7456">
      <w:pPr>
        <w:pStyle w:val="TOC1"/>
        <w:tabs>
          <w:tab w:val="right" w:leader="dot" w:pos="8188"/>
        </w:tabs>
        <w:rPr>
          <w:noProof/>
          <w:lang w:eastAsia="en-GB"/>
        </w:rPr>
      </w:pPr>
      <w:hyperlink w:anchor="_Toc7187599" w:history="1">
        <w:r w:rsidRPr="00326D76">
          <w:rPr>
            <w:rStyle w:val="Hyperlink"/>
            <w:noProof/>
          </w:rPr>
          <w:t>12 References</w:t>
        </w:r>
        <w:r>
          <w:rPr>
            <w:noProof/>
            <w:webHidden/>
          </w:rPr>
          <w:tab/>
        </w:r>
        <w:r>
          <w:rPr>
            <w:noProof/>
            <w:webHidden/>
          </w:rPr>
          <w:fldChar w:fldCharType="begin"/>
        </w:r>
        <w:r>
          <w:rPr>
            <w:noProof/>
            <w:webHidden/>
          </w:rPr>
          <w:instrText xml:space="preserve"> PAGEREF _Toc7187599 \h </w:instrText>
        </w:r>
        <w:r>
          <w:rPr>
            <w:noProof/>
            <w:webHidden/>
          </w:rPr>
        </w:r>
        <w:r>
          <w:rPr>
            <w:noProof/>
            <w:webHidden/>
          </w:rPr>
          <w:fldChar w:fldCharType="separate"/>
        </w:r>
        <w:r>
          <w:rPr>
            <w:noProof/>
            <w:webHidden/>
          </w:rPr>
          <w:t>186</w:t>
        </w:r>
        <w:r>
          <w:rPr>
            <w:noProof/>
            <w:webHidden/>
          </w:rPr>
          <w:fldChar w:fldCharType="end"/>
        </w:r>
      </w:hyperlink>
    </w:p>
    <w:p w14:paraId="19AD9E78" w14:textId="6F3C200C" w:rsidR="00CB7456" w:rsidRDefault="00CB7456">
      <w:pPr>
        <w:pStyle w:val="TOC1"/>
        <w:tabs>
          <w:tab w:val="right" w:leader="dot" w:pos="8188"/>
        </w:tabs>
        <w:rPr>
          <w:noProof/>
          <w:lang w:eastAsia="en-GB"/>
        </w:rPr>
      </w:pPr>
      <w:hyperlink w:anchor="_Toc7187600" w:history="1">
        <w:r w:rsidRPr="00326D76">
          <w:rPr>
            <w:rStyle w:val="Hyperlink"/>
            <w:noProof/>
          </w:rPr>
          <w:t>13 Appendix</w:t>
        </w:r>
        <w:r>
          <w:rPr>
            <w:noProof/>
            <w:webHidden/>
          </w:rPr>
          <w:tab/>
        </w:r>
        <w:r>
          <w:rPr>
            <w:noProof/>
            <w:webHidden/>
          </w:rPr>
          <w:fldChar w:fldCharType="begin"/>
        </w:r>
        <w:r>
          <w:rPr>
            <w:noProof/>
            <w:webHidden/>
          </w:rPr>
          <w:instrText xml:space="preserve"> PAGEREF _Toc7187600 \h </w:instrText>
        </w:r>
        <w:r>
          <w:rPr>
            <w:noProof/>
            <w:webHidden/>
          </w:rPr>
        </w:r>
        <w:r>
          <w:rPr>
            <w:noProof/>
            <w:webHidden/>
          </w:rPr>
          <w:fldChar w:fldCharType="separate"/>
        </w:r>
        <w:r>
          <w:rPr>
            <w:noProof/>
            <w:webHidden/>
          </w:rPr>
          <w:t>205</w:t>
        </w:r>
        <w:r>
          <w:rPr>
            <w:noProof/>
            <w:webHidden/>
          </w:rPr>
          <w:fldChar w:fldCharType="end"/>
        </w:r>
      </w:hyperlink>
    </w:p>
    <w:p w14:paraId="34A5336B" w14:textId="0FF598E0" w:rsidR="00CB7456" w:rsidRDefault="00CB7456">
      <w:pPr>
        <w:pStyle w:val="TOC2"/>
        <w:tabs>
          <w:tab w:val="right" w:leader="dot" w:pos="8188"/>
        </w:tabs>
        <w:rPr>
          <w:noProof/>
          <w:lang w:eastAsia="en-GB"/>
        </w:rPr>
      </w:pPr>
      <w:hyperlink w:anchor="_Toc7187601" w:history="1">
        <w:r w:rsidRPr="00326D76">
          <w:rPr>
            <w:rStyle w:val="Hyperlink"/>
            <w:noProof/>
          </w:rPr>
          <w:t>13.1 Summary of Customers in the Heat Mapping Process</w:t>
        </w:r>
        <w:r>
          <w:rPr>
            <w:noProof/>
            <w:webHidden/>
          </w:rPr>
          <w:tab/>
        </w:r>
        <w:r>
          <w:rPr>
            <w:noProof/>
            <w:webHidden/>
          </w:rPr>
          <w:fldChar w:fldCharType="begin"/>
        </w:r>
        <w:r>
          <w:rPr>
            <w:noProof/>
            <w:webHidden/>
          </w:rPr>
          <w:instrText xml:space="preserve"> PAGEREF _Toc7187601 \h </w:instrText>
        </w:r>
        <w:r>
          <w:rPr>
            <w:noProof/>
            <w:webHidden/>
          </w:rPr>
        </w:r>
        <w:r>
          <w:rPr>
            <w:noProof/>
            <w:webHidden/>
          </w:rPr>
          <w:fldChar w:fldCharType="separate"/>
        </w:r>
        <w:r>
          <w:rPr>
            <w:noProof/>
            <w:webHidden/>
          </w:rPr>
          <w:t>205</w:t>
        </w:r>
        <w:r>
          <w:rPr>
            <w:noProof/>
            <w:webHidden/>
          </w:rPr>
          <w:fldChar w:fldCharType="end"/>
        </w:r>
      </w:hyperlink>
    </w:p>
    <w:p w14:paraId="40B250D6" w14:textId="16E77E02" w:rsidR="00CB7456" w:rsidRDefault="00CB7456">
      <w:pPr>
        <w:pStyle w:val="TOC2"/>
        <w:tabs>
          <w:tab w:val="right" w:leader="dot" w:pos="8188"/>
        </w:tabs>
        <w:rPr>
          <w:noProof/>
          <w:lang w:eastAsia="en-GB"/>
        </w:rPr>
      </w:pPr>
      <w:hyperlink w:anchor="_Toc7187602" w:history="1">
        <w:r w:rsidRPr="00326D76">
          <w:rPr>
            <w:rStyle w:val="Hyperlink"/>
            <w:noProof/>
          </w:rPr>
          <w:t>13.2 Assumptions Made in the HJ Enthoven Energy Balance</w:t>
        </w:r>
        <w:r>
          <w:rPr>
            <w:noProof/>
            <w:webHidden/>
          </w:rPr>
          <w:tab/>
        </w:r>
        <w:r>
          <w:rPr>
            <w:noProof/>
            <w:webHidden/>
          </w:rPr>
          <w:fldChar w:fldCharType="begin"/>
        </w:r>
        <w:r>
          <w:rPr>
            <w:noProof/>
            <w:webHidden/>
          </w:rPr>
          <w:instrText xml:space="preserve"> PAGEREF _Toc7187602 \h </w:instrText>
        </w:r>
        <w:r>
          <w:rPr>
            <w:noProof/>
            <w:webHidden/>
          </w:rPr>
        </w:r>
        <w:r>
          <w:rPr>
            <w:noProof/>
            <w:webHidden/>
          </w:rPr>
          <w:fldChar w:fldCharType="separate"/>
        </w:r>
        <w:r>
          <w:rPr>
            <w:noProof/>
            <w:webHidden/>
          </w:rPr>
          <w:t>210</w:t>
        </w:r>
        <w:r>
          <w:rPr>
            <w:noProof/>
            <w:webHidden/>
          </w:rPr>
          <w:fldChar w:fldCharType="end"/>
        </w:r>
      </w:hyperlink>
    </w:p>
    <w:p w14:paraId="13D3E7BA" w14:textId="5C308D6B" w:rsidR="00CB7456" w:rsidRDefault="00CB7456">
      <w:pPr>
        <w:pStyle w:val="TOC2"/>
        <w:tabs>
          <w:tab w:val="right" w:leader="dot" w:pos="8188"/>
        </w:tabs>
        <w:rPr>
          <w:noProof/>
          <w:lang w:eastAsia="en-GB"/>
        </w:rPr>
      </w:pPr>
      <w:hyperlink w:anchor="_Toc7187603" w:history="1">
        <w:r w:rsidRPr="00326D76">
          <w:rPr>
            <w:rStyle w:val="Hyperlink"/>
            <w:noProof/>
          </w:rPr>
          <w:t>13.3 Double Pipe Heat Exchanger Equations</w:t>
        </w:r>
        <w:r>
          <w:rPr>
            <w:noProof/>
            <w:webHidden/>
          </w:rPr>
          <w:tab/>
        </w:r>
        <w:r>
          <w:rPr>
            <w:noProof/>
            <w:webHidden/>
          </w:rPr>
          <w:fldChar w:fldCharType="begin"/>
        </w:r>
        <w:r>
          <w:rPr>
            <w:noProof/>
            <w:webHidden/>
          </w:rPr>
          <w:instrText xml:space="preserve"> PAGEREF _Toc7187603 \h </w:instrText>
        </w:r>
        <w:r>
          <w:rPr>
            <w:noProof/>
            <w:webHidden/>
          </w:rPr>
        </w:r>
        <w:r>
          <w:rPr>
            <w:noProof/>
            <w:webHidden/>
          </w:rPr>
          <w:fldChar w:fldCharType="separate"/>
        </w:r>
        <w:r>
          <w:rPr>
            <w:noProof/>
            <w:webHidden/>
          </w:rPr>
          <w:t>212</w:t>
        </w:r>
        <w:r>
          <w:rPr>
            <w:noProof/>
            <w:webHidden/>
          </w:rPr>
          <w:fldChar w:fldCharType="end"/>
        </w:r>
      </w:hyperlink>
    </w:p>
    <w:p w14:paraId="436D9712" w14:textId="76AFEBB4" w:rsidR="00CB7456" w:rsidRDefault="00CB7456">
      <w:pPr>
        <w:pStyle w:val="TOC2"/>
        <w:tabs>
          <w:tab w:val="right" w:leader="dot" w:pos="8188"/>
        </w:tabs>
        <w:rPr>
          <w:noProof/>
          <w:lang w:eastAsia="en-GB"/>
        </w:rPr>
      </w:pPr>
      <w:hyperlink w:anchor="_Toc7187604" w:history="1">
        <w:r w:rsidRPr="00326D76">
          <w:rPr>
            <w:rStyle w:val="Hyperlink"/>
            <w:noProof/>
          </w:rPr>
          <w:t>13.4 Shell and Tube Heat Exchanger Equations</w:t>
        </w:r>
        <w:r>
          <w:rPr>
            <w:noProof/>
            <w:webHidden/>
          </w:rPr>
          <w:tab/>
        </w:r>
        <w:r>
          <w:rPr>
            <w:noProof/>
            <w:webHidden/>
          </w:rPr>
          <w:fldChar w:fldCharType="begin"/>
        </w:r>
        <w:r>
          <w:rPr>
            <w:noProof/>
            <w:webHidden/>
          </w:rPr>
          <w:instrText xml:space="preserve"> PAGEREF _Toc7187604 \h </w:instrText>
        </w:r>
        <w:r>
          <w:rPr>
            <w:noProof/>
            <w:webHidden/>
          </w:rPr>
        </w:r>
        <w:r>
          <w:rPr>
            <w:noProof/>
            <w:webHidden/>
          </w:rPr>
          <w:fldChar w:fldCharType="separate"/>
        </w:r>
        <w:r>
          <w:rPr>
            <w:noProof/>
            <w:webHidden/>
          </w:rPr>
          <w:t>219</w:t>
        </w:r>
        <w:r>
          <w:rPr>
            <w:noProof/>
            <w:webHidden/>
          </w:rPr>
          <w:fldChar w:fldCharType="end"/>
        </w:r>
      </w:hyperlink>
    </w:p>
    <w:p w14:paraId="5E4978D6" w14:textId="7841C1C0" w:rsidR="00CB7456" w:rsidRDefault="00CB7456">
      <w:pPr>
        <w:pStyle w:val="TOC2"/>
        <w:tabs>
          <w:tab w:val="right" w:leader="dot" w:pos="8188"/>
        </w:tabs>
        <w:rPr>
          <w:noProof/>
          <w:lang w:eastAsia="en-GB"/>
        </w:rPr>
      </w:pPr>
      <w:hyperlink w:anchor="_Toc7187605" w:history="1">
        <w:r w:rsidRPr="00326D76">
          <w:rPr>
            <w:rStyle w:val="Hyperlink"/>
            <w:noProof/>
          </w:rPr>
          <w:t>13.5 Finned Tube Heat Exchanger Equations</w:t>
        </w:r>
        <w:r>
          <w:rPr>
            <w:noProof/>
            <w:webHidden/>
          </w:rPr>
          <w:tab/>
        </w:r>
        <w:r>
          <w:rPr>
            <w:noProof/>
            <w:webHidden/>
          </w:rPr>
          <w:fldChar w:fldCharType="begin"/>
        </w:r>
        <w:r>
          <w:rPr>
            <w:noProof/>
            <w:webHidden/>
          </w:rPr>
          <w:instrText xml:space="preserve"> PAGEREF _Toc7187605 \h </w:instrText>
        </w:r>
        <w:r>
          <w:rPr>
            <w:noProof/>
            <w:webHidden/>
          </w:rPr>
        </w:r>
        <w:r>
          <w:rPr>
            <w:noProof/>
            <w:webHidden/>
          </w:rPr>
          <w:fldChar w:fldCharType="separate"/>
        </w:r>
        <w:r>
          <w:rPr>
            <w:noProof/>
            <w:webHidden/>
          </w:rPr>
          <w:t>220</w:t>
        </w:r>
        <w:r>
          <w:rPr>
            <w:noProof/>
            <w:webHidden/>
          </w:rPr>
          <w:fldChar w:fldCharType="end"/>
        </w:r>
      </w:hyperlink>
    </w:p>
    <w:p w14:paraId="43AD87C7" w14:textId="5896FFE9" w:rsidR="00CB7456" w:rsidRDefault="00CB7456">
      <w:pPr>
        <w:pStyle w:val="TOC2"/>
        <w:tabs>
          <w:tab w:val="right" w:leader="dot" w:pos="8188"/>
        </w:tabs>
        <w:rPr>
          <w:noProof/>
          <w:lang w:eastAsia="en-GB"/>
        </w:rPr>
      </w:pPr>
      <w:hyperlink w:anchor="_Toc7187606" w:history="1">
        <w:r w:rsidRPr="00326D76">
          <w:rPr>
            <w:rStyle w:val="Hyperlink"/>
            <w:noProof/>
          </w:rPr>
          <w:t>13.6 Plate Heat Exchanger Equations</w:t>
        </w:r>
        <w:r>
          <w:rPr>
            <w:noProof/>
            <w:webHidden/>
          </w:rPr>
          <w:tab/>
        </w:r>
        <w:r>
          <w:rPr>
            <w:noProof/>
            <w:webHidden/>
          </w:rPr>
          <w:fldChar w:fldCharType="begin"/>
        </w:r>
        <w:r>
          <w:rPr>
            <w:noProof/>
            <w:webHidden/>
          </w:rPr>
          <w:instrText xml:space="preserve"> PAGEREF _Toc7187606 \h </w:instrText>
        </w:r>
        <w:r>
          <w:rPr>
            <w:noProof/>
            <w:webHidden/>
          </w:rPr>
        </w:r>
        <w:r>
          <w:rPr>
            <w:noProof/>
            <w:webHidden/>
          </w:rPr>
          <w:fldChar w:fldCharType="separate"/>
        </w:r>
        <w:r>
          <w:rPr>
            <w:noProof/>
            <w:webHidden/>
          </w:rPr>
          <w:t>222</w:t>
        </w:r>
        <w:r>
          <w:rPr>
            <w:noProof/>
            <w:webHidden/>
          </w:rPr>
          <w:fldChar w:fldCharType="end"/>
        </w:r>
      </w:hyperlink>
    </w:p>
    <w:p w14:paraId="733EB58E" w14:textId="748A7AD3" w:rsidR="00CB7456" w:rsidRDefault="00CB7456">
      <w:pPr>
        <w:pStyle w:val="TOC2"/>
        <w:tabs>
          <w:tab w:val="right" w:leader="dot" w:pos="8188"/>
        </w:tabs>
        <w:rPr>
          <w:noProof/>
          <w:lang w:eastAsia="en-GB"/>
        </w:rPr>
      </w:pPr>
      <w:hyperlink w:anchor="_Toc7187607" w:history="1">
        <w:r w:rsidRPr="00326D76">
          <w:rPr>
            <w:rStyle w:val="Hyperlink"/>
            <w:noProof/>
          </w:rPr>
          <w:t>13.7 Fired Heater and Boiler Equations</w:t>
        </w:r>
        <w:r>
          <w:rPr>
            <w:noProof/>
            <w:webHidden/>
          </w:rPr>
          <w:tab/>
        </w:r>
        <w:r>
          <w:rPr>
            <w:noProof/>
            <w:webHidden/>
          </w:rPr>
          <w:fldChar w:fldCharType="begin"/>
        </w:r>
        <w:r>
          <w:rPr>
            <w:noProof/>
            <w:webHidden/>
          </w:rPr>
          <w:instrText xml:space="preserve"> PAGEREF _Toc7187607 \h </w:instrText>
        </w:r>
        <w:r>
          <w:rPr>
            <w:noProof/>
            <w:webHidden/>
          </w:rPr>
        </w:r>
        <w:r>
          <w:rPr>
            <w:noProof/>
            <w:webHidden/>
          </w:rPr>
          <w:fldChar w:fldCharType="separate"/>
        </w:r>
        <w:r>
          <w:rPr>
            <w:noProof/>
            <w:webHidden/>
          </w:rPr>
          <w:t>228</w:t>
        </w:r>
        <w:r>
          <w:rPr>
            <w:noProof/>
            <w:webHidden/>
          </w:rPr>
          <w:fldChar w:fldCharType="end"/>
        </w:r>
      </w:hyperlink>
    </w:p>
    <w:p w14:paraId="47C807BD" w14:textId="08447E00" w:rsidR="00CB7456" w:rsidRDefault="00CB7456">
      <w:pPr>
        <w:pStyle w:val="TOC2"/>
        <w:tabs>
          <w:tab w:val="right" w:leader="dot" w:pos="8188"/>
        </w:tabs>
        <w:rPr>
          <w:noProof/>
          <w:lang w:eastAsia="en-GB"/>
        </w:rPr>
      </w:pPr>
      <w:hyperlink w:anchor="_Toc7187608" w:history="1">
        <w:r w:rsidRPr="00326D76">
          <w:rPr>
            <w:rStyle w:val="Hyperlink"/>
            <w:noProof/>
          </w:rPr>
          <w:t>13.8 Rankine Cycle or Organic Rankine Cycle Equations</w:t>
        </w:r>
        <w:r>
          <w:rPr>
            <w:noProof/>
            <w:webHidden/>
          </w:rPr>
          <w:tab/>
        </w:r>
        <w:r>
          <w:rPr>
            <w:noProof/>
            <w:webHidden/>
          </w:rPr>
          <w:fldChar w:fldCharType="begin"/>
        </w:r>
        <w:r>
          <w:rPr>
            <w:noProof/>
            <w:webHidden/>
          </w:rPr>
          <w:instrText xml:space="preserve"> PAGEREF _Toc7187608 \h </w:instrText>
        </w:r>
        <w:r>
          <w:rPr>
            <w:noProof/>
            <w:webHidden/>
          </w:rPr>
        </w:r>
        <w:r>
          <w:rPr>
            <w:noProof/>
            <w:webHidden/>
          </w:rPr>
          <w:fldChar w:fldCharType="separate"/>
        </w:r>
        <w:r>
          <w:rPr>
            <w:noProof/>
            <w:webHidden/>
          </w:rPr>
          <w:t>234</w:t>
        </w:r>
        <w:r>
          <w:rPr>
            <w:noProof/>
            <w:webHidden/>
          </w:rPr>
          <w:fldChar w:fldCharType="end"/>
        </w:r>
      </w:hyperlink>
    </w:p>
    <w:p w14:paraId="5FDDC0F0" w14:textId="3FFDF604" w:rsidR="00CB7456" w:rsidRDefault="00CB7456">
      <w:pPr>
        <w:pStyle w:val="TOC2"/>
        <w:tabs>
          <w:tab w:val="right" w:leader="dot" w:pos="8188"/>
        </w:tabs>
        <w:rPr>
          <w:noProof/>
          <w:lang w:eastAsia="en-GB"/>
        </w:rPr>
      </w:pPr>
      <w:hyperlink w:anchor="_Toc7187609" w:history="1">
        <w:r w:rsidRPr="00326D76">
          <w:rPr>
            <w:rStyle w:val="Hyperlink"/>
            <w:noProof/>
          </w:rPr>
          <w:t>13.9 Condenser Equations</w:t>
        </w:r>
        <w:r>
          <w:rPr>
            <w:noProof/>
            <w:webHidden/>
          </w:rPr>
          <w:tab/>
        </w:r>
        <w:r>
          <w:rPr>
            <w:noProof/>
            <w:webHidden/>
          </w:rPr>
          <w:fldChar w:fldCharType="begin"/>
        </w:r>
        <w:r>
          <w:rPr>
            <w:noProof/>
            <w:webHidden/>
          </w:rPr>
          <w:instrText xml:space="preserve"> PAGEREF _Toc7187609 \h </w:instrText>
        </w:r>
        <w:r>
          <w:rPr>
            <w:noProof/>
            <w:webHidden/>
          </w:rPr>
        </w:r>
        <w:r>
          <w:rPr>
            <w:noProof/>
            <w:webHidden/>
          </w:rPr>
          <w:fldChar w:fldCharType="separate"/>
        </w:r>
        <w:r>
          <w:rPr>
            <w:noProof/>
            <w:webHidden/>
          </w:rPr>
          <w:t>237</w:t>
        </w:r>
        <w:r>
          <w:rPr>
            <w:noProof/>
            <w:webHidden/>
          </w:rPr>
          <w:fldChar w:fldCharType="end"/>
        </w:r>
      </w:hyperlink>
    </w:p>
    <w:p w14:paraId="593FAAE0" w14:textId="64DAF73A" w:rsidR="00CB7456" w:rsidRDefault="00CB7456">
      <w:pPr>
        <w:pStyle w:val="TOC2"/>
        <w:tabs>
          <w:tab w:val="right" w:leader="dot" w:pos="8188"/>
        </w:tabs>
        <w:rPr>
          <w:noProof/>
          <w:lang w:eastAsia="en-GB"/>
        </w:rPr>
      </w:pPr>
      <w:hyperlink w:anchor="_Toc7187610" w:history="1">
        <w:r w:rsidRPr="00326D76">
          <w:rPr>
            <w:rStyle w:val="Hyperlink"/>
            <w:noProof/>
          </w:rPr>
          <w:t>13.10 Pump Equations</w:t>
        </w:r>
        <w:r>
          <w:rPr>
            <w:noProof/>
            <w:webHidden/>
          </w:rPr>
          <w:tab/>
        </w:r>
        <w:r>
          <w:rPr>
            <w:noProof/>
            <w:webHidden/>
          </w:rPr>
          <w:fldChar w:fldCharType="begin"/>
        </w:r>
        <w:r>
          <w:rPr>
            <w:noProof/>
            <w:webHidden/>
          </w:rPr>
          <w:instrText xml:space="preserve"> PAGEREF _Toc7187610 \h </w:instrText>
        </w:r>
        <w:r>
          <w:rPr>
            <w:noProof/>
            <w:webHidden/>
          </w:rPr>
        </w:r>
        <w:r>
          <w:rPr>
            <w:noProof/>
            <w:webHidden/>
          </w:rPr>
          <w:fldChar w:fldCharType="separate"/>
        </w:r>
        <w:r>
          <w:rPr>
            <w:noProof/>
            <w:webHidden/>
          </w:rPr>
          <w:t>241</w:t>
        </w:r>
        <w:r>
          <w:rPr>
            <w:noProof/>
            <w:webHidden/>
          </w:rPr>
          <w:fldChar w:fldCharType="end"/>
        </w:r>
      </w:hyperlink>
    </w:p>
    <w:p w14:paraId="7A8B3E98" w14:textId="59B56FBF" w:rsidR="00CB7456" w:rsidRDefault="00CB7456">
      <w:pPr>
        <w:pStyle w:val="TOC2"/>
        <w:tabs>
          <w:tab w:val="right" w:leader="dot" w:pos="8188"/>
        </w:tabs>
        <w:rPr>
          <w:noProof/>
          <w:lang w:eastAsia="en-GB"/>
        </w:rPr>
      </w:pPr>
      <w:hyperlink w:anchor="_Toc7187611" w:history="1">
        <w:r w:rsidRPr="00326D76">
          <w:rPr>
            <w:rStyle w:val="Hyperlink"/>
            <w:noProof/>
          </w:rPr>
          <w:t>13.11 Turbine Equations</w:t>
        </w:r>
        <w:r>
          <w:rPr>
            <w:noProof/>
            <w:webHidden/>
          </w:rPr>
          <w:tab/>
        </w:r>
        <w:r>
          <w:rPr>
            <w:noProof/>
            <w:webHidden/>
          </w:rPr>
          <w:fldChar w:fldCharType="begin"/>
        </w:r>
        <w:r>
          <w:rPr>
            <w:noProof/>
            <w:webHidden/>
          </w:rPr>
          <w:instrText xml:space="preserve"> PAGEREF _Toc7187611 \h </w:instrText>
        </w:r>
        <w:r>
          <w:rPr>
            <w:noProof/>
            <w:webHidden/>
          </w:rPr>
        </w:r>
        <w:r>
          <w:rPr>
            <w:noProof/>
            <w:webHidden/>
          </w:rPr>
          <w:fldChar w:fldCharType="separate"/>
        </w:r>
        <w:r>
          <w:rPr>
            <w:noProof/>
            <w:webHidden/>
          </w:rPr>
          <w:t>243</w:t>
        </w:r>
        <w:r>
          <w:rPr>
            <w:noProof/>
            <w:webHidden/>
          </w:rPr>
          <w:fldChar w:fldCharType="end"/>
        </w:r>
      </w:hyperlink>
    </w:p>
    <w:p w14:paraId="4AED4AA6" w14:textId="2933C064" w:rsidR="00CB7456" w:rsidRDefault="00CB7456">
      <w:pPr>
        <w:pStyle w:val="TOC2"/>
        <w:tabs>
          <w:tab w:val="right" w:leader="dot" w:pos="8188"/>
        </w:tabs>
        <w:rPr>
          <w:noProof/>
          <w:lang w:eastAsia="en-GB"/>
        </w:rPr>
      </w:pPr>
      <w:hyperlink w:anchor="_Toc7187612" w:history="1">
        <w:r w:rsidRPr="00326D76">
          <w:rPr>
            <w:rStyle w:val="Hyperlink"/>
            <w:noProof/>
          </w:rPr>
          <w:t>13.12 Visual Basic Code Used in the Waste Heat Recovery Monte Carlo Simulation</w:t>
        </w:r>
        <w:r>
          <w:rPr>
            <w:noProof/>
            <w:webHidden/>
          </w:rPr>
          <w:tab/>
        </w:r>
        <w:r>
          <w:rPr>
            <w:noProof/>
            <w:webHidden/>
          </w:rPr>
          <w:fldChar w:fldCharType="begin"/>
        </w:r>
        <w:r>
          <w:rPr>
            <w:noProof/>
            <w:webHidden/>
          </w:rPr>
          <w:instrText xml:space="preserve"> PAGEREF _Toc7187612 \h </w:instrText>
        </w:r>
        <w:r>
          <w:rPr>
            <w:noProof/>
            <w:webHidden/>
          </w:rPr>
        </w:r>
        <w:r>
          <w:rPr>
            <w:noProof/>
            <w:webHidden/>
          </w:rPr>
          <w:fldChar w:fldCharType="separate"/>
        </w:r>
        <w:r>
          <w:rPr>
            <w:noProof/>
            <w:webHidden/>
          </w:rPr>
          <w:t>244</w:t>
        </w:r>
        <w:r>
          <w:rPr>
            <w:noProof/>
            <w:webHidden/>
          </w:rPr>
          <w:fldChar w:fldCharType="end"/>
        </w:r>
      </w:hyperlink>
    </w:p>
    <w:p w14:paraId="57280276" w14:textId="46F7229A" w:rsidR="00FE6CB4" w:rsidRDefault="002A6A73" w:rsidP="0022640E">
      <w:pPr>
        <w:rPr>
          <w:rFonts w:asciiTheme="majorHAnsi" w:eastAsiaTheme="majorEastAsia" w:hAnsiTheme="majorHAnsi" w:cstheme="majorBidi"/>
          <w:b/>
          <w:iCs/>
          <w:color w:val="000000" w:themeColor="text1"/>
          <w:sz w:val="40"/>
        </w:rPr>
      </w:pPr>
      <w:r>
        <w:fldChar w:fldCharType="end"/>
      </w:r>
      <w:r w:rsidR="00FE6CB4">
        <w:br w:type="page"/>
      </w:r>
    </w:p>
    <w:p w14:paraId="2298C7E5" w14:textId="77777777" w:rsidR="00FE6CB4" w:rsidRDefault="00FE6CB4" w:rsidP="00FE6CB4">
      <w:pPr>
        <w:pStyle w:val="Heading7"/>
      </w:pPr>
      <w:r>
        <w:lastRenderedPageBreak/>
        <w:t>Table of Figures</w:t>
      </w:r>
    </w:p>
    <w:p w14:paraId="69F7C115" w14:textId="03C9B616" w:rsidR="00CB7456" w:rsidRDefault="00FE6CB4">
      <w:pPr>
        <w:pStyle w:val="TableofFigures"/>
        <w:tabs>
          <w:tab w:val="right" w:leader="dot" w:pos="8188"/>
        </w:tabs>
        <w:rPr>
          <w:noProof/>
          <w:lang w:eastAsia="en-GB"/>
        </w:rPr>
      </w:pPr>
      <w:r>
        <w:fldChar w:fldCharType="begin"/>
      </w:r>
      <w:r>
        <w:instrText xml:space="preserve"> TOC \h \z \c "Figure" </w:instrText>
      </w:r>
      <w:r>
        <w:fldChar w:fldCharType="separate"/>
      </w:r>
      <w:hyperlink w:anchor="_Toc7187613" w:history="1">
        <w:r w:rsidR="00CB7456" w:rsidRPr="00267FE1">
          <w:rPr>
            <w:rStyle w:val="Hyperlink"/>
            <w:noProof/>
          </w:rPr>
          <w:t>Figure 1.1: Worldwide effects of climate change (IPCC, 2014).</w:t>
        </w:r>
        <w:r w:rsidR="00CB7456">
          <w:rPr>
            <w:noProof/>
            <w:webHidden/>
          </w:rPr>
          <w:tab/>
        </w:r>
        <w:r w:rsidR="00CB7456">
          <w:rPr>
            <w:noProof/>
            <w:webHidden/>
          </w:rPr>
          <w:fldChar w:fldCharType="begin"/>
        </w:r>
        <w:r w:rsidR="00CB7456">
          <w:rPr>
            <w:noProof/>
            <w:webHidden/>
          </w:rPr>
          <w:instrText xml:space="preserve"> PAGEREF _Toc7187613 \h </w:instrText>
        </w:r>
        <w:r w:rsidR="00CB7456">
          <w:rPr>
            <w:noProof/>
            <w:webHidden/>
          </w:rPr>
        </w:r>
        <w:r w:rsidR="00CB7456">
          <w:rPr>
            <w:noProof/>
            <w:webHidden/>
          </w:rPr>
          <w:fldChar w:fldCharType="separate"/>
        </w:r>
        <w:r w:rsidR="00CB7456">
          <w:rPr>
            <w:noProof/>
            <w:webHidden/>
          </w:rPr>
          <w:t>21</w:t>
        </w:r>
        <w:r w:rsidR="00CB7456">
          <w:rPr>
            <w:noProof/>
            <w:webHidden/>
          </w:rPr>
          <w:fldChar w:fldCharType="end"/>
        </w:r>
      </w:hyperlink>
    </w:p>
    <w:p w14:paraId="60B72396" w14:textId="71443FE7" w:rsidR="00CB7456" w:rsidRDefault="00CB7456">
      <w:pPr>
        <w:pStyle w:val="TableofFigures"/>
        <w:tabs>
          <w:tab w:val="right" w:leader="dot" w:pos="8188"/>
        </w:tabs>
        <w:rPr>
          <w:noProof/>
          <w:lang w:eastAsia="en-GB"/>
        </w:rPr>
      </w:pPr>
      <w:hyperlink w:anchor="_Toc7187614" w:history="1">
        <w:r w:rsidRPr="00267FE1">
          <w:rPr>
            <w:rStyle w:val="Hyperlink"/>
            <w:noProof/>
          </w:rPr>
          <w:t xml:space="preserve">Figure 1.2: Variation of heat and electricity demands in the UK (Wilson </w:t>
        </w:r>
        <w:r w:rsidRPr="00267FE1">
          <w:rPr>
            <w:rStyle w:val="Hyperlink"/>
            <w:i/>
            <w:noProof/>
          </w:rPr>
          <w:t>et al.</w:t>
        </w:r>
        <w:r w:rsidRPr="00267FE1">
          <w:rPr>
            <w:rStyle w:val="Hyperlink"/>
            <w:noProof/>
          </w:rPr>
          <w:t>, 2013).</w:t>
        </w:r>
        <w:r>
          <w:rPr>
            <w:noProof/>
            <w:webHidden/>
          </w:rPr>
          <w:tab/>
        </w:r>
        <w:r>
          <w:rPr>
            <w:noProof/>
            <w:webHidden/>
          </w:rPr>
          <w:fldChar w:fldCharType="begin"/>
        </w:r>
        <w:r>
          <w:rPr>
            <w:noProof/>
            <w:webHidden/>
          </w:rPr>
          <w:instrText xml:space="preserve"> PAGEREF _Toc7187614 \h </w:instrText>
        </w:r>
        <w:r>
          <w:rPr>
            <w:noProof/>
            <w:webHidden/>
          </w:rPr>
        </w:r>
        <w:r>
          <w:rPr>
            <w:noProof/>
            <w:webHidden/>
          </w:rPr>
          <w:fldChar w:fldCharType="separate"/>
        </w:r>
        <w:r>
          <w:rPr>
            <w:noProof/>
            <w:webHidden/>
          </w:rPr>
          <w:t>22</w:t>
        </w:r>
        <w:r>
          <w:rPr>
            <w:noProof/>
            <w:webHidden/>
          </w:rPr>
          <w:fldChar w:fldCharType="end"/>
        </w:r>
      </w:hyperlink>
    </w:p>
    <w:p w14:paraId="6CDD0CFA" w14:textId="6018850A" w:rsidR="00CB7456" w:rsidRDefault="00CB7456">
      <w:pPr>
        <w:pStyle w:val="TableofFigures"/>
        <w:tabs>
          <w:tab w:val="right" w:leader="dot" w:pos="8188"/>
        </w:tabs>
        <w:rPr>
          <w:noProof/>
          <w:lang w:eastAsia="en-GB"/>
        </w:rPr>
      </w:pPr>
      <w:hyperlink w:anchor="_Toc7187615" w:history="1">
        <w:r w:rsidRPr="00267FE1">
          <w:rPr>
            <w:rStyle w:val="Hyperlink"/>
            <w:noProof/>
          </w:rPr>
          <w:t>Figure 2.1: Waste management hierarchy (Porteous, 2005).</w:t>
        </w:r>
        <w:r>
          <w:rPr>
            <w:noProof/>
            <w:webHidden/>
          </w:rPr>
          <w:tab/>
        </w:r>
        <w:r>
          <w:rPr>
            <w:noProof/>
            <w:webHidden/>
          </w:rPr>
          <w:fldChar w:fldCharType="begin"/>
        </w:r>
        <w:r>
          <w:rPr>
            <w:noProof/>
            <w:webHidden/>
          </w:rPr>
          <w:instrText xml:space="preserve"> PAGEREF _Toc7187615 \h </w:instrText>
        </w:r>
        <w:r>
          <w:rPr>
            <w:noProof/>
            <w:webHidden/>
          </w:rPr>
        </w:r>
        <w:r>
          <w:rPr>
            <w:noProof/>
            <w:webHidden/>
          </w:rPr>
          <w:fldChar w:fldCharType="separate"/>
        </w:r>
        <w:r>
          <w:rPr>
            <w:noProof/>
            <w:webHidden/>
          </w:rPr>
          <w:t>28</w:t>
        </w:r>
        <w:r>
          <w:rPr>
            <w:noProof/>
            <w:webHidden/>
          </w:rPr>
          <w:fldChar w:fldCharType="end"/>
        </w:r>
      </w:hyperlink>
    </w:p>
    <w:p w14:paraId="7747CAB4" w14:textId="409F2ABB" w:rsidR="00CB7456" w:rsidRDefault="00CB7456">
      <w:pPr>
        <w:pStyle w:val="TableofFigures"/>
        <w:tabs>
          <w:tab w:val="right" w:leader="dot" w:pos="8188"/>
        </w:tabs>
        <w:rPr>
          <w:noProof/>
          <w:lang w:eastAsia="en-GB"/>
        </w:rPr>
      </w:pPr>
      <w:hyperlink w:anchor="_Toc7187616" w:history="1">
        <w:r w:rsidRPr="00267FE1">
          <w:rPr>
            <w:rStyle w:val="Hyperlink"/>
            <w:noProof/>
          </w:rPr>
          <w:t>Figure 2.2: Map of geothermal resources available in Europe (Antics and Sanner, 2007).</w:t>
        </w:r>
        <w:r>
          <w:rPr>
            <w:noProof/>
            <w:webHidden/>
          </w:rPr>
          <w:tab/>
        </w:r>
        <w:r>
          <w:rPr>
            <w:noProof/>
            <w:webHidden/>
          </w:rPr>
          <w:fldChar w:fldCharType="begin"/>
        </w:r>
        <w:r>
          <w:rPr>
            <w:noProof/>
            <w:webHidden/>
          </w:rPr>
          <w:instrText xml:space="preserve"> PAGEREF _Toc7187616 \h </w:instrText>
        </w:r>
        <w:r>
          <w:rPr>
            <w:noProof/>
            <w:webHidden/>
          </w:rPr>
        </w:r>
        <w:r>
          <w:rPr>
            <w:noProof/>
            <w:webHidden/>
          </w:rPr>
          <w:fldChar w:fldCharType="separate"/>
        </w:r>
        <w:r>
          <w:rPr>
            <w:noProof/>
            <w:webHidden/>
          </w:rPr>
          <w:t>29</w:t>
        </w:r>
        <w:r>
          <w:rPr>
            <w:noProof/>
            <w:webHidden/>
          </w:rPr>
          <w:fldChar w:fldCharType="end"/>
        </w:r>
      </w:hyperlink>
    </w:p>
    <w:p w14:paraId="18384D36" w14:textId="4897BBDC" w:rsidR="00CB7456" w:rsidRDefault="00CB7456">
      <w:pPr>
        <w:pStyle w:val="TableofFigures"/>
        <w:tabs>
          <w:tab w:val="right" w:leader="dot" w:pos="8188"/>
        </w:tabs>
        <w:rPr>
          <w:noProof/>
          <w:lang w:eastAsia="en-GB"/>
        </w:rPr>
      </w:pPr>
      <w:hyperlink w:anchor="_Toc7187617" w:history="1">
        <w:r w:rsidRPr="00267FE1">
          <w:rPr>
            <w:rStyle w:val="Hyperlink"/>
            <w:noProof/>
          </w:rPr>
          <w:t xml:space="preserve">Figure 2.3: Stratified layers in a HWT, adapted from (Schütz </w:t>
        </w:r>
        <w:r w:rsidRPr="00267FE1">
          <w:rPr>
            <w:rStyle w:val="Hyperlink"/>
            <w:i/>
            <w:noProof/>
          </w:rPr>
          <w:t>et al.</w:t>
        </w:r>
        <w:r w:rsidRPr="00267FE1">
          <w:rPr>
            <w:rStyle w:val="Hyperlink"/>
            <w:noProof/>
          </w:rPr>
          <w:t>, 2015).</w:t>
        </w:r>
        <w:r>
          <w:rPr>
            <w:noProof/>
            <w:webHidden/>
          </w:rPr>
          <w:tab/>
        </w:r>
        <w:r>
          <w:rPr>
            <w:noProof/>
            <w:webHidden/>
          </w:rPr>
          <w:fldChar w:fldCharType="begin"/>
        </w:r>
        <w:r>
          <w:rPr>
            <w:noProof/>
            <w:webHidden/>
          </w:rPr>
          <w:instrText xml:space="preserve"> PAGEREF _Toc7187617 \h </w:instrText>
        </w:r>
        <w:r>
          <w:rPr>
            <w:noProof/>
            <w:webHidden/>
          </w:rPr>
        </w:r>
        <w:r>
          <w:rPr>
            <w:noProof/>
            <w:webHidden/>
          </w:rPr>
          <w:fldChar w:fldCharType="separate"/>
        </w:r>
        <w:r>
          <w:rPr>
            <w:noProof/>
            <w:webHidden/>
          </w:rPr>
          <w:t>30</w:t>
        </w:r>
        <w:r>
          <w:rPr>
            <w:noProof/>
            <w:webHidden/>
          </w:rPr>
          <w:fldChar w:fldCharType="end"/>
        </w:r>
      </w:hyperlink>
    </w:p>
    <w:p w14:paraId="42F6C0CC" w14:textId="0D5D9838" w:rsidR="00CB7456" w:rsidRDefault="00CB7456">
      <w:pPr>
        <w:pStyle w:val="TableofFigures"/>
        <w:tabs>
          <w:tab w:val="right" w:leader="dot" w:pos="8188"/>
        </w:tabs>
        <w:rPr>
          <w:noProof/>
          <w:lang w:eastAsia="en-GB"/>
        </w:rPr>
      </w:pPr>
      <w:hyperlink w:anchor="_Toc7187618" w:history="1">
        <w:r w:rsidRPr="00267FE1">
          <w:rPr>
            <w:rStyle w:val="Hyperlink"/>
            <w:noProof/>
          </w:rPr>
          <w:t>Figure 2.4: The operating cycle of a heat pump (O’Rielly and Jeswiet, 2015).</w:t>
        </w:r>
        <w:r>
          <w:rPr>
            <w:noProof/>
            <w:webHidden/>
          </w:rPr>
          <w:tab/>
        </w:r>
        <w:r>
          <w:rPr>
            <w:noProof/>
            <w:webHidden/>
          </w:rPr>
          <w:fldChar w:fldCharType="begin"/>
        </w:r>
        <w:r>
          <w:rPr>
            <w:noProof/>
            <w:webHidden/>
          </w:rPr>
          <w:instrText xml:space="preserve"> PAGEREF _Toc7187618 \h </w:instrText>
        </w:r>
        <w:r>
          <w:rPr>
            <w:noProof/>
            <w:webHidden/>
          </w:rPr>
        </w:r>
        <w:r>
          <w:rPr>
            <w:noProof/>
            <w:webHidden/>
          </w:rPr>
          <w:fldChar w:fldCharType="separate"/>
        </w:r>
        <w:r>
          <w:rPr>
            <w:noProof/>
            <w:webHidden/>
          </w:rPr>
          <w:t>33</w:t>
        </w:r>
        <w:r>
          <w:rPr>
            <w:noProof/>
            <w:webHidden/>
          </w:rPr>
          <w:fldChar w:fldCharType="end"/>
        </w:r>
      </w:hyperlink>
    </w:p>
    <w:p w14:paraId="0F4F2416" w14:textId="4898E275" w:rsidR="00CB7456" w:rsidRDefault="00CB7456">
      <w:pPr>
        <w:pStyle w:val="TableofFigures"/>
        <w:tabs>
          <w:tab w:val="right" w:leader="dot" w:pos="8188"/>
        </w:tabs>
        <w:rPr>
          <w:noProof/>
          <w:lang w:eastAsia="en-GB"/>
        </w:rPr>
      </w:pPr>
      <w:hyperlink w:anchor="_Toc7187619" w:history="1">
        <w:r w:rsidRPr="00267FE1">
          <w:rPr>
            <w:rStyle w:val="Hyperlink"/>
            <w:noProof/>
          </w:rPr>
          <w:t xml:space="preserve">Figure 2.5: Suggested operating schedule of a DHN supplied by industrial WHR and other heat sources (Fang </w:t>
        </w:r>
        <w:r w:rsidRPr="00267FE1">
          <w:rPr>
            <w:rStyle w:val="Hyperlink"/>
            <w:i/>
            <w:noProof/>
          </w:rPr>
          <w:t>et al.</w:t>
        </w:r>
        <w:r w:rsidRPr="00267FE1">
          <w:rPr>
            <w:rStyle w:val="Hyperlink"/>
            <w:noProof/>
          </w:rPr>
          <w:t>, 2015).</w:t>
        </w:r>
        <w:r>
          <w:rPr>
            <w:noProof/>
            <w:webHidden/>
          </w:rPr>
          <w:tab/>
        </w:r>
        <w:r>
          <w:rPr>
            <w:noProof/>
            <w:webHidden/>
          </w:rPr>
          <w:fldChar w:fldCharType="begin"/>
        </w:r>
        <w:r>
          <w:rPr>
            <w:noProof/>
            <w:webHidden/>
          </w:rPr>
          <w:instrText xml:space="preserve"> PAGEREF _Toc7187619 \h </w:instrText>
        </w:r>
        <w:r>
          <w:rPr>
            <w:noProof/>
            <w:webHidden/>
          </w:rPr>
        </w:r>
        <w:r>
          <w:rPr>
            <w:noProof/>
            <w:webHidden/>
          </w:rPr>
          <w:fldChar w:fldCharType="separate"/>
        </w:r>
        <w:r>
          <w:rPr>
            <w:noProof/>
            <w:webHidden/>
          </w:rPr>
          <w:t>39</w:t>
        </w:r>
        <w:r>
          <w:rPr>
            <w:noProof/>
            <w:webHidden/>
          </w:rPr>
          <w:fldChar w:fldCharType="end"/>
        </w:r>
      </w:hyperlink>
    </w:p>
    <w:p w14:paraId="6A280887" w14:textId="7B11A944" w:rsidR="00CB7456" w:rsidRDefault="00CB7456">
      <w:pPr>
        <w:pStyle w:val="TableofFigures"/>
        <w:tabs>
          <w:tab w:val="right" w:leader="dot" w:pos="8188"/>
        </w:tabs>
        <w:rPr>
          <w:noProof/>
          <w:lang w:eastAsia="en-GB"/>
        </w:rPr>
      </w:pPr>
      <w:hyperlink w:anchor="_Toc7187620" w:history="1">
        <w:r w:rsidRPr="00267FE1">
          <w:rPr>
            <w:rStyle w:val="Hyperlink"/>
            <w:noProof/>
          </w:rPr>
          <w:t>Figure 2.6: Cost of heat provision by technology, using current market conditions (£/MWh) (Davies and Woods, 2009).</w:t>
        </w:r>
        <w:r>
          <w:rPr>
            <w:noProof/>
            <w:webHidden/>
          </w:rPr>
          <w:tab/>
        </w:r>
        <w:r>
          <w:rPr>
            <w:noProof/>
            <w:webHidden/>
          </w:rPr>
          <w:fldChar w:fldCharType="begin"/>
        </w:r>
        <w:r>
          <w:rPr>
            <w:noProof/>
            <w:webHidden/>
          </w:rPr>
          <w:instrText xml:space="preserve"> PAGEREF _Toc7187620 \h </w:instrText>
        </w:r>
        <w:r>
          <w:rPr>
            <w:noProof/>
            <w:webHidden/>
          </w:rPr>
        </w:r>
        <w:r>
          <w:rPr>
            <w:noProof/>
            <w:webHidden/>
          </w:rPr>
          <w:fldChar w:fldCharType="separate"/>
        </w:r>
        <w:r>
          <w:rPr>
            <w:noProof/>
            <w:webHidden/>
          </w:rPr>
          <w:t>62</w:t>
        </w:r>
        <w:r>
          <w:rPr>
            <w:noProof/>
            <w:webHidden/>
          </w:rPr>
          <w:fldChar w:fldCharType="end"/>
        </w:r>
      </w:hyperlink>
    </w:p>
    <w:p w14:paraId="1CDC0726" w14:textId="21E670F3" w:rsidR="00CB7456" w:rsidRDefault="00CB7456">
      <w:pPr>
        <w:pStyle w:val="TableofFigures"/>
        <w:tabs>
          <w:tab w:val="right" w:leader="dot" w:pos="8188"/>
        </w:tabs>
        <w:rPr>
          <w:noProof/>
          <w:lang w:eastAsia="en-GB"/>
        </w:rPr>
      </w:pPr>
      <w:hyperlink w:anchor="_Toc7187621" w:history="1">
        <w:r w:rsidRPr="00267FE1">
          <w:rPr>
            <w:rStyle w:val="Hyperlink"/>
            <w:noProof/>
          </w:rPr>
          <w:t>Figure 3.1: The locations of the two heat sources, seven possible locations to be mapped, and suggested network route in the case study area (GEOFABRIK, 2017).</w:t>
        </w:r>
        <w:r>
          <w:rPr>
            <w:noProof/>
            <w:webHidden/>
          </w:rPr>
          <w:tab/>
        </w:r>
        <w:r>
          <w:rPr>
            <w:noProof/>
            <w:webHidden/>
          </w:rPr>
          <w:fldChar w:fldCharType="begin"/>
        </w:r>
        <w:r>
          <w:rPr>
            <w:noProof/>
            <w:webHidden/>
          </w:rPr>
          <w:instrText xml:space="preserve"> PAGEREF _Toc7187621 \h </w:instrText>
        </w:r>
        <w:r>
          <w:rPr>
            <w:noProof/>
            <w:webHidden/>
          </w:rPr>
        </w:r>
        <w:r>
          <w:rPr>
            <w:noProof/>
            <w:webHidden/>
          </w:rPr>
          <w:fldChar w:fldCharType="separate"/>
        </w:r>
        <w:r>
          <w:rPr>
            <w:noProof/>
            <w:webHidden/>
          </w:rPr>
          <w:t>78</w:t>
        </w:r>
        <w:r>
          <w:rPr>
            <w:noProof/>
            <w:webHidden/>
          </w:rPr>
          <w:fldChar w:fldCharType="end"/>
        </w:r>
      </w:hyperlink>
    </w:p>
    <w:p w14:paraId="400B0A0E" w14:textId="11E32AD4" w:rsidR="00CB7456" w:rsidRDefault="00CB7456">
      <w:pPr>
        <w:pStyle w:val="TableofFigures"/>
        <w:tabs>
          <w:tab w:val="right" w:leader="dot" w:pos="8188"/>
        </w:tabs>
        <w:rPr>
          <w:noProof/>
          <w:lang w:eastAsia="en-GB"/>
        </w:rPr>
      </w:pPr>
      <w:hyperlink w:anchor="_Toc7187622" w:history="1">
        <w:r w:rsidRPr="00267FE1">
          <w:rPr>
            <w:rStyle w:val="Hyperlink"/>
            <w:noProof/>
          </w:rPr>
          <w:t>Figure 3.2: The large commercial heat customers and their average power demand, which can act as the possible anchor loads, in the case study area (GEOFABRIK, 2017).</w:t>
        </w:r>
        <w:r>
          <w:rPr>
            <w:noProof/>
            <w:webHidden/>
          </w:rPr>
          <w:tab/>
        </w:r>
        <w:r>
          <w:rPr>
            <w:noProof/>
            <w:webHidden/>
          </w:rPr>
          <w:fldChar w:fldCharType="begin"/>
        </w:r>
        <w:r>
          <w:rPr>
            <w:noProof/>
            <w:webHidden/>
          </w:rPr>
          <w:instrText xml:space="preserve"> PAGEREF _Toc7187622 \h </w:instrText>
        </w:r>
        <w:r>
          <w:rPr>
            <w:noProof/>
            <w:webHidden/>
          </w:rPr>
        </w:r>
        <w:r>
          <w:rPr>
            <w:noProof/>
            <w:webHidden/>
          </w:rPr>
          <w:fldChar w:fldCharType="separate"/>
        </w:r>
        <w:r>
          <w:rPr>
            <w:noProof/>
            <w:webHidden/>
          </w:rPr>
          <w:t>79</w:t>
        </w:r>
        <w:r>
          <w:rPr>
            <w:noProof/>
            <w:webHidden/>
          </w:rPr>
          <w:fldChar w:fldCharType="end"/>
        </w:r>
      </w:hyperlink>
    </w:p>
    <w:p w14:paraId="028D9F58" w14:textId="234172EB" w:rsidR="00CB7456" w:rsidRDefault="00CB7456">
      <w:pPr>
        <w:pStyle w:val="TableofFigures"/>
        <w:tabs>
          <w:tab w:val="right" w:leader="dot" w:pos="8188"/>
        </w:tabs>
        <w:rPr>
          <w:noProof/>
          <w:lang w:eastAsia="en-GB"/>
        </w:rPr>
      </w:pPr>
      <w:hyperlink w:anchor="_Toc7187623" w:history="1">
        <w:r w:rsidRPr="00267FE1">
          <w:rPr>
            <w:rStyle w:val="Hyperlink"/>
            <w:noProof/>
          </w:rPr>
          <w:t>Figure 3.3: Large heat users in Bakewell and their average power demand (GEOFABRIK, 2017).</w:t>
        </w:r>
        <w:r>
          <w:rPr>
            <w:noProof/>
            <w:webHidden/>
          </w:rPr>
          <w:tab/>
        </w:r>
        <w:r>
          <w:rPr>
            <w:noProof/>
            <w:webHidden/>
          </w:rPr>
          <w:fldChar w:fldCharType="begin"/>
        </w:r>
        <w:r>
          <w:rPr>
            <w:noProof/>
            <w:webHidden/>
          </w:rPr>
          <w:instrText xml:space="preserve"> PAGEREF _Toc7187623 \h </w:instrText>
        </w:r>
        <w:r>
          <w:rPr>
            <w:noProof/>
            <w:webHidden/>
          </w:rPr>
        </w:r>
        <w:r>
          <w:rPr>
            <w:noProof/>
            <w:webHidden/>
          </w:rPr>
          <w:fldChar w:fldCharType="separate"/>
        </w:r>
        <w:r>
          <w:rPr>
            <w:noProof/>
            <w:webHidden/>
          </w:rPr>
          <w:t>80</w:t>
        </w:r>
        <w:r>
          <w:rPr>
            <w:noProof/>
            <w:webHidden/>
          </w:rPr>
          <w:fldChar w:fldCharType="end"/>
        </w:r>
      </w:hyperlink>
    </w:p>
    <w:p w14:paraId="0E26A7CC" w14:textId="52A231C2" w:rsidR="00CB7456" w:rsidRDefault="00CB7456">
      <w:pPr>
        <w:pStyle w:val="TableofFigures"/>
        <w:tabs>
          <w:tab w:val="right" w:leader="dot" w:pos="8188"/>
        </w:tabs>
        <w:rPr>
          <w:noProof/>
          <w:lang w:eastAsia="en-GB"/>
        </w:rPr>
      </w:pPr>
      <w:hyperlink w:anchor="_Toc7187624" w:history="1">
        <w:r w:rsidRPr="00267FE1">
          <w:rPr>
            <w:rStyle w:val="Hyperlink"/>
            <w:noProof/>
          </w:rPr>
          <w:t>Figure 3.4: Large heat users in Darley Dale and their average power demand (GEOFABRIK, 2017).</w:t>
        </w:r>
        <w:r>
          <w:rPr>
            <w:noProof/>
            <w:webHidden/>
          </w:rPr>
          <w:tab/>
        </w:r>
        <w:r>
          <w:rPr>
            <w:noProof/>
            <w:webHidden/>
          </w:rPr>
          <w:fldChar w:fldCharType="begin"/>
        </w:r>
        <w:r>
          <w:rPr>
            <w:noProof/>
            <w:webHidden/>
          </w:rPr>
          <w:instrText xml:space="preserve"> PAGEREF _Toc7187624 \h </w:instrText>
        </w:r>
        <w:r>
          <w:rPr>
            <w:noProof/>
            <w:webHidden/>
          </w:rPr>
        </w:r>
        <w:r>
          <w:rPr>
            <w:noProof/>
            <w:webHidden/>
          </w:rPr>
          <w:fldChar w:fldCharType="separate"/>
        </w:r>
        <w:r>
          <w:rPr>
            <w:noProof/>
            <w:webHidden/>
          </w:rPr>
          <w:t>81</w:t>
        </w:r>
        <w:r>
          <w:rPr>
            <w:noProof/>
            <w:webHidden/>
          </w:rPr>
          <w:fldChar w:fldCharType="end"/>
        </w:r>
      </w:hyperlink>
    </w:p>
    <w:p w14:paraId="7BFFF2C2" w14:textId="1E41BC29" w:rsidR="00CB7456" w:rsidRDefault="00CB7456">
      <w:pPr>
        <w:pStyle w:val="TableofFigures"/>
        <w:tabs>
          <w:tab w:val="right" w:leader="dot" w:pos="8188"/>
        </w:tabs>
        <w:rPr>
          <w:noProof/>
          <w:lang w:eastAsia="en-GB"/>
        </w:rPr>
      </w:pPr>
      <w:hyperlink w:anchor="_Toc7187625" w:history="1">
        <w:r w:rsidRPr="00267FE1">
          <w:rPr>
            <w:rStyle w:val="Hyperlink"/>
            <w:noProof/>
          </w:rPr>
          <w:t>Figure 3.5: Large heat users in Matlock and their average power demand (GEOFABRIK, 2017).</w:t>
        </w:r>
        <w:r>
          <w:rPr>
            <w:noProof/>
            <w:webHidden/>
          </w:rPr>
          <w:tab/>
        </w:r>
        <w:r>
          <w:rPr>
            <w:noProof/>
            <w:webHidden/>
          </w:rPr>
          <w:fldChar w:fldCharType="begin"/>
        </w:r>
        <w:r>
          <w:rPr>
            <w:noProof/>
            <w:webHidden/>
          </w:rPr>
          <w:instrText xml:space="preserve"> PAGEREF _Toc7187625 \h </w:instrText>
        </w:r>
        <w:r>
          <w:rPr>
            <w:noProof/>
            <w:webHidden/>
          </w:rPr>
        </w:r>
        <w:r>
          <w:rPr>
            <w:noProof/>
            <w:webHidden/>
          </w:rPr>
          <w:fldChar w:fldCharType="separate"/>
        </w:r>
        <w:r>
          <w:rPr>
            <w:noProof/>
            <w:webHidden/>
          </w:rPr>
          <w:t>81</w:t>
        </w:r>
        <w:r>
          <w:rPr>
            <w:noProof/>
            <w:webHidden/>
          </w:rPr>
          <w:fldChar w:fldCharType="end"/>
        </w:r>
      </w:hyperlink>
    </w:p>
    <w:p w14:paraId="2510EF6B" w14:textId="15E2BB61" w:rsidR="00CB7456" w:rsidRDefault="00CB7456">
      <w:pPr>
        <w:pStyle w:val="TableofFigures"/>
        <w:tabs>
          <w:tab w:val="right" w:leader="dot" w:pos="8188"/>
        </w:tabs>
        <w:rPr>
          <w:noProof/>
          <w:lang w:eastAsia="en-GB"/>
        </w:rPr>
      </w:pPr>
      <w:hyperlink w:anchor="_Toc7187626" w:history="1">
        <w:r w:rsidRPr="00267FE1">
          <w:rPr>
            <w:rStyle w:val="Hyperlink"/>
            <w:noProof/>
          </w:rPr>
          <w:t>Figure 3.6: Population and HD densities in the case study area (ONS, 2011b; GEOFABRIK, 2017).</w:t>
        </w:r>
        <w:r>
          <w:rPr>
            <w:noProof/>
            <w:webHidden/>
          </w:rPr>
          <w:tab/>
        </w:r>
        <w:r>
          <w:rPr>
            <w:noProof/>
            <w:webHidden/>
          </w:rPr>
          <w:fldChar w:fldCharType="begin"/>
        </w:r>
        <w:r>
          <w:rPr>
            <w:noProof/>
            <w:webHidden/>
          </w:rPr>
          <w:instrText xml:space="preserve"> PAGEREF _Toc7187626 \h </w:instrText>
        </w:r>
        <w:r>
          <w:rPr>
            <w:noProof/>
            <w:webHidden/>
          </w:rPr>
        </w:r>
        <w:r>
          <w:rPr>
            <w:noProof/>
            <w:webHidden/>
          </w:rPr>
          <w:fldChar w:fldCharType="separate"/>
        </w:r>
        <w:r>
          <w:rPr>
            <w:noProof/>
            <w:webHidden/>
          </w:rPr>
          <w:t>82</w:t>
        </w:r>
        <w:r>
          <w:rPr>
            <w:noProof/>
            <w:webHidden/>
          </w:rPr>
          <w:fldChar w:fldCharType="end"/>
        </w:r>
      </w:hyperlink>
    </w:p>
    <w:p w14:paraId="15BDA7ED" w14:textId="546D1185" w:rsidR="00CB7456" w:rsidRDefault="00CB7456">
      <w:pPr>
        <w:pStyle w:val="TableofFigures"/>
        <w:tabs>
          <w:tab w:val="right" w:leader="dot" w:pos="8188"/>
        </w:tabs>
        <w:rPr>
          <w:noProof/>
          <w:lang w:eastAsia="en-GB"/>
        </w:rPr>
      </w:pPr>
      <w:hyperlink w:anchor="_Toc7187627" w:history="1">
        <w:r w:rsidRPr="00267FE1">
          <w:rPr>
            <w:rStyle w:val="Hyperlink"/>
            <w:noProof/>
          </w:rPr>
          <w:t>Figure 3.7: Population and HD densities of Bakewell (ONS, 2011b; GEOFABRIK, 2017).</w:t>
        </w:r>
        <w:r>
          <w:rPr>
            <w:noProof/>
            <w:webHidden/>
          </w:rPr>
          <w:tab/>
        </w:r>
        <w:r>
          <w:rPr>
            <w:noProof/>
            <w:webHidden/>
          </w:rPr>
          <w:fldChar w:fldCharType="begin"/>
        </w:r>
        <w:r>
          <w:rPr>
            <w:noProof/>
            <w:webHidden/>
          </w:rPr>
          <w:instrText xml:space="preserve"> PAGEREF _Toc7187627 \h </w:instrText>
        </w:r>
        <w:r>
          <w:rPr>
            <w:noProof/>
            <w:webHidden/>
          </w:rPr>
        </w:r>
        <w:r>
          <w:rPr>
            <w:noProof/>
            <w:webHidden/>
          </w:rPr>
          <w:fldChar w:fldCharType="separate"/>
        </w:r>
        <w:r>
          <w:rPr>
            <w:noProof/>
            <w:webHidden/>
          </w:rPr>
          <w:t>83</w:t>
        </w:r>
        <w:r>
          <w:rPr>
            <w:noProof/>
            <w:webHidden/>
          </w:rPr>
          <w:fldChar w:fldCharType="end"/>
        </w:r>
      </w:hyperlink>
    </w:p>
    <w:p w14:paraId="27DFF096" w14:textId="517F798D" w:rsidR="00CB7456" w:rsidRDefault="00CB7456">
      <w:pPr>
        <w:pStyle w:val="TableofFigures"/>
        <w:tabs>
          <w:tab w:val="right" w:leader="dot" w:pos="8188"/>
        </w:tabs>
        <w:rPr>
          <w:noProof/>
          <w:lang w:eastAsia="en-GB"/>
        </w:rPr>
      </w:pPr>
      <w:hyperlink w:anchor="_Toc7187628" w:history="1">
        <w:r w:rsidRPr="00267FE1">
          <w:rPr>
            <w:rStyle w:val="Hyperlink"/>
            <w:noProof/>
          </w:rPr>
          <w:t>Figure 3.8: Population and HD densities of Darley Dale (ONS, 2011b; GEOFABRIK, 2017).</w:t>
        </w:r>
        <w:r>
          <w:rPr>
            <w:noProof/>
            <w:webHidden/>
          </w:rPr>
          <w:tab/>
        </w:r>
        <w:r>
          <w:rPr>
            <w:noProof/>
            <w:webHidden/>
          </w:rPr>
          <w:fldChar w:fldCharType="begin"/>
        </w:r>
        <w:r>
          <w:rPr>
            <w:noProof/>
            <w:webHidden/>
          </w:rPr>
          <w:instrText xml:space="preserve"> PAGEREF _Toc7187628 \h </w:instrText>
        </w:r>
        <w:r>
          <w:rPr>
            <w:noProof/>
            <w:webHidden/>
          </w:rPr>
        </w:r>
        <w:r>
          <w:rPr>
            <w:noProof/>
            <w:webHidden/>
          </w:rPr>
          <w:fldChar w:fldCharType="separate"/>
        </w:r>
        <w:r>
          <w:rPr>
            <w:noProof/>
            <w:webHidden/>
          </w:rPr>
          <w:t>84</w:t>
        </w:r>
        <w:r>
          <w:rPr>
            <w:noProof/>
            <w:webHidden/>
          </w:rPr>
          <w:fldChar w:fldCharType="end"/>
        </w:r>
      </w:hyperlink>
    </w:p>
    <w:p w14:paraId="551D7AE4" w14:textId="54590090" w:rsidR="00CB7456" w:rsidRDefault="00CB7456">
      <w:pPr>
        <w:pStyle w:val="TableofFigures"/>
        <w:tabs>
          <w:tab w:val="right" w:leader="dot" w:pos="8188"/>
        </w:tabs>
        <w:rPr>
          <w:noProof/>
          <w:lang w:eastAsia="en-GB"/>
        </w:rPr>
      </w:pPr>
      <w:hyperlink w:anchor="_Toc7187629" w:history="1">
        <w:r w:rsidRPr="00267FE1">
          <w:rPr>
            <w:rStyle w:val="Hyperlink"/>
            <w:noProof/>
          </w:rPr>
          <w:t>Figure 3.9: Population and HD densities of Matlock (ONS, 2011b; GEOFABRIK, 2017).</w:t>
        </w:r>
        <w:r>
          <w:rPr>
            <w:noProof/>
            <w:webHidden/>
          </w:rPr>
          <w:tab/>
        </w:r>
        <w:r>
          <w:rPr>
            <w:noProof/>
            <w:webHidden/>
          </w:rPr>
          <w:fldChar w:fldCharType="begin"/>
        </w:r>
        <w:r>
          <w:rPr>
            <w:noProof/>
            <w:webHidden/>
          </w:rPr>
          <w:instrText xml:space="preserve"> PAGEREF _Toc7187629 \h </w:instrText>
        </w:r>
        <w:r>
          <w:rPr>
            <w:noProof/>
            <w:webHidden/>
          </w:rPr>
        </w:r>
        <w:r>
          <w:rPr>
            <w:noProof/>
            <w:webHidden/>
          </w:rPr>
          <w:fldChar w:fldCharType="separate"/>
        </w:r>
        <w:r>
          <w:rPr>
            <w:noProof/>
            <w:webHidden/>
          </w:rPr>
          <w:t>84</w:t>
        </w:r>
        <w:r>
          <w:rPr>
            <w:noProof/>
            <w:webHidden/>
          </w:rPr>
          <w:fldChar w:fldCharType="end"/>
        </w:r>
      </w:hyperlink>
    </w:p>
    <w:p w14:paraId="670052D8" w14:textId="703235FA" w:rsidR="00CB7456" w:rsidRDefault="00CB7456">
      <w:pPr>
        <w:pStyle w:val="TableofFigures"/>
        <w:tabs>
          <w:tab w:val="right" w:leader="dot" w:pos="8188"/>
        </w:tabs>
        <w:rPr>
          <w:noProof/>
          <w:lang w:eastAsia="en-GB"/>
        </w:rPr>
      </w:pPr>
      <w:hyperlink w:anchor="_Toc7187630" w:history="1">
        <w:r w:rsidRPr="00267FE1">
          <w:rPr>
            <w:rStyle w:val="Hyperlink"/>
            <w:noProof/>
          </w:rPr>
          <w:t>Figure 3.10a: The UK CHP development heat map produced for the case study area (DECC, 2011). Figure 3.10b, The heat map produced in the thesis (ONS, 2011b; GEOFABRIK, 2017).</w:t>
        </w:r>
        <w:r>
          <w:rPr>
            <w:noProof/>
            <w:webHidden/>
          </w:rPr>
          <w:tab/>
        </w:r>
        <w:r>
          <w:rPr>
            <w:noProof/>
            <w:webHidden/>
          </w:rPr>
          <w:fldChar w:fldCharType="begin"/>
        </w:r>
        <w:r>
          <w:rPr>
            <w:noProof/>
            <w:webHidden/>
          </w:rPr>
          <w:instrText xml:space="preserve"> PAGEREF _Toc7187630 \h </w:instrText>
        </w:r>
        <w:r>
          <w:rPr>
            <w:noProof/>
            <w:webHidden/>
          </w:rPr>
        </w:r>
        <w:r>
          <w:rPr>
            <w:noProof/>
            <w:webHidden/>
          </w:rPr>
          <w:fldChar w:fldCharType="separate"/>
        </w:r>
        <w:r>
          <w:rPr>
            <w:noProof/>
            <w:webHidden/>
          </w:rPr>
          <w:t>86</w:t>
        </w:r>
        <w:r>
          <w:rPr>
            <w:noProof/>
            <w:webHidden/>
          </w:rPr>
          <w:fldChar w:fldCharType="end"/>
        </w:r>
      </w:hyperlink>
    </w:p>
    <w:p w14:paraId="12771664" w14:textId="19B4454F" w:rsidR="00CB7456" w:rsidRDefault="00CB7456">
      <w:pPr>
        <w:pStyle w:val="TableofFigures"/>
        <w:tabs>
          <w:tab w:val="right" w:leader="dot" w:pos="8188"/>
        </w:tabs>
        <w:rPr>
          <w:noProof/>
          <w:lang w:eastAsia="en-GB"/>
        </w:rPr>
      </w:pPr>
      <w:hyperlink w:anchor="_Toc7187631" w:history="1">
        <w:r w:rsidRPr="00267FE1">
          <w:rPr>
            <w:rStyle w:val="Hyperlink"/>
            <w:noProof/>
          </w:rPr>
          <w:t>Figure 4.1: Gas inflow to the reverberatory furnace for a year of operation.</w:t>
        </w:r>
        <w:r>
          <w:rPr>
            <w:noProof/>
            <w:webHidden/>
          </w:rPr>
          <w:tab/>
        </w:r>
        <w:r>
          <w:rPr>
            <w:noProof/>
            <w:webHidden/>
          </w:rPr>
          <w:fldChar w:fldCharType="begin"/>
        </w:r>
        <w:r>
          <w:rPr>
            <w:noProof/>
            <w:webHidden/>
          </w:rPr>
          <w:instrText xml:space="preserve"> PAGEREF _Toc7187631 \h </w:instrText>
        </w:r>
        <w:r>
          <w:rPr>
            <w:noProof/>
            <w:webHidden/>
          </w:rPr>
        </w:r>
        <w:r>
          <w:rPr>
            <w:noProof/>
            <w:webHidden/>
          </w:rPr>
          <w:fldChar w:fldCharType="separate"/>
        </w:r>
        <w:r>
          <w:rPr>
            <w:noProof/>
            <w:webHidden/>
          </w:rPr>
          <w:t>93</w:t>
        </w:r>
        <w:r>
          <w:rPr>
            <w:noProof/>
            <w:webHidden/>
          </w:rPr>
          <w:fldChar w:fldCharType="end"/>
        </w:r>
      </w:hyperlink>
    </w:p>
    <w:p w14:paraId="7DA2BFB5" w14:textId="3B450181" w:rsidR="00CB7456" w:rsidRDefault="00CB7456">
      <w:pPr>
        <w:pStyle w:val="TableofFigures"/>
        <w:tabs>
          <w:tab w:val="right" w:leader="dot" w:pos="8188"/>
        </w:tabs>
        <w:rPr>
          <w:noProof/>
          <w:lang w:eastAsia="en-GB"/>
        </w:rPr>
      </w:pPr>
      <w:hyperlink w:anchor="_Toc7187632" w:history="1">
        <w:r w:rsidRPr="00267FE1">
          <w:rPr>
            <w:rStyle w:val="Hyperlink"/>
            <w:noProof/>
          </w:rPr>
          <w:t xml:space="preserve">Figure 4.2: Results of the mass and energy balances over the cooling water loop from the reverberatory furnace, to generate </w:t>
        </w:r>
        <w:r w:rsidRPr="00267FE1">
          <w:rPr>
            <w:rStyle w:val="Hyperlink"/>
            <w:i/>
            <w:noProof/>
          </w:rPr>
          <w:t>x</w:t>
        </w:r>
        <w:r w:rsidRPr="00267FE1">
          <w:rPr>
            <w:rStyle w:val="Hyperlink"/>
            <w:noProof/>
          </w:rPr>
          <w:t xml:space="preserve"> MW of heat at the exit of the post combustion chamber (PCC), the conditioning tower (CT), and the fabric filter (FF).</w:t>
        </w:r>
        <w:r>
          <w:rPr>
            <w:noProof/>
            <w:webHidden/>
          </w:rPr>
          <w:tab/>
        </w:r>
        <w:r>
          <w:rPr>
            <w:noProof/>
            <w:webHidden/>
          </w:rPr>
          <w:fldChar w:fldCharType="begin"/>
        </w:r>
        <w:r>
          <w:rPr>
            <w:noProof/>
            <w:webHidden/>
          </w:rPr>
          <w:instrText xml:space="preserve"> PAGEREF _Toc7187632 \h </w:instrText>
        </w:r>
        <w:r>
          <w:rPr>
            <w:noProof/>
            <w:webHidden/>
          </w:rPr>
        </w:r>
        <w:r>
          <w:rPr>
            <w:noProof/>
            <w:webHidden/>
          </w:rPr>
          <w:fldChar w:fldCharType="separate"/>
        </w:r>
        <w:r>
          <w:rPr>
            <w:noProof/>
            <w:webHidden/>
          </w:rPr>
          <w:t>94</w:t>
        </w:r>
        <w:r>
          <w:rPr>
            <w:noProof/>
            <w:webHidden/>
          </w:rPr>
          <w:fldChar w:fldCharType="end"/>
        </w:r>
      </w:hyperlink>
    </w:p>
    <w:p w14:paraId="67A18A99" w14:textId="2A299F97" w:rsidR="00CB7456" w:rsidRDefault="00CB7456">
      <w:pPr>
        <w:pStyle w:val="TableofFigures"/>
        <w:tabs>
          <w:tab w:val="right" w:leader="dot" w:pos="8188"/>
        </w:tabs>
        <w:rPr>
          <w:noProof/>
          <w:lang w:eastAsia="en-GB"/>
        </w:rPr>
      </w:pPr>
      <w:hyperlink w:anchor="_Toc7187633" w:history="1">
        <w:r w:rsidRPr="00267FE1">
          <w:rPr>
            <w:rStyle w:val="Hyperlink"/>
            <w:noProof/>
          </w:rPr>
          <w:t xml:space="preserve">Figure 4.3: Results of the mass and energy balances over the main flue gas treatment process from the reverberatory furnace, to generate </w:t>
        </w:r>
        <w:r w:rsidRPr="00267FE1">
          <w:rPr>
            <w:rStyle w:val="Hyperlink"/>
            <w:i/>
            <w:noProof/>
          </w:rPr>
          <w:t>x</w:t>
        </w:r>
        <w:r w:rsidRPr="00267FE1">
          <w:rPr>
            <w:rStyle w:val="Hyperlink"/>
            <w:noProof/>
          </w:rPr>
          <w:t xml:space="preserve"> MW of heat at the exit of the post combustion chamber (PCC), the conditioning tower (CT), and the fabric filter (FF).</w:t>
        </w:r>
        <w:r>
          <w:rPr>
            <w:noProof/>
            <w:webHidden/>
          </w:rPr>
          <w:tab/>
        </w:r>
        <w:r>
          <w:rPr>
            <w:noProof/>
            <w:webHidden/>
          </w:rPr>
          <w:fldChar w:fldCharType="begin"/>
        </w:r>
        <w:r>
          <w:rPr>
            <w:noProof/>
            <w:webHidden/>
          </w:rPr>
          <w:instrText xml:space="preserve"> PAGEREF _Toc7187633 \h </w:instrText>
        </w:r>
        <w:r>
          <w:rPr>
            <w:noProof/>
            <w:webHidden/>
          </w:rPr>
        </w:r>
        <w:r>
          <w:rPr>
            <w:noProof/>
            <w:webHidden/>
          </w:rPr>
          <w:fldChar w:fldCharType="separate"/>
        </w:r>
        <w:r>
          <w:rPr>
            <w:noProof/>
            <w:webHidden/>
          </w:rPr>
          <w:t>95</w:t>
        </w:r>
        <w:r>
          <w:rPr>
            <w:noProof/>
            <w:webHidden/>
          </w:rPr>
          <w:fldChar w:fldCharType="end"/>
        </w:r>
      </w:hyperlink>
    </w:p>
    <w:p w14:paraId="3B4EF58F" w14:textId="118EE7D4" w:rsidR="00CB7456" w:rsidRDefault="00CB7456">
      <w:pPr>
        <w:pStyle w:val="TableofFigures"/>
        <w:tabs>
          <w:tab w:val="right" w:leader="dot" w:pos="8188"/>
        </w:tabs>
        <w:rPr>
          <w:noProof/>
          <w:lang w:eastAsia="en-GB"/>
        </w:rPr>
      </w:pPr>
      <w:hyperlink w:anchor="_Toc7187634" w:history="1">
        <w:r w:rsidRPr="00267FE1">
          <w:rPr>
            <w:rStyle w:val="Hyperlink"/>
            <w:noProof/>
          </w:rPr>
          <w:t>Figure 4.4: Variation in the power levels available from the flue gas treatment process during a ‘standard’ week of HJE operation.</w:t>
        </w:r>
        <w:r>
          <w:rPr>
            <w:noProof/>
            <w:webHidden/>
          </w:rPr>
          <w:tab/>
        </w:r>
        <w:r>
          <w:rPr>
            <w:noProof/>
            <w:webHidden/>
          </w:rPr>
          <w:fldChar w:fldCharType="begin"/>
        </w:r>
        <w:r>
          <w:rPr>
            <w:noProof/>
            <w:webHidden/>
          </w:rPr>
          <w:instrText xml:space="preserve"> PAGEREF _Toc7187634 \h </w:instrText>
        </w:r>
        <w:r>
          <w:rPr>
            <w:noProof/>
            <w:webHidden/>
          </w:rPr>
        </w:r>
        <w:r>
          <w:rPr>
            <w:noProof/>
            <w:webHidden/>
          </w:rPr>
          <w:fldChar w:fldCharType="separate"/>
        </w:r>
        <w:r>
          <w:rPr>
            <w:noProof/>
            <w:webHidden/>
          </w:rPr>
          <w:t>96</w:t>
        </w:r>
        <w:r>
          <w:rPr>
            <w:noProof/>
            <w:webHidden/>
          </w:rPr>
          <w:fldChar w:fldCharType="end"/>
        </w:r>
      </w:hyperlink>
    </w:p>
    <w:p w14:paraId="5F2F50F4" w14:textId="75ADE210" w:rsidR="00CB7456" w:rsidRDefault="00CB7456">
      <w:pPr>
        <w:pStyle w:val="TableofFigures"/>
        <w:tabs>
          <w:tab w:val="right" w:leader="dot" w:pos="8188"/>
        </w:tabs>
        <w:rPr>
          <w:noProof/>
          <w:lang w:eastAsia="en-GB"/>
        </w:rPr>
      </w:pPr>
      <w:hyperlink w:anchor="_Toc7187635" w:history="1">
        <w:r w:rsidRPr="00267FE1">
          <w:rPr>
            <w:rStyle w:val="Hyperlink"/>
            <w:noProof/>
          </w:rPr>
          <w:t>Figure 4.5: Variation in the flowrates from the flue gas treatment process during a ‘standard’ week of HJE operation.</w:t>
        </w:r>
        <w:r>
          <w:rPr>
            <w:noProof/>
            <w:webHidden/>
          </w:rPr>
          <w:tab/>
        </w:r>
        <w:r>
          <w:rPr>
            <w:noProof/>
            <w:webHidden/>
          </w:rPr>
          <w:fldChar w:fldCharType="begin"/>
        </w:r>
        <w:r>
          <w:rPr>
            <w:noProof/>
            <w:webHidden/>
          </w:rPr>
          <w:instrText xml:space="preserve"> PAGEREF _Toc7187635 \h </w:instrText>
        </w:r>
        <w:r>
          <w:rPr>
            <w:noProof/>
            <w:webHidden/>
          </w:rPr>
        </w:r>
        <w:r>
          <w:rPr>
            <w:noProof/>
            <w:webHidden/>
          </w:rPr>
          <w:fldChar w:fldCharType="separate"/>
        </w:r>
        <w:r>
          <w:rPr>
            <w:noProof/>
            <w:webHidden/>
          </w:rPr>
          <w:t>96</w:t>
        </w:r>
        <w:r>
          <w:rPr>
            <w:noProof/>
            <w:webHidden/>
          </w:rPr>
          <w:fldChar w:fldCharType="end"/>
        </w:r>
      </w:hyperlink>
    </w:p>
    <w:p w14:paraId="354190F6" w14:textId="0C15F246" w:rsidR="00CB7456" w:rsidRDefault="00CB7456">
      <w:pPr>
        <w:pStyle w:val="TableofFigures"/>
        <w:tabs>
          <w:tab w:val="right" w:leader="dot" w:pos="8188"/>
        </w:tabs>
        <w:rPr>
          <w:noProof/>
          <w:lang w:eastAsia="en-GB"/>
        </w:rPr>
      </w:pPr>
      <w:hyperlink w:anchor="_Toc7187636" w:history="1">
        <w:r w:rsidRPr="00267FE1">
          <w:rPr>
            <w:rStyle w:val="Hyperlink"/>
            <w:noProof/>
          </w:rPr>
          <w:t>Figure 4.6: Variation in the temperatures available from the flue gas treatment process during a ‘standard’ week of HJE operation.</w:t>
        </w:r>
        <w:r>
          <w:rPr>
            <w:noProof/>
            <w:webHidden/>
          </w:rPr>
          <w:tab/>
        </w:r>
        <w:r>
          <w:rPr>
            <w:noProof/>
            <w:webHidden/>
          </w:rPr>
          <w:fldChar w:fldCharType="begin"/>
        </w:r>
        <w:r>
          <w:rPr>
            <w:noProof/>
            <w:webHidden/>
          </w:rPr>
          <w:instrText xml:space="preserve"> PAGEREF _Toc7187636 \h </w:instrText>
        </w:r>
        <w:r>
          <w:rPr>
            <w:noProof/>
            <w:webHidden/>
          </w:rPr>
        </w:r>
        <w:r>
          <w:rPr>
            <w:noProof/>
            <w:webHidden/>
          </w:rPr>
          <w:fldChar w:fldCharType="separate"/>
        </w:r>
        <w:r>
          <w:rPr>
            <w:noProof/>
            <w:webHidden/>
          </w:rPr>
          <w:t>97</w:t>
        </w:r>
        <w:r>
          <w:rPr>
            <w:noProof/>
            <w:webHidden/>
          </w:rPr>
          <w:fldChar w:fldCharType="end"/>
        </w:r>
      </w:hyperlink>
    </w:p>
    <w:p w14:paraId="2F62EB8F" w14:textId="215B6178" w:rsidR="00CB7456" w:rsidRDefault="00CB7456">
      <w:pPr>
        <w:pStyle w:val="TableofFigures"/>
        <w:tabs>
          <w:tab w:val="right" w:leader="dot" w:pos="8188"/>
        </w:tabs>
        <w:rPr>
          <w:noProof/>
          <w:lang w:eastAsia="en-GB"/>
        </w:rPr>
      </w:pPr>
      <w:hyperlink w:anchor="_Toc7187637" w:history="1">
        <w:r w:rsidRPr="00267FE1">
          <w:rPr>
            <w:rStyle w:val="Hyperlink"/>
            <w:noProof/>
          </w:rPr>
          <w:t>Figure 5.1: Operating cycle of a traditional RC (Tufts University, 2003).</w:t>
        </w:r>
        <w:r>
          <w:rPr>
            <w:noProof/>
            <w:webHidden/>
          </w:rPr>
          <w:tab/>
        </w:r>
        <w:r>
          <w:rPr>
            <w:noProof/>
            <w:webHidden/>
          </w:rPr>
          <w:fldChar w:fldCharType="begin"/>
        </w:r>
        <w:r>
          <w:rPr>
            <w:noProof/>
            <w:webHidden/>
          </w:rPr>
          <w:instrText xml:space="preserve"> PAGEREF _Toc7187637 \h </w:instrText>
        </w:r>
        <w:r>
          <w:rPr>
            <w:noProof/>
            <w:webHidden/>
          </w:rPr>
        </w:r>
        <w:r>
          <w:rPr>
            <w:noProof/>
            <w:webHidden/>
          </w:rPr>
          <w:fldChar w:fldCharType="separate"/>
        </w:r>
        <w:r>
          <w:rPr>
            <w:noProof/>
            <w:webHidden/>
          </w:rPr>
          <w:t>105</w:t>
        </w:r>
        <w:r>
          <w:rPr>
            <w:noProof/>
            <w:webHidden/>
          </w:rPr>
          <w:fldChar w:fldCharType="end"/>
        </w:r>
      </w:hyperlink>
    </w:p>
    <w:p w14:paraId="00F39DA7" w14:textId="2438A99A" w:rsidR="00CB7456" w:rsidRDefault="00CB7456">
      <w:pPr>
        <w:pStyle w:val="TableofFigures"/>
        <w:tabs>
          <w:tab w:val="right" w:leader="dot" w:pos="8188"/>
        </w:tabs>
        <w:rPr>
          <w:noProof/>
          <w:lang w:eastAsia="en-GB"/>
        </w:rPr>
      </w:pPr>
      <w:hyperlink w:anchor="_Toc7187638" w:history="1">
        <w:r w:rsidRPr="00267FE1">
          <w:rPr>
            <w:rStyle w:val="Hyperlink"/>
            <w:noProof/>
          </w:rPr>
          <w:t>Figure 5.2: Initial CAPEX of the different WHR technologies.</w:t>
        </w:r>
        <w:r>
          <w:rPr>
            <w:noProof/>
            <w:webHidden/>
          </w:rPr>
          <w:tab/>
        </w:r>
        <w:r>
          <w:rPr>
            <w:noProof/>
            <w:webHidden/>
          </w:rPr>
          <w:fldChar w:fldCharType="begin"/>
        </w:r>
        <w:r>
          <w:rPr>
            <w:noProof/>
            <w:webHidden/>
          </w:rPr>
          <w:instrText xml:space="preserve"> PAGEREF _Toc7187638 \h </w:instrText>
        </w:r>
        <w:r>
          <w:rPr>
            <w:noProof/>
            <w:webHidden/>
          </w:rPr>
        </w:r>
        <w:r>
          <w:rPr>
            <w:noProof/>
            <w:webHidden/>
          </w:rPr>
          <w:fldChar w:fldCharType="separate"/>
        </w:r>
        <w:r>
          <w:rPr>
            <w:noProof/>
            <w:webHidden/>
          </w:rPr>
          <w:t>112</w:t>
        </w:r>
        <w:r>
          <w:rPr>
            <w:noProof/>
            <w:webHidden/>
          </w:rPr>
          <w:fldChar w:fldCharType="end"/>
        </w:r>
      </w:hyperlink>
    </w:p>
    <w:p w14:paraId="1CF3B4D6" w14:textId="5C45442F" w:rsidR="00CB7456" w:rsidRDefault="00CB7456">
      <w:pPr>
        <w:pStyle w:val="TableofFigures"/>
        <w:tabs>
          <w:tab w:val="right" w:leader="dot" w:pos="8188"/>
        </w:tabs>
        <w:rPr>
          <w:noProof/>
          <w:lang w:eastAsia="en-GB"/>
        </w:rPr>
      </w:pPr>
      <w:hyperlink w:anchor="_Toc7187639" w:history="1">
        <w:r w:rsidRPr="00267FE1">
          <w:rPr>
            <w:rStyle w:val="Hyperlink"/>
            <w:noProof/>
          </w:rPr>
          <w:t>Figure 5.3: (a) Total costs of the different WHR technologies after one year of operation. (b) CAPEX and total costs (sum of the CAPEX, OPEX and profits) of the different WHR technologies after one year of operation, note, negative total costs show that revenue is being generated.</w:t>
        </w:r>
        <w:r>
          <w:rPr>
            <w:noProof/>
            <w:webHidden/>
          </w:rPr>
          <w:tab/>
        </w:r>
        <w:r>
          <w:rPr>
            <w:noProof/>
            <w:webHidden/>
          </w:rPr>
          <w:fldChar w:fldCharType="begin"/>
        </w:r>
        <w:r>
          <w:rPr>
            <w:noProof/>
            <w:webHidden/>
          </w:rPr>
          <w:instrText xml:space="preserve"> PAGEREF _Toc7187639 \h </w:instrText>
        </w:r>
        <w:r>
          <w:rPr>
            <w:noProof/>
            <w:webHidden/>
          </w:rPr>
        </w:r>
        <w:r>
          <w:rPr>
            <w:noProof/>
            <w:webHidden/>
          </w:rPr>
          <w:fldChar w:fldCharType="separate"/>
        </w:r>
        <w:r>
          <w:rPr>
            <w:noProof/>
            <w:webHidden/>
          </w:rPr>
          <w:t>112</w:t>
        </w:r>
        <w:r>
          <w:rPr>
            <w:noProof/>
            <w:webHidden/>
          </w:rPr>
          <w:fldChar w:fldCharType="end"/>
        </w:r>
      </w:hyperlink>
    </w:p>
    <w:p w14:paraId="4C6D2CD1" w14:textId="5E246D9F" w:rsidR="00CB7456" w:rsidRDefault="00CB7456">
      <w:pPr>
        <w:pStyle w:val="TableofFigures"/>
        <w:tabs>
          <w:tab w:val="right" w:leader="dot" w:pos="8188"/>
        </w:tabs>
        <w:rPr>
          <w:noProof/>
          <w:lang w:eastAsia="en-GB"/>
        </w:rPr>
      </w:pPr>
      <w:hyperlink w:anchor="_Toc7187640" w:history="1">
        <w:r w:rsidRPr="00267FE1">
          <w:rPr>
            <w:rStyle w:val="Hyperlink"/>
            <w:noProof/>
          </w:rPr>
          <w:t>Figure 5.4: (a) Total costs of the different WHR technologies after three years of operation. (b) CAPEX and total costs (sum of the CAPEX, OPEX and profits) of the different WHR technologies after three years of operation, note, negative total costs show that revenue is being generated</w:t>
        </w:r>
        <w:r>
          <w:rPr>
            <w:noProof/>
            <w:webHidden/>
          </w:rPr>
          <w:tab/>
        </w:r>
        <w:r>
          <w:rPr>
            <w:noProof/>
            <w:webHidden/>
          </w:rPr>
          <w:fldChar w:fldCharType="begin"/>
        </w:r>
        <w:r>
          <w:rPr>
            <w:noProof/>
            <w:webHidden/>
          </w:rPr>
          <w:instrText xml:space="preserve"> PAGEREF _Toc7187640 \h </w:instrText>
        </w:r>
        <w:r>
          <w:rPr>
            <w:noProof/>
            <w:webHidden/>
          </w:rPr>
        </w:r>
        <w:r>
          <w:rPr>
            <w:noProof/>
            <w:webHidden/>
          </w:rPr>
          <w:fldChar w:fldCharType="separate"/>
        </w:r>
        <w:r>
          <w:rPr>
            <w:noProof/>
            <w:webHidden/>
          </w:rPr>
          <w:t>113</w:t>
        </w:r>
        <w:r>
          <w:rPr>
            <w:noProof/>
            <w:webHidden/>
          </w:rPr>
          <w:fldChar w:fldCharType="end"/>
        </w:r>
      </w:hyperlink>
    </w:p>
    <w:p w14:paraId="135D2050" w14:textId="1C7C165B" w:rsidR="00CB7456" w:rsidRDefault="00CB7456">
      <w:pPr>
        <w:pStyle w:val="TableofFigures"/>
        <w:tabs>
          <w:tab w:val="right" w:leader="dot" w:pos="8188"/>
        </w:tabs>
        <w:rPr>
          <w:noProof/>
          <w:lang w:eastAsia="en-GB"/>
        </w:rPr>
      </w:pPr>
      <w:hyperlink w:anchor="_Toc7187641" w:history="1">
        <w:r w:rsidRPr="00267FE1">
          <w:rPr>
            <w:rStyle w:val="Hyperlink"/>
            <w:noProof/>
          </w:rPr>
          <w:t>Figure 5.5: (a) Total costs of the different WHR technologies after ten years of operation. (b) CAPEX and total costs (sum of the CAPEX, OPEX and profits) of the different WHR technologies after 10 years of operation, note, negative total costs show that revenue is being generated</w:t>
        </w:r>
        <w:r>
          <w:rPr>
            <w:noProof/>
            <w:webHidden/>
          </w:rPr>
          <w:tab/>
        </w:r>
        <w:r>
          <w:rPr>
            <w:noProof/>
            <w:webHidden/>
          </w:rPr>
          <w:fldChar w:fldCharType="begin"/>
        </w:r>
        <w:r>
          <w:rPr>
            <w:noProof/>
            <w:webHidden/>
          </w:rPr>
          <w:instrText xml:space="preserve"> PAGEREF _Toc7187641 \h </w:instrText>
        </w:r>
        <w:r>
          <w:rPr>
            <w:noProof/>
            <w:webHidden/>
          </w:rPr>
        </w:r>
        <w:r>
          <w:rPr>
            <w:noProof/>
            <w:webHidden/>
          </w:rPr>
          <w:fldChar w:fldCharType="separate"/>
        </w:r>
        <w:r>
          <w:rPr>
            <w:noProof/>
            <w:webHidden/>
          </w:rPr>
          <w:t>113</w:t>
        </w:r>
        <w:r>
          <w:rPr>
            <w:noProof/>
            <w:webHidden/>
          </w:rPr>
          <w:fldChar w:fldCharType="end"/>
        </w:r>
      </w:hyperlink>
    </w:p>
    <w:p w14:paraId="76AD58B4" w14:textId="2C4F2106" w:rsidR="00CB7456" w:rsidRDefault="00CB7456">
      <w:pPr>
        <w:pStyle w:val="TableofFigures"/>
        <w:tabs>
          <w:tab w:val="right" w:leader="dot" w:pos="8188"/>
        </w:tabs>
        <w:rPr>
          <w:noProof/>
          <w:lang w:eastAsia="en-GB"/>
        </w:rPr>
      </w:pPr>
      <w:hyperlink w:anchor="_Toc7187642" w:history="1">
        <w:r w:rsidRPr="00267FE1">
          <w:rPr>
            <w:rStyle w:val="Hyperlink"/>
            <w:noProof/>
          </w:rPr>
          <w:t>Figure 5.6: Levels of WH that is possible to recover using the FH as the WHR technology.</w:t>
        </w:r>
        <w:r>
          <w:rPr>
            <w:noProof/>
            <w:webHidden/>
          </w:rPr>
          <w:tab/>
        </w:r>
        <w:r>
          <w:rPr>
            <w:noProof/>
            <w:webHidden/>
          </w:rPr>
          <w:fldChar w:fldCharType="begin"/>
        </w:r>
        <w:r>
          <w:rPr>
            <w:noProof/>
            <w:webHidden/>
          </w:rPr>
          <w:instrText xml:space="preserve"> PAGEREF _Toc7187642 \h </w:instrText>
        </w:r>
        <w:r>
          <w:rPr>
            <w:noProof/>
            <w:webHidden/>
          </w:rPr>
        </w:r>
        <w:r>
          <w:rPr>
            <w:noProof/>
            <w:webHidden/>
          </w:rPr>
          <w:fldChar w:fldCharType="separate"/>
        </w:r>
        <w:r>
          <w:rPr>
            <w:noProof/>
            <w:webHidden/>
          </w:rPr>
          <w:t>114</w:t>
        </w:r>
        <w:r>
          <w:rPr>
            <w:noProof/>
            <w:webHidden/>
          </w:rPr>
          <w:fldChar w:fldCharType="end"/>
        </w:r>
      </w:hyperlink>
    </w:p>
    <w:p w14:paraId="7330E1B5" w14:textId="75C3825F" w:rsidR="00CB7456" w:rsidRDefault="00CB7456">
      <w:pPr>
        <w:pStyle w:val="TableofFigures"/>
        <w:tabs>
          <w:tab w:val="right" w:leader="dot" w:pos="8188"/>
        </w:tabs>
        <w:rPr>
          <w:noProof/>
          <w:lang w:eastAsia="en-GB"/>
        </w:rPr>
      </w:pPr>
      <w:hyperlink w:anchor="_Toc7187643" w:history="1">
        <w:r w:rsidRPr="00267FE1">
          <w:rPr>
            <w:rStyle w:val="Hyperlink"/>
            <w:noProof/>
          </w:rPr>
          <w:t>Figure 5.7: Variation in the WH available at the case study site, the levels of WH that was calculated to be recoverable in the case study, and the levels of WH that would be recoverable with an assumed efficiency of WHR of 60%.</w:t>
        </w:r>
        <w:r>
          <w:rPr>
            <w:noProof/>
            <w:webHidden/>
          </w:rPr>
          <w:tab/>
        </w:r>
        <w:r>
          <w:rPr>
            <w:noProof/>
            <w:webHidden/>
          </w:rPr>
          <w:fldChar w:fldCharType="begin"/>
        </w:r>
        <w:r>
          <w:rPr>
            <w:noProof/>
            <w:webHidden/>
          </w:rPr>
          <w:instrText xml:space="preserve"> PAGEREF _Toc7187643 \h </w:instrText>
        </w:r>
        <w:r>
          <w:rPr>
            <w:noProof/>
            <w:webHidden/>
          </w:rPr>
        </w:r>
        <w:r>
          <w:rPr>
            <w:noProof/>
            <w:webHidden/>
          </w:rPr>
          <w:fldChar w:fldCharType="separate"/>
        </w:r>
        <w:r>
          <w:rPr>
            <w:noProof/>
            <w:webHidden/>
          </w:rPr>
          <w:t>116</w:t>
        </w:r>
        <w:r>
          <w:rPr>
            <w:noProof/>
            <w:webHidden/>
          </w:rPr>
          <w:fldChar w:fldCharType="end"/>
        </w:r>
      </w:hyperlink>
    </w:p>
    <w:p w14:paraId="354FC162" w14:textId="73E95C7A" w:rsidR="00CB7456" w:rsidRDefault="00CB7456">
      <w:pPr>
        <w:pStyle w:val="TableofFigures"/>
        <w:tabs>
          <w:tab w:val="right" w:leader="dot" w:pos="8188"/>
        </w:tabs>
        <w:rPr>
          <w:noProof/>
          <w:lang w:eastAsia="en-GB"/>
        </w:rPr>
      </w:pPr>
      <w:hyperlink w:anchor="_Toc7187644" w:history="1">
        <w:r w:rsidRPr="00267FE1">
          <w:rPr>
            <w:rStyle w:val="Hyperlink"/>
            <w:noProof/>
          </w:rPr>
          <w:t>Figure 6.1: The node-, subnode-, square-structure used in the model.</w:t>
        </w:r>
        <w:r>
          <w:rPr>
            <w:noProof/>
            <w:webHidden/>
          </w:rPr>
          <w:tab/>
        </w:r>
        <w:r>
          <w:rPr>
            <w:noProof/>
            <w:webHidden/>
          </w:rPr>
          <w:fldChar w:fldCharType="begin"/>
        </w:r>
        <w:r>
          <w:rPr>
            <w:noProof/>
            <w:webHidden/>
          </w:rPr>
          <w:instrText xml:space="preserve"> PAGEREF _Toc7187644 \h </w:instrText>
        </w:r>
        <w:r>
          <w:rPr>
            <w:noProof/>
            <w:webHidden/>
          </w:rPr>
        </w:r>
        <w:r>
          <w:rPr>
            <w:noProof/>
            <w:webHidden/>
          </w:rPr>
          <w:fldChar w:fldCharType="separate"/>
        </w:r>
        <w:r>
          <w:rPr>
            <w:noProof/>
            <w:webHidden/>
          </w:rPr>
          <w:t>120</w:t>
        </w:r>
        <w:r>
          <w:rPr>
            <w:noProof/>
            <w:webHidden/>
          </w:rPr>
          <w:fldChar w:fldCharType="end"/>
        </w:r>
      </w:hyperlink>
    </w:p>
    <w:p w14:paraId="4FBAA458" w14:textId="2B14E0D8" w:rsidR="00CB7456" w:rsidRDefault="00CB7456">
      <w:pPr>
        <w:pStyle w:val="TableofFigures"/>
        <w:tabs>
          <w:tab w:val="right" w:leader="dot" w:pos="8188"/>
        </w:tabs>
        <w:rPr>
          <w:noProof/>
          <w:lang w:eastAsia="en-GB"/>
        </w:rPr>
      </w:pPr>
      <w:hyperlink w:anchor="_Toc7187645" w:history="1">
        <w:r w:rsidRPr="00267FE1">
          <w:rPr>
            <w:rStyle w:val="Hyperlink"/>
            <w:noProof/>
          </w:rPr>
          <w:t>Figure 6.2: (a) The hourly HD profiles generated using case study 1: Darley Dale, England, with a maximum allowable heat loss in the pipes of 40%. (b) The hourly HD profiles generated using case study 2: Sheffield, England, with a maximum allowable heat loss in the pipes of 7%. (c) The hourly HD profiles generated using case study 3: Hayange, France, with a maximum allowable heat loss in the pipes of 45%.</w:t>
        </w:r>
        <w:r>
          <w:rPr>
            <w:noProof/>
            <w:webHidden/>
          </w:rPr>
          <w:tab/>
        </w:r>
        <w:r>
          <w:rPr>
            <w:noProof/>
            <w:webHidden/>
          </w:rPr>
          <w:fldChar w:fldCharType="begin"/>
        </w:r>
        <w:r>
          <w:rPr>
            <w:noProof/>
            <w:webHidden/>
          </w:rPr>
          <w:instrText xml:space="preserve"> PAGEREF _Toc7187645 \h </w:instrText>
        </w:r>
        <w:r>
          <w:rPr>
            <w:noProof/>
            <w:webHidden/>
          </w:rPr>
        </w:r>
        <w:r>
          <w:rPr>
            <w:noProof/>
            <w:webHidden/>
          </w:rPr>
          <w:fldChar w:fldCharType="separate"/>
        </w:r>
        <w:r>
          <w:rPr>
            <w:noProof/>
            <w:webHidden/>
          </w:rPr>
          <w:t>124</w:t>
        </w:r>
        <w:r>
          <w:rPr>
            <w:noProof/>
            <w:webHidden/>
          </w:rPr>
          <w:fldChar w:fldCharType="end"/>
        </w:r>
      </w:hyperlink>
    </w:p>
    <w:p w14:paraId="463F9258" w14:textId="7D325E43" w:rsidR="00CB7456" w:rsidRDefault="00CB7456">
      <w:pPr>
        <w:pStyle w:val="TableofFigures"/>
        <w:tabs>
          <w:tab w:val="right" w:leader="dot" w:pos="8188"/>
        </w:tabs>
        <w:rPr>
          <w:noProof/>
          <w:lang w:eastAsia="en-GB"/>
        </w:rPr>
      </w:pPr>
      <w:hyperlink w:anchor="_Toc7187646" w:history="1">
        <w:r w:rsidRPr="00267FE1">
          <w:rPr>
            <w:rStyle w:val="Hyperlink"/>
            <w:noProof/>
          </w:rPr>
          <w:t>Figure 6.3: The size and locations of the heat source (in red) and customers (in black), showing the clusters of heat customers (in black rings) in each case study area. (a) GIS map showing the heat source and customers in case study 1: Darley, England. (b) GIS map showing the heat source and customers in case study 2: Sheffield, England. (c) GIS map showing the heat source and customers in case study 3: Hayange, France (GEOFABRIK, 2017).</w:t>
        </w:r>
        <w:r>
          <w:rPr>
            <w:noProof/>
            <w:webHidden/>
          </w:rPr>
          <w:tab/>
        </w:r>
        <w:r>
          <w:rPr>
            <w:noProof/>
            <w:webHidden/>
          </w:rPr>
          <w:fldChar w:fldCharType="begin"/>
        </w:r>
        <w:r>
          <w:rPr>
            <w:noProof/>
            <w:webHidden/>
          </w:rPr>
          <w:instrText xml:space="preserve"> PAGEREF _Toc7187646 \h </w:instrText>
        </w:r>
        <w:r>
          <w:rPr>
            <w:noProof/>
            <w:webHidden/>
          </w:rPr>
        </w:r>
        <w:r>
          <w:rPr>
            <w:noProof/>
            <w:webHidden/>
          </w:rPr>
          <w:fldChar w:fldCharType="separate"/>
        </w:r>
        <w:r>
          <w:rPr>
            <w:noProof/>
            <w:webHidden/>
          </w:rPr>
          <w:t>127</w:t>
        </w:r>
        <w:r>
          <w:rPr>
            <w:noProof/>
            <w:webHidden/>
          </w:rPr>
          <w:fldChar w:fldCharType="end"/>
        </w:r>
      </w:hyperlink>
    </w:p>
    <w:p w14:paraId="0FDE13A9" w14:textId="199B2000" w:rsidR="00CB7456" w:rsidRDefault="00CB7456">
      <w:pPr>
        <w:pStyle w:val="TableofFigures"/>
        <w:tabs>
          <w:tab w:val="right" w:leader="dot" w:pos="8188"/>
        </w:tabs>
        <w:rPr>
          <w:noProof/>
          <w:lang w:eastAsia="en-GB"/>
        </w:rPr>
      </w:pPr>
      <w:hyperlink w:anchor="_Toc7187647" w:history="1">
        <w:r w:rsidRPr="00267FE1">
          <w:rPr>
            <w:rStyle w:val="Hyperlink"/>
            <w:noProof/>
          </w:rPr>
          <w:t>Figure 6.4: (a) The change in mean and standard deviation with an increasing number of simulations. (b) The percentage change in the standard deviation from trial to trial with an increasing number of simulations.</w:t>
        </w:r>
        <w:r>
          <w:rPr>
            <w:noProof/>
            <w:webHidden/>
          </w:rPr>
          <w:tab/>
        </w:r>
        <w:r>
          <w:rPr>
            <w:noProof/>
            <w:webHidden/>
          </w:rPr>
          <w:fldChar w:fldCharType="begin"/>
        </w:r>
        <w:r>
          <w:rPr>
            <w:noProof/>
            <w:webHidden/>
          </w:rPr>
          <w:instrText xml:space="preserve"> PAGEREF _Toc7187647 \h </w:instrText>
        </w:r>
        <w:r>
          <w:rPr>
            <w:noProof/>
            <w:webHidden/>
          </w:rPr>
        </w:r>
        <w:r>
          <w:rPr>
            <w:noProof/>
            <w:webHidden/>
          </w:rPr>
          <w:fldChar w:fldCharType="separate"/>
        </w:r>
        <w:r>
          <w:rPr>
            <w:noProof/>
            <w:webHidden/>
          </w:rPr>
          <w:t>129</w:t>
        </w:r>
        <w:r>
          <w:rPr>
            <w:noProof/>
            <w:webHidden/>
          </w:rPr>
          <w:fldChar w:fldCharType="end"/>
        </w:r>
      </w:hyperlink>
    </w:p>
    <w:p w14:paraId="55A4FE21" w14:textId="5C5724D7" w:rsidR="00CB7456" w:rsidRDefault="00CB7456">
      <w:pPr>
        <w:pStyle w:val="TableofFigures"/>
        <w:tabs>
          <w:tab w:val="right" w:leader="dot" w:pos="8188"/>
        </w:tabs>
        <w:rPr>
          <w:noProof/>
          <w:lang w:eastAsia="en-GB"/>
        </w:rPr>
      </w:pPr>
      <w:hyperlink w:anchor="_Toc7187648" w:history="1">
        <w:r w:rsidRPr="00267FE1">
          <w:rPr>
            <w:rStyle w:val="Hyperlink"/>
            <w:noProof/>
          </w:rPr>
          <w:t>Figure 6.5: Results of the MC simulations for the assumptions in the model, after 1,000 simulations. The mean result, the 50</w:t>
        </w:r>
        <w:r w:rsidRPr="00267FE1">
          <w:rPr>
            <w:rStyle w:val="Hyperlink"/>
            <w:noProof/>
            <w:vertAlign w:val="superscript"/>
          </w:rPr>
          <w:t>th</w:t>
        </w:r>
        <w:r w:rsidRPr="00267FE1">
          <w:rPr>
            <w:rStyle w:val="Hyperlink"/>
            <w:noProof/>
          </w:rPr>
          <w:t xml:space="preserve"> percentile, is shown with a black line. The range of percentiles to the extremes of the 5</w:t>
        </w:r>
        <w:r w:rsidRPr="00267FE1">
          <w:rPr>
            <w:rStyle w:val="Hyperlink"/>
            <w:noProof/>
            <w:vertAlign w:val="superscript"/>
          </w:rPr>
          <w:t>th</w:t>
        </w:r>
        <w:r w:rsidRPr="00267FE1">
          <w:rPr>
            <w:rStyle w:val="Hyperlink"/>
            <w:noProof/>
          </w:rPr>
          <w:t xml:space="preserve"> and the 95</w:t>
        </w:r>
        <w:r w:rsidRPr="00267FE1">
          <w:rPr>
            <w:rStyle w:val="Hyperlink"/>
            <w:noProof/>
            <w:vertAlign w:val="superscript"/>
          </w:rPr>
          <w:t>th</w:t>
        </w:r>
        <w:r w:rsidRPr="00267FE1">
          <w:rPr>
            <w:rStyle w:val="Hyperlink"/>
            <w:noProof/>
          </w:rPr>
          <w:t xml:space="preserve"> are denoted by the colour bands. (a) Results of the MC simulations for the assumption (1) of each building in an archetype category having the same, assumed size. (b) Results of the MC simulations for the assumption (2) of each building in an archetype category having the same, assumed HD profile. (c) Results of the MC simulations for the assumption (3) that the pipe network travels in the shortest possible straight-line distance.</w:t>
        </w:r>
        <w:r>
          <w:rPr>
            <w:noProof/>
            <w:webHidden/>
          </w:rPr>
          <w:tab/>
        </w:r>
        <w:r>
          <w:rPr>
            <w:noProof/>
            <w:webHidden/>
          </w:rPr>
          <w:fldChar w:fldCharType="begin"/>
        </w:r>
        <w:r>
          <w:rPr>
            <w:noProof/>
            <w:webHidden/>
          </w:rPr>
          <w:instrText xml:space="preserve"> PAGEREF _Toc7187648 \h </w:instrText>
        </w:r>
        <w:r>
          <w:rPr>
            <w:noProof/>
            <w:webHidden/>
          </w:rPr>
        </w:r>
        <w:r>
          <w:rPr>
            <w:noProof/>
            <w:webHidden/>
          </w:rPr>
          <w:fldChar w:fldCharType="separate"/>
        </w:r>
        <w:r>
          <w:rPr>
            <w:noProof/>
            <w:webHidden/>
          </w:rPr>
          <w:t>130</w:t>
        </w:r>
        <w:r>
          <w:rPr>
            <w:noProof/>
            <w:webHidden/>
          </w:rPr>
          <w:fldChar w:fldCharType="end"/>
        </w:r>
      </w:hyperlink>
    </w:p>
    <w:p w14:paraId="35B6199F" w14:textId="778F434B" w:rsidR="00CB7456" w:rsidRDefault="00CB7456">
      <w:pPr>
        <w:pStyle w:val="TableofFigures"/>
        <w:tabs>
          <w:tab w:val="right" w:leader="dot" w:pos="8188"/>
        </w:tabs>
        <w:rPr>
          <w:noProof/>
          <w:lang w:eastAsia="en-GB"/>
        </w:rPr>
      </w:pPr>
      <w:hyperlink w:anchor="_Toc7187649" w:history="1">
        <w:r w:rsidRPr="00267FE1">
          <w:rPr>
            <w:rStyle w:val="Hyperlink"/>
            <w:noProof/>
          </w:rPr>
          <w:t>Figure 6.6: Input and output uncertainty for the MC simulations, showing the assumptions of (1) the standard building sizes, (2) the standard HD profiles and (3) the straight-line network route.</w:t>
        </w:r>
        <w:r>
          <w:rPr>
            <w:noProof/>
            <w:webHidden/>
          </w:rPr>
          <w:tab/>
        </w:r>
        <w:r>
          <w:rPr>
            <w:noProof/>
            <w:webHidden/>
          </w:rPr>
          <w:fldChar w:fldCharType="begin"/>
        </w:r>
        <w:r>
          <w:rPr>
            <w:noProof/>
            <w:webHidden/>
          </w:rPr>
          <w:instrText xml:space="preserve"> PAGEREF _Toc7187649 \h </w:instrText>
        </w:r>
        <w:r>
          <w:rPr>
            <w:noProof/>
            <w:webHidden/>
          </w:rPr>
        </w:r>
        <w:r>
          <w:rPr>
            <w:noProof/>
            <w:webHidden/>
          </w:rPr>
          <w:fldChar w:fldCharType="separate"/>
        </w:r>
        <w:r>
          <w:rPr>
            <w:noProof/>
            <w:webHidden/>
          </w:rPr>
          <w:t>131</w:t>
        </w:r>
        <w:r>
          <w:rPr>
            <w:noProof/>
            <w:webHidden/>
          </w:rPr>
          <w:fldChar w:fldCharType="end"/>
        </w:r>
      </w:hyperlink>
    </w:p>
    <w:p w14:paraId="2601B63D" w14:textId="0941C749" w:rsidR="00CB7456" w:rsidRDefault="00CB7456">
      <w:pPr>
        <w:pStyle w:val="TableofFigures"/>
        <w:tabs>
          <w:tab w:val="right" w:leader="dot" w:pos="8188"/>
        </w:tabs>
        <w:rPr>
          <w:noProof/>
          <w:lang w:eastAsia="en-GB"/>
        </w:rPr>
      </w:pPr>
      <w:hyperlink w:anchor="_Toc7187650" w:history="1">
        <w:r w:rsidRPr="00267FE1">
          <w:rPr>
            <w:rStyle w:val="Hyperlink"/>
            <w:noProof/>
          </w:rPr>
          <w:t>Figure 6.7: The distribution of the HDs found by the MC simulations of the assumption (2), standard HD profiles, compared against the distribution of HD variations found in the literature, which were used as inputs into the MC simulations.</w:t>
        </w:r>
        <w:r>
          <w:rPr>
            <w:noProof/>
            <w:webHidden/>
          </w:rPr>
          <w:tab/>
        </w:r>
        <w:r>
          <w:rPr>
            <w:noProof/>
            <w:webHidden/>
          </w:rPr>
          <w:fldChar w:fldCharType="begin"/>
        </w:r>
        <w:r>
          <w:rPr>
            <w:noProof/>
            <w:webHidden/>
          </w:rPr>
          <w:instrText xml:space="preserve"> PAGEREF _Toc7187650 \h </w:instrText>
        </w:r>
        <w:r>
          <w:rPr>
            <w:noProof/>
            <w:webHidden/>
          </w:rPr>
        </w:r>
        <w:r>
          <w:rPr>
            <w:noProof/>
            <w:webHidden/>
          </w:rPr>
          <w:fldChar w:fldCharType="separate"/>
        </w:r>
        <w:r>
          <w:rPr>
            <w:noProof/>
            <w:webHidden/>
          </w:rPr>
          <w:t>132</w:t>
        </w:r>
        <w:r>
          <w:rPr>
            <w:noProof/>
            <w:webHidden/>
          </w:rPr>
          <w:fldChar w:fldCharType="end"/>
        </w:r>
      </w:hyperlink>
    </w:p>
    <w:p w14:paraId="2AB914F5" w14:textId="084CD0CB" w:rsidR="00CB7456" w:rsidRDefault="00CB7456">
      <w:pPr>
        <w:pStyle w:val="TableofFigures"/>
        <w:tabs>
          <w:tab w:val="right" w:leader="dot" w:pos="8188"/>
        </w:tabs>
        <w:rPr>
          <w:noProof/>
          <w:lang w:eastAsia="en-GB"/>
        </w:rPr>
      </w:pPr>
      <w:hyperlink w:anchor="_Toc7187651" w:history="1">
        <w:r w:rsidRPr="00267FE1">
          <w:rPr>
            <w:rStyle w:val="Hyperlink"/>
            <w:noProof/>
          </w:rPr>
          <w:t>Figure 6.8: (a) Results of the global MC Simulations for the assumptions of (2), the standard HD profiles, and (3), the straight-line network route, after 1,000 simulations. The mean result, the 50</w:t>
        </w:r>
        <w:r w:rsidRPr="00267FE1">
          <w:rPr>
            <w:rStyle w:val="Hyperlink"/>
            <w:noProof/>
            <w:vertAlign w:val="superscript"/>
          </w:rPr>
          <w:t>th</w:t>
        </w:r>
        <w:r w:rsidRPr="00267FE1">
          <w:rPr>
            <w:rStyle w:val="Hyperlink"/>
            <w:noProof/>
          </w:rPr>
          <w:t xml:space="preserve"> percentile, is shown with a black line. The range of percentiles to the extremes of the 5</w:t>
        </w:r>
        <w:r w:rsidRPr="00267FE1">
          <w:rPr>
            <w:rStyle w:val="Hyperlink"/>
            <w:noProof/>
            <w:vertAlign w:val="superscript"/>
          </w:rPr>
          <w:t>th</w:t>
        </w:r>
        <w:r w:rsidRPr="00267FE1">
          <w:rPr>
            <w:rStyle w:val="Hyperlink"/>
            <w:noProof/>
          </w:rPr>
          <w:t xml:space="preserve"> and the 95</w:t>
        </w:r>
        <w:r w:rsidRPr="00267FE1">
          <w:rPr>
            <w:rStyle w:val="Hyperlink"/>
            <w:noProof/>
            <w:vertAlign w:val="superscript"/>
          </w:rPr>
          <w:t>th</w:t>
        </w:r>
        <w:r w:rsidRPr="00267FE1">
          <w:rPr>
            <w:rStyle w:val="Hyperlink"/>
            <w:noProof/>
          </w:rPr>
          <w:t xml:space="preserve"> are denoted by the colour bands. (b) The distribution of the HD from the global and individual MC simulations as well as the distributions of HD and network route length as found in the literature.</w:t>
        </w:r>
        <w:r>
          <w:rPr>
            <w:noProof/>
            <w:webHidden/>
          </w:rPr>
          <w:tab/>
        </w:r>
        <w:r>
          <w:rPr>
            <w:noProof/>
            <w:webHidden/>
          </w:rPr>
          <w:fldChar w:fldCharType="begin"/>
        </w:r>
        <w:r>
          <w:rPr>
            <w:noProof/>
            <w:webHidden/>
          </w:rPr>
          <w:instrText xml:space="preserve"> PAGEREF _Toc7187651 \h </w:instrText>
        </w:r>
        <w:r>
          <w:rPr>
            <w:noProof/>
            <w:webHidden/>
          </w:rPr>
        </w:r>
        <w:r>
          <w:rPr>
            <w:noProof/>
            <w:webHidden/>
          </w:rPr>
          <w:fldChar w:fldCharType="separate"/>
        </w:r>
        <w:r>
          <w:rPr>
            <w:noProof/>
            <w:webHidden/>
          </w:rPr>
          <w:t>133</w:t>
        </w:r>
        <w:r>
          <w:rPr>
            <w:noProof/>
            <w:webHidden/>
          </w:rPr>
          <w:fldChar w:fldCharType="end"/>
        </w:r>
      </w:hyperlink>
    </w:p>
    <w:p w14:paraId="1965C9D5" w14:textId="285BF63B" w:rsidR="00CB7456" w:rsidRDefault="00CB7456">
      <w:pPr>
        <w:pStyle w:val="TableofFigures"/>
        <w:tabs>
          <w:tab w:val="right" w:leader="dot" w:pos="8188"/>
        </w:tabs>
        <w:rPr>
          <w:noProof/>
          <w:lang w:eastAsia="en-GB"/>
        </w:rPr>
      </w:pPr>
      <w:hyperlink w:anchor="_Toc7187652" w:history="1">
        <w:r w:rsidRPr="00267FE1">
          <w:rPr>
            <w:rStyle w:val="Hyperlink"/>
            <w:noProof/>
          </w:rPr>
          <w:t>Figure 6.9: A comparison of the two techniques for modelling the HD in a local area, comparing the original technique, with assumed building sizes, and the refined technique, with the measured building sizes using Google Maps.</w:t>
        </w:r>
        <w:r>
          <w:rPr>
            <w:noProof/>
            <w:webHidden/>
          </w:rPr>
          <w:tab/>
        </w:r>
        <w:r>
          <w:rPr>
            <w:noProof/>
            <w:webHidden/>
          </w:rPr>
          <w:fldChar w:fldCharType="begin"/>
        </w:r>
        <w:r>
          <w:rPr>
            <w:noProof/>
            <w:webHidden/>
          </w:rPr>
          <w:instrText xml:space="preserve"> PAGEREF _Toc7187652 \h </w:instrText>
        </w:r>
        <w:r>
          <w:rPr>
            <w:noProof/>
            <w:webHidden/>
          </w:rPr>
        </w:r>
        <w:r>
          <w:rPr>
            <w:noProof/>
            <w:webHidden/>
          </w:rPr>
          <w:fldChar w:fldCharType="separate"/>
        </w:r>
        <w:r>
          <w:rPr>
            <w:noProof/>
            <w:webHidden/>
          </w:rPr>
          <w:t>134</w:t>
        </w:r>
        <w:r>
          <w:rPr>
            <w:noProof/>
            <w:webHidden/>
          </w:rPr>
          <w:fldChar w:fldCharType="end"/>
        </w:r>
      </w:hyperlink>
    </w:p>
    <w:p w14:paraId="70FCA726" w14:textId="03403D56" w:rsidR="00CB7456" w:rsidRDefault="00CB7456">
      <w:pPr>
        <w:pStyle w:val="TableofFigures"/>
        <w:tabs>
          <w:tab w:val="right" w:leader="dot" w:pos="8188"/>
        </w:tabs>
        <w:rPr>
          <w:noProof/>
          <w:lang w:eastAsia="en-GB"/>
        </w:rPr>
      </w:pPr>
      <w:hyperlink w:anchor="_Toc7187653" w:history="1">
        <w:r w:rsidRPr="00267FE1">
          <w:rPr>
            <w:rStyle w:val="Hyperlink"/>
            <w:noProof/>
          </w:rPr>
          <w:t>Figure 6.10: The distribution of the HD from the new global and individual MC simulations as well as the distributions of HD and network route length, as found in the literature.</w:t>
        </w:r>
        <w:r>
          <w:rPr>
            <w:noProof/>
            <w:webHidden/>
          </w:rPr>
          <w:tab/>
        </w:r>
        <w:r>
          <w:rPr>
            <w:noProof/>
            <w:webHidden/>
          </w:rPr>
          <w:fldChar w:fldCharType="begin"/>
        </w:r>
        <w:r>
          <w:rPr>
            <w:noProof/>
            <w:webHidden/>
          </w:rPr>
          <w:instrText xml:space="preserve"> PAGEREF _Toc7187653 \h </w:instrText>
        </w:r>
        <w:r>
          <w:rPr>
            <w:noProof/>
            <w:webHidden/>
          </w:rPr>
        </w:r>
        <w:r>
          <w:rPr>
            <w:noProof/>
            <w:webHidden/>
          </w:rPr>
          <w:fldChar w:fldCharType="separate"/>
        </w:r>
        <w:r>
          <w:rPr>
            <w:noProof/>
            <w:webHidden/>
          </w:rPr>
          <w:t>135</w:t>
        </w:r>
        <w:r>
          <w:rPr>
            <w:noProof/>
            <w:webHidden/>
          </w:rPr>
          <w:fldChar w:fldCharType="end"/>
        </w:r>
      </w:hyperlink>
    </w:p>
    <w:p w14:paraId="27A5548B" w14:textId="11D952BD" w:rsidR="00CB7456" w:rsidRDefault="00CB7456">
      <w:pPr>
        <w:pStyle w:val="TableofFigures"/>
        <w:tabs>
          <w:tab w:val="right" w:leader="dot" w:pos="8188"/>
        </w:tabs>
        <w:rPr>
          <w:noProof/>
          <w:lang w:eastAsia="en-GB"/>
        </w:rPr>
      </w:pPr>
      <w:hyperlink w:anchor="_Toc7187654" w:history="1">
        <w:r w:rsidRPr="00267FE1">
          <w:rPr>
            <w:rStyle w:val="Hyperlink"/>
            <w:noProof/>
          </w:rPr>
          <w:t>Figure 7.1: The heat supply from the WHR source (only) and the heat demand variation in the case study area.</w:t>
        </w:r>
        <w:r>
          <w:rPr>
            <w:noProof/>
            <w:webHidden/>
          </w:rPr>
          <w:tab/>
        </w:r>
        <w:r>
          <w:rPr>
            <w:noProof/>
            <w:webHidden/>
          </w:rPr>
          <w:fldChar w:fldCharType="begin"/>
        </w:r>
        <w:r>
          <w:rPr>
            <w:noProof/>
            <w:webHidden/>
          </w:rPr>
          <w:instrText xml:space="preserve"> PAGEREF _Toc7187654 \h </w:instrText>
        </w:r>
        <w:r>
          <w:rPr>
            <w:noProof/>
            <w:webHidden/>
          </w:rPr>
        </w:r>
        <w:r>
          <w:rPr>
            <w:noProof/>
            <w:webHidden/>
          </w:rPr>
          <w:fldChar w:fldCharType="separate"/>
        </w:r>
        <w:r>
          <w:rPr>
            <w:noProof/>
            <w:webHidden/>
          </w:rPr>
          <w:t>142</w:t>
        </w:r>
        <w:r>
          <w:rPr>
            <w:noProof/>
            <w:webHidden/>
          </w:rPr>
          <w:fldChar w:fldCharType="end"/>
        </w:r>
      </w:hyperlink>
    </w:p>
    <w:p w14:paraId="0CA9162A" w14:textId="634AA6C1" w:rsidR="00CB7456" w:rsidRDefault="00CB7456">
      <w:pPr>
        <w:pStyle w:val="TableofFigures"/>
        <w:tabs>
          <w:tab w:val="right" w:leader="dot" w:pos="8188"/>
        </w:tabs>
        <w:rPr>
          <w:noProof/>
          <w:lang w:eastAsia="en-GB"/>
        </w:rPr>
      </w:pPr>
      <w:hyperlink w:anchor="_Toc7187655" w:history="1">
        <w:r w:rsidRPr="00267FE1">
          <w:rPr>
            <w:rStyle w:val="Hyperlink"/>
            <w:noProof/>
          </w:rPr>
          <w:t>Figure 7.2: Example of a standard week of operation for the five scenarios, showing the variations in the power supply (full red line) and demand (full blue line) on the DHN, the power level needed for the back-up burner (full green line), and the power supply to the customer (the sum of the power levels of the supply (dashed grey line), the burner (full green line), and TES (full and dashed black lines)) as well as the energy levels in the TES system(s). (a) Example of a standard week of operation for the reference scenario with no TES. (b) Example of a standard week of operation for scenario 1), with the single 3.6 MWh HWT. (c) Example of a standard week of operation for scenario 2), with the pair of 1.8 MWh HWTs.</w:t>
        </w:r>
        <w:r>
          <w:rPr>
            <w:noProof/>
            <w:webHidden/>
          </w:rPr>
          <w:tab/>
        </w:r>
        <w:r>
          <w:rPr>
            <w:noProof/>
            <w:webHidden/>
          </w:rPr>
          <w:fldChar w:fldCharType="begin"/>
        </w:r>
        <w:r>
          <w:rPr>
            <w:noProof/>
            <w:webHidden/>
          </w:rPr>
          <w:instrText xml:space="preserve"> PAGEREF _Toc7187655 \h </w:instrText>
        </w:r>
        <w:r>
          <w:rPr>
            <w:noProof/>
            <w:webHidden/>
          </w:rPr>
        </w:r>
        <w:r>
          <w:rPr>
            <w:noProof/>
            <w:webHidden/>
          </w:rPr>
          <w:fldChar w:fldCharType="separate"/>
        </w:r>
        <w:r>
          <w:rPr>
            <w:noProof/>
            <w:webHidden/>
          </w:rPr>
          <w:t>145</w:t>
        </w:r>
        <w:r>
          <w:rPr>
            <w:noProof/>
            <w:webHidden/>
          </w:rPr>
          <w:fldChar w:fldCharType="end"/>
        </w:r>
      </w:hyperlink>
    </w:p>
    <w:p w14:paraId="4DC40F8A" w14:textId="6EF19189" w:rsidR="00CB7456" w:rsidRDefault="00CB7456">
      <w:pPr>
        <w:pStyle w:val="TableofFigures"/>
        <w:tabs>
          <w:tab w:val="right" w:leader="dot" w:pos="8188"/>
        </w:tabs>
        <w:rPr>
          <w:noProof/>
          <w:lang w:eastAsia="en-GB"/>
        </w:rPr>
      </w:pPr>
      <w:hyperlink w:anchor="_Toc7187656" w:history="1">
        <w:r w:rsidRPr="00267FE1">
          <w:rPr>
            <w:rStyle w:val="Hyperlink"/>
            <w:noProof/>
          </w:rPr>
          <w:t>Figure 7.3: The length and number of times that each TES scenario is charged to over 1 MWh.</w:t>
        </w:r>
        <w:r>
          <w:rPr>
            <w:noProof/>
            <w:webHidden/>
          </w:rPr>
          <w:tab/>
        </w:r>
        <w:r>
          <w:rPr>
            <w:noProof/>
            <w:webHidden/>
          </w:rPr>
          <w:fldChar w:fldCharType="begin"/>
        </w:r>
        <w:r>
          <w:rPr>
            <w:noProof/>
            <w:webHidden/>
          </w:rPr>
          <w:instrText xml:space="preserve"> PAGEREF _Toc7187656 \h </w:instrText>
        </w:r>
        <w:r>
          <w:rPr>
            <w:noProof/>
            <w:webHidden/>
          </w:rPr>
        </w:r>
        <w:r>
          <w:rPr>
            <w:noProof/>
            <w:webHidden/>
          </w:rPr>
          <w:fldChar w:fldCharType="separate"/>
        </w:r>
        <w:r>
          <w:rPr>
            <w:noProof/>
            <w:webHidden/>
          </w:rPr>
          <w:t>148</w:t>
        </w:r>
        <w:r>
          <w:rPr>
            <w:noProof/>
            <w:webHidden/>
          </w:rPr>
          <w:fldChar w:fldCharType="end"/>
        </w:r>
      </w:hyperlink>
    </w:p>
    <w:p w14:paraId="75950981" w14:textId="73463058" w:rsidR="00CB7456" w:rsidRDefault="00CB7456">
      <w:pPr>
        <w:pStyle w:val="TableofFigures"/>
        <w:tabs>
          <w:tab w:val="right" w:leader="dot" w:pos="8188"/>
        </w:tabs>
        <w:rPr>
          <w:noProof/>
          <w:lang w:eastAsia="en-GB"/>
        </w:rPr>
      </w:pPr>
      <w:hyperlink w:anchor="_Toc7187657" w:history="1">
        <w:r w:rsidRPr="00267FE1">
          <w:rPr>
            <w:rStyle w:val="Hyperlink"/>
            <w:noProof/>
          </w:rPr>
          <w:t>Figure 7.4: (a) The RDMLVs of the different TES scenarios required use of the back-up burner. (b) The RWMLVs of the different TES scenarios required use of the back-up burner.</w:t>
        </w:r>
        <w:r>
          <w:rPr>
            <w:noProof/>
            <w:webHidden/>
          </w:rPr>
          <w:tab/>
        </w:r>
        <w:r>
          <w:rPr>
            <w:noProof/>
            <w:webHidden/>
          </w:rPr>
          <w:fldChar w:fldCharType="begin"/>
        </w:r>
        <w:r>
          <w:rPr>
            <w:noProof/>
            <w:webHidden/>
          </w:rPr>
          <w:instrText xml:space="preserve"> PAGEREF _Toc7187657 \h </w:instrText>
        </w:r>
        <w:r>
          <w:rPr>
            <w:noProof/>
            <w:webHidden/>
          </w:rPr>
        </w:r>
        <w:r>
          <w:rPr>
            <w:noProof/>
            <w:webHidden/>
          </w:rPr>
          <w:fldChar w:fldCharType="separate"/>
        </w:r>
        <w:r>
          <w:rPr>
            <w:noProof/>
            <w:webHidden/>
          </w:rPr>
          <w:t>149</w:t>
        </w:r>
        <w:r>
          <w:rPr>
            <w:noProof/>
            <w:webHidden/>
          </w:rPr>
          <w:fldChar w:fldCharType="end"/>
        </w:r>
      </w:hyperlink>
    </w:p>
    <w:p w14:paraId="719A9B09" w14:textId="2DFB74DA" w:rsidR="00CB7456" w:rsidRDefault="00CB7456">
      <w:pPr>
        <w:pStyle w:val="TableofFigures"/>
        <w:tabs>
          <w:tab w:val="right" w:leader="dot" w:pos="8188"/>
        </w:tabs>
        <w:rPr>
          <w:noProof/>
          <w:lang w:eastAsia="en-GB"/>
        </w:rPr>
      </w:pPr>
      <w:hyperlink w:anchor="_Toc7187658" w:history="1">
        <w:r w:rsidRPr="00267FE1">
          <w:rPr>
            <w:rStyle w:val="Hyperlink"/>
            <w:noProof/>
          </w:rPr>
          <w:t>Figure 7.5: The heat supplies and demands for the new DH optimisation calculations.</w:t>
        </w:r>
        <w:r>
          <w:rPr>
            <w:noProof/>
            <w:webHidden/>
          </w:rPr>
          <w:tab/>
        </w:r>
        <w:r>
          <w:rPr>
            <w:noProof/>
            <w:webHidden/>
          </w:rPr>
          <w:fldChar w:fldCharType="begin"/>
        </w:r>
        <w:r>
          <w:rPr>
            <w:noProof/>
            <w:webHidden/>
          </w:rPr>
          <w:instrText xml:space="preserve"> PAGEREF _Toc7187658 \h </w:instrText>
        </w:r>
        <w:r>
          <w:rPr>
            <w:noProof/>
            <w:webHidden/>
          </w:rPr>
        </w:r>
        <w:r>
          <w:rPr>
            <w:noProof/>
            <w:webHidden/>
          </w:rPr>
          <w:fldChar w:fldCharType="separate"/>
        </w:r>
        <w:r>
          <w:rPr>
            <w:noProof/>
            <w:webHidden/>
          </w:rPr>
          <w:t>152</w:t>
        </w:r>
        <w:r>
          <w:rPr>
            <w:noProof/>
            <w:webHidden/>
          </w:rPr>
          <w:fldChar w:fldCharType="end"/>
        </w:r>
      </w:hyperlink>
    </w:p>
    <w:p w14:paraId="533AAE2A" w14:textId="320FB973" w:rsidR="00CB7456" w:rsidRDefault="00CB7456">
      <w:pPr>
        <w:pStyle w:val="TableofFigures"/>
        <w:tabs>
          <w:tab w:val="right" w:leader="dot" w:pos="8188"/>
        </w:tabs>
        <w:rPr>
          <w:noProof/>
          <w:lang w:eastAsia="en-GB"/>
        </w:rPr>
      </w:pPr>
      <w:hyperlink w:anchor="_Toc7187659" w:history="1">
        <w:r w:rsidRPr="00267FE1">
          <w:rPr>
            <w:rStyle w:val="Hyperlink"/>
            <w:noProof/>
          </w:rPr>
          <w:t xml:space="preserve">Figure 8.1: Pump CAPEX (Loh </w:t>
        </w:r>
        <w:r w:rsidRPr="00267FE1">
          <w:rPr>
            <w:rStyle w:val="Hyperlink"/>
            <w:i/>
            <w:noProof/>
          </w:rPr>
          <w:t>et al.</w:t>
        </w:r>
        <w:r w:rsidRPr="00267FE1">
          <w:rPr>
            <w:rStyle w:val="Hyperlink"/>
            <w:noProof/>
          </w:rPr>
          <w:t>, 2002).</w:t>
        </w:r>
        <w:r>
          <w:rPr>
            <w:noProof/>
            <w:webHidden/>
          </w:rPr>
          <w:tab/>
        </w:r>
        <w:r>
          <w:rPr>
            <w:noProof/>
            <w:webHidden/>
          </w:rPr>
          <w:fldChar w:fldCharType="begin"/>
        </w:r>
        <w:r>
          <w:rPr>
            <w:noProof/>
            <w:webHidden/>
          </w:rPr>
          <w:instrText xml:space="preserve"> PAGEREF _Toc7187659 \h </w:instrText>
        </w:r>
        <w:r>
          <w:rPr>
            <w:noProof/>
            <w:webHidden/>
          </w:rPr>
        </w:r>
        <w:r>
          <w:rPr>
            <w:noProof/>
            <w:webHidden/>
          </w:rPr>
          <w:fldChar w:fldCharType="separate"/>
        </w:r>
        <w:r>
          <w:rPr>
            <w:noProof/>
            <w:webHidden/>
          </w:rPr>
          <w:t>161</w:t>
        </w:r>
        <w:r>
          <w:rPr>
            <w:noProof/>
            <w:webHidden/>
          </w:rPr>
          <w:fldChar w:fldCharType="end"/>
        </w:r>
      </w:hyperlink>
    </w:p>
    <w:p w14:paraId="0D3871E1" w14:textId="0B24612B" w:rsidR="00CB7456" w:rsidRDefault="00CB7456">
      <w:pPr>
        <w:pStyle w:val="TableofFigures"/>
        <w:tabs>
          <w:tab w:val="right" w:leader="dot" w:pos="8188"/>
        </w:tabs>
        <w:rPr>
          <w:noProof/>
          <w:lang w:eastAsia="en-GB"/>
        </w:rPr>
      </w:pPr>
      <w:hyperlink w:anchor="_Toc7187660" w:history="1">
        <w:r w:rsidRPr="00267FE1">
          <w:rPr>
            <w:rStyle w:val="Hyperlink"/>
            <w:noProof/>
          </w:rPr>
          <w:t>Figure 8.2: Sensitivity analysis of the techno-economic assessment.</w:t>
        </w:r>
        <w:r>
          <w:rPr>
            <w:noProof/>
            <w:webHidden/>
          </w:rPr>
          <w:tab/>
        </w:r>
        <w:r>
          <w:rPr>
            <w:noProof/>
            <w:webHidden/>
          </w:rPr>
          <w:fldChar w:fldCharType="begin"/>
        </w:r>
        <w:r>
          <w:rPr>
            <w:noProof/>
            <w:webHidden/>
          </w:rPr>
          <w:instrText xml:space="preserve"> PAGEREF _Toc7187660 \h </w:instrText>
        </w:r>
        <w:r>
          <w:rPr>
            <w:noProof/>
            <w:webHidden/>
          </w:rPr>
        </w:r>
        <w:r>
          <w:rPr>
            <w:noProof/>
            <w:webHidden/>
          </w:rPr>
          <w:fldChar w:fldCharType="separate"/>
        </w:r>
        <w:r>
          <w:rPr>
            <w:noProof/>
            <w:webHidden/>
          </w:rPr>
          <w:t>166</w:t>
        </w:r>
        <w:r>
          <w:rPr>
            <w:noProof/>
            <w:webHidden/>
          </w:rPr>
          <w:fldChar w:fldCharType="end"/>
        </w:r>
      </w:hyperlink>
    </w:p>
    <w:p w14:paraId="49757870" w14:textId="45D5D514" w:rsidR="00CB7456" w:rsidRDefault="00CB7456">
      <w:pPr>
        <w:pStyle w:val="TableofFigures"/>
        <w:tabs>
          <w:tab w:val="right" w:leader="dot" w:pos="8188"/>
        </w:tabs>
        <w:rPr>
          <w:noProof/>
          <w:lang w:eastAsia="en-GB"/>
        </w:rPr>
      </w:pPr>
      <w:hyperlink w:anchor="_Toc7187661" w:history="1">
        <w:r w:rsidRPr="00267FE1">
          <w:rPr>
            <w:rStyle w:val="Hyperlink"/>
            <w:noProof/>
          </w:rPr>
          <w:t>Figure 8.3: Sensitivity analysis of the environmental assessment.</w:t>
        </w:r>
        <w:r>
          <w:rPr>
            <w:noProof/>
            <w:webHidden/>
          </w:rPr>
          <w:tab/>
        </w:r>
        <w:r>
          <w:rPr>
            <w:noProof/>
            <w:webHidden/>
          </w:rPr>
          <w:fldChar w:fldCharType="begin"/>
        </w:r>
        <w:r>
          <w:rPr>
            <w:noProof/>
            <w:webHidden/>
          </w:rPr>
          <w:instrText xml:space="preserve"> PAGEREF _Toc7187661 \h </w:instrText>
        </w:r>
        <w:r>
          <w:rPr>
            <w:noProof/>
            <w:webHidden/>
          </w:rPr>
        </w:r>
        <w:r>
          <w:rPr>
            <w:noProof/>
            <w:webHidden/>
          </w:rPr>
          <w:fldChar w:fldCharType="separate"/>
        </w:r>
        <w:r>
          <w:rPr>
            <w:noProof/>
            <w:webHidden/>
          </w:rPr>
          <w:t>167</w:t>
        </w:r>
        <w:r>
          <w:rPr>
            <w:noProof/>
            <w:webHidden/>
          </w:rPr>
          <w:fldChar w:fldCharType="end"/>
        </w:r>
      </w:hyperlink>
    </w:p>
    <w:p w14:paraId="3A9A4744" w14:textId="324073DA" w:rsidR="00CB7456" w:rsidRDefault="00CB7456">
      <w:pPr>
        <w:pStyle w:val="TableofFigures"/>
        <w:tabs>
          <w:tab w:val="right" w:leader="dot" w:pos="8188"/>
        </w:tabs>
        <w:rPr>
          <w:noProof/>
          <w:lang w:eastAsia="en-GB"/>
        </w:rPr>
      </w:pPr>
      <w:hyperlink w:anchor="_Toc7187662" w:history="1">
        <w:r w:rsidRPr="00267FE1">
          <w:rPr>
            <w:rStyle w:val="Hyperlink"/>
            <w:noProof/>
          </w:rPr>
          <w:t>Figure 13.1: Basic design of an ORC or RC.</w:t>
        </w:r>
        <w:r>
          <w:rPr>
            <w:noProof/>
            <w:webHidden/>
          </w:rPr>
          <w:tab/>
        </w:r>
        <w:r>
          <w:rPr>
            <w:noProof/>
            <w:webHidden/>
          </w:rPr>
          <w:fldChar w:fldCharType="begin"/>
        </w:r>
        <w:r>
          <w:rPr>
            <w:noProof/>
            <w:webHidden/>
          </w:rPr>
          <w:instrText xml:space="preserve"> PAGEREF _Toc7187662 \h </w:instrText>
        </w:r>
        <w:r>
          <w:rPr>
            <w:noProof/>
            <w:webHidden/>
          </w:rPr>
        </w:r>
        <w:r>
          <w:rPr>
            <w:noProof/>
            <w:webHidden/>
          </w:rPr>
          <w:fldChar w:fldCharType="separate"/>
        </w:r>
        <w:r>
          <w:rPr>
            <w:noProof/>
            <w:webHidden/>
          </w:rPr>
          <w:t>234</w:t>
        </w:r>
        <w:r>
          <w:rPr>
            <w:noProof/>
            <w:webHidden/>
          </w:rPr>
          <w:fldChar w:fldCharType="end"/>
        </w:r>
      </w:hyperlink>
    </w:p>
    <w:p w14:paraId="08187241" w14:textId="2D59D2C6" w:rsidR="00FE6CB4" w:rsidRDefault="00FE6CB4" w:rsidP="00FE6CB4">
      <w:pPr>
        <w:pStyle w:val="Heading7"/>
      </w:pPr>
      <w:r>
        <w:fldChar w:fldCharType="end"/>
      </w:r>
    </w:p>
    <w:p w14:paraId="3A02EDEE" w14:textId="77777777" w:rsidR="00FE6CB4" w:rsidRDefault="00FE6CB4">
      <w:pPr>
        <w:jc w:val="left"/>
        <w:rPr>
          <w:rFonts w:asciiTheme="majorHAnsi" w:eastAsiaTheme="majorEastAsia" w:hAnsiTheme="majorHAnsi" w:cstheme="majorBidi"/>
          <w:b/>
          <w:iCs/>
          <w:color w:val="000000" w:themeColor="text1"/>
          <w:sz w:val="40"/>
        </w:rPr>
      </w:pPr>
      <w:r>
        <w:br w:type="page"/>
      </w:r>
    </w:p>
    <w:p w14:paraId="2A6CAF80" w14:textId="77777777" w:rsidR="00FE6CB4" w:rsidRDefault="00FE6CB4" w:rsidP="00FE6CB4">
      <w:pPr>
        <w:pStyle w:val="Heading7"/>
      </w:pPr>
      <w:r>
        <w:lastRenderedPageBreak/>
        <w:t>Table of Tables</w:t>
      </w:r>
    </w:p>
    <w:p w14:paraId="6FDE6260" w14:textId="23ACA192" w:rsidR="00CB7456" w:rsidRDefault="00FE6CB4">
      <w:pPr>
        <w:pStyle w:val="TableofFigures"/>
        <w:tabs>
          <w:tab w:val="right" w:leader="dot" w:pos="8188"/>
        </w:tabs>
        <w:rPr>
          <w:noProof/>
          <w:lang w:eastAsia="en-GB"/>
        </w:rPr>
      </w:pPr>
      <w:r>
        <w:fldChar w:fldCharType="begin"/>
      </w:r>
      <w:r>
        <w:instrText xml:space="preserve"> TOC \h \z \c "Table" </w:instrText>
      </w:r>
      <w:r>
        <w:fldChar w:fldCharType="separate"/>
      </w:r>
      <w:hyperlink w:anchor="_Toc7187663" w:history="1">
        <w:r w:rsidR="00CB7456" w:rsidRPr="00901D6A">
          <w:rPr>
            <w:rStyle w:val="Hyperlink"/>
            <w:noProof/>
          </w:rPr>
          <w:t>Table 1.1: Societal, community, and individual benefits of DH.</w:t>
        </w:r>
        <w:r w:rsidR="00CB7456">
          <w:rPr>
            <w:noProof/>
            <w:webHidden/>
          </w:rPr>
          <w:tab/>
        </w:r>
        <w:r w:rsidR="00CB7456">
          <w:rPr>
            <w:noProof/>
            <w:webHidden/>
          </w:rPr>
          <w:fldChar w:fldCharType="begin"/>
        </w:r>
        <w:r w:rsidR="00CB7456">
          <w:rPr>
            <w:noProof/>
            <w:webHidden/>
          </w:rPr>
          <w:instrText xml:space="preserve"> PAGEREF _Toc7187663 \h </w:instrText>
        </w:r>
        <w:r w:rsidR="00CB7456">
          <w:rPr>
            <w:noProof/>
            <w:webHidden/>
          </w:rPr>
        </w:r>
        <w:r w:rsidR="00CB7456">
          <w:rPr>
            <w:noProof/>
            <w:webHidden/>
          </w:rPr>
          <w:fldChar w:fldCharType="separate"/>
        </w:r>
        <w:r w:rsidR="00CB7456">
          <w:rPr>
            <w:noProof/>
            <w:webHidden/>
          </w:rPr>
          <w:t>23</w:t>
        </w:r>
        <w:r w:rsidR="00CB7456">
          <w:rPr>
            <w:noProof/>
            <w:webHidden/>
          </w:rPr>
          <w:fldChar w:fldCharType="end"/>
        </w:r>
      </w:hyperlink>
    </w:p>
    <w:p w14:paraId="4170FB34" w14:textId="38569CC6" w:rsidR="00CB7456" w:rsidRDefault="00CB7456">
      <w:pPr>
        <w:pStyle w:val="TableofFigures"/>
        <w:tabs>
          <w:tab w:val="right" w:leader="dot" w:pos="8188"/>
        </w:tabs>
        <w:rPr>
          <w:noProof/>
          <w:lang w:eastAsia="en-GB"/>
        </w:rPr>
      </w:pPr>
      <w:hyperlink w:anchor="_Toc7187664" w:history="1">
        <w:r w:rsidRPr="00901D6A">
          <w:rPr>
            <w:rStyle w:val="Hyperlink"/>
            <w:noProof/>
          </w:rPr>
          <w:t>Table 2.1: WHR technology to use for each grade of WH (US DOE, 2008).</w:t>
        </w:r>
        <w:r>
          <w:rPr>
            <w:noProof/>
            <w:webHidden/>
          </w:rPr>
          <w:tab/>
        </w:r>
        <w:r>
          <w:rPr>
            <w:noProof/>
            <w:webHidden/>
          </w:rPr>
          <w:fldChar w:fldCharType="begin"/>
        </w:r>
        <w:r>
          <w:rPr>
            <w:noProof/>
            <w:webHidden/>
          </w:rPr>
          <w:instrText xml:space="preserve"> PAGEREF _Toc7187664 \h </w:instrText>
        </w:r>
        <w:r>
          <w:rPr>
            <w:noProof/>
            <w:webHidden/>
          </w:rPr>
        </w:r>
        <w:r>
          <w:rPr>
            <w:noProof/>
            <w:webHidden/>
          </w:rPr>
          <w:fldChar w:fldCharType="separate"/>
        </w:r>
        <w:r>
          <w:rPr>
            <w:noProof/>
            <w:webHidden/>
          </w:rPr>
          <w:t>35</w:t>
        </w:r>
        <w:r>
          <w:rPr>
            <w:noProof/>
            <w:webHidden/>
          </w:rPr>
          <w:fldChar w:fldCharType="end"/>
        </w:r>
      </w:hyperlink>
    </w:p>
    <w:p w14:paraId="2661DD53" w14:textId="594FC269" w:rsidR="00CB7456" w:rsidRDefault="00CB7456">
      <w:pPr>
        <w:pStyle w:val="TableofFigures"/>
        <w:tabs>
          <w:tab w:val="right" w:leader="dot" w:pos="8188"/>
        </w:tabs>
        <w:rPr>
          <w:noProof/>
          <w:lang w:eastAsia="en-GB"/>
        </w:rPr>
      </w:pPr>
      <w:hyperlink w:anchor="_Toc7187665" w:history="1">
        <w:r w:rsidRPr="00901D6A">
          <w:rPr>
            <w:rStyle w:val="Hyperlink"/>
            <w:noProof/>
          </w:rPr>
          <w:t xml:space="preserve">Table 2.2: Operating temperatures of standard industrial processes, split into industries (Brückner </w:t>
        </w:r>
        <w:r w:rsidRPr="00901D6A">
          <w:rPr>
            <w:rStyle w:val="Hyperlink"/>
            <w:i/>
            <w:noProof/>
          </w:rPr>
          <w:t>et al.</w:t>
        </w:r>
        <w:r w:rsidRPr="00901D6A">
          <w:rPr>
            <w:rStyle w:val="Hyperlink"/>
            <w:noProof/>
          </w:rPr>
          <w:t>, 2015).</w:t>
        </w:r>
        <w:r>
          <w:rPr>
            <w:noProof/>
            <w:webHidden/>
          </w:rPr>
          <w:tab/>
        </w:r>
        <w:r>
          <w:rPr>
            <w:noProof/>
            <w:webHidden/>
          </w:rPr>
          <w:fldChar w:fldCharType="begin"/>
        </w:r>
        <w:r>
          <w:rPr>
            <w:noProof/>
            <w:webHidden/>
          </w:rPr>
          <w:instrText xml:space="preserve"> PAGEREF _Toc7187665 \h </w:instrText>
        </w:r>
        <w:r>
          <w:rPr>
            <w:noProof/>
            <w:webHidden/>
          </w:rPr>
        </w:r>
        <w:r>
          <w:rPr>
            <w:noProof/>
            <w:webHidden/>
          </w:rPr>
          <w:fldChar w:fldCharType="separate"/>
        </w:r>
        <w:r>
          <w:rPr>
            <w:noProof/>
            <w:webHidden/>
          </w:rPr>
          <w:t>35</w:t>
        </w:r>
        <w:r>
          <w:rPr>
            <w:noProof/>
            <w:webHidden/>
          </w:rPr>
          <w:fldChar w:fldCharType="end"/>
        </w:r>
      </w:hyperlink>
    </w:p>
    <w:p w14:paraId="13746E0E" w14:textId="58E9DD54" w:rsidR="00CB7456" w:rsidRDefault="00CB7456">
      <w:pPr>
        <w:pStyle w:val="TableofFigures"/>
        <w:tabs>
          <w:tab w:val="right" w:leader="dot" w:pos="8188"/>
        </w:tabs>
        <w:rPr>
          <w:noProof/>
          <w:lang w:eastAsia="en-GB"/>
        </w:rPr>
      </w:pPr>
      <w:hyperlink w:anchor="_Toc7187666" w:history="1">
        <w:r w:rsidRPr="00901D6A">
          <w:rPr>
            <w:rStyle w:val="Hyperlink"/>
            <w:noProof/>
          </w:rPr>
          <w:t xml:space="preserve">Table 2.3: Standard exhaust gas temperatures of various industrial processes (Brückner </w:t>
        </w:r>
        <w:r w:rsidRPr="00901D6A">
          <w:rPr>
            <w:rStyle w:val="Hyperlink"/>
            <w:i/>
            <w:noProof/>
          </w:rPr>
          <w:t>et al.</w:t>
        </w:r>
        <w:r w:rsidRPr="00901D6A">
          <w:rPr>
            <w:rStyle w:val="Hyperlink"/>
            <w:noProof/>
          </w:rPr>
          <w:t>, 2015).</w:t>
        </w:r>
        <w:r>
          <w:rPr>
            <w:noProof/>
            <w:webHidden/>
          </w:rPr>
          <w:tab/>
        </w:r>
        <w:r>
          <w:rPr>
            <w:noProof/>
            <w:webHidden/>
          </w:rPr>
          <w:fldChar w:fldCharType="begin"/>
        </w:r>
        <w:r>
          <w:rPr>
            <w:noProof/>
            <w:webHidden/>
          </w:rPr>
          <w:instrText xml:space="preserve"> PAGEREF _Toc7187666 \h </w:instrText>
        </w:r>
        <w:r>
          <w:rPr>
            <w:noProof/>
            <w:webHidden/>
          </w:rPr>
        </w:r>
        <w:r>
          <w:rPr>
            <w:noProof/>
            <w:webHidden/>
          </w:rPr>
          <w:fldChar w:fldCharType="separate"/>
        </w:r>
        <w:r>
          <w:rPr>
            <w:noProof/>
            <w:webHidden/>
          </w:rPr>
          <w:t>36</w:t>
        </w:r>
        <w:r>
          <w:rPr>
            <w:noProof/>
            <w:webHidden/>
          </w:rPr>
          <w:fldChar w:fldCharType="end"/>
        </w:r>
      </w:hyperlink>
    </w:p>
    <w:p w14:paraId="74AECBB3" w14:textId="6D5B173F" w:rsidR="00CB7456" w:rsidRDefault="00CB7456">
      <w:pPr>
        <w:pStyle w:val="TableofFigures"/>
        <w:tabs>
          <w:tab w:val="right" w:leader="dot" w:pos="8188"/>
        </w:tabs>
        <w:rPr>
          <w:noProof/>
          <w:lang w:eastAsia="en-GB"/>
        </w:rPr>
      </w:pPr>
      <w:hyperlink w:anchor="_Toc7187667" w:history="1">
        <w:r w:rsidRPr="00901D6A">
          <w:rPr>
            <w:rStyle w:val="Hyperlink"/>
            <w:noProof/>
          </w:rPr>
          <w:t>Table 2.4: Summary of archetype building models found in literature.</w:t>
        </w:r>
        <w:r>
          <w:rPr>
            <w:noProof/>
            <w:webHidden/>
          </w:rPr>
          <w:tab/>
        </w:r>
        <w:r>
          <w:rPr>
            <w:noProof/>
            <w:webHidden/>
          </w:rPr>
          <w:fldChar w:fldCharType="begin"/>
        </w:r>
        <w:r>
          <w:rPr>
            <w:noProof/>
            <w:webHidden/>
          </w:rPr>
          <w:instrText xml:space="preserve"> PAGEREF _Toc7187667 \h </w:instrText>
        </w:r>
        <w:r>
          <w:rPr>
            <w:noProof/>
            <w:webHidden/>
          </w:rPr>
        </w:r>
        <w:r>
          <w:rPr>
            <w:noProof/>
            <w:webHidden/>
          </w:rPr>
          <w:fldChar w:fldCharType="separate"/>
        </w:r>
        <w:r>
          <w:rPr>
            <w:noProof/>
            <w:webHidden/>
          </w:rPr>
          <w:t>41</w:t>
        </w:r>
        <w:r>
          <w:rPr>
            <w:noProof/>
            <w:webHidden/>
          </w:rPr>
          <w:fldChar w:fldCharType="end"/>
        </w:r>
      </w:hyperlink>
    </w:p>
    <w:p w14:paraId="70C99034" w14:textId="40A2C6BB" w:rsidR="00CB7456" w:rsidRDefault="00CB7456">
      <w:pPr>
        <w:pStyle w:val="TableofFigures"/>
        <w:tabs>
          <w:tab w:val="right" w:leader="dot" w:pos="8188"/>
        </w:tabs>
        <w:rPr>
          <w:noProof/>
          <w:lang w:eastAsia="en-GB"/>
        </w:rPr>
      </w:pPr>
      <w:hyperlink w:anchor="_Toc7187668" w:history="1">
        <w:r w:rsidRPr="00901D6A">
          <w:rPr>
            <w:rStyle w:val="Hyperlink"/>
            <w:noProof/>
          </w:rPr>
          <w:t>Table 2.5: Simulation software used in the deterministic modelling of DH.</w:t>
        </w:r>
        <w:r>
          <w:rPr>
            <w:noProof/>
            <w:webHidden/>
          </w:rPr>
          <w:tab/>
        </w:r>
        <w:r>
          <w:rPr>
            <w:noProof/>
            <w:webHidden/>
          </w:rPr>
          <w:fldChar w:fldCharType="begin"/>
        </w:r>
        <w:r>
          <w:rPr>
            <w:noProof/>
            <w:webHidden/>
          </w:rPr>
          <w:instrText xml:space="preserve"> PAGEREF _Toc7187668 \h </w:instrText>
        </w:r>
        <w:r>
          <w:rPr>
            <w:noProof/>
            <w:webHidden/>
          </w:rPr>
        </w:r>
        <w:r>
          <w:rPr>
            <w:noProof/>
            <w:webHidden/>
          </w:rPr>
          <w:fldChar w:fldCharType="separate"/>
        </w:r>
        <w:r>
          <w:rPr>
            <w:noProof/>
            <w:webHidden/>
          </w:rPr>
          <w:t>46</w:t>
        </w:r>
        <w:r>
          <w:rPr>
            <w:noProof/>
            <w:webHidden/>
          </w:rPr>
          <w:fldChar w:fldCharType="end"/>
        </w:r>
      </w:hyperlink>
    </w:p>
    <w:p w14:paraId="7FAE1698" w14:textId="7950BA98" w:rsidR="00CB7456" w:rsidRDefault="00CB7456">
      <w:pPr>
        <w:pStyle w:val="TableofFigures"/>
        <w:tabs>
          <w:tab w:val="right" w:leader="dot" w:pos="8188"/>
        </w:tabs>
        <w:rPr>
          <w:noProof/>
          <w:lang w:eastAsia="en-GB"/>
        </w:rPr>
      </w:pPr>
      <w:hyperlink w:anchor="_Toc7187669" w:history="1">
        <w:r w:rsidRPr="00901D6A">
          <w:rPr>
            <w:rStyle w:val="Hyperlink"/>
            <w:noProof/>
          </w:rPr>
          <w:t>Table 2.6: Ideal size of the HWT based TES depending on the size of the CHP unit.</w:t>
        </w:r>
        <w:r>
          <w:rPr>
            <w:noProof/>
            <w:webHidden/>
          </w:rPr>
          <w:tab/>
        </w:r>
        <w:r>
          <w:rPr>
            <w:noProof/>
            <w:webHidden/>
          </w:rPr>
          <w:fldChar w:fldCharType="begin"/>
        </w:r>
        <w:r>
          <w:rPr>
            <w:noProof/>
            <w:webHidden/>
          </w:rPr>
          <w:instrText xml:space="preserve"> PAGEREF _Toc7187669 \h </w:instrText>
        </w:r>
        <w:r>
          <w:rPr>
            <w:noProof/>
            <w:webHidden/>
          </w:rPr>
        </w:r>
        <w:r>
          <w:rPr>
            <w:noProof/>
            <w:webHidden/>
          </w:rPr>
          <w:fldChar w:fldCharType="separate"/>
        </w:r>
        <w:r>
          <w:rPr>
            <w:noProof/>
            <w:webHidden/>
          </w:rPr>
          <w:t>54</w:t>
        </w:r>
        <w:r>
          <w:rPr>
            <w:noProof/>
            <w:webHidden/>
          </w:rPr>
          <w:fldChar w:fldCharType="end"/>
        </w:r>
      </w:hyperlink>
    </w:p>
    <w:p w14:paraId="54A5C139" w14:textId="44512486" w:rsidR="00CB7456" w:rsidRDefault="00CB7456">
      <w:pPr>
        <w:pStyle w:val="TableofFigures"/>
        <w:tabs>
          <w:tab w:val="right" w:leader="dot" w:pos="8188"/>
        </w:tabs>
        <w:rPr>
          <w:noProof/>
          <w:lang w:eastAsia="en-GB"/>
        </w:rPr>
      </w:pPr>
      <w:hyperlink w:anchor="_Toc7187670" w:history="1">
        <w:r w:rsidRPr="00901D6A">
          <w:rPr>
            <w:rStyle w:val="Hyperlink"/>
            <w:noProof/>
          </w:rPr>
          <w:t>Table 2.7: Breakdown of DHN costs (DECC, 2015a).</w:t>
        </w:r>
        <w:r>
          <w:rPr>
            <w:noProof/>
            <w:webHidden/>
          </w:rPr>
          <w:tab/>
        </w:r>
        <w:r>
          <w:rPr>
            <w:noProof/>
            <w:webHidden/>
          </w:rPr>
          <w:fldChar w:fldCharType="begin"/>
        </w:r>
        <w:r>
          <w:rPr>
            <w:noProof/>
            <w:webHidden/>
          </w:rPr>
          <w:instrText xml:space="preserve"> PAGEREF _Toc7187670 \h </w:instrText>
        </w:r>
        <w:r>
          <w:rPr>
            <w:noProof/>
            <w:webHidden/>
          </w:rPr>
        </w:r>
        <w:r>
          <w:rPr>
            <w:noProof/>
            <w:webHidden/>
          </w:rPr>
          <w:fldChar w:fldCharType="separate"/>
        </w:r>
        <w:r>
          <w:rPr>
            <w:noProof/>
            <w:webHidden/>
          </w:rPr>
          <w:t>57</w:t>
        </w:r>
        <w:r>
          <w:rPr>
            <w:noProof/>
            <w:webHidden/>
          </w:rPr>
          <w:fldChar w:fldCharType="end"/>
        </w:r>
      </w:hyperlink>
    </w:p>
    <w:p w14:paraId="75F29938" w14:textId="4797F3FA" w:rsidR="00CB7456" w:rsidRDefault="00CB7456">
      <w:pPr>
        <w:pStyle w:val="TableofFigures"/>
        <w:tabs>
          <w:tab w:val="right" w:leader="dot" w:pos="8188"/>
        </w:tabs>
        <w:rPr>
          <w:noProof/>
          <w:lang w:eastAsia="en-GB"/>
        </w:rPr>
      </w:pPr>
      <w:hyperlink w:anchor="_Toc7187671" w:history="1">
        <w:r w:rsidRPr="00901D6A">
          <w:rPr>
            <w:rStyle w:val="Hyperlink"/>
            <w:noProof/>
          </w:rPr>
          <w:t>Table 2.8: TE use in the UK in 2013, split by sector and usage (DECC, 2014a).</w:t>
        </w:r>
        <w:r>
          <w:rPr>
            <w:noProof/>
            <w:webHidden/>
          </w:rPr>
          <w:tab/>
        </w:r>
        <w:r>
          <w:rPr>
            <w:noProof/>
            <w:webHidden/>
          </w:rPr>
          <w:fldChar w:fldCharType="begin"/>
        </w:r>
        <w:r>
          <w:rPr>
            <w:noProof/>
            <w:webHidden/>
          </w:rPr>
          <w:instrText xml:space="preserve"> PAGEREF _Toc7187671 \h </w:instrText>
        </w:r>
        <w:r>
          <w:rPr>
            <w:noProof/>
            <w:webHidden/>
          </w:rPr>
        </w:r>
        <w:r>
          <w:rPr>
            <w:noProof/>
            <w:webHidden/>
          </w:rPr>
          <w:fldChar w:fldCharType="separate"/>
        </w:r>
        <w:r>
          <w:rPr>
            <w:noProof/>
            <w:webHidden/>
          </w:rPr>
          <w:t>61</w:t>
        </w:r>
        <w:r>
          <w:rPr>
            <w:noProof/>
            <w:webHidden/>
          </w:rPr>
          <w:fldChar w:fldCharType="end"/>
        </w:r>
      </w:hyperlink>
    </w:p>
    <w:p w14:paraId="76ED00A9" w14:textId="04145482" w:rsidR="00CB7456" w:rsidRDefault="00CB7456">
      <w:pPr>
        <w:pStyle w:val="TableofFigures"/>
        <w:tabs>
          <w:tab w:val="right" w:leader="dot" w:pos="8188"/>
        </w:tabs>
        <w:rPr>
          <w:noProof/>
          <w:lang w:eastAsia="en-GB"/>
        </w:rPr>
      </w:pPr>
      <w:hyperlink w:anchor="_Toc7187672" w:history="1">
        <w:r w:rsidRPr="00901D6A">
          <w:rPr>
            <w:rStyle w:val="Hyperlink"/>
            <w:noProof/>
          </w:rPr>
          <w:t>Table 2.9: Size and average number of customers connected to UK DHNs (DECC, 2013b).</w:t>
        </w:r>
        <w:r>
          <w:rPr>
            <w:noProof/>
            <w:webHidden/>
          </w:rPr>
          <w:tab/>
        </w:r>
        <w:r>
          <w:rPr>
            <w:noProof/>
            <w:webHidden/>
          </w:rPr>
          <w:fldChar w:fldCharType="begin"/>
        </w:r>
        <w:r>
          <w:rPr>
            <w:noProof/>
            <w:webHidden/>
          </w:rPr>
          <w:instrText xml:space="preserve"> PAGEREF _Toc7187672 \h </w:instrText>
        </w:r>
        <w:r>
          <w:rPr>
            <w:noProof/>
            <w:webHidden/>
          </w:rPr>
        </w:r>
        <w:r>
          <w:rPr>
            <w:noProof/>
            <w:webHidden/>
          </w:rPr>
          <w:fldChar w:fldCharType="separate"/>
        </w:r>
        <w:r>
          <w:rPr>
            <w:noProof/>
            <w:webHidden/>
          </w:rPr>
          <w:t>62</w:t>
        </w:r>
        <w:r>
          <w:rPr>
            <w:noProof/>
            <w:webHidden/>
          </w:rPr>
          <w:fldChar w:fldCharType="end"/>
        </w:r>
      </w:hyperlink>
    </w:p>
    <w:p w14:paraId="7D3F5564" w14:textId="4D3B0060" w:rsidR="00CB7456" w:rsidRDefault="00CB7456">
      <w:pPr>
        <w:pStyle w:val="TableofFigures"/>
        <w:tabs>
          <w:tab w:val="right" w:leader="dot" w:pos="8188"/>
        </w:tabs>
        <w:rPr>
          <w:noProof/>
          <w:lang w:eastAsia="en-GB"/>
        </w:rPr>
      </w:pPr>
      <w:hyperlink w:anchor="_Toc7187673" w:history="1">
        <w:r w:rsidRPr="00901D6A">
          <w:rPr>
            <w:rStyle w:val="Hyperlink"/>
            <w:noProof/>
          </w:rPr>
          <w:t>Table 2.10: Key UK DH, CHP, and WHR related legislation.</w:t>
        </w:r>
        <w:r>
          <w:rPr>
            <w:noProof/>
            <w:webHidden/>
          </w:rPr>
          <w:tab/>
        </w:r>
        <w:r>
          <w:rPr>
            <w:noProof/>
            <w:webHidden/>
          </w:rPr>
          <w:fldChar w:fldCharType="begin"/>
        </w:r>
        <w:r>
          <w:rPr>
            <w:noProof/>
            <w:webHidden/>
          </w:rPr>
          <w:instrText xml:space="preserve"> PAGEREF _Toc7187673 \h </w:instrText>
        </w:r>
        <w:r>
          <w:rPr>
            <w:noProof/>
            <w:webHidden/>
          </w:rPr>
        </w:r>
        <w:r>
          <w:rPr>
            <w:noProof/>
            <w:webHidden/>
          </w:rPr>
          <w:fldChar w:fldCharType="separate"/>
        </w:r>
        <w:r>
          <w:rPr>
            <w:noProof/>
            <w:webHidden/>
          </w:rPr>
          <w:t>63</w:t>
        </w:r>
        <w:r>
          <w:rPr>
            <w:noProof/>
            <w:webHidden/>
          </w:rPr>
          <w:fldChar w:fldCharType="end"/>
        </w:r>
      </w:hyperlink>
    </w:p>
    <w:p w14:paraId="01BBE33B" w14:textId="587DEF79" w:rsidR="00CB7456" w:rsidRDefault="00CB7456">
      <w:pPr>
        <w:pStyle w:val="TableofFigures"/>
        <w:tabs>
          <w:tab w:val="right" w:leader="dot" w:pos="8188"/>
        </w:tabs>
        <w:rPr>
          <w:noProof/>
          <w:lang w:eastAsia="en-GB"/>
        </w:rPr>
      </w:pPr>
      <w:hyperlink w:anchor="_Toc7187674" w:history="1">
        <w:r w:rsidRPr="00901D6A">
          <w:rPr>
            <w:rStyle w:val="Hyperlink"/>
            <w:noProof/>
          </w:rPr>
          <w:t>Table 3.1: CIBSE building energy benchmark categories (CIBSE, 2008).</w:t>
        </w:r>
        <w:r>
          <w:rPr>
            <w:noProof/>
            <w:webHidden/>
          </w:rPr>
          <w:tab/>
        </w:r>
        <w:r>
          <w:rPr>
            <w:noProof/>
            <w:webHidden/>
          </w:rPr>
          <w:fldChar w:fldCharType="begin"/>
        </w:r>
        <w:r>
          <w:rPr>
            <w:noProof/>
            <w:webHidden/>
          </w:rPr>
          <w:instrText xml:space="preserve"> PAGEREF _Toc7187674 \h </w:instrText>
        </w:r>
        <w:r>
          <w:rPr>
            <w:noProof/>
            <w:webHidden/>
          </w:rPr>
        </w:r>
        <w:r>
          <w:rPr>
            <w:noProof/>
            <w:webHidden/>
          </w:rPr>
          <w:fldChar w:fldCharType="separate"/>
        </w:r>
        <w:r>
          <w:rPr>
            <w:noProof/>
            <w:webHidden/>
          </w:rPr>
          <w:t>75</w:t>
        </w:r>
        <w:r>
          <w:rPr>
            <w:noProof/>
            <w:webHidden/>
          </w:rPr>
          <w:fldChar w:fldCharType="end"/>
        </w:r>
      </w:hyperlink>
    </w:p>
    <w:p w14:paraId="2008F254" w14:textId="53E370F9" w:rsidR="00CB7456" w:rsidRDefault="00CB7456">
      <w:pPr>
        <w:pStyle w:val="TableofFigures"/>
        <w:tabs>
          <w:tab w:val="right" w:leader="dot" w:pos="8188"/>
        </w:tabs>
        <w:rPr>
          <w:noProof/>
          <w:lang w:eastAsia="en-GB"/>
        </w:rPr>
      </w:pPr>
      <w:hyperlink w:anchor="_Toc7187675" w:history="1">
        <w:r w:rsidRPr="00901D6A">
          <w:rPr>
            <w:rStyle w:val="Hyperlink"/>
            <w:noProof/>
          </w:rPr>
          <w:t>Table 3.2: EIA electricity and fossil fuel building energy consumption by end use (EIA, 2016).</w:t>
        </w:r>
        <w:r>
          <w:rPr>
            <w:noProof/>
            <w:webHidden/>
          </w:rPr>
          <w:tab/>
        </w:r>
        <w:r>
          <w:rPr>
            <w:noProof/>
            <w:webHidden/>
          </w:rPr>
          <w:fldChar w:fldCharType="begin"/>
        </w:r>
        <w:r>
          <w:rPr>
            <w:noProof/>
            <w:webHidden/>
          </w:rPr>
          <w:instrText xml:space="preserve"> PAGEREF _Toc7187675 \h </w:instrText>
        </w:r>
        <w:r>
          <w:rPr>
            <w:noProof/>
            <w:webHidden/>
          </w:rPr>
        </w:r>
        <w:r>
          <w:rPr>
            <w:noProof/>
            <w:webHidden/>
          </w:rPr>
          <w:fldChar w:fldCharType="separate"/>
        </w:r>
        <w:r>
          <w:rPr>
            <w:noProof/>
            <w:webHidden/>
          </w:rPr>
          <w:t>76</w:t>
        </w:r>
        <w:r>
          <w:rPr>
            <w:noProof/>
            <w:webHidden/>
          </w:rPr>
          <w:fldChar w:fldCharType="end"/>
        </w:r>
      </w:hyperlink>
    </w:p>
    <w:p w14:paraId="12453439" w14:textId="1F2543DF" w:rsidR="00CB7456" w:rsidRDefault="00CB7456">
      <w:pPr>
        <w:pStyle w:val="TableofFigures"/>
        <w:tabs>
          <w:tab w:val="right" w:leader="dot" w:pos="8188"/>
        </w:tabs>
        <w:rPr>
          <w:noProof/>
          <w:lang w:eastAsia="en-GB"/>
        </w:rPr>
      </w:pPr>
      <w:hyperlink w:anchor="_Toc7187676" w:history="1">
        <w:r w:rsidRPr="00901D6A">
          <w:rPr>
            <w:rStyle w:val="Hyperlink"/>
            <w:noProof/>
          </w:rPr>
          <w:t>Table 3.3: Summary of the UK ERC heating power variation study (UK ERC, 2006).</w:t>
        </w:r>
        <w:r>
          <w:rPr>
            <w:noProof/>
            <w:webHidden/>
          </w:rPr>
          <w:tab/>
        </w:r>
        <w:r>
          <w:rPr>
            <w:noProof/>
            <w:webHidden/>
          </w:rPr>
          <w:fldChar w:fldCharType="begin"/>
        </w:r>
        <w:r>
          <w:rPr>
            <w:noProof/>
            <w:webHidden/>
          </w:rPr>
          <w:instrText xml:space="preserve"> PAGEREF _Toc7187676 \h </w:instrText>
        </w:r>
        <w:r>
          <w:rPr>
            <w:noProof/>
            <w:webHidden/>
          </w:rPr>
        </w:r>
        <w:r>
          <w:rPr>
            <w:noProof/>
            <w:webHidden/>
          </w:rPr>
          <w:fldChar w:fldCharType="separate"/>
        </w:r>
        <w:r>
          <w:rPr>
            <w:noProof/>
            <w:webHidden/>
          </w:rPr>
          <w:t>77</w:t>
        </w:r>
        <w:r>
          <w:rPr>
            <w:noProof/>
            <w:webHidden/>
          </w:rPr>
          <w:fldChar w:fldCharType="end"/>
        </w:r>
      </w:hyperlink>
    </w:p>
    <w:p w14:paraId="03F11F90" w14:textId="5F76B6FE" w:rsidR="00CB7456" w:rsidRDefault="00CB7456">
      <w:pPr>
        <w:pStyle w:val="TableofFigures"/>
        <w:tabs>
          <w:tab w:val="right" w:leader="dot" w:pos="8188"/>
        </w:tabs>
        <w:rPr>
          <w:noProof/>
          <w:lang w:eastAsia="en-GB"/>
        </w:rPr>
      </w:pPr>
      <w:hyperlink w:anchor="_Toc7187677" w:history="1">
        <w:r w:rsidRPr="00901D6A">
          <w:rPr>
            <w:rStyle w:val="Hyperlink"/>
            <w:noProof/>
          </w:rPr>
          <w:t>Table 3.4: Energy and power demands of the large heat users in the case study area.</w:t>
        </w:r>
        <w:r>
          <w:rPr>
            <w:noProof/>
            <w:webHidden/>
          </w:rPr>
          <w:tab/>
        </w:r>
        <w:r>
          <w:rPr>
            <w:noProof/>
            <w:webHidden/>
          </w:rPr>
          <w:fldChar w:fldCharType="begin"/>
        </w:r>
        <w:r>
          <w:rPr>
            <w:noProof/>
            <w:webHidden/>
          </w:rPr>
          <w:instrText xml:space="preserve"> PAGEREF _Toc7187677 \h </w:instrText>
        </w:r>
        <w:r>
          <w:rPr>
            <w:noProof/>
            <w:webHidden/>
          </w:rPr>
        </w:r>
        <w:r>
          <w:rPr>
            <w:noProof/>
            <w:webHidden/>
          </w:rPr>
          <w:fldChar w:fldCharType="separate"/>
        </w:r>
        <w:r>
          <w:rPr>
            <w:noProof/>
            <w:webHidden/>
          </w:rPr>
          <w:t>79</w:t>
        </w:r>
        <w:r>
          <w:rPr>
            <w:noProof/>
            <w:webHidden/>
          </w:rPr>
          <w:fldChar w:fldCharType="end"/>
        </w:r>
      </w:hyperlink>
    </w:p>
    <w:p w14:paraId="54549B46" w14:textId="3D4D7594" w:rsidR="00CB7456" w:rsidRDefault="00CB7456">
      <w:pPr>
        <w:pStyle w:val="TableofFigures"/>
        <w:tabs>
          <w:tab w:val="right" w:leader="dot" w:pos="8188"/>
        </w:tabs>
        <w:rPr>
          <w:noProof/>
          <w:lang w:eastAsia="en-GB"/>
        </w:rPr>
      </w:pPr>
      <w:hyperlink w:anchor="_Toc7187678" w:history="1">
        <w:r w:rsidRPr="00901D6A">
          <w:rPr>
            <w:rStyle w:val="Hyperlink"/>
            <w:noProof/>
          </w:rPr>
          <w:t>Table 3.5: Population, energy, and power density conversion.</w:t>
        </w:r>
        <w:r>
          <w:rPr>
            <w:noProof/>
            <w:webHidden/>
          </w:rPr>
          <w:tab/>
        </w:r>
        <w:r>
          <w:rPr>
            <w:noProof/>
            <w:webHidden/>
          </w:rPr>
          <w:fldChar w:fldCharType="begin"/>
        </w:r>
        <w:r>
          <w:rPr>
            <w:noProof/>
            <w:webHidden/>
          </w:rPr>
          <w:instrText xml:space="preserve"> PAGEREF _Toc7187678 \h </w:instrText>
        </w:r>
        <w:r>
          <w:rPr>
            <w:noProof/>
            <w:webHidden/>
          </w:rPr>
        </w:r>
        <w:r>
          <w:rPr>
            <w:noProof/>
            <w:webHidden/>
          </w:rPr>
          <w:fldChar w:fldCharType="separate"/>
        </w:r>
        <w:r>
          <w:rPr>
            <w:noProof/>
            <w:webHidden/>
          </w:rPr>
          <w:t>82</w:t>
        </w:r>
        <w:r>
          <w:rPr>
            <w:noProof/>
            <w:webHidden/>
          </w:rPr>
          <w:fldChar w:fldCharType="end"/>
        </w:r>
      </w:hyperlink>
    </w:p>
    <w:p w14:paraId="4CD59C9A" w14:textId="77F0DC3F" w:rsidR="00CB7456" w:rsidRDefault="00CB7456">
      <w:pPr>
        <w:pStyle w:val="TableofFigures"/>
        <w:tabs>
          <w:tab w:val="right" w:leader="dot" w:pos="8188"/>
        </w:tabs>
        <w:rPr>
          <w:noProof/>
          <w:lang w:eastAsia="en-GB"/>
        </w:rPr>
      </w:pPr>
      <w:hyperlink w:anchor="_Toc7187679" w:history="1">
        <w:r w:rsidRPr="00901D6A">
          <w:rPr>
            <w:rStyle w:val="Hyperlink"/>
            <w:noProof/>
          </w:rPr>
          <w:t>Table 3.6: Total HD in the case study area, as found by the UK CHP development map (accessed in 2019) (DECC, 2011).</w:t>
        </w:r>
        <w:r>
          <w:rPr>
            <w:noProof/>
            <w:webHidden/>
          </w:rPr>
          <w:tab/>
        </w:r>
        <w:r>
          <w:rPr>
            <w:noProof/>
            <w:webHidden/>
          </w:rPr>
          <w:fldChar w:fldCharType="begin"/>
        </w:r>
        <w:r>
          <w:rPr>
            <w:noProof/>
            <w:webHidden/>
          </w:rPr>
          <w:instrText xml:space="preserve"> PAGEREF _Toc7187679 \h </w:instrText>
        </w:r>
        <w:r>
          <w:rPr>
            <w:noProof/>
            <w:webHidden/>
          </w:rPr>
        </w:r>
        <w:r>
          <w:rPr>
            <w:noProof/>
            <w:webHidden/>
          </w:rPr>
          <w:fldChar w:fldCharType="separate"/>
        </w:r>
        <w:r>
          <w:rPr>
            <w:noProof/>
            <w:webHidden/>
          </w:rPr>
          <w:t>87</w:t>
        </w:r>
        <w:r>
          <w:rPr>
            <w:noProof/>
            <w:webHidden/>
          </w:rPr>
          <w:fldChar w:fldCharType="end"/>
        </w:r>
      </w:hyperlink>
    </w:p>
    <w:p w14:paraId="39E5A76C" w14:textId="586F71F4" w:rsidR="00CB7456" w:rsidRDefault="00CB7456">
      <w:pPr>
        <w:pStyle w:val="TableofFigures"/>
        <w:tabs>
          <w:tab w:val="right" w:leader="dot" w:pos="8188"/>
        </w:tabs>
        <w:rPr>
          <w:noProof/>
          <w:lang w:eastAsia="en-GB"/>
        </w:rPr>
      </w:pPr>
      <w:hyperlink w:anchor="_Toc7187680" w:history="1">
        <w:r w:rsidRPr="00901D6A">
          <w:rPr>
            <w:rStyle w:val="Hyperlink"/>
            <w:noProof/>
          </w:rPr>
          <w:t>Table 3.7: Total HD in the case study area, as found using the methodology outlined in the thesis.</w:t>
        </w:r>
        <w:r>
          <w:rPr>
            <w:noProof/>
            <w:webHidden/>
          </w:rPr>
          <w:tab/>
        </w:r>
        <w:r>
          <w:rPr>
            <w:noProof/>
            <w:webHidden/>
          </w:rPr>
          <w:fldChar w:fldCharType="begin"/>
        </w:r>
        <w:r>
          <w:rPr>
            <w:noProof/>
            <w:webHidden/>
          </w:rPr>
          <w:instrText xml:space="preserve"> PAGEREF _Toc7187680 \h </w:instrText>
        </w:r>
        <w:r>
          <w:rPr>
            <w:noProof/>
            <w:webHidden/>
          </w:rPr>
        </w:r>
        <w:r>
          <w:rPr>
            <w:noProof/>
            <w:webHidden/>
          </w:rPr>
          <w:fldChar w:fldCharType="separate"/>
        </w:r>
        <w:r>
          <w:rPr>
            <w:noProof/>
            <w:webHidden/>
          </w:rPr>
          <w:t>87</w:t>
        </w:r>
        <w:r>
          <w:rPr>
            <w:noProof/>
            <w:webHidden/>
          </w:rPr>
          <w:fldChar w:fldCharType="end"/>
        </w:r>
      </w:hyperlink>
    </w:p>
    <w:p w14:paraId="3A54AE28" w14:textId="668DE533" w:rsidR="00CB7456" w:rsidRDefault="00CB7456">
      <w:pPr>
        <w:pStyle w:val="TableofFigures"/>
        <w:tabs>
          <w:tab w:val="right" w:leader="dot" w:pos="8188"/>
        </w:tabs>
        <w:rPr>
          <w:noProof/>
          <w:lang w:eastAsia="en-GB"/>
        </w:rPr>
      </w:pPr>
      <w:hyperlink w:anchor="_Toc7187681" w:history="1">
        <w:r w:rsidRPr="00901D6A">
          <w:rPr>
            <w:rStyle w:val="Hyperlink"/>
            <w:noProof/>
          </w:rPr>
          <w:t>Table 4.1: Standard operating periods of the HJE operation.</w:t>
        </w:r>
        <w:r>
          <w:rPr>
            <w:noProof/>
            <w:webHidden/>
          </w:rPr>
          <w:tab/>
        </w:r>
        <w:r>
          <w:rPr>
            <w:noProof/>
            <w:webHidden/>
          </w:rPr>
          <w:fldChar w:fldCharType="begin"/>
        </w:r>
        <w:r>
          <w:rPr>
            <w:noProof/>
            <w:webHidden/>
          </w:rPr>
          <w:instrText xml:space="preserve"> PAGEREF _Toc7187681 \h </w:instrText>
        </w:r>
        <w:r>
          <w:rPr>
            <w:noProof/>
            <w:webHidden/>
          </w:rPr>
        </w:r>
        <w:r>
          <w:rPr>
            <w:noProof/>
            <w:webHidden/>
          </w:rPr>
          <w:fldChar w:fldCharType="separate"/>
        </w:r>
        <w:r>
          <w:rPr>
            <w:noProof/>
            <w:webHidden/>
          </w:rPr>
          <w:t>93</w:t>
        </w:r>
        <w:r>
          <w:rPr>
            <w:noProof/>
            <w:webHidden/>
          </w:rPr>
          <w:fldChar w:fldCharType="end"/>
        </w:r>
      </w:hyperlink>
    </w:p>
    <w:p w14:paraId="5DA9F8CA" w14:textId="3A799307" w:rsidR="00CB7456" w:rsidRDefault="00CB7456">
      <w:pPr>
        <w:pStyle w:val="TableofFigures"/>
        <w:tabs>
          <w:tab w:val="right" w:leader="dot" w:pos="8188"/>
        </w:tabs>
        <w:rPr>
          <w:noProof/>
          <w:lang w:eastAsia="en-GB"/>
        </w:rPr>
      </w:pPr>
      <w:hyperlink w:anchor="_Toc7187682" w:history="1">
        <w:r w:rsidRPr="00901D6A">
          <w:rPr>
            <w:rStyle w:val="Hyperlink"/>
            <w:noProof/>
          </w:rPr>
          <w:t>Table 5.1: Inputs needed for the modelling of a HEX-DP.</w:t>
        </w:r>
        <w:r>
          <w:rPr>
            <w:noProof/>
            <w:webHidden/>
          </w:rPr>
          <w:tab/>
        </w:r>
        <w:r>
          <w:rPr>
            <w:noProof/>
            <w:webHidden/>
          </w:rPr>
          <w:fldChar w:fldCharType="begin"/>
        </w:r>
        <w:r>
          <w:rPr>
            <w:noProof/>
            <w:webHidden/>
          </w:rPr>
          <w:instrText xml:space="preserve"> PAGEREF _Toc7187682 \h </w:instrText>
        </w:r>
        <w:r>
          <w:rPr>
            <w:noProof/>
            <w:webHidden/>
          </w:rPr>
        </w:r>
        <w:r>
          <w:rPr>
            <w:noProof/>
            <w:webHidden/>
          </w:rPr>
          <w:fldChar w:fldCharType="separate"/>
        </w:r>
        <w:r>
          <w:rPr>
            <w:noProof/>
            <w:webHidden/>
          </w:rPr>
          <w:t>101</w:t>
        </w:r>
        <w:r>
          <w:rPr>
            <w:noProof/>
            <w:webHidden/>
          </w:rPr>
          <w:fldChar w:fldCharType="end"/>
        </w:r>
      </w:hyperlink>
    </w:p>
    <w:p w14:paraId="5CBA496E" w14:textId="74828FB9" w:rsidR="00CB7456" w:rsidRDefault="00CB7456">
      <w:pPr>
        <w:pStyle w:val="TableofFigures"/>
        <w:tabs>
          <w:tab w:val="right" w:leader="dot" w:pos="8188"/>
        </w:tabs>
        <w:rPr>
          <w:noProof/>
          <w:lang w:eastAsia="en-GB"/>
        </w:rPr>
      </w:pPr>
      <w:hyperlink w:anchor="_Toc7187683" w:history="1">
        <w:r w:rsidRPr="00901D6A">
          <w:rPr>
            <w:rStyle w:val="Hyperlink"/>
            <w:noProof/>
          </w:rPr>
          <w:t>Table 5.2: Inputs needed for the modelling of a HEX-FT.</w:t>
        </w:r>
        <w:r>
          <w:rPr>
            <w:noProof/>
            <w:webHidden/>
          </w:rPr>
          <w:tab/>
        </w:r>
        <w:r>
          <w:rPr>
            <w:noProof/>
            <w:webHidden/>
          </w:rPr>
          <w:fldChar w:fldCharType="begin"/>
        </w:r>
        <w:r>
          <w:rPr>
            <w:noProof/>
            <w:webHidden/>
          </w:rPr>
          <w:instrText xml:space="preserve"> PAGEREF _Toc7187683 \h </w:instrText>
        </w:r>
        <w:r>
          <w:rPr>
            <w:noProof/>
            <w:webHidden/>
          </w:rPr>
        </w:r>
        <w:r>
          <w:rPr>
            <w:noProof/>
            <w:webHidden/>
          </w:rPr>
          <w:fldChar w:fldCharType="separate"/>
        </w:r>
        <w:r>
          <w:rPr>
            <w:noProof/>
            <w:webHidden/>
          </w:rPr>
          <w:t>102</w:t>
        </w:r>
        <w:r>
          <w:rPr>
            <w:noProof/>
            <w:webHidden/>
          </w:rPr>
          <w:fldChar w:fldCharType="end"/>
        </w:r>
      </w:hyperlink>
    </w:p>
    <w:p w14:paraId="719FD7F3" w14:textId="752C9AE4" w:rsidR="00CB7456" w:rsidRDefault="00CB7456">
      <w:pPr>
        <w:pStyle w:val="TableofFigures"/>
        <w:tabs>
          <w:tab w:val="right" w:leader="dot" w:pos="8188"/>
        </w:tabs>
        <w:rPr>
          <w:noProof/>
          <w:lang w:eastAsia="en-GB"/>
        </w:rPr>
      </w:pPr>
      <w:hyperlink w:anchor="_Toc7187684" w:history="1">
        <w:r w:rsidRPr="00901D6A">
          <w:rPr>
            <w:rStyle w:val="Hyperlink"/>
            <w:noProof/>
          </w:rPr>
          <w:t>Table 5.3: Inputs needed for the modelling of a HEX-P.</w:t>
        </w:r>
        <w:r>
          <w:rPr>
            <w:noProof/>
            <w:webHidden/>
          </w:rPr>
          <w:tab/>
        </w:r>
        <w:r>
          <w:rPr>
            <w:noProof/>
            <w:webHidden/>
          </w:rPr>
          <w:fldChar w:fldCharType="begin"/>
        </w:r>
        <w:r>
          <w:rPr>
            <w:noProof/>
            <w:webHidden/>
          </w:rPr>
          <w:instrText xml:space="preserve"> PAGEREF _Toc7187684 \h </w:instrText>
        </w:r>
        <w:r>
          <w:rPr>
            <w:noProof/>
            <w:webHidden/>
          </w:rPr>
        </w:r>
        <w:r>
          <w:rPr>
            <w:noProof/>
            <w:webHidden/>
          </w:rPr>
          <w:fldChar w:fldCharType="separate"/>
        </w:r>
        <w:r>
          <w:rPr>
            <w:noProof/>
            <w:webHidden/>
          </w:rPr>
          <w:t>103</w:t>
        </w:r>
        <w:r>
          <w:rPr>
            <w:noProof/>
            <w:webHidden/>
          </w:rPr>
          <w:fldChar w:fldCharType="end"/>
        </w:r>
      </w:hyperlink>
    </w:p>
    <w:p w14:paraId="1C2C8110" w14:textId="71574933" w:rsidR="00CB7456" w:rsidRDefault="00CB7456">
      <w:pPr>
        <w:pStyle w:val="TableofFigures"/>
        <w:tabs>
          <w:tab w:val="right" w:leader="dot" w:pos="8188"/>
        </w:tabs>
        <w:rPr>
          <w:noProof/>
          <w:lang w:eastAsia="en-GB"/>
        </w:rPr>
      </w:pPr>
      <w:hyperlink w:anchor="_Toc7187685" w:history="1">
        <w:r w:rsidRPr="00901D6A">
          <w:rPr>
            <w:rStyle w:val="Hyperlink"/>
            <w:noProof/>
          </w:rPr>
          <w:t>Table 5.4: Inputs needed for the modelling of a FH.</w:t>
        </w:r>
        <w:r>
          <w:rPr>
            <w:noProof/>
            <w:webHidden/>
          </w:rPr>
          <w:tab/>
        </w:r>
        <w:r>
          <w:rPr>
            <w:noProof/>
            <w:webHidden/>
          </w:rPr>
          <w:fldChar w:fldCharType="begin"/>
        </w:r>
        <w:r>
          <w:rPr>
            <w:noProof/>
            <w:webHidden/>
          </w:rPr>
          <w:instrText xml:space="preserve"> PAGEREF _Toc7187685 \h </w:instrText>
        </w:r>
        <w:r>
          <w:rPr>
            <w:noProof/>
            <w:webHidden/>
          </w:rPr>
        </w:r>
        <w:r>
          <w:rPr>
            <w:noProof/>
            <w:webHidden/>
          </w:rPr>
          <w:fldChar w:fldCharType="separate"/>
        </w:r>
        <w:r>
          <w:rPr>
            <w:noProof/>
            <w:webHidden/>
          </w:rPr>
          <w:t>104</w:t>
        </w:r>
        <w:r>
          <w:rPr>
            <w:noProof/>
            <w:webHidden/>
          </w:rPr>
          <w:fldChar w:fldCharType="end"/>
        </w:r>
      </w:hyperlink>
    </w:p>
    <w:p w14:paraId="725FF8FC" w14:textId="3C56EF83" w:rsidR="00CB7456" w:rsidRDefault="00CB7456">
      <w:pPr>
        <w:pStyle w:val="TableofFigures"/>
        <w:tabs>
          <w:tab w:val="right" w:leader="dot" w:pos="8188"/>
        </w:tabs>
        <w:rPr>
          <w:noProof/>
          <w:lang w:eastAsia="en-GB"/>
        </w:rPr>
      </w:pPr>
      <w:hyperlink w:anchor="_Toc7187686" w:history="1">
        <w:r w:rsidRPr="00901D6A">
          <w:rPr>
            <w:rStyle w:val="Hyperlink"/>
            <w:noProof/>
          </w:rPr>
          <w:t>Table 5.5: Inputs needed for the modelling of an ORC.</w:t>
        </w:r>
        <w:r>
          <w:rPr>
            <w:noProof/>
            <w:webHidden/>
          </w:rPr>
          <w:tab/>
        </w:r>
        <w:r>
          <w:rPr>
            <w:noProof/>
            <w:webHidden/>
          </w:rPr>
          <w:fldChar w:fldCharType="begin"/>
        </w:r>
        <w:r>
          <w:rPr>
            <w:noProof/>
            <w:webHidden/>
          </w:rPr>
          <w:instrText xml:space="preserve"> PAGEREF _Toc7187686 \h </w:instrText>
        </w:r>
        <w:r>
          <w:rPr>
            <w:noProof/>
            <w:webHidden/>
          </w:rPr>
        </w:r>
        <w:r>
          <w:rPr>
            <w:noProof/>
            <w:webHidden/>
          </w:rPr>
          <w:fldChar w:fldCharType="separate"/>
        </w:r>
        <w:r>
          <w:rPr>
            <w:noProof/>
            <w:webHidden/>
          </w:rPr>
          <w:t>105</w:t>
        </w:r>
        <w:r>
          <w:rPr>
            <w:noProof/>
            <w:webHidden/>
          </w:rPr>
          <w:fldChar w:fldCharType="end"/>
        </w:r>
      </w:hyperlink>
    </w:p>
    <w:p w14:paraId="66DFC1E6" w14:textId="7AB38079" w:rsidR="00CB7456" w:rsidRDefault="00CB7456">
      <w:pPr>
        <w:pStyle w:val="TableofFigures"/>
        <w:tabs>
          <w:tab w:val="right" w:leader="dot" w:pos="8188"/>
        </w:tabs>
        <w:rPr>
          <w:noProof/>
          <w:lang w:eastAsia="en-GB"/>
        </w:rPr>
      </w:pPr>
      <w:hyperlink w:anchor="_Toc7187687" w:history="1">
        <w:r w:rsidRPr="00901D6A">
          <w:rPr>
            <w:rStyle w:val="Hyperlink"/>
            <w:noProof/>
          </w:rPr>
          <w:t>Table 5.6: Inputs needed for the modelling of condensers.</w:t>
        </w:r>
        <w:r>
          <w:rPr>
            <w:noProof/>
            <w:webHidden/>
          </w:rPr>
          <w:tab/>
        </w:r>
        <w:r>
          <w:rPr>
            <w:noProof/>
            <w:webHidden/>
          </w:rPr>
          <w:fldChar w:fldCharType="begin"/>
        </w:r>
        <w:r>
          <w:rPr>
            <w:noProof/>
            <w:webHidden/>
          </w:rPr>
          <w:instrText xml:space="preserve"> PAGEREF _Toc7187687 \h </w:instrText>
        </w:r>
        <w:r>
          <w:rPr>
            <w:noProof/>
            <w:webHidden/>
          </w:rPr>
        </w:r>
        <w:r>
          <w:rPr>
            <w:noProof/>
            <w:webHidden/>
          </w:rPr>
          <w:fldChar w:fldCharType="separate"/>
        </w:r>
        <w:r>
          <w:rPr>
            <w:noProof/>
            <w:webHidden/>
          </w:rPr>
          <w:t>106</w:t>
        </w:r>
        <w:r>
          <w:rPr>
            <w:noProof/>
            <w:webHidden/>
          </w:rPr>
          <w:fldChar w:fldCharType="end"/>
        </w:r>
      </w:hyperlink>
    </w:p>
    <w:p w14:paraId="311E7331" w14:textId="5BAE7AC3" w:rsidR="00CB7456" w:rsidRDefault="00CB7456">
      <w:pPr>
        <w:pStyle w:val="TableofFigures"/>
        <w:tabs>
          <w:tab w:val="right" w:leader="dot" w:pos="8188"/>
        </w:tabs>
        <w:rPr>
          <w:noProof/>
          <w:lang w:eastAsia="en-GB"/>
        </w:rPr>
      </w:pPr>
      <w:hyperlink w:anchor="_Toc7187688" w:history="1">
        <w:r w:rsidRPr="00901D6A">
          <w:rPr>
            <w:rStyle w:val="Hyperlink"/>
            <w:noProof/>
          </w:rPr>
          <w:t>Table 5.7: Inputs needed for the modelling of a pump.</w:t>
        </w:r>
        <w:r>
          <w:rPr>
            <w:noProof/>
            <w:webHidden/>
          </w:rPr>
          <w:tab/>
        </w:r>
        <w:r>
          <w:rPr>
            <w:noProof/>
            <w:webHidden/>
          </w:rPr>
          <w:fldChar w:fldCharType="begin"/>
        </w:r>
        <w:r>
          <w:rPr>
            <w:noProof/>
            <w:webHidden/>
          </w:rPr>
          <w:instrText xml:space="preserve"> PAGEREF _Toc7187688 \h </w:instrText>
        </w:r>
        <w:r>
          <w:rPr>
            <w:noProof/>
            <w:webHidden/>
          </w:rPr>
        </w:r>
        <w:r>
          <w:rPr>
            <w:noProof/>
            <w:webHidden/>
          </w:rPr>
          <w:fldChar w:fldCharType="separate"/>
        </w:r>
        <w:r>
          <w:rPr>
            <w:noProof/>
            <w:webHidden/>
          </w:rPr>
          <w:t>107</w:t>
        </w:r>
        <w:r>
          <w:rPr>
            <w:noProof/>
            <w:webHidden/>
          </w:rPr>
          <w:fldChar w:fldCharType="end"/>
        </w:r>
      </w:hyperlink>
    </w:p>
    <w:p w14:paraId="7835E215" w14:textId="76A98CD6" w:rsidR="00CB7456" w:rsidRDefault="00CB7456">
      <w:pPr>
        <w:pStyle w:val="TableofFigures"/>
        <w:tabs>
          <w:tab w:val="right" w:leader="dot" w:pos="8188"/>
        </w:tabs>
        <w:rPr>
          <w:noProof/>
          <w:lang w:eastAsia="en-GB"/>
        </w:rPr>
      </w:pPr>
      <w:hyperlink w:anchor="_Toc7187689" w:history="1">
        <w:r w:rsidRPr="00901D6A">
          <w:rPr>
            <w:rStyle w:val="Hyperlink"/>
            <w:noProof/>
          </w:rPr>
          <w:t>Table 5.8: Inputs needed for the modelling of a turbine.</w:t>
        </w:r>
        <w:r>
          <w:rPr>
            <w:noProof/>
            <w:webHidden/>
          </w:rPr>
          <w:tab/>
        </w:r>
        <w:r>
          <w:rPr>
            <w:noProof/>
            <w:webHidden/>
          </w:rPr>
          <w:fldChar w:fldCharType="begin"/>
        </w:r>
        <w:r>
          <w:rPr>
            <w:noProof/>
            <w:webHidden/>
          </w:rPr>
          <w:instrText xml:space="preserve"> PAGEREF _Toc7187689 \h </w:instrText>
        </w:r>
        <w:r>
          <w:rPr>
            <w:noProof/>
            <w:webHidden/>
          </w:rPr>
        </w:r>
        <w:r>
          <w:rPr>
            <w:noProof/>
            <w:webHidden/>
          </w:rPr>
          <w:fldChar w:fldCharType="separate"/>
        </w:r>
        <w:r>
          <w:rPr>
            <w:noProof/>
            <w:webHidden/>
          </w:rPr>
          <w:t>107</w:t>
        </w:r>
        <w:r>
          <w:rPr>
            <w:noProof/>
            <w:webHidden/>
          </w:rPr>
          <w:fldChar w:fldCharType="end"/>
        </w:r>
      </w:hyperlink>
    </w:p>
    <w:p w14:paraId="462F442D" w14:textId="2974264B" w:rsidR="00CB7456" w:rsidRDefault="00CB7456">
      <w:pPr>
        <w:pStyle w:val="TableofFigures"/>
        <w:tabs>
          <w:tab w:val="right" w:leader="dot" w:pos="8188"/>
        </w:tabs>
        <w:rPr>
          <w:noProof/>
          <w:lang w:eastAsia="en-GB"/>
        </w:rPr>
      </w:pPr>
      <w:hyperlink w:anchor="_Toc7187690" w:history="1">
        <w:r w:rsidRPr="00901D6A">
          <w:rPr>
            <w:rStyle w:val="Hyperlink"/>
            <w:noProof/>
          </w:rPr>
          <w:t>Table 5.9: Input and output costs of the WHR technologies.</w:t>
        </w:r>
        <w:r>
          <w:rPr>
            <w:noProof/>
            <w:webHidden/>
          </w:rPr>
          <w:tab/>
        </w:r>
        <w:r>
          <w:rPr>
            <w:noProof/>
            <w:webHidden/>
          </w:rPr>
          <w:fldChar w:fldCharType="begin"/>
        </w:r>
        <w:r>
          <w:rPr>
            <w:noProof/>
            <w:webHidden/>
          </w:rPr>
          <w:instrText xml:space="preserve"> PAGEREF _Toc7187690 \h </w:instrText>
        </w:r>
        <w:r>
          <w:rPr>
            <w:noProof/>
            <w:webHidden/>
          </w:rPr>
        </w:r>
        <w:r>
          <w:rPr>
            <w:noProof/>
            <w:webHidden/>
          </w:rPr>
          <w:fldChar w:fldCharType="separate"/>
        </w:r>
        <w:r>
          <w:rPr>
            <w:noProof/>
            <w:webHidden/>
          </w:rPr>
          <w:t>109</w:t>
        </w:r>
        <w:r>
          <w:rPr>
            <w:noProof/>
            <w:webHidden/>
          </w:rPr>
          <w:fldChar w:fldCharType="end"/>
        </w:r>
      </w:hyperlink>
    </w:p>
    <w:p w14:paraId="1E5758A1" w14:textId="32ACA878" w:rsidR="00CB7456" w:rsidRDefault="00CB7456">
      <w:pPr>
        <w:pStyle w:val="TableofFigures"/>
        <w:tabs>
          <w:tab w:val="right" w:leader="dot" w:pos="8188"/>
        </w:tabs>
        <w:rPr>
          <w:noProof/>
          <w:lang w:eastAsia="en-GB"/>
        </w:rPr>
      </w:pPr>
      <w:hyperlink w:anchor="_Toc7187691" w:history="1">
        <w:r w:rsidRPr="00901D6A">
          <w:rPr>
            <w:rStyle w:val="Hyperlink"/>
            <w:noProof/>
          </w:rPr>
          <w:t>Table 5.10: Continuous and discrete inputs that can be chosen from a list.</w:t>
        </w:r>
        <w:r>
          <w:rPr>
            <w:noProof/>
            <w:webHidden/>
          </w:rPr>
          <w:tab/>
        </w:r>
        <w:r>
          <w:rPr>
            <w:noProof/>
            <w:webHidden/>
          </w:rPr>
          <w:fldChar w:fldCharType="begin"/>
        </w:r>
        <w:r>
          <w:rPr>
            <w:noProof/>
            <w:webHidden/>
          </w:rPr>
          <w:instrText xml:space="preserve"> PAGEREF _Toc7187691 \h </w:instrText>
        </w:r>
        <w:r>
          <w:rPr>
            <w:noProof/>
            <w:webHidden/>
          </w:rPr>
        </w:r>
        <w:r>
          <w:rPr>
            <w:noProof/>
            <w:webHidden/>
          </w:rPr>
          <w:fldChar w:fldCharType="separate"/>
        </w:r>
        <w:r>
          <w:rPr>
            <w:noProof/>
            <w:webHidden/>
          </w:rPr>
          <w:t>110</w:t>
        </w:r>
        <w:r>
          <w:rPr>
            <w:noProof/>
            <w:webHidden/>
          </w:rPr>
          <w:fldChar w:fldCharType="end"/>
        </w:r>
      </w:hyperlink>
    </w:p>
    <w:p w14:paraId="17EFC9A5" w14:textId="48239E6B" w:rsidR="00CB7456" w:rsidRDefault="00CB7456">
      <w:pPr>
        <w:pStyle w:val="TableofFigures"/>
        <w:tabs>
          <w:tab w:val="right" w:leader="dot" w:pos="8188"/>
        </w:tabs>
        <w:rPr>
          <w:noProof/>
          <w:lang w:eastAsia="en-GB"/>
        </w:rPr>
      </w:pPr>
      <w:hyperlink w:anchor="_Toc7187692" w:history="1">
        <w:r w:rsidRPr="00901D6A">
          <w:rPr>
            <w:rStyle w:val="Hyperlink"/>
            <w:noProof/>
          </w:rPr>
          <w:t>Table 5.11: Discrete that are to be hidden from the user, dependent, and fluid dependent inputs.</w:t>
        </w:r>
        <w:r>
          <w:rPr>
            <w:noProof/>
            <w:webHidden/>
          </w:rPr>
          <w:tab/>
        </w:r>
        <w:r>
          <w:rPr>
            <w:noProof/>
            <w:webHidden/>
          </w:rPr>
          <w:fldChar w:fldCharType="begin"/>
        </w:r>
        <w:r>
          <w:rPr>
            <w:noProof/>
            <w:webHidden/>
          </w:rPr>
          <w:instrText xml:space="preserve"> PAGEREF _Toc7187692 \h </w:instrText>
        </w:r>
        <w:r>
          <w:rPr>
            <w:noProof/>
            <w:webHidden/>
          </w:rPr>
        </w:r>
        <w:r>
          <w:rPr>
            <w:noProof/>
            <w:webHidden/>
          </w:rPr>
          <w:fldChar w:fldCharType="separate"/>
        </w:r>
        <w:r>
          <w:rPr>
            <w:noProof/>
            <w:webHidden/>
          </w:rPr>
          <w:t>111</w:t>
        </w:r>
        <w:r>
          <w:rPr>
            <w:noProof/>
            <w:webHidden/>
          </w:rPr>
          <w:fldChar w:fldCharType="end"/>
        </w:r>
      </w:hyperlink>
    </w:p>
    <w:p w14:paraId="65177869" w14:textId="1B587C56" w:rsidR="00CB7456" w:rsidRDefault="00CB7456">
      <w:pPr>
        <w:pStyle w:val="TableofFigures"/>
        <w:tabs>
          <w:tab w:val="right" w:leader="dot" w:pos="8188"/>
        </w:tabs>
        <w:rPr>
          <w:noProof/>
          <w:lang w:eastAsia="en-GB"/>
        </w:rPr>
      </w:pPr>
      <w:hyperlink w:anchor="_Toc7187693" w:history="1">
        <w:r w:rsidRPr="00901D6A">
          <w:rPr>
            <w:rStyle w:val="Hyperlink"/>
            <w:noProof/>
          </w:rPr>
          <w:t>Table 6.1: The four heating seasons in a year.</w:t>
        </w:r>
        <w:r>
          <w:rPr>
            <w:noProof/>
            <w:webHidden/>
          </w:rPr>
          <w:tab/>
        </w:r>
        <w:r>
          <w:rPr>
            <w:noProof/>
            <w:webHidden/>
          </w:rPr>
          <w:fldChar w:fldCharType="begin"/>
        </w:r>
        <w:r>
          <w:rPr>
            <w:noProof/>
            <w:webHidden/>
          </w:rPr>
          <w:instrText xml:space="preserve"> PAGEREF _Toc7187693 \h </w:instrText>
        </w:r>
        <w:r>
          <w:rPr>
            <w:noProof/>
            <w:webHidden/>
          </w:rPr>
        </w:r>
        <w:r>
          <w:rPr>
            <w:noProof/>
            <w:webHidden/>
          </w:rPr>
          <w:fldChar w:fldCharType="separate"/>
        </w:r>
        <w:r>
          <w:rPr>
            <w:noProof/>
            <w:webHidden/>
          </w:rPr>
          <w:t>119</w:t>
        </w:r>
        <w:r>
          <w:rPr>
            <w:noProof/>
            <w:webHidden/>
          </w:rPr>
          <w:fldChar w:fldCharType="end"/>
        </w:r>
      </w:hyperlink>
    </w:p>
    <w:p w14:paraId="50733A32" w14:textId="266CDEA5" w:rsidR="00CB7456" w:rsidRDefault="00CB7456">
      <w:pPr>
        <w:pStyle w:val="TableofFigures"/>
        <w:tabs>
          <w:tab w:val="right" w:leader="dot" w:pos="8188"/>
        </w:tabs>
        <w:rPr>
          <w:noProof/>
          <w:lang w:eastAsia="en-GB"/>
        </w:rPr>
      </w:pPr>
      <w:hyperlink w:anchor="_Toc7187694" w:history="1">
        <w:r w:rsidRPr="00901D6A">
          <w:rPr>
            <w:rStyle w:val="Hyperlink"/>
            <w:noProof/>
          </w:rPr>
          <w:t>Table 6.2: Buildings used in each case study model.</w:t>
        </w:r>
        <w:r>
          <w:rPr>
            <w:noProof/>
            <w:webHidden/>
          </w:rPr>
          <w:tab/>
        </w:r>
        <w:r>
          <w:rPr>
            <w:noProof/>
            <w:webHidden/>
          </w:rPr>
          <w:fldChar w:fldCharType="begin"/>
        </w:r>
        <w:r>
          <w:rPr>
            <w:noProof/>
            <w:webHidden/>
          </w:rPr>
          <w:instrText xml:space="preserve"> PAGEREF _Toc7187694 \h </w:instrText>
        </w:r>
        <w:r>
          <w:rPr>
            <w:noProof/>
            <w:webHidden/>
          </w:rPr>
        </w:r>
        <w:r>
          <w:rPr>
            <w:noProof/>
            <w:webHidden/>
          </w:rPr>
          <w:fldChar w:fldCharType="separate"/>
        </w:r>
        <w:r>
          <w:rPr>
            <w:noProof/>
            <w:webHidden/>
          </w:rPr>
          <w:t>125</w:t>
        </w:r>
        <w:r>
          <w:rPr>
            <w:noProof/>
            <w:webHidden/>
          </w:rPr>
          <w:fldChar w:fldCharType="end"/>
        </w:r>
      </w:hyperlink>
    </w:p>
    <w:p w14:paraId="6F8C7923" w14:textId="0015E947" w:rsidR="00CB7456" w:rsidRDefault="00CB7456">
      <w:pPr>
        <w:pStyle w:val="TableofFigures"/>
        <w:tabs>
          <w:tab w:val="right" w:leader="dot" w:pos="8188"/>
        </w:tabs>
        <w:rPr>
          <w:noProof/>
          <w:lang w:eastAsia="en-GB"/>
        </w:rPr>
      </w:pPr>
      <w:hyperlink w:anchor="_Toc7187695" w:history="1">
        <w:r w:rsidRPr="00901D6A">
          <w:rPr>
            <w:rStyle w:val="Hyperlink"/>
            <w:noProof/>
          </w:rPr>
          <w:t>Table 6.3: Probability distribution details for the HD model assumptions.</w:t>
        </w:r>
        <w:r>
          <w:rPr>
            <w:noProof/>
            <w:webHidden/>
          </w:rPr>
          <w:tab/>
        </w:r>
        <w:r>
          <w:rPr>
            <w:noProof/>
            <w:webHidden/>
          </w:rPr>
          <w:fldChar w:fldCharType="begin"/>
        </w:r>
        <w:r>
          <w:rPr>
            <w:noProof/>
            <w:webHidden/>
          </w:rPr>
          <w:instrText xml:space="preserve"> PAGEREF _Toc7187695 \h </w:instrText>
        </w:r>
        <w:r>
          <w:rPr>
            <w:noProof/>
            <w:webHidden/>
          </w:rPr>
        </w:r>
        <w:r>
          <w:rPr>
            <w:noProof/>
            <w:webHidden/>
          </w:rPr>
          <w:fldChar w:fldCharType="separate"/>
        </w:r>
        <w:r>
          <w:rPr>
            <w:noProof/>
            <w:webHidden/>
          </w:rPr>
          <w:t>129</w:t>
        </w:r>
        <w:r>
          <w:rPr>
            <w:noProof/>
            <w:webHidden/>
          </w:rPr>
          <w:fldChar w:fldCharType="end"/>
        </w:r>
      </w:hyperlink>
    </w:p>
    <w:p w14:paraId="7B101FE8" w14:textId="533E8FB6" w:rsidR="00CB7456" w:rsidRDefault="00CB7456">
      <w:pPr>
        <w:pStyle w:val="TableofFigures"/>
        <w:tabs>
          <w:tab w:val="right" w:leader="dot" w:pos="8188"/>
        </w:tabs>
        <w:rPr>
          <w:noProof/>
          <w:lang w:eastAsia="en-GB"/>
        </w:rPr>
      </w:pPr>
      <w:hyperlink w:anchor="_Toc7187696" w:history="1">
        <w:r w:rsidRPr="00901D6A">
          <w:rPr>
            <w:rStyle w:val="Hyperlink"/>
            <w:noProof/>
          </w:rPr>
          <w:t>Table 6.4: Input and output uncertainty for the MC simulations, showing the assumptions of (1) the standard building sizes, (2) the standard HD profiles and (3) the straight-line network route.</w:t>
        </w:r>
        <w:r>
          <w:rPr>
            <w:noProof/>
            <w:webHidden/>
          </w:rPr>
          <w:tab/>
        </w:r>
        <w:r>
          <w:rPr>
            <w:noProof/>
            <w:webHidden/>
          </w:rPr>
          <w:fldChar w:fldCharType="begin"/>
        </w:r>
        <w:r>
          <w:rPr>
            <w:noProof/>
            <w:webHidden/>
          </w:rPr>
          <w:instrText xml:space="preserve"> PAGEREF _Toc7187696 \h </w:instrText>
        </w:r>
        <w:r>
          <w:rPr>
            <w:noProof/>
            <w:webHidden/>
          </w:rPr>
        </w:r>
        <w:r>
          <w:rPr>
            <w:noProof/>
            <w:webHidden/>
          </w:rPr>
          <w:fldChar w:fldCharType="separate"/>
        </w:r>
        <w:r>
          <w:rPr>
            <w:noProof/>
            <w:webHidden/>
          </w:rPr>
          <w:t>131</w:t>
        </w:r>
        <w:r>
          <w:rPr>
            <w:noProof/>
            <w:webHidden/>
          </w:rPr>
          <w:fldChar w:fldCharType="end"/>
        </w:r>
      </w:hyperlink>
    </w:p>
    <w:p w14:paraId="34A51293" w14:textId="13A38159" w:rsidR="00CB7456" w:rsidRDefault="00CB7456">
      <w:pPr>
        <w:pStyle w:val="TableofFigures"/>
        <w:tabs>
          <w:tab w:val="right" w:leader="dot" w:pos="8188"/>
        </w:tabs>
        <w:rPr>
          <w:noProof/>
          <w:lang w:eastAsia="en-GB"/>
        </w:rPr>
      </w:pPr>
      <w:hyperlink w:anchor="_Toc7187697" w:history="1">
        <w:r w:rsidRPr="00901D6A">
          <w:rPr>
            <w:rStyle w:val="Hyperlink"/>
            <w:noProof/>
          </w:rPr>
          <w:t>Table 7.1: The parameters used in the work for the scenarios 1) and 2), the HWT based options.</w:t>
        </w:r>
        <w:r>
          <w:rPr>
            <w:noProof/>
            <w:webHidden/>
          </w:rPr>
          <w:tab/>
        </w:r>
        <w:r>
          <w:rPr>
            <w:noProof/>
            <w:webHidden/>
          </w:rPr>
          <w:fldChar w:fldCharType="begin"/>
        </w:r>
        <w:r>
          <w:rPr>
            <w:noProof/>
            <w:webHidden/>
          </w:rPr>
          <w:instrText xml:space="preserve"> PAGEREF _Toc7187697 \h </w:instrText>
        </w:r>
        <w:r>
          <w:rPr>
            <w:noProof/>
            <w:webHidden/>
          </w:rPr>
        </w:r>
        <w:r>
          <w:rPr>
            <w:noProof/>
            <w:webHidden/>
          </w:rPr>
          <w:fldChar w:fldCharType="separate"/>
        </w:r>
        <w:r>
          <w:rPr>
            <w:noProof/>
            <w:webHidden/>
          </w:rPr>
          <w:t>143</w:t>
        </w:r>
        <w:r>
          <w:rPr>
            <w:noProof/>
            <w:webHidden/>
          </w:rPr>
          <w:fldChar w:fldCharType="end"/>
        </w:r>
      </w:hyperlink>
    </w:p>
    <w:p w14:paraId="3BC65EA7" w14:textId="6BA02EF6" w:rsidR="00CB7456" w:rsidRDefault="00CB7456">
      <w:pPr>
        <w:pStyle w:val="TableofFigures"/>
        <w:tabs>
          <w:tab w:val="right" w:leader="dot" w:pos="8188"/>
        </w:tabs>
        <w:rPr>
          <w:noProof/>
          <w:lang w:eastAsia="en-GB"/>
        </w:rPr>
      </w:pPr>
      <w:hyperlink w:anchor="_Toc7187698" w:history="1">
        <w:r w:rsidRPr="00901D6A">
          <w:rPr>
            <w:rStyle w:val="Hyperlink"/>
            <w:noProof/>
          </w:rPr>
          <w:t>Table 7.2: The parameters used in the work for scenario 3), the building TES.</w:t>
        </w:r>
        <w:r>
          <w:rPr>
            <w:noProof/>
            <w:webHidden/>
          </w:rPr>
          <w:tab/>
        </w:r>
        <w:r>
          <w:rPr>
            <w:noProof/>
            <w:webHidden/>
          </w:rPr>
          <w:fldChar w:fldCharType="begin"/>
        </w:r>
        <w:r>
          <w:rPr>
            <w:noProof/>
            <w:webHidden/>
          </w:rPr>
          <w:instrText xml:space="preserve"> PAGEREF _Toc7187698 \h </w:instrText>
        </w:r>
        <w:r>
          <w:rPr>
            <w:noProof/>
            <w:webHidden/>
          </w:rPr>
        </w:r>
        <w:r>
          <w:rPr>
            <w:noProof/>
            <w:webHidden/>
          </w:rPr>
          <w:fldChar w:fldCharType="separate"/>
        </w:r>
        <w:r>
          <w:rPr>
            <w:noProof/>
            <w:webHidden/>
          </w:rPr>
          <w:t>143</w:t>
        </w:r>
        <w:r>
          <w:rPr>
            <w:noProof/>
            <w:webHidden/>
          </w:rPr>
          <w:fldChar w:fldCharType="end"/>
        </w:r>
      </w:hyperlink>
    </w:p>
    <w:p w14:paraId="442A10EC" w14:textId="0D407C0B" w:rsidR="00CB7456" w:rsidRDefault="00CB7456">
      <w:pPr>
        <w:pStyle w:val="TableofFigures"/>
        <w:tabs>
          <w:tab w:val="right" w:leader="dot" w:pos="8188"/>
        </w:tabs>
        <w:rPr>
          <w:noProof/>
          <w:lang w:eastAsia="en-GB"/>
        </w:rPr>
      </w:pPr>
      <w:hyperlink w:anchor="_Toc7187699" w:history="1">
        <w:r w:rsidRPr="00901D6A">
          <w:rPr>
            <w:rStyle w:val="Hyperlink"/>
            <w:noProof/>
          </w:rPr>
          <w:t>Table 7.3: The parameters used in the study for scenario 4), the network TES.</w:t>
        </w:r>
        <w:r>
          <w:rPr>
            <w:noProof/>
            <w:webHidden/>
          </w:rPr>
          <w:tab/>
        </w:r>
        <w:r>
          <w:rPr>
            <w:noProof/>
            <w:webHidden/>
          </w:rPr>
          <w:fldChar w:fldCharType="begin"/>
        </w:r>
        <w:r>
          <w:rPr>
            <w:noProof/>
            <w:webHidden/>
          </w:rPr>
          <w:instrText xml:space="preserve"> PAGEREF _Toc7187699 \h </w:instrText>
        </w:r>
        <w:r>
          <w:rPr>
            <w:noProof/>
            <w:webHidden/>
          </w:rPr>
        </w:r>
        <w:r>
          <w:rPr>
            <w:noProof/>
            <w:webHidden/>
          </w:rPr>
          <w:fldChar w:fldCharType="separate"/>
        </w:r>
        <w:r>
          <w:rPr>
            <w:noProof/>
            <w:webHidden/>
          </w:rPr>
          <w:t>143</w:t>
        </w:r>
        <w:r>
          <w:rPr>
            <w:noProof/>
            <w:webHidden/>
          </w:rPr>
          <w:fldChar w:fldCharType="end"/>
        </w:r>
      </w:hyperlink>
    </w:p>
    <w:p w14:paraId="1CD808ED" w14:textId="74B97CBC" w:rsidR="00CB7456" w:rsidRDefault="00CB7456">
      <w:pPr>
        <w:pStyle w:val="TableofFigures"/>
        <w:tabs>
          <w:tab w:val="right" w:leader="dot" w:pos="8188"/>
        </w:tabs>
        <w:rPr>
          <w:noProof/>
          <w:lang w:eastAsia="en-GB"/>
        </w:rPr>
      </w:pPr>
      <w:hyperlink w:anchor="_Toc7187700" w:history="1">
        <w:r w:rsidRPr="00901D6A">
          <w:rPr>
            <w:rStyle w:val="Hyperlink"/>
            <w:noProof/>
          </w:rPr>
          <w:t>Table 7.4: The average storage levels for each of the TES scenarios and the number times that each scenario reaches a range of levels of SOC.</w:t>
        </w:r>
        <w:r>
          <w:rPr>
            <w:noProof/>
            <w:webHidden/>
          </w:rPr>
          <w:tab/>
        </w:r>
        <w:r>
          <w:rPr>
            <w:noProof/>
            <w:webHidden/>
          </w:rPr>
          <w:fldChar w:fldCharType="begin"/>
        </w:r>
        <w:r>
          <w:rPr>
            <w:noProof/>
            <w:webHidden/>
          </w:rPr>
          <w:instrText xml:space="preserve"> PAGEREF _Toc7187700 \h </w:instrText>
        </w:r>
        <w:r>
          <w:rPr>
            <w:noProof/>
            <w:webHidden/>
          </w:rPr>
        </w:r>
        <w:r>
          <w:rPr>
            <w:noProof/>
            <w:webHidden/>
          </w:rPr>
          <w:fldChar w:fldCharType="separate"/>
        </w:r>
        <w:r>
          <w:rPr>
            <w:noProof/>
            <w:webHidden/>
          </w:rPr>
          <w:t>147</w:t>
        </w:r>
        <w:r>
          <w:rPr>
            <w:noProof/>
            <w:webHidden/>
          </w:rPr>
          <w:fldChar w:fldCharType="end"/>
        </w:r>
      </w:hyperlink>
    </w:p>
    <w:p w14:paraId="26DB21C0" w14:textId="52E04FAD" w:rsidR="00CB7456" w:rsidRDefault="00CB7456">
      <w:pPr>
        <w:pStyle w:val="TableofFigures"/>
        <w:tabs>
          <w:tab w:val="right" w:leader="dot" w:pos="8188"/>
        </w:tabs>
        <w:rPr>
          <w:noProof/>
          <w:lang w:eastAsia="en-GB"/>
        </w:rPr>
      </w:pPr>
      <w:hyperlink w:anchor="_Toc7187701" w:history="1">
        <w:r w:rsidRPr="00901D6A">
          <w:rPr>
            <w:rStyle w:val="Hyperlink"/>
            <w:noProof/>
          </w:rPr>
          <w:t>Table 7.5: Economic and environmental analysis of the TES scenarios.</w:t>
        </w:r>
        <w:r>
          <w:rPr>
            <w:noProof/>
            <w:webHidden/>
          </w:rPr>
          <w:tab/>
        </w:r>
        <w:r>
          <w:rPr>
            <w:noProof/>
            <w:webHidden/>
          </w:rPr>
          <w:fldChar w:fldCharType="begin"/>
        </w:r>
        <w:r>
          <w:rPr>
            <w:noProof/>
            <w:webHidden/>
          </w:rPr>
          <w:instrText xml:space="preserve"> PAGEREF _Toc7187701 \h </w:instrText>
        </w:r>
        <w:r>
          <w:rPr>
            <w:noProof/>
            <w:webHidden/>
          </w:rPr>
        </w:r>
        <w:r>
          <w:rPr>
            <w:noProof/>
            <w:webHidden/>
          </w:rPr>
          <w:fldChar w:fldCharType="separate"/>
        </w:r>
        <w:r>
          <w:rPr>
            <w:noProof/>
            <w:webHidden/>
          </w:rPr>
          <w:t>150</w:t>
        </w:r>
        <w:r>
          <w:rPr>
            <w:noProof/>
            <w:webHidden/>
          </w:rPr>
          <w:fldChar w:fldCharType="end"/>
        </w:r>
      </w:hyperlink>
    </w:p>
    <w:p w14:paraId="3FAA7853" w14:textId="5B212089" w:rsidR="00CB7456" w:rsidRDefault="00CB7456">
      <w:pPr>
        <w:pStyle w:val="TableofFigures"/>
        <w:tabs>
          <w:tab w:val="right" w:leader="dot" w:pos="8188"/>
        </w:tabs>
        <w:rPr>
          <w:noProof/>
          <w:lang w:eastAsia="en-GB"/>
        </w:rPr>
      </w:pPr>
      <w:hyperlink w:anchor="_Toc7187702" w:history="1">
        <w:r w:rsidRPr="00901D6A">
          <w:rPr>
            <w:rStyle w:val="Hyperlink"/>
            <w:noProof/>
          </w:rPr>
          <w:t>Table 7.6: Important parameters for the new DH optimisation calculations.</w:t>
        </w:r>
        <w:r>
          <w:rPr>
            <w:noProof/>
            <w:webHidden/>
          </w:rPr>
          <w:tab/>
        </w:r>
        <w:r>
          <w:rPr>
            <w:noProof/>
            <w:webHidden/>
          </w:rPr>
          <w:fldChar w:fldCharType="begin"/>
        </w:r>
        <w:r>
          <w:rPr>
            <w:noProof/>
            <w:webHidden/>
          </w:rPr>
          <w:instrText xml:space="preserve"> PAGEREF _Toc7187702 \h </w:instrText>
        </w:r>
        <w:r>
          <w:rPr>
            <w:noProof/>
            <w:webHidden/>
          </w:rPr>
        </w:r>
        <w:r>
          <w:rPr>
            <w:noProof/>
            <w:webHidden/>
          </w:rPr>
          <w:fldChar w:fldCharType="separate"/>
        </w:r>
        <w:r>
          <w:rPr>
            <w:noProof/>
            <w:webHidden/>
          </w:rPr>
          <w:t>153</w:t>
        </w:r>
        <w:r>
          <w:rPr>
            <w:noProof/>
            <w:webHidden/>
          </w:rPr>
          <w:fldChar w:fldCharType="end"/>
        </w:r>
      </w:hyperlink>
    </w:p>
    <w:p w14:paraId="09D6DD20" w14:textId="7B10DA70" w:rsidR="00CB7456" w:rsidRDefault="00CB7456">
      <w:pPr>
        <w:pStyle w:val="TableofFigures"/>
        <w:tabs>
          <w:tab w:val="right" w:leader="dot" w:pos="8188"/>
        </w:tabs>
        <w:rPr>
          <w:noProof/>
          <w:lang w:eastAsia="en-GB"/>
        </w:rPr>
      </w:pPr>
      <w:hyperlink w:anchor="_Toc7187703" w:history="1">
        <w:r w:rsidRPr="00901D6A">
          <w:rPr>
            <w:rStyle w:val="Hyperlink"/>
            <w:noProof/>
          </w:rPr>
          <w:t>Table 7.7: Economic and environmental analysis of the TES scenarios with an increase of the original heat supply by a factor of 1.25 and a ratio of peak supply maxima to demand maxima of 1:2.18.</w:t>
        </w:r>
        <w:r>
          <w:rPr>
            <w:noProof/>
            <w:webHidden/>
          </w:rPr>
          <w:tab/>
        </w:r>
        <w:r>
          <w:rPr>
            <w:noProof/>
            <w:webHidden/>
          </w:rPr>
          <w:fldChar w:fldCharType="begin"/>
        </w:r>
        <w:r>
          <w:rPr>
            <w:noProof/>
            <w:webHidden/>
          </w:rPr>
          <w:instrText xml:space="preserve"> PAGEREF _Toc7187703 \h </w:instrText>
        </w:r>
        <w:r>
          <w:rPr>
            <w:noProof/>
            <w:webHidden/>
          </w:rPr>
        </w:r>
        <w:r>
          <w:rPr>
            <w:noProof/>
            <w:webHidden/>
          </w:rPr>
          <w:fldChar w:fldCharType="separate"/>
        </w:r>
        <w:r>
          <w:rPr>
            <w:noProof/>
            <w:webHidden/>
          </w:rPr>
          <w:t>153</w:t>
        </w:r>
        <w:r>
          <w:rPr>
            <w:noProof/>
            <w:webHidden/>
          </w:rPr>
          <w:fldChar w:fldCharType="end"/>
        </w:r>
      </w:hyperlink>
    </w:p>
    <w:p w14:paraId="12EDC75B" w14:textId="5C22EF9C" w:rsidR="00CB7456" w:rsidRDefault="00CB7456">
      <w:pPr>
        <w:pStyle w:val="TableofFigures"/>
        <w:tabs>
          <w:tab w:val="right" w:leader="dot" w:pos="8188"/>
        </w:tabs>
        <w:rPr>
          <w:noProof/>
          <w:lang w:eastAsia="en-GB"/>
        </w:rPr>
      </w:pPr>
      <w:hyperlink w:anchor="_Toc7187704" w:history="1">
        <w:r w:rsidRPr="00901D6A">
          <w:rPr>
            <w:rStyle w:val="Hyperlink"/>
            <w:noProof/>
          </w:rPr>
          <w:t>Table 7.8: Economic and environmental analysis of the TES scenarios with an increase of the original heat supply by a factor of 1.5 and a ratio of peak supply maxima to demand maxima of 1:1.82.</w:t>
        </w:r>
        <w:r>
          <w:rPr>
            <w:noProof/>
            <w:webHidden/>
          </w:rPr>
          <w:tab/>
        </w:r>
        <w:r>
          <w:rPr>
            <w:noProof/>
            <w:webHidden/>
          </w:rPr>
          <w:fldChar w:fldCharType="begin"/>
        </w:r>
        <w:r>
          <w:rPr>
            <w:noProof/>
            <w:webHidden/>
          </w:rPr>
          <w:instrText xml:space="preserve"> PAGEREF _Toc7187704 \h </w:instrText>
        </w:r>
        <w:r>
          <w:rPr>
            <w:noProof/>
            <w:webHidden/>
          </w:rPr>
        </w:r>
        <w:r>
          <w:rPr>
            <w:noProof/>
            <w:webHidden/>
          </w:rPr>
          <w:fldChar w:fldCharType="separate"/>
        </w:r>
        <w:r>
          <w:rPr>
            <w:noProof/>
            <w:webHidden/>
          </w:rPr>
          <w:t>154</w:t>
        </w:r>
        <w:r>
          <w:rPr>
            <w:noProof/>
            <w:webHidden/>
          </w:rPr>
          <w:fldChar w:fldCharType="end"/>
        </w:r>
      </w:hyperlink>
    </w:p>
    <w:p w14:paraId="4705A069" w14:textId="2712E004" w:rsidR="00CB7456" w:rsidRDefault="00CB7456">
      <w:pPr>
        <w:pStyle w:val="TableofFigures"/>
        <w:tabs>
          <w:tab w:val="right" w:leader="dot" w:pos="8188"/>
        </w:tabs>
        <w:rPr>
          <w:noProof/>
          <w:lang w:eastAsia="en-GB"/>
        </w:rPr>
      </w:pPr>
      <w:hyperlink w:anchor="_Toc7187705" w:history="1">
        <w:r w:rsidRPr="00901D6A">
          <w:rPr>
            <w:rStyle w:val="Hyperlink"/>
            <w:noProof/>
          </w:rPr>
          <w:t>Table 7.9: Economic and environmental analysis of the TES scenarios with an increase of the original heat supply by a factor of 1.75 and a ratio of peak supply maxima to demand maxima of 1:1.56.</w:t>
        </w:r>
        <w:r>
          <w:rPr>
            <w:noProof/>
            <w:webHidden/>
          </w:rPr>
          <w:tab/>
        </w:r>
        <w:r>
          <w:rPr>
            <w:noProof/>
            <w:webHidden/>
          </w:rPr>
          <w:fldChar w:fldCharType="begin"/>
        </w:r>
        <w:r>
          <w:rPr>
            <w:noProof/>
            <w:webHidden/>
          </w:rPr>
          <w:instrText xml:space="preserve"> PAGEREF _Toc7187705 \h </w:instrText>
        </w:r>
        <w:r>
          <w:rPr>
            <w:noProof/>
            <w:webHidden/>
          </w:rPr>
        </w:r>
        <w:r>
          <w:rPr>
            <w:noProof/>
            <w:webHidden/>
          </w:rPr>
          <w:fldChar w:fldCharType="separate"/>
        </w:r>
        <w:r>
          <w:rPr>
            <w:noProof/>
            <w:webHidden/>
          </w:rPr>
          <w:t>154</w:t>
        </w:r>
        <w:r>
          <w:rPr>
            <w:noProof/>
            <w:webHidden/>
          </w:rPr>
          <w:fldChar w:fldCharType="end"/>
        </w:r>
      </w:hyperlink>
    </w:p>
    <w:p w14:paraId="3DE7B862" w14:textId="7727F6F3" w:rsidR="00CB7456" w:rsidRDefault="00CB7456">
      <w:pPr>
        <w:pStyle w:val="TableofFigures"/>
        <w:tabs>
          <w:tab w:val="right" w:leader="dot" w:pos="8188"/>
        </w:tabs>
        <w:rPr>
          <w:noProof/>
          <w:lang w:eastAsia="en-GB"/>
        </w:rPr>
      </w:pPr>
      <w:hyperlink w:anchor="_Toc7187706" w:history="1">
        <w:r w:rsidRPr="00901D6A">
          <w:rPr>
            <w:rStyle w:val="Hyperlink"/>
            <w:noProof/>
          </w:rPr>
          <w:t>Table 7.10: Economic and environmental analysis of the TES scenarios with an increase of the original heat supply by a factor of 2 and a ratio of peak supply maxima to demand maxima of 1:1.37.</w:t>
        </w:r>
        <w:r>
          <w:rPr>
            <w:noProof/>
            <w:webHidden/>
          </w:rPr>
          <w:tab/>
        </w:r>
        <w:r>
          <w:rPr>
            <w:noProof/>
            <w:webHidden/>
          </w:rPr>
          <w:fldChar w:fldCharType="begin"/>
        </w:r>
        <w:r>
          <w:rPr>
            <w:noProof/>
            <w:webHidden/>
          </w:rPr>
          <w:instrText xml:space="preserve"> PAGEREF _Toc7187706 \h </w:instrText>
        </w:r>
        <w:r>
          <w:rPr>
            <w:noProof/>
            <w:webHidden/>
          </w:rPr>
        </w:r>
        <w:r>
          <w:rPr>
            <w:noProof/>
            <w:webHidden/>
          </w:rPr>
          <w:fldChar w:fldCharType="separate"/>
        </w:r>
        <w:r>
          <w:rPr>
            <w:noProof/>
            <w:webHidden/>
          </w:rPr>
          <w:t>155</w:t>
        </w:r>
        <w:r>
          <w:rPr>
            <w:noProof/>
            <w:webHidden/>
          </w:rPr>
          <w:fldChar w:fldCharType="end"/>
        </w:r>
      </w:hyperlink>
    </w:p>
    <w:p w14:paraId="7D995214" w14:textId="513A3DCE" w:rsidR="00CB7456" w:rsidRDefault="00CB7456">
      <w:pPr>
        <w:pStyle w:val="TableofFigures"/>
        <w:tabs>
          <w:tab w:val="right" w:leader="dot" w:pos="8188"/>
        </w:tabs>
        <w:rPr>
          <w:noProof/>
          <w:lang w:eastAsia="en-GB"/>
        </w:rPr>
      </w:pPr>
      <w:hyperlink w:anchor="_Toc7187707" w:history="1">
        <w:r w:rsidRPr="00901D6A">
          <w:rPr>
            <w:rStyle w:val="Hyperlink"/>
            <w:noProof/>
          </w:rPr>
          <w:t>Table 7.11: Economic and environmental analysis of the TES scenarios with an increase of the original heat supply by a factor of 3 and a ratio of peak supply maxima to demand maxima of 1:0.91.</w:t>
        </w:r>
        <w:r>
          <w:rPr>
            <w:noProof/>
            <w:webHidden/>
          </w:rPr>
          <w:tab/>
        </w:r>
        <w:r>
          <w:rPr>
            <w:noProof/>
            <w:webHidden/>
          </w:rPr>
          <w:fldChar w:fldCharType="begin"/>
        </w:r>
        <w:r>
          <w:rPr>
            <w:noProof/>
            <w:webHidden/>
          </w:rPr>
          <w:instrText xml:space="preserve"> PAGEREF _Toc7187707 \h </w:instrText>
        </w:r>
        <w:r>
          <w:rPr>
            <w:noProof/>
            <w:webHidden/>
          </w:rPr>
        </w:r>
        <w:r>
          <w:rPr>
            <w:noProof/>
            <w:webHidden/>
          </w:rPr>
          <w:fldChar w:fldCharType="separate"/>
        </w:r>
        <w:r>
          <w:rPr>
            <w:noProof/>
            <w:webHidden/>
          </w:rPr>
          <w:t>155</w:t>
        </w:r>
        <w:r>
          <w:rPr>
            <w:noProof/>
            <w:webHidden/>
          </w:rPr>
          <w:fldChar w:fldCharType="end"/>
        </w:r>
      </w:hyperlink>
    </w:p>
    <w:p w14:paraId="7DEEB83B" w14:textId="75388D24" w:rsidR="00CB7456" w:rsidRDefault="00CB7456">
      <w:pPr>
        <w:pStyle w:val="TableofFigures"/>
        <w:tabs>
          <w:tab w:val="right" w:leader="dot" w:pos="8188"/>
        </w:tabs>
        <w:rPr>
          <w:noProof/>
          <w:lang w:eastAsia="en-GB"/>
        </w:rPr>
      </w:pPr>
      <w:hyperlink w:anchor="_Toc7187708" w:history="1">
        <w:r w:rsidRPr="00901D6A">
          <w:rPr>
            <w:rStyle w:val="Hyperlink"/>
            <w:noProof/>
          </w:rPr>
          <w:t>Table 8.1: Annual boiler maintenance costs (Parsons Brinckerhoff, 2011).</w:t>
        </w:r>
        <w:r>
          <w:rPr>
            <w:noProof/>
            <w:webHidden/>
          </w:rPr>
          <w:tab/>
        </w:r>
        <w:r>
          <w:rPr>
            <w:noProof/>
            <w:webHidden/>
          </w:rPr>
          <w:fldChar w:fldCharType="begin"/>
        </w:r>
        <w:r>
          <w:rPr>
            <w:noProof/>
            <w:webHidden/>
          </w:rPr>
          <w:instrText xml:space="preserve"> PAGEREF _Toc7187708 \h </w:instrText>
        </w:r>
        <w:r>
          <w:rPr>
            <w:noProof/>
            <w:webHidden/>
          </w:rPr>
        </w:r>
        <w:r>
          <w:rPr>
            <w:noProof/>
            <w:webHidden/>
          </w:rPr>
          <w:fldChar w:fldCharType="separate"/>
        </w:r>
        <w:r>
          <w:rPr>
            <w:noProof/>
            <w:webHidden/>
          </w:rPr>
          <w:t>161</w:t>
        </w:r>
        <w:r>
          <w:rPr>
            <w:noProof/>
            <w:webHidden/>
          </w:rPr>
          <w:fldChar w:fldCharType="end"/>
        </w:r>
      </w:hyperlink>
    </w:p>
    <w:p w14:paraId="4A1EB016" w14:textId="295CC30D" w:rsidR="00CB7456" w:rsidRDefault="00CB7456">
      <w:pPr>
        <w:pStyle w:val="TableofFigures"/>
        <w:tabs>
          <w:tab w:val="right" w:leader="dot" w:pos="8188"/>
        </w:tabs>
        <w:rPr>
          <w:noProof/>
          <w:lang w:eastAsia="en-GB"/>
        </w:rPr>
      </w:pPr>
      <w:hyperlink w:anchor="_Toc7187709" w:history="1">
        <w:r w:rsidRPr="00901D6A">
          <w:rPr>
            <w:rStyle w:val="Hyperlink"/>
            <w:noProof/>
          </w:rPr>
          <w:t>Table 8.2: Cost of the pipe network (Raine, 2016).</w:t>
        </w:r>
        <w:r>
          <w:rPr>
            <w:noProof/>
            <w:webHidden/>
          </w:rPr>
          <w:tab/>
        </w:r>
        <w:r>
          <w:rPr>
            <w:noProof/>
            <w:webHidden/>
          </w:rPr>
          <w:fldChar w:fldCharType="begin"/>
        </w:r>
        <w:r>
          <w:rPr>
            <w:noProof/>
            <w:webHidden/>
          </w:rPr>
          <w:instrText xml:space="preserve"> PAGEREF _Toc7187709 \h </w:instrText>
        </w:r>
        <w:r>
          <w:rPr>
            <w:noProof/>
            <w:webHidden/>
          </w:rPr>
        </w:r>
        <w:r>
          <w:rPr>
            <w:noProof/>
            <w:webHidden/>
          </w:rPr>
          <w:fldChar w:fldCharType="separate"/>
        </w:r>
        <w:r>
          <w:rPr>
            <w:noProof/>
            <w:webHidden/>
          </w:rPr>
          <w:t>161</w:t>
        </w:r>
        <w:r>
          <w:rPr>
            <w:noProof/>
            <w:webHidden/>
          </w:rPr>
          <w:fldChar w:fldCharType="end"/>
        </w:r>
      </w:hyperlink>
    </w:p>
    <w:p w14:paraId="16561130" w14:textId="07CB17C9" w:rsidR="00CB7456" w:rsidRDefault="00CB7456">
      <w:pPr>
        <w:pStyle w:val="TableofFigures"/>
        <w:tabs>
          <w:tab w:val="right" w:leader="dot" w:pos="8188"/>
        </w:tabs>
        <w:rPr>
          <w:noProof/>
          <w:lang w:eastAsia="en-GB"/>
        </w:rPr>
      </w:pPr>
      <w:hyperlink w:anchor="_Toc7187710" w:history="1">
        <w:r w:rsidRPr="00901D6A">
          <w:rPr>
            <w:rStyle w:val="Hyperlink"/>
            <w:noProof/>
          </w:rPr>
          <w:t xml:space="preserve">Table 8.3: Emissions associated with the construction and installation of DH pipes (Fröling </w:t>
        </w:r>
        <w:r w:rsidRPr="00901D6A">
          <w:rPr>
            <w:rStyle w:val="Hyperlink"/>
            <w:i/>
            <w:noProof/>
          </w:rPr>
          <w:t>et al.</w:t>
        </w:r>
        <w:r w:rsidRPr="00901D6A">
          <w:rPr>
            <w:rStyle w:val="Hyperlink"/>
            <w:noProof/>
          </w:rPr>
          <w:t>, 2004; Fröling and Svanström, 2005).</w:t>
        </w:r>
        <w:r>
          <w:rPr>
            <w:noProof/>
            <w:webHidden/>
          </w:rPr>
          <w:tab/>
        </w:r>
        <w:r>
          <w:rPr>
            <w:noProof/>
            <w:webHidden/>
          </w:rPr>
          <w:fldChar w:fldCharType="begin"/>
        </w:r>
        <w:r>
          <w:rPr>
            <w:noProof/>
            <w:webHidden/>
          </w:rPr>
          <w:instrText xml:space="preserve"> PAGEREF _Toc7187710 \h </w:instrText>
        </w:r>
        <w:r>
          <w:rPr>
            <w:noProof/>
            <w:webHidden/>
          </w:rPr>
        </w:r>
        <w:r>
          <w:rPr>
            <w:noProof/>
            <w:webHidden/>
          </w:rPr>
          <w:fldChar w:fldCharType="separate"/>
        </w:r>
        <w:r>
          <w:rPr>
            <w:noProof/>
            <w:webHidden/>
          </w:rPr>
          <w:t>162</w:t>
        </w:r>
        <w:r>
          <w:rPr>
            <w:noProof/>
            <w:webHidden/>
          </w:rPr>
          <w:fldChar w:fldCharType="end"/>
        </w:r>
      </w:hyperlink>
    </w:p>
    <w:p w14:paraId="7EDE2611" w14:textId="7F25232E" w:rsidR="00CB7456" w:rsidRDefault="00CB7456">
      <w:pPr>
        <w:pStyle w:val="TableofFigures"/>
        <w:tabs>
          <w:tab w:val="right" w:leader="dot" w:pos="8188"/>
        </w:tabs>
        <w:rPr>
          <w:noProof/>
          <w:lang w:eastAsia="en-GB"/>
        </w:rPr>
      </w:pPr>
      <w:hyperlink w:anchor="_Toc7187711" w:history="1">
        <w:r w:rsidRPr="00901D6A">
          <w:rPr>
            <w:rStyle w:val="Hyperlink"/>
            <w:noProof/>
          </w:rPr>
          <w:t>Table 8.4: CAPEX, OPEX, maintenance costs, and revenues of the DHN.</w:t>
        </w:r>
        <w:r>
          <w:rPr>
            <w:noProof/>
            <w:webHidden/>
          </w:rPr>
          <w:tab/>
        </w:r>
        <w:r>
          <w:rPr>
            <w:noProof/>
            <w:webHidden/>
          </w:rPr>
          <w:fldChar w:fldCharType="begin"/>
        </w:r>
        <w:r>
          <w:rPr>
            <w:noProof/>
            <w:webHidden/>
          </w:rPr>
          <w:instrText xml:space="preserve"> PAGEREF _Toc7187711 \h </w:instrText>
        </w:r>
        <w:r>
          <w:rPr>
            <w:noProof/>
            <w:webHidden/>
          </w:rPr>
        </w:r>
        <w:r>
          <w:rPr>
            <w:noProof/>
            <w:webHidden/>
          </w:rPr>
          <w:fldChar w:fldCharType="separate"/>
        </w:r>
        <w:r>
          <w:rPr>
            <w:noProof/>
            <w:webHidden/>
          </w:rPr>
          <w:t>163</w:t>
        </w:r>
        <w:r>
          <w:rPr>
            <w:noProof/>
            <w:webHidden/>
          </w:rPr>
          <w:fldChar w:fldCharType="end"/>
        </w:r>
      </w:hyperlink>
    </w:p>
    <w:p w14:paraId="2B674CE5" w14:textId="780A3B3D" w:rsidR="00CB7456" w:rsidRDefault="00CB7456">
      <w:pPr>
        <w:pStyle w:val="TableofFigures"/>
        <w:tabs>
          <w:tab w:val="right" w:leader="dot" w:pos="8188"/>
        </w:tabs>
        <w:rPr>
          <w:noProof/>
          <w:lang w:eastAsia="en-GB"/>
        </w:rPr>
      </w:pPr>
      <w:hyperlink w:anchor="_Toc7187712" w:history="1">
        <w:r w:rsidRPr="00901D6A">
          <w:rPr>
            <w:rStyle w:val="Hyperlink"/>
            <w:noProof/>
          </w:rPr>
          <w:t>Table 8.5: Parameters used in the techno-economic assessment.</w:t>
        </w:r>
        <w:r>
          <w:rPr>
            <w:noProof/>
            <w:webHidden/>
          </w:rPr>
          <w:tab/>
        </w:r>
        <w:r>
          <w:rPr>
            <w:noProof/>
            <w:webHidden/>
          </w:rPr>
          <w:fldChar w:fldCharType="begin"/>
        </w:r>
        <w:r>
          <w:rPr>
            <w:noProof/>
            <w:webHidden/>
          </w:rPr>
          <w:instrText xml:space="preserve"> PAGEREF _Toc7187712 \h </w:instrText>
        </w:r>
        <w:r>
          <w:rPr>
            <w:noProof/>
            <w:webHidden/>
          </w:rPr>
        </w:r>
        <w:r>
          <w:rPr>
            <w:noProof/>
            <w:webHidden/>
          </w:rPr>
          <w:fldChar w:fldCharType="separate"/>
        </w:r>
        <w:r>
          <w:rPr>
            <w:noProof/>
            <w:webHidden/>
          </w:rPr>
          <w:t>163</w:t>
        </w:r>
        <w:r>
          <w:rPr>
            <w:noProof/>
            <w:webHidden/>
          </w:rPr>
          <w:fldChar w:fldCharType="end"/>
        </w:r>
      </w:hyperlink>
    </w:p>
    <w:p w14:paraId="34FDA444" w14:textId="2C9A1707" w:rsidR="00CB7456" w:rsidRDefault="00CB7456">
      <w:pPr>
        <w:pStyle w:val="TableofFigures"/>
        <w:tabs>
          <w:tab w:val="right" w:leader="dot" w:pos="8188"/>
        </w:tabs>
        <w:rPr>
          <w:noProof/>
          <w:lang w:eastAsia="en-GB"/>
        </w:rPr>
      </w:pPr>
      <w:hyperlink w:anchor="_Toc7187713" w:history="1">
        <w:r w:rsidRPr="00901D6A">
          <w:rPr>
            <w:rStyle w:val="Hyperlink"/>
            <w:noProof/>
          </w:rPr>
          <w:t>Table 8.6: Results of the techno-economic assessment.</w:t>
        </w:r>
        <w:r>
          <w:rPr>
            <w:noProof/>
            <w:webHidden/>
          </w:rPr>
          <w:tab/>
        </w:r>
        <w:r>
          <w:rPr>
            <w:noProof/>
            <w:webHidden/>
          </w:rPr>
          <w:fldChar w:fldCharType="begin"/>
        </w:r>
        <w:r>
          <w:rPr>
            <w:noProof/>
            <w:webHidden/>
          </w:rPr>
          <w:instrText xml:space="preserve"> PAGEREF _Toc7187713 \h </w:instrText>
        </w:r>
        <w:r>
          <w:rPr>
            <w:noProof/>
            <w:webHidden/>
          </w:rPr>
        </w:r>
        <w:r>
          <w:rPr>
            <w:noProof/>
            <w:webHidden/>
          </w:rPr>
          <w:fldChar w:fldCharType="separate"/>
        </w:r>
        <w:r>
          <w:rPr>
            <w:noProof/>
            <w:webHidden/>
          </w:rPr>
          <w:t>164</w:t>
        </w:r>
        <w:r>
          <w:rPr>
            <w:noProof/>
            <w:webHidden/>
          </w:rPr>
          <w:fldChar w:fldCharType="end"/>
        </w:r>
      </w:hyperlink>
    </w:p>
    <w:p w14:paraId="01938B97" w14:textId="271F87C0" w:rsidR="00CB7456" w:rsidRDefault="00CB7456">
      <w:pPr>
        <w:pStyle w:val="TableofFigures"/>
        <w:tabs>
          <w:tab w:val="right" w:leader="dot" w:pos="8188"/>
        </w:tabs>
        <w:rPr>
          <w:noProof/>
          <w:lang w:eastAsia="en-GB"/>
        </w:rPr>
      </w:pPr>
      <w:hyperlink w:anchor="_Toc7187714" w:history="1">
        <w:r w:rsidRPr="00901D6A">
          <w:rPr>
            <w:rStyle w:val="Hyperlink"/>
            <w:noProof/>
          </w:rPr>
          <w:t>Table 8.7: Summary of the results of the techno-economic assessment.</w:t>
        </w:r>
        <w:r>
          <w:rPr>
            <w:noProof/>
            <w:webHidden/>
          </w:rPr>
          <w:tab/>
        </w:r>
        <w:r>
          <w:rPr>
            <w:noProof/>
            <w:webHidden/>
          </w:rPr>
          <w:fldChar w:fldCharType="begin"/>
        </w:r>
        <w:r>
          <w:rPr>
            <w:noProof/>
            <w:webHidden/>
          </w:rPr>
          <w:instrText xml:space="preserve"> PAGEREF _Toc7187714 \h </w:instrText>
        </w:r>
        <w:r>
          <w:rPr>
            <w:noProof/>
            <w:webHidden/>
          </w:rPr>
        </w:r>
        <w:r>
          <w:rPr>
            <w:noProof/>
            <w:webHidden/>
          </w:rPr>
          <w:fldChar w:fldCharType="separate"/>
        </w:r>
        <w:r>
          <w:rPr>
            <w:noProof/>
            <w:webHidden/>
          </w:rPr>
          <w:t>165</w:t>
        </w:r>
        <w:r>
          <w:rPr>
            <w:noProof/>
            <w:webHidden/>
          </w:rPr>
          <w:fldChar w:fldCharType="end"/>
        </w:r>
      </w:hyperlink>
    </w:p>
    <w:p w14:paraId="145ECCE4" w14:textId="517516DF" w:rsidR="00CB7456" w:rsidRDefault="00CB7456">
      <w:pPr>
        <w:pStyle w:val="TableofFigures"/>
        <w:tabs>
          <w:tab w:val="right" w:leader="dot" w:pos="8188"/>
        </w:tabs>
        <w:rPr>
          <w:noProof/>
          <w:lang w:eastAsia="en-GB"/>
        </w:rPr>
      </w:pPr>
      <w:hyperlink w:anchor="_Toc7187715" w:history="1">
        <w:r w:rsidRPr="00901D6A">
          <w:rPr>
            <w:rStyle w:val="Hyperlink"/>
            <w:noProof/>
          </w:rPr>
          <w:t>Table 8.8: Yearly and initial CO</w:t>
        </w:r>
        <w:r w:rsidRPr="00901D6A">
          <w:rPr>
            <w:rStyle w:val="Hyperlink"/>
            <w:noProof/>
            <w:vertAlign w:val="subscript"/>
          </w:rPr>
          <w:t>2</w:t>
        </w:r>
        <w:r w:rsidRPr="00901D6A">
          <w:rPr>
            <w:rStyle w:val="Hyperlink"/>
            <w:noProof/>
          </w:rPr>
          <w:t>e emissions and savings for each component of the DHN.</w:t>
        </w:r>
        <w:r>
          <w:rPr>
            <w:noProof/>
            <w:webHidden/>
          </w:rPr>
          <w:tab/>
        </w:r>
        <w:r>
          <w:rPr>
            <w:noProof/>
            <w:webHidden/>
          </w:rPr>
          <w:fldChar w:fldCharType="begin"/>
        </w:r>
        <w:r>
          <w:rPr>
            <w:noProof/>
            <w:webHidden/>
          </w:rPr>
          <w:instrText xml:space="preserve"> PAGEREF _Toc7187715 \h </w:instrText>
        </w:r>
        <w:r>
          <w:rPr>
            <w:noProof/>
            <w:webHidden/>
          </w:rPr>
        </w:r>
        <w:r>
          <w:rPr>
            <w:noProof/>
            <w:webHidden/>
          </w:rPr>
          <w:fldChar w:fldCharType="separate"/>
        </w:r>
        <w:r>
          <w:rPr>
            <w:noProof/>
            <w:webHidden/>
          </w:rPr>
          <w:t>165</w:t>
        </w:r>
        <w:r>
          <w:rPr>
            <w:noProof/>
            <w:webHidden/>
          </w:rPr>
          <w:fldChar w:fldCharType="end"/>
        </w:r>
      </w:hyperlink>
    </w:p>
    <w:p w14:paraId="13E700AD" w14:textId="0CE73FEE" w:rsidR="00CB7456" w:rsidRDefault="00CB7456">
      <w:pPr>
        <w:pStyle w:val="TableofFigures"/>
        <w:tabs>
          <w:tab w:val="right" w:leader="dot" w:pos="8188"/>
        </w:tabs>
        <w:rPr>
          <w:noProof/>
          <w:lang w:eastAsia="en-GB"/>
        </w:rPr>
      </w:pPr>
      <w:hyperlink w:anchor="_Toc7187716" w:history="1">
        <w:r w:rsidRPr="00901D6A">
          <w:rPr>
            <w:rStyle w:val="Hyperlink"/>
            <w:noProof/>
          </w:rPr>
          <w:t>Table 8.9: Results of the environmental assessment.</w:t>
        </w:r>
        <w:r>
          <w:rPr>
            <w:noProof/>
            <w:webHidden/>
          </w:rPr>
          <w:tab/>
        </w:r>
        <w:r>
          <w:rPr>
            <w:noProof/>
            <w:webHidden/>
          </w:rPr>
          <w:fldChar w:fldCharType="begin"/>
        </w:r>
        <w:r>
          <w:rPr>
            <w:noProof/>
            <w:webHidden/>
          </w:rPr>
          <w:instrText xml:space="preserve"> PAGEREF _Toc7187716 \h </w:instrText>
        </w:r>
        <w:r>
          <w:rPr>
            <w:noProof/>
            <w:webHidden/>
          </w:rPr>
        </w:r>
        <w:r>
          <w:rPr>
            <w:noProof/>
            <w:webHidden/>
          </w:rPr>
          <w:fldChar w:fldCharType="separate"/>
        </w:r>
        <w:r>
          <w:rPr>
            <w:noProof/>
            <w:webHidden/>
          </w:rPr>
          <w:t>165</w:t>
        </w:r>
        <w:r>
          <w:rPr>
            <w:noProof/>
            <w:webHidden/>
          </w:rPr>
          <w:fldChar w:fldCharType="end"/>
        </w:r>
      </w:hyperlink>
    </w:p>
    <w:p w14:paraId="2011B485" w14:textId="7384D78E" w:rsidR="00CB7456" w:rsidRDefault="00CB7456">
      <w:pPr>
        <w:pStyle w:val="TableofFigures"/>
        <w:tabs>
          <w:tab w:val="right" w:leader="dot" w:pos="8188"/>
        </w:tabs>
        <w:rPr>
          <w:noProof/>
          <w:lang w:eastAsia="en-GB"/>
        </w:rPr>
      </w:pPr>
      <w:hyperlink w:anchor="_Toc7187717" w:history="1">
        <w:r w:rsidRPr="00901D6A">
          <w:rPr>
            <w:rStyle w:val="Hyperlink"/>
            <w:noProof/>
          </w:rPr>
          <w:t>Table 9.1: HD variation in each of the heating season.</w:t>
        </w:r>
        <w:r>
          <w:rPr>
            <w:noProof/>
            <w:webHidden/>
          </w:rPr>
          <w:tab/>
        </w:r>
        <w:r>
          <w:rPr>
            <w:noProof/>
            <w:webHidden/>
          </w:rPr>
          <w:fldChar w:fldCharType="begin"/>
        </w:r>
        <w:r>
          <w:rPr>
            <w:noProof/>
            <w:webHidden/>
          </w:rPr>
          <w:instrText xml:space="preserve"> PAGEREF _Toc7187717 \h </w:instrText>
        </w:r>
        <w:r>
          <w:rPr>
            <w:noProof/>
            <w:webHidden/>
          </w:rPr>
        </w:r>
        <w:r>
          <w:rPr>
            <w:noProof/>
            <w:webHidden/>
          </w:rPr>
          <w:fldChar w:fldCharType="separate"/>
        </w:r>
        <w:r>
          <w:rPr>
            <w:noProof/>
            <w:webHidden/>
          </w:rPr>
          <w:t>177</w:t>
        </w:r>
        <w:r>
          <w:rPr>
            <w:noProof/>
            <w:webHidden/>
          </w:rPr>
          <w:fldChar w:fldCharType="end"/>
        </w:r>
      </w:hyperlink>
    </w:p>
    <w:p w14:paraId="62470EF8" w14:textId="5D68B433" w:rsidR="00CB7456" w:rsidRDefault="00CB7456">
      <w:pPr>
        <w:pStyle w:val="TableofFigures"/>
        <w:tabs>
          <w:tab w:val="right" w:leader="dot" w:pos="8188"/>
        </w:tabs>
        <w:rPr>
          <w:noProof/>
          <w:lang w:eastAsia="en-GB"/>
        </w:rPr>
      </w:pPr>
      <w:hyperlink w:anchor="_Toc7187718" w:history="1">
        <w:r w:rsidRPr="00901D6A">
          <w:rPr>
            <w:rStyle w:val="Hyperlink"/>
            <w:noProof/>
          </w:rPr>
          <w:t>Table 13.1: Large heat users in Matlock.</w:t>
        </w:r>
        <w:r>
          <w:rPr>
            <w:noProof/>
            <w:webHidden/>
          </w:rPr>
          <w:tab/>
        </w:r>
        <w:r>
          <w:rPr>
            <w:noProof/>
            <w:webHidden/>
          </w:rPr>
          <w:fldChar w:fldCharType="begin"/>
        </w:r>
        <w:r>
          <w:rPr>
            <w:noProof/>
            <w:webHidden/>
          </w:rPr>
          <w:instrText xml:space="preserve"> PAGEREF _Toc7187718 \h </w:instrText>
        </w:r>
        <w:r>
          <w:rPr>
            <w:noProof/>
            <w:webHidden/>
          </w:rPr>
        </w:r>
        <w:r>
          <w:rPr>
            <w:noProof/>
            <w:webHidden/>
          </w:rPr>
          <w:fldChar w:fldCharType="separate"/>
        </w:r>
        <w:r>
          <w:rPr>
            <w:noProof/>
            <w:webHidden/>
          </w:rPr>
          <w:t>205</w:t>
        </w:r>
        <w:r>
          <w:rPr>
            <w:noProof/>
            <w:webHidden/>
          </w:rPr>
          <w:fldChar w:fldCharType="end"/>
        </w:r>
      </w:hyperlink>
    </w:p>
    <w:p w14:paraId="5B162E93" w14:textId="72A7288C" w:rsidR="00CB7456" w:rsidRDefault="00CB7456">
      <w:pPr>
        <w:pStyle w:val="TableofFigures"/>
        <w:tabs>
          <w:tab w:val="right" w:leader="dot" w:pos="8188"/>
        </w:tabs>
        <w:rPr>
          <w:noProof/>
          <w:lang w:eastAsia="en-GB"/>
        </w:rPr>
      </w:pPr>
      <w:hyperlink w:anchor="_Toc7187719" w:history="1">
        <w:r w:rsidRPr="00901D6A">
          <w:rPr>
            <w:rStyle w:val="Hyperlink"/>
            <w:noProof/>
          </w:rPr>
          <w:t>Table 13.2: Large heat users in Rowsley.</w:t>
        </w:r>
        <w:r>
          <w:rPr>
            <w:noProof/>
            <w:webHidden/>
          </w:rPr>
          <w:tab/>
        </w:r>
        <w:r>
          <w:rPr>
            <w:noProof/>
            <w:webHidden/>
          </w:rPr>
          <w:fldChar w:fldCharType="begin"/>
        </w:r>
        <w:r>
          <w:rPr>
            <w:noProof/>
            <w:webHidden/>
          </w:rPr>
          <w:instrText xml:space="preserve"> PAGEREF _Toc7187719 \h </w:instrText>
        </w:r>
        <w:r>
          <w:rPr>
            <w:noProof/>
            <w:webHidden/>
          </w:rPr>
        </w:r>
        <w:r>
          <w:rPr>
            <w:noProof/>
            <w:webHidden/>
          </w:rPr>
          <w:fldChar w:fldCharType="separate"/>
        </w:r>
        <w:r>
          <w:rPr>
            <w:noProof/>
            <w:webHidden/>
          </w:rPr>
          <w:t>206</w:t>
        </w:r>
        <w:r>
          <w:rPr>
            <w:noProof/>
            <w:webHidden/>
          </w:rPr>
          <w:fldChar w:fldCharType="end"/>
        </w:r>
      </w:hyperlink>
    </w:p>
    <w:p w14:paraId="7D05A3E7" w14:textId="2B88C9EB" w:rsidR="00CB7456" w:rsidRDefault="00CB7456">
      <w:pPr>
        <w:pStyle w:val="TableofFigures"/>
        <w:tabs>
          <w:tab w:val="right" w:leader="dot" w:pos="8188"/>
        </w:tabs>
        <w:rPr>
          <w:noProof/>
          <w:lang w:eastAsia="en-GB"/>
        </w:rPr>
      </w:pPr>
      <w:hyperlink w:anchor="_Toc7187720" w:history="1">
        <w:r w:rsidRPr="00901D6A">
          <w:rPr>
            <w:rStyle w:val="Hyperlink"/>
            <w:noProof/>
          </w:rPr>
          <w:t>Table 13.3: Large heat users in Darley Dale.</w:t>
        </w:r>
        <w:r>
          <w:rPr>
            <w:noProof/>
            <w:webHidden/>
          </w:rPr>
          <w:tab/>
        </w:r>
        <w:r>
          <w:rPr>
            <w:noProof/>
            <w:webHidden/>
          </w:rPr>
          <w:fldChar w:fldCharType="begin"/>
        </w:r>
        <w:r>
          <w:rPr>
            <w:noProof/>
            <w:webHidden/>
          </w:rPr>
          <w:instrText xml:space="preserve"> PAGEREF _Toc7187720 \h </w:instrText>
        </w:r>
        <w:r>
          <w:rPr>
            <w:noProof/>
            <w:webHidden/>
          </w:rPr>
        </w:r>
        <w:r>
          <w:rPr>
            <w:noProof/>
            <w:webHidden/>
          </w:rPr>
          <w:fldChar w:fldCharType="separate"/>
        </w:r>
        <w:r>
          <w:rPr>
            <w:noProof/>
            <w:webHidden/>
          </w:rPr>
          <w:t>207</w:t>
        </w:r>
        <w:r>
          <w:rPr>
            <w:noProof/>
            <w:webHidden/>
          </w:rPr>
          <w:fldChar w:fldCharType="end"/>
        </w:r>
      </w:hyperlink>
    </w:p>
    <w:p w14:paraId="5C6DC156" w14:textId="693A1D16" w:rsidR="00CB7456" w:rsidRDefault="00CB7456">
      <w:pPr>
        <w:pStyle w:val="TableofFigures"/>
        <w:tabs>
          <w:tab w:val="right" w:leader="dot" w:pos="8188"/>
        </w:tabs>
        <w:rPr>
          <w:noProof/>
          <w:lang w:eastAsia="en-GB"/>
        </w:rPr>
      </w:pPr>
      <w:hyperlink w:anchor="_Toc7187721" w:history="1">
        <w:r w:rsidRPr="00901D6A">
          <w:rPr>
            <w:rStyle w:val="Hyperlink"/>
            <w:noProof/>
          </w:rPr>
          <w:t>Table 13.4: Large heat users in Bakewell.</w:t>
        </w:r>
        <w:r>
          <w:rPr>
            <w:noProof/>
            <w:webHidden/>
          </w:rPr>
          <w:tab/>
        </w:r>
        <w:r>
          <w:rPr>
            <w:noProof/>
            <w:webHidden/>
          </w:rPr>
          <w:fldChar w:fldCharType="begin"/>
        </w:r>
        <w:r>
          <w:rPr>
            <w:noProof/>
            <w:webHidden/>
          </w:rPr>
          <w:instrText xml:space="preserve"> PAGEREF _Toc7187721 \h </w:instrText>
        </w:r>
        <w:r>
          <w:rPr>
            <w:noProof/>
            <w:webHidden/>
          </w:rPr>
        </w:r>
        <w:r>
          <w:rPr>
            <w:noProof/>
            <w:webHidden/>
          </w:rPr>
          <w:fldChar w:fldCharType="separate"/>
        </w:r>
        <w:r>
          <w:rPr>
            <w:noProof/>
            <w:webHidden/>
          </w:rPr>
          <w:t>208</w:t>
        </w:r>
        <w:r>
          <w:rPr>
            <w:noProof/>
            <w:webHidden/>
          </w:rPr>
          <w:fldChar w:fldCharType="end"/>
        </w:r>
      </w:hyperlink>
    </w:p>
    <w:p w14:paraId="799EFA26" w14:textId="5919F060" w:rsidR="00CB7456" w:rsidRDefault="00CB7456">
      <w:pPr>
        <w:pStyle w:val="TableofFigures"/>
        <w:tabs>
          <w:tab w:val="right" w:leader="dot" w:pos="8188"/>
        </w:tabs>
        <w:rPr>
          <w:noProof/>
          <w:lang w:eastAsia="en-GB"/>
        </w:rPr>
      </w:pPr>
      <w:hyperlink w:anchor="_Toc7187722" w:history="1">
        <w:r w:rsidRPr="00901D6A">
          <w:rPr>
            <w:rStyle w:val="Hyperlink"/>
            <w:noProof/>
          </w:rPr>
          <w:t>Table 13.5: Large heat users in Youlgreave.</w:t>
        </w:r>
        <w:r>
          <w:rPr>
            <w:noProof/>
            <w:webHidden/>
          </w:rPr>
          <w:tab/>
        </w:r>
        <w:r>
          <w:rPr>
            <w:noProof/>
            <w:webHidden/>
          </w:rPr>
          <w:fldChar w:fldCharType="begin"/>
        </w:r>
        <w:r>
          <w:rPr>
            <w:noProof/>
            <w:webHidden/>
          </w:rPr>
          <w:instrText xml:space="preserve"> PAGEREF _Toc7187722 \h </w:instrText>
        </w:r>
        <w:r>
          <w:rPr>
            <w:noProof/>
            <w:webHidden/>
          </w:rPr>
        </w:r>
        <w:r>
          <w:rPr>
            <w:noProof/>
            <w:webHidden/>
          </w:rPr>
          <w:fldChar w:fldCharType="separate"/>
        </w:r>
        <w:r>
          <w:rPr>
            <w:noProof/>
            <w:webHidden/>
          </w:rPr>
          <w:t>208</w:t>
        </w:r>
        <w:r>
          <w:rPr>
            <w:noProof/>
            <w:webHidden/>
          </w:rPr>
          <w:fldChar w:fldCharType="end"/>
        </w:r>
      </w:hyperlink>
    </w:p>
    <w:p w14:paraId="62EF71F3" w14:textId="00141B4A" w:rsidR="00CB7456" w:rsidRDefault="00CB7456">
      <w:pPr>
        <w:pStyle w:val="TableofFigures"/>
        <w:tabs>
          <w:tab w:val="right" w:leader="dot" w:pos="8188"/>
        </w:tabs>
        <w:rPr>
          <w:noProof/>
          <w:lang w:eastAsia="en-GB"/>
        </w:rPr>
      </w:pPr>
      <w:hyperlink w:anchor="_Toc7187723" w:history="1">
        <w:r w:rsidRPr="00901D6A">
          <w:rPr>
            <w:rStyle w:val="Hyperlink"/>
            <w:noProof/>
          </w:rPr>
          <w:t>Table 13.6: Large heat users in Matlock Bath.</w:t>
        </w:r>
        <w:r>
          <w:rPr>
            <w:noProof/>
            <w:webHidden/>
          </w:rPr>
          <w:tab/>
        </w:r>
        <w:r>
          <w:rPr>
            <w:noProof/>
            <w:webHidden/>
          </w:rPr>
          <w:fldChar w:fldCharType="begin"/>
        </w:r>
        <w:r>
          <w:rPr>
            <w:noProof/>
            <w:webHidden/>
          </w:rPr>
          <w:instrText xml:space="preserve"> PAGEREF _Toc7187723 \h </w:instrText>
        </w:r>
        <w:r>
          <w:rPr>
            <w:noProof/>
            <w:webHidden/>
          </w:rPr>
        </w:r>
        <w:r>
          <w:rPr>
            <w:noProof/>
            <w:webHidden/>
          </w:rPr>
          <w:fldChar w:fldCharType="separate"/>
        </w:r>
        <w:r>
          <w:rPr>
            <w:noProof/>
            <w:webHidden/>
          </w:rPr>
          <w:t>209</w:t>
        </w:r>
        <w:r>
          <w:rPr>
            <w:noProof/>
            <w:webHidden/>
          </w:rPr>
          <w:fldChar w:fldCharType="end"/>
        </w:r>
      </w:hyperlink>
    </w:p>
    <w:p w14:paraId="16F351B8" w14:textId="17DBFACA" w:rsidR="00CB7456" w:rsidRDefault="00CB7456">
      <w:pPr>
        <w:pStyle w:val="TableofFigures"/>
        <w:tabs>
          <w:tab w:val="right" w:leader="dot" w:pos="8188"/>
        </w:tabs>
        <w:rPr>
          <w:noProof/>
          <w:lang w:eastAsia="en-GB"/>
        </w:rPr>
      </w:pPr>
      <w:hyperlink w:anchor="_Toc7187724" w:history="1">
        <w:r w:rsidRPr="00901D6A">
          <w:rPr>
            <w:rStyle w:val="Hyperlink"/>
            <w:noProof/>
          </w:rPr>
          <w:t>Table 13.7: HJE as a heat user.</w:t>
        </w:r>
        <w:r>
          <w:rPr>
            <w:noProof/>
            <w:webHidden/>
          </w:rPr>
          <w:tab/>
        </w:r>
        <w:r>
          <w:rPr>
            <w:noProof/>
            <w:webHidden/>
          </w:rPr>
          <w:fldChar w:fldCharType="begin"/>
        </w:r>
        <w:r>
          <w:rPr>
            <w:noProof/>
            <w:webHidden/>
          </w:rPr>
          <w:instrText xml:space="preserve"> PAGEREF _Toc7187724 \h </w:instrText>
        </w:r>
        <w:r>
          <w:rPr>
            <w:noProof/>
            <w:webHidden/>
          </w:rPr>
        </w:r>
        <w:r>
          <w:rPr>
            <w:noProof/>
            <w:webHidden/>
          </w:rPr>
          <w:fldChar w:fldCharType="separate"/>
        </w:r>
        <w:r>
          <w:rPr>
            <w:noProof/>
            <w:webHidden/>
          </w:rPr>
          <w:t>210</w:t>
        </w:r>
        <w:r>
          <w:rPr>
            <w:noProof/>
            <w:webHidden/>
          </w:rPr>
          <w:fldChar w:fldCharType="end"/>
        </w:r>
      </w:hyperlink>
    </w:p>
    <w:p w14:paraId="0F92BC8A" w14:textId="14F6AB2D" w:rsidR="00CB7456" w:rsidRDefault="00CB7456">
      <w:pPr>
        <w:pStyle w:val="TableofFigures"/>
        <w:tabs>
          <w:tab w:val="right" w:leader="dot" w:pos="8188"/>
        </w:tabs>
        <w:rPr>
          <w:noProof/>
          <w:lang w:eastAsia="en-GB"/>
        </w:rPr>
      </w:pPr>
      <w:hyperlink w:anchor="_Toc7187725" w:history="1">
        <w:r w:rsidRPr="00901D6A">
          <w:rPr>
            <w:rStyle w:val="Hyperlink"/>
            <w:noProof/>
          </w:rPr>
          <w:t>Table 13.8: How the equations in the modelling of the HEX-DP are linked. Inputs in bold are outputs from other equations in the modelling of the DP-HEX.</w:t>
        </w:r>
        <w:r>
          <w:rPr>
            <w:noProof/>
            <w:webHidden/>
          </w:rPr>
          <w:tab/>
        </w:r>
        <w:r>
          <w:rPr>
            <w:noProof/>
            <w:webHidden/>
          </w:rPr>
          <w:fldChar w:fldCharType="begin"/>
        </w:r>
        <w:r>
          <w:rPr>
            <w:noProof/>
            <w:webHidden/>
          </w:rPr>
          <w:instrText xml:space="preserve"> PAGEREF _Toc7187725 \h </w:instrText>
        </w:r>
        <w:r>
          <w:rPr>
            <w:noProof/>
            <w:webHidden/>
          </w:rPr>
        </w:r>
        <w:r>
          <w:rPr>
            <w:noProof/>
            <w:webHidden/>
          </w:rPr>
          <w:fldChar w:fldCharType="separate"/>
        </w:r>
        <w:r>
          <w:rPr>
            <w:noProof/>
            <w:webHidden/>
          </w:rPr>
          <w:t>219</w:t>
        </w:r>
        <w:r>
          <w:rPr>
            <w:noProof/>
            <w:webHidden/>
          </w:rPr>
          <w:fldChar w:fldCharType="end"/>
        </w:r>
      </w:hyperlink>
    </w:p>
    <w:p w14:paraId="0B57B28F" w14:textId="261EA560" w:rsidR="00CB7456" w:rsidRDefault="00CB7456">
      <w:pPr>
        <w:pStyle w:val="TableofFigures"/>
        <w:tabs>
          <w:tab w:val="right" w:leader="dot" w:pos="8188"/>
        </w:tabs>
        <w:rPr>
          <w:noProof/>
          <w:lang w:eastAsia="en-GB"/>
        </w:rPr>
      </w:pPr>
      <w:hyperlink w:anchor="_Toc7187726" w:history="1">
        <w:r w:rsidRPr="00901D6A">
          <w:rPr>
            <w:rStyle w:val="Hyperlink"/>
            <w:noProof/>
          </w:rPr>
          <w:t>Table 13.9: How the equations in the modelling of the HEX-ST are linked. Inputs in bold are outputs from other equations in the modelling of the HEX-ST, input in grey come from the modelling of the other WHR components.</w:t>
        </w:r>
        <w:r>
          <w:rPr>
            <w:noProof/>
            <w:webHidden/>
          </w:rPr>
          <w:tab/>
        </w:r>
        <w:r>
          <w:rPr>
            <w:noProof/>
            <w:webHidden/>
          </w:rPr>
          <w:fldChar w:fldCharType="begin"/>
        </w:r>
        <w:r>
          <w:rPr>
            <w:noProof/>
            <w:webHidden/>
          </w:rPr>
          <w:instrText xml:space="preserve"> PAGEREF _Toc7187726 \h </w:instrText>
        </w:r>
        <w:r>
          <w:rPr>
            <w:noProof/>
            <w:webHidden/>
          </w:rPr>
        </w:r>
        <w:r>
          <w:rPr>
            <w:noProof/>
            <w:webHidden/>
          </w:rPr>
          <w:fldChar w:fldCharType="separate"/>
        </w:r>
        <w:r>
          <w:rPr>
            <w:noProof/>
            <w:webHidden/>
          </w:rPr>
          <w:t>220</w:t>
        </w:r>
        <w:r>
          <w:rPr>
            <w:noProof/>
            <w:webHidden/>
          </w:rPr>
          <w:fldChar w:fldCharType="end"/>
        </w:r>
      </w:hyperlink>
    </w:p>
    <w:p w14:paraId="3E69C2CF" w14:textId="18997527" w:rsidR="00CB7456" w:rsidRDefault="00CB7456">
      <w:pPr>
        <w:pStyle w:val="TableofFigures"/>
        <w:tabs>
          <w:tab w:val="right" w:leader="dot" w:pos="8188"/>
        </w:tabs>
        <w:rPr>
          <w:noProof/>
          <w:lang w:eastAsia="en-GB"/>
        </w:rPr>
      </w:pPr>
      <w:hyperlink w:anchor="_Toc7187727" w:history="1">
        <w:r w:rsidRPr="00901D6A">
          <w:rPr>
            <w:rStyle w:val="Hyperlink"/>
            <w:noProof/>
          </w:rPr>
          <w:t>Table 13.10: How the equations in the modelling of the HEX-FT are linked. Inputs in bold are outputs from other equations in the modelling of the HEX-FT, input in grey come from the modelling of the other WHR components.</w:t>
        </w:r>
        <w:r>
          <w:rPr>
            <w:noProof/>
            <w:webHidden/>
          </w:rPr>
          <w:tab/>
        </w:r>
        <w:r>
          <w:rPr>
            <w:noProof/>
            <w:webHidden/>
          </w:rPr>
          <w:fldChar w:fldCharType="begin"/>
        </w:r>
        <w:r>
          <w:rPr>
            <w:noProof/>
            <w:webHidden/>
          </w:rPr>
          <w:instrText xml:space="preserve"> PAGEREF _Toc7187727 \h </w:instrText>
        </w:r>
        <w:r>
          <w:rPr>
            <w:noProof/>
            <w:webHidden/>
          </w:rPr>
        </w:r>
        <w:r>
          <w:rPr>
            <w:noProof/>
            <w:webHidden/>
          </w:rPr>
          <w:fldChar w:fldCharType="separate"/>
        </w:r>
        <w:r>
          <w:rPr>
            <w:noProof/>
            <w:webHidden/>
          </w:rPr>
          <w:t>222</w:t>
        </w:r>
        <w:r>
          <w:rPr>
            <w:noProof/>
            <w:webHidden/>
          </w:rPr>
          <w:fldChar w:fldCharType="end"/>
        </w:r>
      </w:hyperlink>
    </w:p>
    <w:p w14:paraId="7A635524" w14:textId="187BAB6A" w:rsidR="00CB7456" w:rsidRDefault="00CB7456">
      <w:pPr>
        <w:pStyle w:val="TableofFigures"/>
        <w:tabs>
          <w:tab w:val="right" w:leader="dot" w:pos="8188"/>
        </w:tabs>
        <w:rPr>
          <w:noProof/>
          <w:lang w:eastAsia="en-GB"/>
        </w:rPr>
      </w:pPr>
      <w:hyperlink w:anchor="_Toc7187728" w:history="1">
        <w:r w:rsidRPr="00901D6A">
          <w:rPr>
            <w:rStyle w:val="Hyperlink"/>
            <w:noProof/>
          </w:rPr>
          <w:t>Table 13.11: How the equations in the modelling of the HEX-P are linked. Inputs in bold are outputs from other equations in the modelling of the HEX-P, input in grey come from the modelling of the other WHR components.</w:t>
        </w:r>
        <w:r>
          <w:rPr>
            <w:noProof/>
            <w:webHidden/>
          </w:rPr>
          <w:tab/>
        </w:r>
        <w:r>
          <w:rPr>
            <w:noProof/>
            <w:webHidden/>
          </w:rPr>
          <w:fldChar w:fldCharType="begin"/>
        </w:r>
        <w:r>
          <w:rPr>
            <w:noProof/>
            <w:webHidden/>
          </w:rPr>
          <w:instrText xml:space="preserve"> PAGEREF _Toc7187728 \h </w:instrText>
        </w:r>
        <w:r>
          <w:rPr>
            <w:noProof/>
            <w:webHidden/>
          </w:rPr>
        </w:r>
        <w:r>
          <w:rPr>
            <w:noProof/>
            <w:webHidden/>
          </w:rPr>
          <w:fldChar w:fldCharType="separate"/>
        </w:r>
        <w:r>
          <w:rPr>
            <w:noProof/>
            <w:webHidden/>
          </w:rPr>
          <w:t>228</w:t>
        </w:r>
        <w:r>
          <w:rPr>
            <w:noProof/>
            <w:webHidden/>
          </w:rPr>
          <w:fldChar w:fldCharType="end"/>
        </w:r>
      </w:hyperlink>
    </w:p>
    <w:p w14:paraId="4FC62D07" w14:textId="159E6CF3" w:rsidR="00CB7456" w:rsidRDefault="00CB7456">
      <w:pPr>
        <w:pStyle w:val="TableofFigures"/>
        <w:tabs>
          <w:tab w:val="right" w:leader="dot" w:pos="8188"/>
        </w:tabs>
        <w:rPr>
          <w:noProof/>
          <w:lang w:eastAsia="en-GB"/>
        </w:rPr>
      </w:pPr>
      <w:hyperlink w:anchor="_Toc7187729" w:history="1">
        <w:r w:rsidRPr="00901D6A">
          <w:rPr>
            <w:rStyle w:val="Hyperlink"/>
            <w:noProof/>
          </w:rPr>
          <w:t>Table 13.12: How the equations in the modelling of a FH or a burner are linked. Inputs in bold are outputs from other equations in the modelling of the HEX-FT.</w:t>
        </w:r>
        <w:r>
          <w:rPr>
            <w:noProof/>
            <w:webHidden/>
          </w:rPr>
          <w:tab/>
        </w:r>
        <w:r>
          <w:rPr>
            <w:noProof/>
            <w:webHidden/>
          </w:rPr>
          <w:fldChar w:fldCharType="begin"/>
        </w:r>
        <w:r>
          <w:rPr>
            <w:noProof/>
            <w:webHidden/>
          </w:rPr>
          <w:instrText xml:space="preserve"> PAGEREF _Toc7187729 \h </w:instrText>
        </w:r>
        <w:r>
          <w:rPr>
            <w:noProof/>
            <w:webHidden/>
          </w:rPr>
        </w:r>
        <w:r>
          <w:rPr>
            <w:noProof/>
            <w:webHidden/>
          </w:rPr>
          <w:fldChar w:fldCharType="separate"/>
        </w:r>
        <w:r>
          <w:rPr>
            <w:noProof/>
            <w:webHidden/>
          </w:rPr>
          <w:t>234</w:t>
        </w:r>
        <w:r>
          <w:rPr>
            <w:noProof/>
            <w:webHidden/>
          </w:rPr>
          <w:fldChar w:fldCharType="end"/>
        </w:r>
      </w:hyperlink>
    </w:p>
    <w:p w14:paraId="00BA5591" w14:textId="4C14BB95" w:rsidR="00CB7456" w:rsidRDefault="00CB7456">
      <w:pPr>
        <w:pStyle w:val="TableofFigures"/>
        <w:tabs>
          <w:tab w:val="right" w:leader="dot" w:pos="8188"/>
        </w:tabs>
        <w:rPr>
          <w:noProof/>
          <w:lang w:eastAsia="en-GB"/>
        </w:rPr>
      </w:pPr>
      <w:hyperlink w:anchor="_Toc7187730" w:history="1">
        <w:r w:rsidRPr="00901D6A">
          <w:rPr>
            <w:rStyle w:val="Hyperlink"/>
            <w:noProof/>
          </w:rPr>
          <w:t>Table 13.13: How the equations in the modelling of a RC or an ORC are linked. Inputs in bold are outputs from other equations in the modelling of a RC or an ORC.</w:t>
        </w:r>
        <w:r>
          <w:rPr>
            <w:noProof/>
            <w:webHidden/>
          </w:rPr>
          <w:tab/>
        </w:r>
        <w:r>
          <w:rPr>
            <w:noProof/>
            <w:webHidden/>
          </w:rPr>
          <w:fldChar w:fldCharType="begin"/>
        </w:r>
        <w:r>
          <w:rPr>
            <w:noProof/>
            <w:webHidden/>
          </w:rPr>
          <w:instrText xml:space="preserve"> PAGEREF _Toc7187730 \h </w:instrText>
        </w:r>
        <w:r>
          <w:rPr>
            <w:noProof/>
            <w:webHidden/>
          </w:rPr>
        </w:r>
        <w:r>
          <w:rPr>
            <w:noProof/>
            <w:webHidden/>
          </w:rPr>
          <w:fldChar w:fldCharType="separate"/>
        </w:r>
        <w:r>
          <w:rPr>
            <w:noProof/>
            <w:webHidden/>
          </w:rPr>
          <w:t>237</w:t>
        </w:r>
        <w:r>
          <w:rPr>
            <w:noProof/>
            <w:webHidden/>
          </w:rPr>
          <w:fldChar w:fldCharType="end"/>
        </w:r>
      </w:hyperlink>
    </w:p>
    <w:p w14:paraId="07713DFF" w14:textId="7D587760" w:rsidR="00CB7456" w:rsidRDefault="00CB7456">
      <w:pPr>
        <w:pStyle w:val="TableofFigures"/>
        <w:tabs>
          <w:tab w:val="right" w:leader="dot" w:pos="8188"/>
        </w:tabs>
        <w:rPr>
          <w:noProof/>
          <w:lang w:eastAsia="en-GB"/>
        </w:rPr>
      </w:pPr>
      <w:hyperlink w:anchor="_Toc7187731" w:history="1">
        <w:r w:rsidRPr="00901D6A">
          <w:rPr>
            <w:rStyle w:val="Hyperlink"/>
            <w:noProof/>
          </w:rPr>
          <w:t>Table 13.14: How the equations in the modelling of the condenser are linked. Inputs in bold are outputs from other equations in the modelling of the WHR equipment, input in grey come from the modelling of the other WHR components.</w:t>
        </w:r>
        <w:r>
          <w:rPr>
            <w:noProof/>
            <w:webHidden/>
          </w:rPr>
          <w:tab/>
        </w:r>
        <w:r>
          <w:rPr>
            <w:noProof/>
            <w:webHidden/>
          </w:rPr>
          <w:fldChar w:fldCharType="begin"/>
        </w:r>
        <w:r>
          <w:rPr>
            <w:noProof/>
            <w:webHidden/>
          </w:rPr>
          <w:instrText xml:space="preserve"> PAGEREF _Toc7187731 \h </w:instrText>
        </w:r>
        <w:r>
          <w:rPr>
            <w:noProof/>
            <w:webHidden/>
          </w:rPr>
        </w:r>
        <w:r>
          <w:rPr>
            <w:noProof/>
            <w:webHidden/>
          </w:rPr>
          <w:fldChar w:fldCharType="separate"/>
        </w:r>
        <w:r>
          <w:rPr>
            <w:noProof/>
            <w:webHidden/>
          </w:rPr>
          <w:t>241</w:t>
        </w:r>
        <w:r>
          <w:rPr>
            <w:noProof/>
            <w:webHidden/>
          </w:rPr>
          <w:fldChar w:fldCharType="end"/>
        </w:r>
      </w:hyperlink>
    </w:p>
    <w:p w14:paraId="1E641A75" w14:textId="102577ED" w:rsidR="00CB7456" w:rsidRDefault="00CB7456">
      <w:pPr>
        <w:pStyle w:val="TableofFigures"/>
        <w:tabs>
          <w:tab w:val="right" w:leader="dot" w:pos="8188"/>
        </w:tabs>
        <w:rPr>
          <w:noProof/>
          <w:lang w:eastAsia="en-GB"/>
        </w:rPr>
      </w:pPr>
      <w:hyperlink w:anchor="_Toc7187732" w:history="1">
        <w:r w:rsidRPr="00901D6A">
          <w:rPr>
            <w:rStyle w:val="Hyperlink"/>
            <w:noProof/>
          </w:rPr>
          <w:t>Table 13.15: How the equations in the modelling of the pump are linked. Inputs in bold are outputs from other equations in the modelling of the pump.</w:t>
        </w:r>
        <w:r>
          <w:rPr>
            <w:noProof/>
            <w:webHidden/>
          </w:rPr>
          <w:tab/>
        </w:r>
        <w:r>
          <w:rPr>
            <w:noProof/>
            <w:webHidden/>
          </w:rPr>
          <w:fldChar w:fldCharType="begin"/>
        </w:r>
        <w:r>
          <w:rPr>
            <w:noProof/>
            <w:webHidden/>
          </w:rPr>
          <w:instrText xml:space="preserve"> PAGEREF _Toc7187732 \h </w:instrText>
        </w:r>
        <w:r>
          <w:rPr>
            <w:noProof/>
            <w:webHidden/>
          </w:rPr>
        </w:r>
        <w:r>
          <w:rPr>
            <w:noProof/>
            <w:webHidden/>
          </w:rPr>
          <w:fldChar w:fldCharType="separate"/>
        </w:r>
        <w:r>
          <w:rPr>
            <w:noProof/>
            <w:webHidden/>
          </w:rPr>
          <w:t>242</w:t>
        </w:r>
        <w:r>
          <w:rPr>
            <w:noProof/>
            <w:webHidden/>
          </w:rPr>
          <w:fldChar w:fldCharType="end"/>
        </w:r>
      </w:hyperlink>
    </w:p>
    <w:p w14:paraId="0157D00A" w14:textId="773F2F0E" w:rsidR="00CB7456" w:rsidRDefault="00CB7456">
      <w:pPr>
        <w:pStyle w:val="TableofFigures"/>
        <w:tabs>
          <w:tab w:val="right" w:leader="dot" w:pos="8188"/>
        </w:tabs>
        <w:rPr>
          <w:noProof/>
          <w:lang w:eastAsia="en-GB"/>
        </w:rPr>
      </w:pPr>
      <w:hyperlink w:anchor="_Toc7187733" w:history="1">
        <w:r w:rsidRPr="00901D6A">
          <w:rPr>
            <w:rStyle w:val="Hyperlink"/>
            <w:noProof/>
          </w:rPr>
          <w:t>Table 13.16: How the equations in the modelling of the turbine are linked. Inputs in bold are outputs from other equations in the modelling of the turbine.</w:t>
        </w:r>
        <w:r>
          <w:rPr>
            <w:noProof/>
            <w:webHidden/>
          </w:rPr>
          <w:tab/>
        </w:r>
        <w:r>
          <w:rPr>
            <w:noProof/>
            <w:webHidden/>
          </w:rPr>
          <w:fldChar w:fldCharType="begin"/>
        </w:r>
        <w:r>
          <w:rPr>
            <w:noProof/>
            <w:webHidden/>
          </w:rPr>
          <w:instrText xml:space="preserve"> PAGEREF _Toc7187733 \h </w:instrText>
        </w:r>
        <w:r>
          <w:rPr>
            <w:noProof/>
            <w:webHidden/>
          </w:rPr>
        </w:r>
        <w:r>
          <w:rPr>
            <w:noProof/>
            <w:webHidden/>
          </w:rPr>
          <w:fldChar w:fldCharType="separate"/>
        </w:r>
        <w:r>
          <w:rPr>
            <w:noProof/>
            <w:webHidden/>
          </w:rPr>
          <w:t>243</w:t>
        </w:r>
        <w:r>
          <w:rPr>
            <w:noProof/>
            <w:webHidden/>
          </w:rPr>
          <w:fldChar w:fldCharType="end"/>
        </w:r>
      </w:hyperlink>
    </w:p>
    <w:p w14:paraId="3C09A83F" w14:textId="77777777" w:rsidR="00CB7456" w:rsidRDefault="00FE6CB4" w:rsidP="00FE6CB4">
      <w:pPr>
        <w:pStyle w:val="Heading7"/>
      </w:pPr>
      <w:r>
        <w:fldChar w:fldCharType="end"/>
      </w:r>
    </w:p>
    <w:p w14:paraId="5BCF52C7" w14:textId="77777777" w:rsidR="00CB7456" w:rsidRDefault="00CB7456">
      <w:pPr>
        <w:jc w:val="left"/>
        <w:rPr>
          <w:rFonts w:asciiTheme="majorHAnsi" w:eastAsiaTheme="majorEastAsia" w:hAnsiTheme="majorHAnsi" w:cstheme="majorBidi"/>
          <w:b/>
          <w:iCs/>
          <w:color w:val="000000" w:themeColor="text1"/>
          <w:sz w:val="40"/>
        </w:rPr>
      </w:pPr>
      <w:r>
        <w:br w:type="page"/>
      </w:r>
    </w:p>
    <w:p w14:paraId="5BDAEFE6" w14:textId="59884516" w:rsidR="00E37CB0" w:rsidRDefault="00E37CB0" w:rsidP="00FE6CB4">
      <w:pPr>
        <w:pStyle w:val="Heading7"/>
      </w:pPr>
      <w:r>
        <w:lastRenderedPageBreak/>
        <w:t>Publications, Presentations and Awards</w:t>
      </w:r>
    </w:p>
    <w:p w14:paraId="14BF72B1" w14:textId="4EF7F3EE" w:rsidR="00E37CB0" w:rsidRDefault="00E37CB0" w:rsidP="00E37CB0">
      <w:r>
        <w:t>Through the course of my thesis, I have</w:t>
      </w:r>
      <w:r w:rsidR="00C27538">
        <w:t xml:space="preserve"> produced many outputs outside the thesis. These include</w:t>
      </w:r>
      <w:r>
        <w:t xml:space="preserve"> publications accepted in </w:t>
      </w:r>
      <w:r w:rsidR="00AE32C7">
        <w:t>the following</w:t>
      </w:r>
      <w:r>
        <w:t xml:space="preserve"> journals:</w:t>
      </w:r>
    </w:p>
    <w:p w14:paraId="7E69254C" w14:textId="0CE66641" w:rsidR="00E37CB0" w:rsidRDefault="00E37CB0" w:rsidP="00E37CB0">
      <w:pPr>
        <w:pStyle w:val="ListParagraph"/>
        <w:numPr>
          <w:ilvl w:val="0"/>
          <w:numId w:val="5"/>
        </w:numPr>
      </w:pPr>
      <w:r>
        <w:t>A simple approach to modelling rural and ur</w:t>
      </w:r>
      <w:r w:rsidRPr="00E37CB0">
        <w:t xml:space="preserve">ban district heating (2018) – published in </w:t>
      </w:r>
      <w:r>
        <w:t>F</w:t>
      </w:r>
      <w:r w:rsidRPr="00E37CB0">
        <w:t>ront</w:t>
      </w:r>
      <w:r>
        <w:t>iers in</w:t>
      </w:r>
      <w:r w:rsidRPr="00E37CB0">
        <w:t xml:space="preserve"> Energy Res</w:t>
      </w:r>
      <w:r>
        <w:t>earch</w:t>
      </w:r>
      <w:r w:rsidRPr="00E37CB0">
        <w:t xml:space="preserve"> </w:t>
      </w:r>
      <w:r>
        <w:t>–</w:t>
      </w:r>
      <w:r w:rsidRPr="00E37CB0">
        <w:t xml:space="preserve"> Energy Systems and Policy</w:t>
      </w:r>
      <w:r w:rsidR="00C20BBB">
        <w:t>.</w:t>
      </w:r>
    </w:p>
    <w:p w14:paraId="60D4AF0A" w14:textId="36DB0720" w:rsidR="00E37CB0" w:rsidRDefault="00E37CB0" w:rsidP="00E37CB0">
      <w:pPr>
        <w:pStyle w:val="ListParagraph"/>
        <w:numPr>
          <w:ilvl w:val="0"/>
          <w:numId w:val="5"/>
        </w:numPr>
      </w:pPr>
      <w:r>
        <w:t>Heat mapping for district heating (2018) – published in Energy Procedia</w:t>
      </w:r>
      <w:r w:rsidR="00C20BBB">
        <w:t>.</w:t>
      </w:r>
    </w:p>
    <w:p w14:paraId="7EB28F31" w14:textId="31BA4450" w:rsidR="00E37CB0" w:rsidRDefault="00E37CB0" w:rsidP="00E37CB0">
      <w:pPr>
        <w:pStyle w:val="ListParagraph"/>
        <w:numPr>
          <w:ilvl w:val="0"/>
          <w:numId w:val="5"/>
        </w:numPr>
      </w:pPr>
      <w:r>
        <w:t>Building a simple model for district heating optimisation using thermal energy storage – awaiting publication in Energy and Buildings</w:t>
      </w:r>
      <w:r w:rsidR="00C20BBB">
        <w:t>.</w:t>
      </w:r>
    </w:p>
    <w:p w14:paraId="3918841D" w14:textId="397A61A7" w:rsidR="00E37CB0" w:rsidRDefault="00C27538" w:rsidP="00E37CB0">
      <w:r>
        <w:t>Presentations at the following</w:t>
      </w:r>
      <w:r w:rsidR="00E37CB0">
        <w:t xml:space="preserve"> conferences:</w:t>
      </w:r>
    </w:p>
    <w:p w14:paraId="1E25F7D5" w14:textId="5A58FDFF" w:rsidR="00E37CB0" w:rsidRPr="00E37CB0" w:rsidRDefault="00E37CB0" w:rsidP="00202E44">
      <w:pPr>
        <w:pStyle w:val="ListParagraph"/>
        <w:numPr>
          <w:ilvl w:val="0"/>
          <w:numId w:val="6"/>
        </w:numPr>
      </w:pPr>
      <w:r>
        <w:t xml:space="preserve">A simple model for </w:t>
      </w:r>
      <w:r w:rsidRPr="00E37CB0">
        <w:t xml:space="preserve">district heating feasibility – presented at the 3rd Annual Conference in Energy Storage and </w:t>
      </w:r>
      <w:r w:rsidR="00732BFC">
        <w:t>i</w:t>
      </w:r>
      <w:r w:rsidRPr="00E37CB0">
        <w:t>ts Applications</w:t>
      </w:r>
      <w:r w:rsidR="00C20BBB">
        <w:t>.</w:t>
      </w:r>
    </w:p>
    <w:p w14:paraId="670DA3A5" w14:textId="1A2A08A5" w:rsidR="00C20BBB" w:rsidRPr="00E37CB0" w:rsidRDefault="00E37CB0" w:rsidP="00202E44">
      <w:pPr>
        <w:pStyle w:val="ListParagraph"/>
        <w:numPr>
          <w:ilvl w:val="0"/>
          <w:numId w:val="6"/>
        </w:numPr>
      </w:pPr>
      <w:r>
        <w:t>Building a model to assess the feasibility of rural district heating networks</w:t>
      </w:r>
      <w:r w:rsidR="00E94C08">
        <w:t> </w:t>
      </w:r>
      <w:r>
        <w:t>–</w:t>
      </w:r>
      <w:r w:rsidR="00E94C08">
        <w:t> </w:t>
      </w:r>
      <w:r>
        <w:t xml:space="preserve">presented at the </w:t>
      </w:r>
      <w:r w:rsidR="00C20BBB">
        <w:t>2n</w:t>
      </w:r>
      <w:r w:rsidR="00C20BBB" w:rsidRPr="00E37CB0">
        <w:t xml:space="preserve">d Annual Conference in Energy Storage and </w:t>
      </w:r>
      <w:r w:rsidR="00732BFC">
        <w:t>i</w:t>
      </w:r>
      <w:r w:rsidR="00732BFC" w:rsidRPr="00E37CB0">
        <w:t xml:space="preserve">ts </w:t>
      </w:r>
      <w:r w:rsidR="00C20BBB" w:rsidRPr="00E37CB0">
        <w:t>Applications</w:t>
      </w:r>
      <w:r w:rsidR="00C20BBB">
        <w:t>.</w:t>
      </w:r>
    </w:p>
    <w:p w14:paraId="0CECC25C" w14:textId="04D81681" w:rsidR="00E37CB0" w:rsidRDefault="00D61E7E" w:rsidP="00C20BBB">
      <w:r>
        <w:t>A</w:t>
      </w:r>
      <w:r w:rsidR="00C27538">
        <w:t>wards for</w:t>
      </w:r>
      <w:r w:rsidR="00C20BBB">
        <w:t>:</w:t>
      </w:r>
    </w:p>
    <w:p w14:paraId="4979CFFE" w14:textId="2243BBF1" w:rsidR="00C20BBB" w:rsidRPr="00E37CB0" w:rsidRDefault="00C20BBB" w:rsidP="00202E44">
      <w:pPr>
        <w:pStyle w:val="ListParagraph"/>
        <w:numPr>
          <w:ilvl w:val="0"/>
          <w:numId w:val="6"/>
        </w:numPr>
      </w:pPr>
      <w:r>
        <w:t xml:space="preserve">Best presentation for Session 2 at the </w:t>
      </w:r>
      <w:r w:rsidRPr="00E37CB0">
        <w:t xml:space="preserve">3rd Annual Conference in Energy Storage and </w:t>
      </w:r>
      <w:r w:rsidR="00732BFC">
        <w:t>i</w:t>
      </w:r>
      <w:r w:rsidR="00732BFC" w:rsidRPr="00E37CB0">
        <w:t xml:space="preserve">ts </w:t>
      </w:r>
      <w:r w:rsidRPr="00E37CB0">
        <w:t>Applications</w:t>
      </w:r>
      <w:r>
        <w:t>.</w:t>
      </w:r>
    </w:p>
    <w:p w14:paraId="368E726A" w14:textId="3473C31F" w:rsidR="00C20BBB" w:rsidRDefault="00C20BBB" w:rsidP="00202E44">
      <w:pPr>
        <w:pStyle w:val="ListParagraph"/>
        <w:numPr>
          <w:ilvl w:val="0"/>
          <w:numId w:val="6"/>
        </w:numPr>
      </w:pPr>
      <w:r>
        <w:t xml:space="preserve">Most innovative </w:t>
      </w:r>
      <w:r w:rsidR="008D7EF6">
        <w:t>PhD</w:t>
      </w:r>
      <w:r>
        <w:t xml:space="preserve"> at the </w:t>
      </w:r>
      <w:r w:rsidRPr="00E37CB0">
        <w:t xml:space="preserve">3rd Annual Conference in Energy Storage and </w:t>
      </w:r>
      <w:r w:rsidR="00732BFC">
        <w:t>i</w:t>
      </w:r>
      <w:r w:rsidR="00732BFC" w:rsidRPr="00E37CB0">
        <w:t xml:space="preserve">ts </w:t>
      </w:r>
      <w:r w:rsidRPr="00E37CB0">
        <w:t>Applications</w:t>
      </w:r>
      <w:r>
        <w:t>.</w:t>
      </w:r>
    </w:p>
    <w:p w14:paraId="7298F4D3" w14:textId="7A4038F5" w:rsidR="000F16EB" w:rsidRDefault="000F16EB">
      <w:pPr>
        <w:jc w:val="left"/>
      </w:pPr>
      <w:r>
        <w:br w:type="page"/>
      </w:r>
    </w:p>
    <w:p w14:paraId="3E4A4088" w14:textId="77777777" w:rsidR="000F16EB" w:rsidRDefault="000F16EB" w:rsidP="000F16EB">
      <w:pPr>
        <w:pStyle w:val="Heading7"/>
      </w:pPr>
      <w:r>
        <w:lastRenderedPageBreak/>
        <w:t>Nomenclature</w:t>
      </w:r>
    </w:p>
    <w:p w14:paraId="419A7D0B" w14:textId="77777777" w:rsidR="000F16EB" w:rsidRPr="00BF6DFD" w:rsidRDefault="000F16EB" w:rsidP="000F16EB">
      <w:pPr>
        <w:pStyle w:val="NoSpacing"/>
      </w:pPr>
      <m:oMath>
        <m:r>
          <w:rPr>
            <w:rFonts w:ascii="Cambria Math" w:hAnsi="Cambria Math"/>
          </w:rPr>
          <m:t>A</m:t>
        </m:r>
      </m:oMath>
      <w:r>
        <w:tab/>
      </w:r>
      <w:r>
        <w:tab/>
        <w:t>Area [m</w:t>
      </w:r>
      <w:r>
        <w:rPr>
          <w:vertAlign w:val="superscript"/>
        </w:rPr>
        <w:t>2</w:t>
      </w:r>
      <w:r>
        <w:t>]</w:t>
      </w:r>
    </w:p>
    <w:p w14:paraId="5EBBEE74" w14:textId="77777777" w:rsidR="000F16EB" w:rsidRDefault="00C73E04" w:rsidP="000F16EB">
      <w:pPr>
        <w:pStyle w:val="NoSpacing"/>
        <w:rPr>
          <w:szCs w:val="24"/>
        </w:rPr>
      </w:pPr>
      <m:oMath>
        <m:sSub>
          <m:sSubPr>
            <m:ctrlPr>
              <w:rPr>
                <w:rFonts w:ascii="Cambria Math" w:hAnsi="Cambria Math" w:cs="Times New Roman"/>
                <w:i/>
                <w:sz w:val="24"/>
                <w:szCs w:val="24"/>
              </w:rPr>
            </m:ctrlPr>
          </m:sSubPr>
          <m:e>
            <m:r>
              <w:rPr>
                <w:rFonts w:ascii="Cambria Math" w:hAnsi="Cambria Math"/>
              </w:rPr>
              <m:t>cost</m:t>
            </m:r>
          </m:e>
          <m:sub>
            <m:r>
              <w:rPr>
                <w:rFonts w:ascii="Cambria Math" w:hAnsi="Cambria Math"/>
              </w:rPr>
              <m:t>El</m:t>
            </m:r>
          </m:sub>
        </m:sSub>
      </m:oMath>
      <w:r w:rsidR="000F16EB">
        <w:rPr>
          <w:sz w:val="24"/>
          <w:szCs w:val="24"/>
        </w:rPr>
        <w:tab/>
      </w:r>
      <w:r w:rsidR="000F16EB">
        <w:rPr>
          <w:sz w:val="24"/>
          <w:szCs w:val="24"/>
        </w:rPr>
        <w:tab/>
      </w:r>
      <w:r w:rsidR="000F16EB">
        <w:rPr>
          <w:szCs w:val="24"/>
        </w:rPr>
        <w:t>Electricity costs [£/kWh]</w:t>
      </w:r>
    </w:p>
    <w:p w14:paraId="6AB7C1B6" w14:textId="77777777" w:rsidR="000F16EB" w:rsidRDefault="00C73E04" w:rsidP="000F16EB">
      <w:pPr>
        <w:pStyle w:val="NoSpacing"/>
        <w:rPr>
          <w:szCs w:val="24"/>
        </w:rPr>
      </w:pPr>
      <m:oMath>
        <m:sSub>
          <m:sSubPr>
            <m:ctrlPr>
              <w:rPr>
                <w:rFonts w:ascii="Cambria Math" w:hAnsi="Cambria Math" w:cs="Times New Roman"/>
                <w:i/>
                <w:sz w:val="24"/>
                <w:szCs w:val="24"/>
              </w:rPr>
            </m:ctrlPr>
          </m:sSubPr>
          <m:e>
            <m:r>
              <w:rPr>
                <w:rFonts w:ascii="Cambria Math" w:hAnsi="Cambria Math"/>
              </w:rPr>
              <m:t>cost</m:t>
            </m:r>
          </m:e>
          <m:sub>
            <m:r>
              <w:rPr>
                <w:rFonts w:ascii="Cambria Math" w:hAnsi="Cambria Math"/>
              </w:rPr>
              <m:t>Op</m:t>
            </m:r>
          </m:sub>
        </m:sSub>
      </m:oMath>
      <w:r w:rsidR="000F16EB">
        <w:rPr>
          <w:sz w:val="24"/>
          <w:szCs w:val="24"/>
        </w:rPr>
        <w:tab/>
      </w:r>
      <w:r w:rsidR="000F16EB">
        <w:rPr>
          <w:sz w:val="24"/>
          <w:szCs w:val="24"/>
        </w:rPr>
        <w:tab/>
      </w:r>
      <w:r w:rsidR="000F16EB">
        <w:rPr>
          <w:szCs w:val="24"/>
        </w:rPr>
        <w:t>Operating costs [£/s]</w:t>
      </w:r>
    </w:p>
    <w:p w14:paraId="268F60B3" w14:textId="77777777" w:rsidR="000F16EB" w:rsidRDefault="00C73E04" w:rsidP="000F16EB">
      <w:pPr>
        <w:pStyle w:val="NoSpacing"/>
        <w:rPr>
          <w:szCs w:val="24"/>
        </w:rPr>
      </w:pPr>
      <m:oMath>
        <m:sSub>
          <m:sSubPr>
            <m:ctrlPr>
              <w:rPr>
                <w:rFonts w:ascii="Cambria Math" w:hAnsi="Cambria Math" w:cs="Times New Roman"/>
                <w:i/>
                <w:sz w:val="24"/>
                <w:szCs w:val="24"/>
              </w:rPr>
            </m:ctrlPr>
          </m:sSubPr>
          <m:e>
            <m:r>
              <w:rPr>
                <w:rFonts w:ascii="Cambria Math" w:hAnsi="Cambria Math"/>
              </w:rPr>
              <m:t>c</m:t>
            </m:r>
          </m:e>
          <m:sub>
            <m:r>
              <w:rPr>
                <w:rFonts w:ascii="Cambria Math" w:hAnsi="Cambria Math"/>
              </w:rPr>
              <m:t>p</m:t>
            </m:r>
          </m:sub>
        </m:sSub>
      </m:oMath>
      <w:r w:rsidR="000F16EB">
        <w:rPr>
          <w:sz w:val="24"/>
          <w:szCs w:val="24"/>
        </w:rPr>
        <w:tab/>
      </w:r>
      <w:r w:rsidR="000F16EB">
        <w:rPr>
          <w:sz w:val="24"/>
          <w:szCs w:val="24"/>
        </w:rPr>
        <w:tab/>
      </w:r>
      <w:r w:rsidR="000F16EB">
        <w:rPr>
          <w:szCs w:val="24"/>
        </w:rPr>
        <w:t>Specific heat capacity [kJ/(</w:t>
      </w:r>
      <w:proofErr w:type="spellStart"/>
      <w:r w:rsidR="000F16EB">
        <w:rPr>
          <w:szCs w:val="24"/>
        </w:rPr>
        <w:t>kgK</w:t>
      </w:r>
      <w:proofErr w:type="spellEnd"/>
      <w:r w:rsidR="000F16EB">
        <w:rPr>
          <w:szCs w:val="24"/>
        </w:rPr>
        <w:t>)]</w:t>
      </w:r>
    </w:p>
    <w:p w14:paraId="657D76FC" w14:textId="77777777" w:rsidR="000F16EB" w:rsidRDefault="000F16EB" w:rsidP="000F16EB">
      <w:pPr>
        <w:pStyle w:val="NoSpacing"/>
        <w:rPr>
          <w:szCs w:val="24"/>
        </w:rPr>
      </w:pPr>
      <m:oMath>
        <m:r>
          <w:rPr>
            <w:rFonts w:ascii="Cambria Math" w:hAnsi="Cambria Math"/>
            <w:szCs w:val="24"/>
          </w:rPr>
          <m:t>D</m:t>
        </m:r>
      </m:oMath>
      <w:r>
        <w:rPr>
          <w:szCs w:val="24"/>
        </w:rPr>
        <w:tab/>
      </w:r>
      <w:r>
        <w:rPr>
          <w:szCs w:val="24"/>
        </w:rPr>
        <w:tab/>
        <w:t>Diameter [m]</w:t>
      </w:r>
    </w:p>
    <w:p w14:paraId="194A9816" w14:textId="77777777" w:rsidR="000F16EB" w:rsidRDefault="000F16EB" w:rsidP="000F16EB">
      <w:pPr>
        <w:pStyle w:val="NoSpacing"/>
        <w:rPr>
          <w:szCs w:val="24"/>
        </w:rPr>
      </w:pPr>
      <m:oMath>
        <m:r>
          <w:rPr>
            <w:rFonts w:ascii="Cambria Math" w:hAnsi="Cambria Math"/>
            <w:szCs w:val="24"/>
          </w:rPr>
          <m:t>f</m:t>
        </m:r>
      </m:oMath>
      <w:r>
        <w:rPr>
          <w:szCs w:val="24"/>
        </w:rPr>
        <w:tab/>
      </w:r>
      <w:r>
        <w:rPr>
          <w:szCs w:val="24"/>
        </w:rPr>
        <w:tab/>
        <w:t>Radiation factor</w:t>
      </w:r>
    </w:p>
    <w:p w14:paraId="5DB9451A" w14:textId="77777777" w:rsidR="000F16EB" w:rsidRDefault="000F16EB" w:rsidP="000F16EB">
      <w:pPr>
        <w:pStyle w:val="NoSpacing"/>
        <w:rPr>
          <w:szCs w:val="24"/>
        </w:rPr>
      </w:pPr>
      <m:oMath>
        <m:r>
          <w:rPr>
            <w:rFonts w:ascii="Cambria Math" w:hAnsi="Cambria Math"/>
            <w:szCs w:val="24"/>
          </w:rPr>
          <m:t>F</m:t>
        </m:r>
      </m:oMath>
      <w:r>
        <w:rPr>
          <w:szCs w:val="24"/>
        </w:rPr>
        <w:tab/>
      </w:r>
      <w:r>
        <w:rPr>
          <w:szCs w:val="24"/>
        </w:rPr>
        <w:tab/>
        <w:t>Exchange factor</w:t>
      </w:r>
    </w:p>
    <w:p w14:paraId="279CF0BB" w14:textId="77777777" w:rsidR="000F16EB" w:rsidRDefault="00C73E04" w:rsidP="000F16EB">
      <w:pPr>
        <w:pStyle w:val="NoSpacing"/>
        <w:rPr>
          <w:iCs/>
          <w:szCs w:val="24"/>
        </w:rPr>
      </w:pPr>
      <m:oMath>
        <m:sSub>
          <m:sSubPr>
            <m:ctrlPr>
              <w:rPr>
                <w:rFonts w:ascii="Cambria Math" w:hAnsi="Cambria Math" w:cs="Times New Roman"/>
                <w:i/>
                <w:iCs/>
                <w:sz w:val="24"/>
                <w:szCs w:val="24"/>
              </w:rPr>
            </m:ctrlPr>
          </m:sSubPr>
          <m:e>
            <m:r>
              <w:rPr>
                <w:rFonts w:ascii="Cambria Math" w:hAnsi="Cambria Math"/>
              </w:rPr>
              <m:t>F</m:t>
            </m:r>
          </m:e>
          <m:sub>
            <m:r>
              <w:rPr>
                <w:rFonts w:ascii="Cambria Math" w:hAnsi="Cambria Math"/>
              </w:rPr>
              <m:t>t</m:t>
            </m:r>
          </m:sub>
        </m:sSub>
      </m:oMath>
      <w:r w:rsidR="000F16EB">
        <w:rPr>
          <w:iCs/>
          <w:sz w:val="24"/>
          <w:szCs w:val="24"/>
        </w:rPr>
        <w:tab/>
      </w:r>
      <w:r w:rsidR="000F16EB">
        <w:rPr>
          <w:iCs/>
          <w:sz w:val="24"/>
          <w:szCs w:val="24"/>
        </w:rPr>
        <w:tab/>
      </w:r>
      <w:r w:rsidR="000F16EB">
        <w:rPr>
          <w:iCs/>
          <w:szCs w:val="24"/>
        </w:rPr>
        <w:t>Temperature correction factor</w:t>
      </w:r>
    </w:p>
    <w:p w14:paraId="4ACBFA31" w14:textId="77777777" w:rsidR="000F16EB" w:rsidRPr="00812A5B" w:rsidRDefault="000F16EB" w:rsidP="000F16EB">
      <w:pPr>
        <w:pStyle w:val="NoSpacing"/>
        <w:rPr>
          <w:iCs/>
          <w:szCs w:val="24"/>
        </w:rPr>
      </w:pPr>
      <m:oMath>
        <m:r>
          <w:rPr>
            <w:rFonts w:ascii="Cambria Math" w:hAnsi="Cambria Math"/>
            <w:szCs w:val="24"/>
          </w:rPr>
          <m:t>g</m:t>
        </m:r>
      </m:oMath>
      <w:r>
        <w:rPr>
          <w:iCs/>
          <w:szCs w:val="24"/>
        </w:rPr>
        <w:tab/>
      </w:r>
      <w:r>
        <w:rPr>
          <w:iCs/>
          <w:szCs w:val="24"/>
        </w:rPr>
        <w:tab/>
        <w:t>Force due to gravity [m/s</w:t>
      </w:r>
      <w:r>
        <w:rPr>
          <w:iCs/>
          <w:szCs w:val="24"/>
          <w:vertAlign w:val="superscript"/>
        </w:rPr>
        <w:t>2</w:t>
      </w:r>
      <w:r>
        <w:rPr>
          <w:iCs/>
          <w:szCs w:val="24"/>
        </w:rPr>
        <w:t>]</w:t>
      </w:r>
    </w:p>
    <w:p w14:paraId="0E4A15DA" w14:textId="77777777" w:rsidR="000F16EB" w:rsidRDefault="000F16EB" w:rsidP="000F16EB">
      <w:pPr>
        <w:pStyle w:val="NoSpacing"/>
      </w:pPr>
      <m:oMath>
        <m:r>
          <w:rPr>
            <w:rFonts w:ascii="Cambria Math" w:hAnsi="Cambria Math"/>
            <w:szCs w:val="24"/>
          </w:rPr>
          <m:t>G</m:t>
        </m:r>
      </m:oMath>
      <w:r>
        <w:rPr>
          <w:szCs w:val="24"/>
        </w:rPr>
        <w:tab/>
      </w:r>
      <w:r>
        <w:rPr>
          <w:szCs w:val="24"/>
        </w:rPr>
        <w:tab/>
        <w:t xml:space="preserve">Mass velocity </w:t>
      </w:r>
      <w:r>
        <w:t>[kg/(sm</w:t>
      </w:r>
      <w:r>
        <w:rPr>
          <w:vertAlign w:val="superscript"/>
        </w:rPr>
        <w:t>2</w:t>
      </w:r>
      <w:r>
        <w:t>)]</w:t>
      </w:r>
    </w:p>
    <w:p w14:paraId="4B34FCD3" w14:textId="77777777" w:rsidR="000F16EB" w:rsidRPr="00CA2400" w:rsidRDefault="000F16EB" w:rsidP="000F16EB">
      <w:pPr>
        <w:pStyle w:val="NoSpacing"/>
        <w:rPr>
          <w:szCs w:val="24"/>
        </w:rPr>
      </w:pPr>
      <m:oMath>
        <m:r>
          <w:rPr>
            <w:rFonts w:ascii="Cambria Math" w:hAnsi="Cambria Math"/>
            <w:szCs w:val="24"/>
          </w:rPr>
          <m:t>h</m:t>
        </m:r>
      </m:oMath>
      <w:r>
        <w:rPr>
          <w:szCs w:val="24"/>
        </w:rPr>
        <w:tab/>
      </w:r>
      <w:r>
        <w:rPr>
          <w:szCs w:val="24"/>
        </w:rPr>
        <w:tab/>
        <w:t xml:space="preserve">Coefficient </w:t>
      </w:r>
      <w:r>
        <w:t>[W/(m</w:t>
      </w:r>
      <w:r>
        <w:rPr>
          <w:vertAlign w:val="superscript"/>
        </w:rPr>
        <w:t>2</w:t>
      </w:r>
      <w:r>
        <w:t>°C)]</w:t>
      </w:r>
    </w:p>
    <w:p w14:paraId="4AD40012" w14:textId="53B9CD30" w:rsidR="000F16EB" w:rsidRDefault="000F16EB" w:rsidP="000F16EB">
      <w:pPr>
        <w:pStyle w:val="NoSpacing"/>
      </w:pPr>
      <m:oMath>
        <m:r>
          <w:rPr>
            <w:rFonts w:ascii="Cambria Math" w:hAnsi="Cambria Math"/>
          </w:rPr>
          <m:t>H</m:t>
        </m:r>
      </m:oMath>
      <w:r>
        <w:tab/>
      </w:r>
      <w:r>
        <w:tab/>
        <w:t>Enthalpy [kJ/s]</w:t>
      </w:r>
    </w:p>
    <w:p w14:paraId="1A019909" w14:textId="1699BD7C" w:rsidR="00C36B79" w:rsidRDefault="00C73E04" w:rsidP="000F16EB">
      <w:pPr>
        <w:pStyle w:val="NoSpacing"/>
      </w:pPr>
      <m:oMath>
        <m:sSub>
          <m:sSubPr>
            <m:ctrlPr>
              <w:rPr>
                <w:rFonts w:ascii="Cambria Math" w:hAnsi="Cambria Math"/>
                <w:i/>
              </w:rPr>
            </m:ctrlPr>
          </m:sSubPr>
          <m:e>
            <m:r>
              <w:rPr>
                <w:rFonts w:ascii="Cambria Math" w:hAnsi="Cambria Math"/>
              </w:rPr>
              <m:t>H</m:t>
            </m:r>
          </m:e>
          <m:sub>
            <m:r>
              <w:rPr>
                <w:rFonts w:ascii="Cambria Math" w:hAnsi="Cambria Math"/>
              </w:rPr>
              <m:t>t</m:t>
            </m:r>
          </m:sub>
        </m:sSub>
      </m:oMath>
      <w:r w:rsidR="00C36B79">
        <w:tab/>
      </w:r>
      <w:r w:rsidR="00C36B79">
        <w:tab/>
        <w:t>Heat transfer constant</w:t>
      </w:r>
    </w:p>
    <w:p w14:paraId="42138F13" w14:textId="77777777" w:rsidR="000F16EB" w:rsidRDefault="000F16EB" w:rsidP="000F16EB">
      <w:pPr>
        <w:pStyle w:val="NoSpacing"/>
      </w:pPr>
      <m:oMath>
        <m:r>
          <w:rPr>
            <w:rFonts w:ascii="Cambria Math" w:hAnsi="Cambria Math"/>
          </w:rPr>
          <m:t>he</m:t>
        </m:r>
      </m:oMath>
      <w:r>
        <w:tab/>
      </w:r>
      <w:r>
        <w:tab/>
        <w:t>Pump head [m]</w:t>
      </w:r>
    </w:p>
    <w:p w14:paraId="0364B242" w14:textId="77777777" w:rsidR="000F16EB" w:rsidRDefault="000F16EB" w:rsidP="000F16EB">
      <w:pPr>
        <w:pStyle w:val="NoSpacing"/>
      </w:pPr>
      <m:oMath>
        <m:r>
          <w:rPr>
            <w:rFonts w:ascii="Cambria Math" w:hAnsi="Cambria Math"/>
          </w:rPr>
          <m:t>j</m:t>
        </m:r>
      </m:oMath>
      <w:r>
        <w:tab/>
      </w:r>
      <w:r>
        <w:tab/>
        <w:t>Friction factor</w:t>
      </w:r>
    </w:p>
    <w:p w14:paraId="49174619" w14:textId="77777777" w:rsidR="000F16EB" w:rsidRDefault="000F16EB" w:rsidP="000F16EB">
      <w:pPr>
        <w:pStyle w:val="NoSpacing"/>
      </w:pPr>
      <m:oMath>
        <m:r>
          <w:rPr>
            <w:rFonts w:ascii="Cambria Math" w:hAnsi="Cambria Math"/>
          </w:rPr>
          <m:t>k</m:t>
        </m:r>
      </m:oMath>
      <w:r>
        <w:tab/>
      </w:r>
      <w:r>
        <w:tab/>
        <w:t>Thermal conductivity [W/(m°C)]</w:t>
      </w:r>
    </w:p>
    <w:p w14:paraId="1CE908CC" w14:textId="77777777" w:rsidR="000F16EB" w:rsidRDefault="000F16EB" w:rsidP="000F16EB">
      <w:pPr>
        <w:pStyle w:val="NoSpacing"/>
      </w:pPr>
      <m:oMath>
        <m:r>
          <w:rPr>
            <w:rFonts w:ascii="Cambria Math" w:hAnsi="Cambria Math"/>
          </w:rPr>
          <m:t>K</m:t>
        </m:r>
      </m:oMath>
      <w:r>
        <w:tab/>
      </w:r>
      <w:r>
        <w:tab/>
        <w:t>Heat transfer coefficient</w:t>
      </w:r>
    </w:p>
    <w:p w14:paraId="33033A2D" w14:textId="77777777" w:rsidR="000F16EB" w:rsidRDefault="00C73E04" w:rsidP="000F16EB">
      <w:pPr>
        <w:pStyle w:val="NoSpacing"/>
      </w:pPr>
      <m:oMath>
        <m:sSub>
          <m:sSubPr>
            <m:ctrlPr>
              <w:rPr>
                <w:rFonts w:ascii="Cambria Math" w:hAnsi="Cambria Math"/>
                <w:i/>
              </w:rPr>
            </m:ctrlPr>
          </m:sSubPr>
          <m:e>
            <m:r>
              <w:rPr>
                <w:rFonts w:ascii="Cambria Math" w:hAnsi="Cambria Math"/>
              </w:rPr>
              <m:t>K</m:t>
            </m:r>
          </m:e>
          <m:sub>
            <m:r>
              <w:rPr>
                <w:rFonts w:ascii="Cambria Math" w:hAnsi="Cambria Math"/>
              </w:rPr>
              <m:t>1</m:t>
            </m:r>
          </m:sub>
        </m:sSub>
      </m:oMath>
      <w:r w:rsidR="000F16EB">
        <w:tab/>
      </w:r>
      <w:r w:rsidR="000F16EB">
        <w:tab/>
        <w:t>Constant</w:t>
      </w:r>
    </w:p>
    <w:p w14:paraId="1DDB8F71" w14:textId="77777777" w:rsidR="000F16EB" w:rsidRDefault="000F16EB" w:rsidP="000F16EB">
      <w:pPr>
        <w:pStyle w:val="NoSpacing"/>
      </w:pPr>
      <m:oMath>
        <m:r>
          <w:rPr>
            <w:rFonts w:ascii="Cambria Math" w:hAnsi="Cambria Math"/>
          </w:rPr>
          <m:t>l</m:t>
        </m:r>
      </m:oMath>
      <w:r>
        <w:tab/>
      </w:r>
      <w:r>
        <w:tab/>
        <w:t>Spacing [m]</w:t>
      </w:r>
    </w:p>
    <w:p w14:paraId="0B1A9348" w14:textId="77777777" w:rsidR="000F16EB" w:rsidRDefault="000F16EB" w:rsidP="000F16EB">
      <w:pPr>
        <w:pStyle w:val="NoSpacing"/>
      </w:pPr>
      <m:oMath>
        <m:r>
          <w:rPr>
            <w:rFonts w:ascii="Cambria Math" w:hAnsi="Cambria Math"/>
          </w:rPr>
          <m:t>L</m:t>
        </m:r>
      </m:oMath>
      <w:r>
        <w:tab/>
      </w:r>
      <w:r>
        <w:tab/>
        <w:t>Length [m]</w:t>
      </w:r>
    </w:p>
    <w:p w14:paraId="1590F199" w14:textId="77777777" w:rsidR="000F16EB" w:rsidRDefault="00C73E04" w:rsidP="000F16EB">
      <w:pPr>
        <w:pStyle w:val="NoSpacing"/>
        <w:rPr>
          <w:szCs w:val="24"/>
        </w:rPr>
      </w:pPr>
      <m:oMath>
        <m:acc>
          <m:accPr>
            <m:chr m:val="̇"/>
            <m:ctrlPr>
              <w:rPr>
                <w:rFonts w:ascii="Cambria Math" w:hAnsi="Cambria Math" w:cs="Times New Roman"/>
                <w:i/>
                <w:sz w:val="24"/>
                <w:szCs w:val="24"/>
              </w:rPr>
            </m:ctrlPr>
          </m:accPr>
          <m:e>
            <m:r>
              <w:rPr>
                <w:rFonts w:ascii="Cambria Math" w:hAnsi="Cambria Math"/>
              </w:rPr>
              <m:t>m</m:t>
            </m:r>
          </m:e>
        </m:acc>
      </m:oMath>
      <w:r w:rsidR="000F16EB">
        <w:rPr>
          <w:sz w:val="24"/>
          <w:szCs w:val="24"/>
        </w:rPr>
        <w:tab/>
      </w:r>
      <w:r w:rsidR="000F16EB">
        <w:rPr>
          <w:sz w:val="24"/>
          <w:szCs w:val="24"/>
        </w:rPr>
        <w:tab/>
      </w:r>
      <w:r w:rsidR="000F16EB">
        <w:rPr>
          <w:szCs w:val="24"/>
        </w:rPr>
        <w:t>Mass flowrate [kg/s]</w:t>
      </w:r>
    </w:p>
    <w:p w14:paraId="74913626" w14:textId="77777777" w:rsidR="000F16EB" w:rsidRDefault="000F16EB" w:rsidP="000F16EB">
      <w:pPr>
        <w:pStyle w:val="NoSpacing"/>
        <w:rPr>
          <w:szCs w:val="24"/>
        </w:rPr>
      </w:pPr>
      <m:oMath>
        <m:r>
          <w:rPr>
            <w:rFonts w:ascii="Cambria Math" w:hAnsi="Cambria Math"/>
            <w:szCs w:val="24"/>
          </w:rPr>
          <m:t>Mr</m:t>
        </m:r>
      </m:oMath>
      <w:r>
        <w:rPr>
          <w:szCs w:val="24"/>
        </w:rPr>
        <w:tab/>
      </w:r>
      <w:r>
        <w:rPr>
          <w:szCs w:val="24"/>
        </w:rPr>
        <w:tab/>
        <w:t xml:space="preserve">Molecular weight </w:t>
      </w:r>
      <w:r>
        <w:t>[kg/mol]</w:t>
      </w:r>
    </w:p>
    <w:p w14:paraId="01D73928" w14:textId="77777777" w:rsidR="000F16EB" w:rsidRDefault="000F16EB" w:rsidP="000F16EB">
      <w:pPr>
        <w:pStyle w:val="NoSpacing"/>
        <w:rPr>
          <w:szCs w:val="24"/>
        </w:rPr>
      </w:pPr>
      <m:oMath>
        <m:r>
          <w:rPr>
            <w:rFonts w:ascii="Cambria Math" w:hAnsi="Cambria Math"/>
            <w:szCs w:val="24"/>
          </w:rPr>
          <m:t>N</m:t>
        </m:r>
      </m:oMath>
      <w:r>
        <w:rPr>
          <w:szCs w:val="24"/>
        </w:rPr>
        <w:tab/>
      </w:r>
      <w:r>
        <w:rPr>
          <w:szCs w:val="24"/>
        </w:rPr>
        <w:tab/>
        <w:t>Number</w:t>
      </w:r>
    </w:p>
    <w:p w14:paraId="38B875FE" w14:textId="77777777" w:rsidR="000F16EB" w:rsidRDefault="00C73E04" w:rsidP="000F16EB">
      <w:pPr>
        <w:pStyle w:val="NoSpacing"/>
        <w:rPr>
          <w:szCs w:val="24"/>
        </w:rPr>
      </w:pPr>
      <m:oMath>
        <m:sSub>
          <m:sSubPr>
            <m:ctrlPr>
              <w:rPr>
                <w:rFonts w:ascii="Cambria Math" w:hAnsi="Cambria Math" w:cs="Times New Roman"/>
                <w:i/>
                <w:sz w:val="24"/>
                <w:szCs w:val="24"/>
              </w:rPr>
            </m:ctrlPr>
          </m:sSubPr>
          <m:e>
            <m:r>
              <w:rPr>
                <w:rFonts w:ascii="Cambria Math" w:hAnsi="Cambria Math"/>
              </w:rPr>
              <m:t>N</m:t>
            </m:r>
          </m:e>
          <m:sub>
            <m:r>
              <w:rPr>
                <w:rFonts w:ascii="Cambria Math" w:hAnsi="Cambria Math"/>
              </w:rPr>
              <m:t>d</m:t>
            </m:r>
          </m:sub>
        </m:sSub>
      </m:oMath>
      <w:r w:rsidR="000F16EB">
        <w:rPr>
          <w:sz w:val="24"/>
          <w:szCs w:val="24"/>
        </w:rPr>
        <w:tab/>
      </w:r>
      <w:r w:rsidR="000F16EB">
        <w:rPr>
          <w:sz w:val="24"/>
          <w:szCs w:val="24"/>
        </w:rPr>
        <w:tab/>
      </w:r>
      <w:r w:rsidR="000F16EB">
        <w:rPr>
          <w:szCs w:val="24"/>
        </w:rPr>
        <w:t>Degrees of freedom</w:t>
      </w:r>
    </w:p>
    <w:p w14:paraId="17936F8A" w14:textId="77777777" w:rsidR="000F16EB" w:rsidRDefault="00C73E04" w:rsidP="000F16EB">
      <w:pPr>
        <w:pStyle w:val="NoSpacing"/>
        <w:rPr>
          <w:szCs w:val="24"/>
        </w:rPr>
      </w:pPr>
      <m:oMath>
        <m:sSub>
          <m:sSubPr>
            <m:ctrlPr>
              <w:rPr>
                <w:rFonts w:ascii="Cambria Math" w:hAnsi="Cambria Math" w:cs="Times New Roman"/>
                <w:i/>
                <w:sz w:val="24"/>
                <w:szCs w:val="24"/>
              </w:rPr>
            </m:ctrlPr>
          </m:sSubPr>
          <m:e>
            <m:r>
              <w:rPr>
                <w:rFonts w:ascii="Cambria Math" w:hAnsi="Cambria Math"/>
              </w:rPr>
              <m:t>N</m:t>
            </m:r>
          </m:e>
          <m:sub>
            <m:r>
              <w:rPr>
                <w:rFonts w:ascii="Cambria Math" w:hAnsi="Cambria Math"/>
              </w:rPr>
              <m:t>r</m:t>
            </m:r>
          </m:sub>
        </m:sSub>
      </m:oMath>
      <w:r w:rsidR="000F16EB">
        <w:rPr>
          <w:sz w:val="24"/>
          <w:szCs w:val="24"/>
        </w:rPr>
        <w:tab/>
      </w:r>
      <w:r w:rsidR="000F16EB">
        <w:rPr>
          <w:sz w:val="24"/>
          <w:szCs w:val="24"/>
        </w:rPr>
        <w:tab/>
      </w:r>
      <w:r w:rsidR="000F16EB">
        <w:rPr>
          <w:szCs w:val="24"/>
        </w:rPr>
        <w:t>Number of design relationships</w:t>
      </w:r>
    </w:p>
    <w:p w14:paraId="0E2AB895" w14:textId="77777777" w:rsidR="000F16EB" w:rsidRDefault="000F16EB" w:rsidP="000F16EB">
      <w:pPr>
        <w:pStyle w:val="NoSpacing"/>
        <w:rPr>
          <w:szCs w:val="24"/>
        </w:rPr>
      </w:pPr>
      <m:oMath>
        <m:r>
          <w:rPr>
            <w:rFonts w:ascii="Cambria Math" w:hAnsi="Cambria Math"/>
            <w:szCs w:val="24"/>
          </w:rPr>
          <m:t>Nu</m:t>
        </m:r>
      </m:oMath>
      <w:r>
        <w:rPr>
          <w:szCs w:val="24"/>
        </w:rPr>
        <w:tab/>
      </w:r>
      <w:r>
        <w:rPr>
          <w:szCs w:val="24"/>
        </w:rPr>
        <w:tab/>
        <w:t>Nusselt number</w:t>
      </w:r>
    </w:p>
    <w:p w14:paraId="17F7EF7E" w14:textId="77777777" w:rsidR="000F16EB" w:rsidRDefault="00C73E04" w:rsidP="000F16EB">
      <w:pPr>
        <w:pStyle w:val="NoSpacing"/>
        <w:rPr>
          <w:szCs w:val="24"/>
        </w:rPr>
      </w:pPr>
      <m:oMath>
        <m:sSub>
          <m:sSubPr>
            <m:ctrlPr>
              <w:rPr>
                <w:rFonts w:ascii="Cambria Math" w:hAnsi="Cambria Math" w:cs="Times New Roman"/>
                <w:i/>
                <w:sz w:val="24"/>
                <w:szCs w:val="24"/>
              </w:rPr>
            </m:ctrlPr>
          </m:sSubPr>
          <m:e>
            <m:r>
              <w:rPr>
                <w:rFonts w:ascii="Cambria Math" w:hAnsi="Cambria Math"/>
              </w:rPr>
              <m:t>N</m:t>
            </m:r>
          </m:e>
          <m:sub>
            <m:r>
              <w:rPr>
                <w:rFonts w:ascii="Cambria Math" w:hAnsi="Cambria Math"/>
              </w:rPr>
              <m:t>v</m:t>
            </m:r>
          </m:sub>
        </m:sSub>
      </m:oMath>
      <w:r w:rsidR="000F16EB">
        <w:rPr>
          <w:sz w:val="24"/>
          <w:szCs w:val="24"/>
        </w:rPr>
        <w:tab/>
      </w:r>
      <w:r w:rsidR="000F16EB">
        <w:rPr>
          <w:sz w:val="24"/>
          <w:szCs w:val="24"/>
        </w:rPr>
        <w:tab/>
      </w:r>
      <w:r w:rsidR="000F16EB">
        <w:rPr>
          <w:szCs w:val="24"/>
        </w:rPr>
        <w:t>Number of possible variables in a design problem</w:t>
      </w:r>
    </w:p>
    <w:p w14:paraId="1DAB7391" w14:textId="77777777" w:rsidR="000F16EB" w:rsidRDefault="00C73E04" w:rsidP="000F16EB">
      <w:pPr>
        <w:pStyle w:val="NoSpacing"/>
      </w:pPr>
      <m:oMath>
        <m:sSub>
          <m:sSubPr>
            <m:ctrlPr>
              <w:rPr>
                <w:rFonts w:ascii="Cambria Math" w:hAnsi="Cambria Math"/>
                <w:i/>
              </w:rPr>
            </m:ctrlPr>
          </m:sSubPr>
          <m:e>
            <m:r>
              <w:rPr>
                <w:rFonts w:ascii="Cambria Math" w:hAnsi="Cambria Math"/>
              </w:rPr>
              <m:t>n</m:t>
            </m:r>
          </m:e>
          <m:sub>
            <m:r>
              <w:rPr>
                <w:rFonts w:ascii="Cambria Math" w:hAnsi="Cambria Math"/>
              </w:rPr>
              <m:t>1</m:t>
            </m:r>
          </m:sub>
        </m:sSub>
      </m:oMath>
      <w:r w:rsidR="000F16EB">
        <w:tab/>
      </w:r>
      <w:r w:rsidR="000F16EB">
        <w:tab/>
        <w:t>Constant</w:t>
      </w:r>
    </w:p>
    <w:p w14:paraId="557D3D65" w14:textId="77777777" w:rsidR="000F16EB" w:rsidRDefault="000F16EB" w:rsidP="000F16EB">
      <w:pPr>
        <w:pStyle w:val="NoSpacing"/>
      </w:pPr>
      <m:oMath>
        <m:r>
          <w:rPr>
            <w:rFonts w:ascii="Cambria Math" w:hAnsi="Cambria Math"/>
          </w:rPr>
          <m:t>p</m:t>
        </m:r>
      </m:oMath>
      <w:r>
        <w:tab/>
      </w:r>
      <w:r>
        <w:tab/>
        <w:t>Pitch [m]</w:t>
      </w:r>
    </w:p>
    <w:p w14:paraId="40A91C9D" w14:textId="77777777" w:rsidR="000F16EB" w:rsidRDefault="000F16EB" w:rsidP="000F16EB">
      <w:pPr>
        <w:pStyle w:val="NoSpacing"/>
      </w:pPr>
      <m:oMath>
        <m:r>
          <w:rPr>
            <w:rFonts w:ascii="Cambria Math" w:hAnsi="Cambria Math"/>
          </w:rPr>
          <m:t>∆P</m:t>
        </m:r>
      </m:oMath>
      <w:r>
        <w:tab/>
      </w:r>
      <w:r>
        <w:tab/>
        <w:t>Pressure drop [kPa]</w:t>
      </w:r>
    </w:p>
    <w:p w14:paraId="32BB9378" w14:textId="77777777" w:rsidR="000F16EB" w:rsidRDefault="000F16EB" w:rsidP="000F16EB">
      <w:pPr>
        <w:pStyle w:val="NoSpacing"/>
      </w:pPr>
      <m:oMath>
        <m:r>
          <w:rPr>
            <w:rFonts w:ascii="Cambria Math" w:hAnsi="Cambria Math"/>
          </w:rPr>
          <m:t>P</m:t>
        </m:r>
      </m:oMath>
      <w:r>
        <w:tab/>
      </w:r>
      <w:r>
        <w:tab/>
        <w:t>Power demand [MW]</w:t>
      </w:r>
    </w:p>
    <w:p w14:paraId="611533AA" w14:textId="77777777" w:rsidR="000F16EB" w:rsidRDefault="00C73E04" w:rsidP="000F16EB">
      <w:pPr>
        <w:pStyle w:val="NoSpacing"/>
        <w:rPr>
          <w:szCs w:val="24"/>
        </w:rPr>
      </w:pPr>
      <m:oMath>
        <m:sSub>
          <m:sSubPr>
            <m:ctrlPr>
              <w:rPr>
                <w:rFonts w:ascii="Cambria Math" w:hAnsi="Cambria Math"/>
                <w:i/>
              </w:rPr>
            </m:ctrlPr>
          </m:sSubPr>
          <m:e>
            <m:r>
              <w:rPr>
                <w:rFonts w:ascii="Cambria Math" w:hAnsi="Cambria Math"/>
              </w:rPr>
              <m:t>P</m:t>
            </m:r>
          </m:e>
          <m:sub>
            <m:r>
              <w:rPr>
                <w:rFonts w:ascii="Cambria Math" w:hAnsi="Cambria Math"/>
              </w:rPr>
              <m:t>A</m:t>
            </m:r>
          </m:sub>
        </m:sSub>
      </m:oMath>
      <w:r w:rsidR="000F16EB">
        <w:tab/>
      </w:r>
      <w:r w:rsidR="000F16EB">
        <w:tab/>
        <w:t>Power demand per unit area [MW/m</w:t>
      </w:r>
      <w:r w:rsidR="000F16EB">
        <w:rPr>
          <w:vertAlign w:val="superscript"/>
        </w:rPr>
        <w:t>2</w:t>
      </w:r>
      <w:r w:rsidR="000F16EB">
        <w:t>]</w:t>
      </w:r>
    </w:p>
    <w:p w14:paraId="056BEF22" w14:textId="77777777" w:rsidR="000F16EB" w:rsidRDefault="00C73E04" w:rsidP="000F16EB">
      <w:pPr>
        <w:pStyle w:val="NoSpacing"/>
      </w:pPr>
      <m:oMath>
        <m:sSub>
          <m:sSubPr>
            <m:ctrlPr>
              <w:rPr>
                <w:rFonts w:ascii="Cambria Math" w:hAnsi="Cambria Math"/>
                <w:i/>
              </w:rPr>
            </m:ctrlPr>
          </m:sSubPr>
          <m:e>
            <m:r>
              <w:rPr>
                <w:rFonts w:ascii="Cambria Math" w:hAnsi="Cambria Math"/>
              </w:rPr>
              <m:t>P</m:t>
            </m:r>
          </m:e>
          <m:sub>
            <m:r>
              <w:rPr>
                <w:rFonts w:ascii="Cambria Math" w:hAnsi="Cambria Math"/>
              </w:rPr>
              <m:t>L</m:t>
            </m:r>
          </m:sub>
        </m:sSub>
      </m:oMath>
      <w:r w:rsidR="000F16EB">
        <w:tab/>
      </w:r>
      <w:r w:rsidR="000F16EB">
        <w:tab/>
        <w:t>Heat loss [MW]</w:t>
      </w:r>
    </w:p>
    <w:p w14:paraId="18C18DD2" w14:textId="77777777" w:rsidR="000F16EB" w:rsidRDefault="000F16EB" w:rsidP="000F16EB">
      <w:pPr>
        <w:pStyle w:val="NoSpacing"/>
      </w:pPr>
      <m:oMath>
        <m:r>
          <w:rPr>
            <w:rFonts w:ascii="Cambria Math" w:hAnsi="Cambria Math"/>
          </w:rPr>
          <m:t>Pr</m:t>
        </m:r>
      </m:oMath>
      <w:r>
        <w:tab/>
      </w:r>
      <w:r>
        <w:tab/>
        <w:t>Prandtl number</w:t>
      </w:r>
    </w:p>
    <w:p w14:paraId="546A7A0B" w14:textId="77777777" w:rsidR="000F16EB" w:rsidRDefault="000F16EB" w:rsidP="000F16EB">
      <w:pPr>
        <w:pStyle w:val="NoSpacing"/>
      </w:pPr>
      <m:oMath>
        <m:r>
          <w:rPr>
            <w:rFonts w:ascii="Cambria Math" w:hAnsi="Cambria Math"/>
          </w:rPr>
          <m:t>q</m:t>
        </m:r>
      </m:oMath>
      <w:r>
        <w:tab/>
      </w:r>
      <w:r>
        <w:tab/>
        <w:t>Heat content [kJ/hr]</w:t>
      </w:r>
    </w:p>
    <w:p w14:paraId="13D8E026" w14:textId="77777777" w:rsidR="000F16EB" w:rsidRDefault="000F16EB" w:rsidP="000F16EB">
      <w:pPr>
        <w:pStyle w:val="NoSpacing"/>
      </w:pPr>
      <m:oMath>
        <m:r>
          <w:rPr>
            <w:rFonts w:ascii="Cambria Math" w:hAnsi="Cambria Math"/>
          </w:rPr>
          <m:t>Q</m:t>
        </m:r>
      </m:oMath>
      <w:r>
        <w:tab/>
      </w:r>
      <w:r>
        <w:tab/>
        <w:t>Energy demand [MWh]</w:t>
      </w:r>
    </w:p>
    <w:p w14:paraId="021BD7B8" w14:textId="77777777" w:rsidR="000F16EB" w:rsidRDefault="00C73E04" w:rsidP="000F16EB">
      <w:pPr>
        <w:pStyle w:val="NoSpacing"/>
      </w:pPr>
      <m:oMath>
        <m:sSub>
          <m:sSubPr>
            <m:ctrlPr>
              <w:rPr>
                <w:rFonts w:ascii="Cambria Math" w:hAnsi="Cambria Math" w:cs="Times New Roman"/>
                <w:i/>
                <w:sz w:val="24"/>
                <w:szCs w:val="24"/>
              </w:rPr>
            </m:ctrlPr>
          </m:sSubPr>
          <m:e>
            <m:r>
              <w:rPr>
                <w:rFonts w:ascii="Cambria Math" w:hAnsi="Cambria Math"/>
              </w:rPr>
              <m:t>q</m:t>
            </m:r>
          </m:e>
          <m:sub>
            <m:r>
              <w:rPr>
                <w:rFonts w:ascii="Cambria Math" w:hAnsi="Cambria Math"/>
              </w:rPr>
              <m:t>F</m:t>
            </m:r>
          </m:sub>
        </m:sSub>
      </m:oMath>
      <w:r w:rsidR="000F16EB">
        <w:rPr>
          <w:sz w:val="24"/>
          <w:szCs w:val="24"/>
        </w:rPr>
        <w:tab/>
      </w:r>
      <w:r w:rsidR="000F16EB">
        <w:rPr>
          <w:sz w:val="24"/>
          <w:szCs w:val="24"/>
        </w:rPr>
        <w:tab/>
      </w:r>
      <w:r w:rsidR="000F16EB">
        <w:rPr>
          <w:szCs w:val="24"/>
        </w:rPr>
        <w:t xml:space="preserve">Heat flux </w:t>
      </w:r>
      <w:r w:rsidR="000F16EB">
        <w:t>[kJ/(m</w:t>
      </w:r>
      <w:r w:rsidR="000F16EB">
        <w:rPr>
          <w:vertAlign w:val="superscript"/>
        </w:rPr>
        <w:t>2</w:t>
      </w:r>
      <w:r w:rsidR="000F16EB">
        <w:t>s)]</w:t>
      </w:r>
    </w:p>
    <w:p w14:paraId="012F4D05" w14:textId="77777777" w:rsidR="000F16EB" w:rsidRDefault="00C73E04" w:rsidP="000F16EB">
      <w:pPr>
        <w:pStyle w:val="NoSpacing"/>
      </w:pPr>
      <m:oMath>
        <m:sSub>
          <m:sSubPr>
            <m:ctrlPr>
              <w:rPr>
                <w:rFonts w:ascii="Cambria Math" w:hAnsi="Cambria Math" w:cs="Times New Roman"/>
                <w:i/>
                <w:sz w:val="24"/>
                <w:szCs w:val="24"/>
              </w:rPr>
            </m:ctrlPr>
          </m:sSubPr>
          <m:e>
            <m:r>
              <w:rPr>
                <w:rFonts w:ascii="Cambria Math" w:hAnsi="Cambria Math"/>
              </w:rPr>
              <m:t>Q</m:t>
            </m:r>
          </m:e>
          <m:sub>
            <m:r>
              <w:rPr>
                <w:rFonts w:ascii="Cambria Math" w:hAnsi="Cambria Math"/>
              </w:rPr>
              <m:t>F</m:t>
            </m:r>
          </m:sub>
        </m:sSub>
      </m:oMath>
      <w:r w:rsidR="000F16EB">
        <w:rPr>
          <w:sz w:val="24"/>
          <w:szCs w:val="24"/>
        </w:rPr>
        <w:tab/>
      </w:r>
      <w:r w:rsidR="000F16EB">
        <w:rPr>
          <w:sz w:val="24"/>
          <w:szCs w:val="24"/>
        </w:rPr>
        <w:tab/>
      </w:r>
      <w:r w:rsidR="000F16EB">
        <w:rPr>
          <w:szCs w:val="24"/>
        </w:rPr>
        <w:t>Volumetric flowrate [</w:t>
      </w:r>
      <w:r w:rsidR="000F16EB">
        <w:t>m</w:t>
      </w:r>
      <w:r w:rsidR="000F16EB">
        <w:rPr>
          <w:vertAlign w:val="superscript"/>
        </w:rPr>
        <w:t>3</w:t>
      </w:r>
      <w:r w:rsidR="000F16EB">
        <w:t>/s]</w:t>
      </w:r>
    </w:p>
    <w:p w14:paraId="0EAA5B84" w14:textId="77777777" w:rsidR="000F16EB" w:rsidRDefault="000F16EB" w:rsidP="000F16EB">
      <w:pPr>
        <w:pStyle w:val="NoSpacing"/>
      </w:pPr>
      <m:oMath>
        <m:r>
          <w:rPr>
            <w:rFonts w:ascii="Cambria Math" w:hAnsi="Cambria Math"/>
          </w:rPr>
          <m:t>R</m:t>
        </m:r>
      </m:oMath>
      <w:r>
        <w:tab/>
      </w:r>
      <w:r>
        <w:tab/>
        <w:t>Dim</w:t>
      </w:r>
      <w:proofErr w:type="spellStart"/>
      <w:r>
        <w:t>ensionless</w:t>
      </w:r>
      <w:proofErr w:type="spellEnd"/>
      <w:r>
        <w:t xml:space="preserve"> temperature factor</w:t>
      </w:r>
    </w:p>
    <w:p w14:paraId="38857EE3" w14:textId="77777777" w:rsidR="000F16EB" w:rsidRDefault="000F16EB" w:rsidP="000F16EB">
      <w:pPr>
        <w:pStyle w:val="NoSpacing"/>
      </w:pPr>
      <m:oMath>
        <m:r>
          <w:rPr>
            <w:rFonts w:ascii="Cambria Math" w:hAnsi="Cambria Math"/>
          </w:rPr>
          <m:t>Re</m:t>
        </m:r>
      </m:oMath>
      <w:r>
        <w:tab/>
      </w:r>
      <w:r>
        <w:tab/>
        <w:t>Reynolds number</w:t>
      </w:r>
    </w:p>
    <w:p w14:paraId="74618A0F" w14:textId="77777777" w:rsidR="000F16EB" w:rsidRDefault="000F16EB" w:rsidP="000F16EB">
      <w:pPr>
        <w:pStyle w:val="NoSpacing"/>
      </w:pPr>
      <m:oMath>
        <m:r>
          <w:rPr>
            <w:rFonts w:ascii="Cambria Math" w:hAnsi="Cambria Math"/>
          </w:rPr>
          <m:t>s</m:t>
        </m:r>
      </m:oMath>
      <w:r>
        <w:tab/>
      </w:r>
      <w:r>
        <w:tab/>
        <w:t>Entropy [kJ/(kgK)]</w:t>
      </w:r>
    </w:p>
    <w:p w14:paraId="5CFA4B52" w14:textId="77777777" w:rsidR="000F16EB" w:rsidRDefault="000F16EB" w:rsidP="000F16EB">
      <w:pPr>
        <w:pStyle w:val="NoSpacing"/>
      </w:pPr>
      <m:oMath>
        <m:r>
          <w:rPr>
            <w:rFonts w:ascii="Cambria Math" w:hAnsi="Cambria Math"/>
          </w:rPr>
          <m:t>S</m:t>
        </m:r>
      </m:oMath>
      <w:r>
        <w:tab/>
      </w:r>
      <w:r>
        <w:tab/>
        <w:t>Dimensionless temperature factor</w:t>
      </w:r>
    </w:p>
    <w:p w14:paraId="09287BF5" w14:textId="77777777" w:rsidR="000F16EB" w:rsidRDefault="000F16EB" w:rsidP="000F16EB">
      <w:pPr>
        <w:pStyle w:val="NoSpacing"/>
      </w:pPr>
      <m:oMath>
        <m:r>
          <w:rPr>
            <w:rFonts w:ascii="Cambria Math" w:hAnsi="Cambria Math"/>
          </w:rPr>
          <m:t>t</m:t>
        </m:r>
      </m:oMath>
      <w:r>
        <w:tab/>
      </w:r>
      <w:r>
        <w:tab/>
        <w:t>Time [s]</w:t>
      </w:r>
      <w:r>
        <w:tab/>
      </w:r>
    </w:p>
    <w:p w14:paraId="71282072" w14:textId="77777777" w:rsidR="000F16EB" w:rsidRDefault="000F16EB" w:rsidP="000F16EB">
      <w:pPr>
        <w:pStyle w:val="NoSpacing"/>
      </w:pPr>
      <m:oMath>
        <m:r>
          <w:rPr>
            <w:rFonts w:ascii="Cambria Math" w:hAnsi="Cambria Math"/>
          </w:rPr>
          <m:t>T</m:t>
        </m:r>
      </m:oMath>
      <w:r>
        <w:tab/>
      </w:r>
      <w:r>
        <w:tab/>
        <w:t>Temperature [°C]</w:t>
      </w:r>
    </w:p>
    <w:p w14:paraId="2B71A954" w14:textId="77777777" w:rsidR="000F16EB" w:rsidRDefault="00C73E04" w:rsidP="000F16EB">
      <w:pPr>
        <w:pStyle w:val="NoSpacing"/>
      </w:pPr>
      <m:oMath>
        <m:sSub>
          <m:sSubPr>
            <m:ctrlPr>
              <w:rPr>
                <w:rFonts w:ascii="Cambria Math" w:hAnsi="Cambria Math"/>
                <w:i/>
              </w:rPr>
            </m:ctrlPr>
          </m:sSubPr>
          <m:e>
            <m:r>
              <w:rPr>
                <w:rFonts w:ascii="Cambria Math" w:hAnsi="Cambria Math"/>
              </w:rPr>
              <m:t>T</m:t>
            </m:r>
          </m:e>
          <m:sub>
            <m:r>
              <w:rPr>
                <w:rFonts w:ascii="Cambria Math" w:hAnsi="Cambria Math"/>
              </w:rPr>
              <m:t>dd</m:t>
            </m:r>
          </m:sub>
        </m:sSub>
      </m:oMath>
      <w:r w:rsidR="000F16EB">
        <w:tab/>
      </w:r>
      <w:r w:rsidR="000F16EB">
        <w:tab/>
        <w:t>Monthly degree day [°C/hr]</w:t>
      </w:r>
    </w:p>
    <w:p w14:paraId="4279D55B" w14:textId="77777777" w:rsidR="000F16EB" w:rsidRDefault="000F16EB" w:rsidP="000F16EB">
      <w:pPr>
        <w:pStyle w:val="NoSpacing"/>
      </w:pPr>
      <m:oMath>
        <m:r>
          <m:rPr>
            <m:nor/>
          </m:rPr>
          <w:rPr>
            <w:rFonts w:ascii="Cambria Math" w:hAnsi="Cambria Math"/>
          </w:rPr>
          <m:t>TDF</m:t>
        </m:r>
      </m:oMath>
      <w:r>
        <w:tab/>
      </w:r>
      <w:r>
        <w:tab/>
        <w:t>Temperature dependent factor</w:t>
      </w:r>
    </w:p>
    <w:p w14:paraId="56FAD5BB" w14:textId="77777777" w:rsidR="000F16EB" w:rsidRDefault="000F16EB" w:rsidP="000F16EB">
      <w:pPr>
        <w:pStyle w:val="NoSpacing"/>
      </w:pPr>
      <m:oMath>
        <m:r>
          <w:rPr>
            <w:rFonts w:ascii="Cambria Math" w:hAnsi="Cambria Math"/>
          </w:rPr>
          <m:t>TSR</m:t>
        </m:r>
      </m:oMath>
      <w:r>
        <w:tab/>
      </w:r>
      <w:r>
        <w:tab/>
        <w:t>Theoretical steam ra</w:t>
      </w:r>
      <w:proofErr w:type="spellStart"/>
      <w:r>
        <w:t>te</w:t>
      </w:r>
      <w:proofErr w:type="spellEnd"/>
      <w:r>
        <w:t xml:space="preserve"> [kg/kWh]</w:t>
      </w:r>
    </w:p>
    <w:p w14:paraId="6FE64052" w14:textId="77777777" w:rsidR="000F16EB" w:rsidRDefault="000F16EB" w:rsidP="000F16EB">
      <w:pPr>
        <w:pStyle w:val="NoSpacing"/>
      </w:pPr>
      <m:oMath>
        <m:r>
          <w:rPr>
            <w:rFonts w:ascii="Cambria Math" w:hAnsi="Cambria Math"/>
          </w:rPr>
          <m:t>U</m:t>
        </m:r>
      </m:oMath>
      <w:r>
        <w:tab/>
      </w:r>
      <w:r>
        <w:tab/>
        <w:t>Heat transfer coefficient [MW/(m</w:t>
      </w:r>
      <w:r>
        <w:rPr>
          <w:vertAlign w:val="superscript"/>
        </w:rPr>
        <w:t>2</w:t>
      </w:r>
      <w:r>
        <w:t>K)]</w:t>
      </w:r>
    </w:p>
    <w:p w14:paraId="6F3E7E60" w14:textId="77777777" w:rsidR="000F16EB" w:rsidRDefault="000F16EB" w:rsidP="000F16EB">
      <w:pPr>
        <w:pStyle w:val="NoSpacing"/>
      </w:pPr>
      <m:oMath>
        <m:r>
          <w:rPr>
            <w:rFonts w:ascii="Cambria Math" w:hAnsi="Cambria Math"/>
          </w:rPr>
          <w:lastRenderedPageBreak/>
          <m:t>v</m:t>
        </m:r>
      </m:oMath>
      <w:r>
        <w:tab/>
      </w:r>
      <w:r>
        <w:tab/>
        <w:t>Velocity [m/s]</w:t>
      </w:r>
    </w:p>
    <w:p w14:paraId="4B831AFE" w14:textId="0911393A" w:rsidR="000F16EB" w:rsidRDefault="000F16EB" w:rsidP="000F16EB">
      <w:pPr>
        <w:pStyle w:val="NoSpacing"/>
      </w:pPr>
      <m:oMath>
        <m:r>
          <w:rPr>
            <w:rFonts w:ascii="Cambria Math" w:hAnsi="Cambria Math"/>
          </w:rPr>
          <m:t>V</m:t>
        </m:r>
      </m:oMath>
      <w:r>
        <w:tab/>
      </w:r>
      <w:r>
        <w:tab/>
        <w:t>Volume [m</w:t>
      </w:r>
      <w:r>
        <w:rPr>
          <w:vertAlign w:val="superscript"/>
        </w:rPr>
        <w:t>3</w:t>
      </w:r>
      <w:r>
        <w:t>]</w:t>
      </w:r>
    </w:p>
    <w:p w14:paraId="74CD175F" w14:textId="59441006" w:rsidR="00C36B79" w:rsidRPr="00C36B79" w:rsidRDefault="00C73E04" w:rsidP="000F16EB">
      <w:pPr>
        <w:pStyle w:val="NoSpacing"/>
      </w:pPr>
      <m:oMath>
        <m:acc>
          <m:accPr>
            <m:chr m:val="̇"/>
            <m:ctrlPr>
              <w:rPr>
                <w:rFonts w:ascii="Cambria Math" w:hAnsi="Cambria Math"/>
                <w:i/>
              </w:rPr>
            </m:ctrlPr>
          </m:accPr>
          <m:e>
            <m:r>
              <w:rPr>
                <w:rFonts w:ascii="Cambria Math" w:hAnsi="Cambria Math"/>
              </w:rPr>
              <m:t>V</m:t>
            </m:r>
          </m:e>
        </m:acc>
      </m:oMath>
      <w:r w:rsidR="00C36B79">
        <w:tab/>
      </w:r>
      <w:r w:rsidR="00C36B79">
        <w:tab/>
        <w:t>Volumetric flow [m</w:t>
      </w:r>
      <w:r w:rsidR="00C36B79">
        <w:rPr>
          <w:vertAlign w:val="superscript"/>
        </w:rPr>
        <w:t>3</w:t>
      </w:r>
      <w:r w:rsidR="00C36B79">
        <w:t>/(m</w:t>
      </w:r>
      <w:r w:rsidR="00C36B79">
        <w:rPr>
          <w:vertAlign w:val="superscript"/>
        </w:rPr>
        <w:t>2</w:t>
      </w:r>
      <w:r w:rsidR="00C36B79">
        <w:t>s)]</w:t>
      </w:r>
    </w:p>
    <w:p w14:paraId="7FAF4E52" w14:textId="77777777" w:rsidR="000F16EB" w:rsidRDefault="000F16EB" w:rsidP="000F16EB">
      <w:pPr>
        <w:pStyle w:val="NoSpacing"/>
      </w:pPr>
      <m:oMath>
        <m:r>
          <w:rPr>
            <w:rFonts w:ascii="Cambria Math" w:hAnsi="Cambria Math"/>
          </w:rPr>
          <m:t>VR</m:t>
        </m:r>
      </m:oMath>
      <w:r>
        <w:tab/>
      </w:r>
      <w:r>
        <w:tab/>
        <w:t>Velocity ratio</w:t>
      </w:r>
    </w:p>
    <w:p w14:paraId="035CAE02" w14:textId="77777777" w:rsidR="000F16EB" w:rsidRDefault="000F16EB" w:rsidP="000F16EB">
      <w:pPr>
        <w:pStyle w:val="NoSpacing"/>
      </w:pPr>
      <m:oMath>
        <m:r>
          <w:rPr>
            <w:rFonts w:ascii="Cambria Math" w:hAnsi="Cambria Math"/>
          </w:rPr>
          <m:t>w</m:t>
        </m:r>
      </m:oMath>
      <w:r>
        <w:tab/>
      </w:r>
      <w:r>
        <w:tab/>
        <w:t>Work [kJ/kg]</w:t>
      </w:r>
    </w:p>
    <w:p w14:paraId="158C2CEA" w14:textId="77777777" w:rsidR="000F16EB" w:rsidRPr="00864776" w:rsidRDefault="000F16EB" w:rsidP="000F16EB">
      <w:pPr>
        <w:pStyle w:val="NoSpacing"/>
      </w:pPr>
      <m:oMath>
        <m:r>
          <w:rPr>
            <w:rFonts w:ascii="Cambria Math" w:hAnsi="Cambria Math"/>
          </w:rPr>
          <m:t>W</m:t>
        </m:r>
      </m:oMath>
      <w:r>
        <w:tab/>
      </w:r>
      <w:r>
        <w:tab/>
        <w:t>Width</w:t>
      </w:r>
    </w:p>
    <w:p w14:paraId="3DA3CA99" w14:textId="77777777" w:rsidR="000F16EB" w:rsidRDefault="000F16EB" w:rsidP="000F16EB">
      <w:pPr>
        <w:pStyle w:val="NoSpacing"/>
      </w:pPr>
      <m:oMath>
        <m:r>
          <w:rPr>
            <w:rFonts w:ascii="Cambria Math" w:hAnsi="Cambria Math"/>
          </w:rPr>
          <m:t>x</m:t>
        </m:r>
      </m:oMath>
      <w:r>
        <w:tab/>
      </w:r>
      <w:r>
        <w:tab/>
        <w:t>Mass fraction</w:t>
      </w:r>
    </w:p>
    <w:p w14:paraId="4FA03542" w14:textId="77777777" w:rsidR="000F16EB" w:rsidRDefault="00C73E04" w:rsidP="000F16EB">
      <w:pPr>
        <w:pStyle w:val="NoSpacing"/>
      </w:pPr>
      <m:oMath>
        <m:sSub>
          <m:sSubPr>
            <m:ctrlPr>
              <w:rPr>
                <w:rFonts w:ascii="Cambria Math" w:hAnsi="Cambria Math"/>
                <w:i/>
              </w:rPr>
            </m:ctrlPr>
          </m:sSubPr>
          <m:e>
            <m:r>
              <w:rPr>
                <w:rFonts w:ascii="Cambria Math" w:hAnsi="Cambria Math"/>
              </w:rPr>
              <m:t>y</m:t>
            </m:r>
          </m:e>
          <m:sub>
            <m:r>
              <w:rPr>
                <w:rFonts w:ascii="Cambria Math" w:hAnsi="Cambria Math"/>
              </w:rPr>
              <m:t>t</m:t>
            </m:r>
          </m:sub>
        </m:sSub>
      </m:oMath>
      <w:r w:rsidR="000F16EB">
        <w:tab/>
      </w:r>
      <w:r w:rsidR="000F16EB">
        <w:tab/>
        <w:t>A calculation parameter</w:t>
      </w:r>
    </w:p>
    <w:p w14:paraId="50281179" w14:textId="77777777" w:rsidR="000F16EB" w:rsidRDefault="000F16EB" w:rsidP="000F16EB">
      <w:pPr>
        <w:pStyle w:val="Heading8"/>
      </w:pPr>
      <w:r>
        <w:t xml:space="preserve">Greek </w:t>
      </w:r>
      <w:r w:rsidRPr="00401C99">
        <w:t>Letters</w:t>
      </w:r>
    </w:p>
    <w:p w14:paraId="2C332966" w14:textId="77777777" w:rsidR="000F16EB" w:rsidRDefault="000F16EB" w:rsidP="000F16EB">
      <w:pPr>
        <w:pStyle w:val="NoSpacing"/>
        <w:rPr>
          <w:szCs w:val="24"/>
        </w:rPr>
      </w:pPr>
      <m:oMath>
        <m:r>
          <w:rPr>
            <w:rFonts w:ascii="Cambria Math" w:hAnsi="Cambria Math"/>
            <w:szCs w:val="24"/>
          </w:rPr>
          <m:t>α</m:t>
        </m:r>
      </m:oMath>
      <w:r>
        <w:rPr>
          <w:szCs w:val="24"/>
        </w:rPr>
        <w:tab/>
      </w:r>
      <w:r>
        <w:rPr>
          <w:szCs w:val="24"/>
        </w:rPr>
        <w:tab/>
        <w:t>Constant</w:t>
      </w:r>
    </w:p>
    <w:p w14:paraId="41C7EABF" w14:textId="77777777" w:rsidR="000F16EB" w:rsidRDefault="000F16EB" w:rsidP="000F16EB">
      <w:pPr>
        <w:pStyle w:val="NoSpacing"/>
        <w:rPr>
          <w:szCs w:val="24"/>
        </w:rPr>
      </w:pPr>
      <m:oMath>
        <m:r>
          <w:rPr>
            <w:rFonts w:ascii="Cambria Math" w:hAnsi="Cambria Math"/>
            <w:szCs w:val="24"/>
          </w:rPr>
          <m:t>β</m:t>
        </m:r>
      </m:oMath>
      <w:r>
        <w:rPr>
          <w:szCs w:val="24"/>
        </w:rPr>
        <w:tab/>
      </w:r>
      <w:r>
        <w:rPr>
          <w:szCs w:val="24"/>
        </w:rPr>
        <w:tab/>
        <w:t>Constant</w:t>
      </w:r>
    </w:p>
    <w:p w14:paraId="2D85802C" w14:textId="77777777" w:rsidR="000F16EB" w:rsidRDefault="000F16EB" w:rsidP="000F16EB">
      <w:pPr>
        <w:pStyle w:val="NoSpacing"/>
      </w:pPr>
      <m:oMath>
        <m:r>
          <w:rPr>
            <w:rFonts w:ascii="Cambria Math" w:hAnsi="Cambria Math"/>
          </w:rPr>
          <m:t>∆</m:t>
        </m:r>
      </m:oMath>
      <w:r>
        <w:tab/>
      </w:r>
      <w:r>
        <w:tab/>
        <w:t>Change</w:t>
      </w:r>
    </w:p>
    <w:p w14:paraId="7592E934" w14:textId="77777777" w:rsidR="000F16EB" w:rsidRDefault="000F16EB" w:rsidP="000F16EB">
      <w:pPr>
        <w:pStyle w:val="NoSpacing"/>
      </w:pPr>
      <m:oMath>
        <m:r>
          <w:rPr>
            <w:rFonts w:ascii="Cambria Math" w:hAnsi="Cambria Math"/>
          </w:rPr>
          <m:t>η</m:t>
        </m:r>
      </m:oMath>
      <w:r>
        <w:tab/>
      </w:r>
      <w:r>
        <w:tab/>
        <w:t>Efficiency [%]</w:t>
      </w:r>
    </w:p>
    <w:p w14:paraId="20096C33" w14:textId="77777777" w:rsidR="000F16EB" w:rsidRDefault="000F16EB" w:rsidP="000F16EB">
      <w:pPr>
        <w:pStyle w:val="NoSpacing"/>
      </w:pPr>
      <m:oMath>
        <m:r>
          <w:rPr>
            <w:rFonts w:ascii="Cambria Math" w:hAnsi="Cambria Math"/>
          </w:rPr>
          <m:t>ρ</m:t>
        </m:r>
      </m:oMath>
      <w:r>
        <w:tab/>
      </w:r>
      <w:r>
        <w:tab/>
        <w:t>Density [kg/m</w:t>
      </w:r>
      <w:r>
        <w:rPr>
          <w:vertAlign w:val="superscript"/>
        </w:rPr>
        <w:t>3</w:t>
      </w:r>
      <w:r>
        <w:t>]</w:t>
      </w:r>
    </w:p>
    <w:p w14:paraId="2488A131" w14:textId="77777777" w:rsidR="000F16EB" w:rsidRDefault="000F16EB" w:rsidP="000F16EB">
      <w:pPr>
        <w:pStyle w:val="NoSpacing"/>
        <w:rPr>
          <w:szCs w:val="24"/>
        </w:rPr>
      </w:pPr>
      <m:oMath>
        <m:r>
          <w:rPr>
            <w:rFonts w:ascii="Cambria Math" w:hAnsi="Cambria Math"/>
            <w:szCs w:val="24"/>
          </w:rPr>
          <m:t>μ</m:t>
        </m:r>
      </m:oMath>
      <w:r>
        <w:rPr>
          <w:szCs w:val="24"/>
        </w:rPr>
        <w:tab/>
      </w:r>
      <w:r>
        <w:rPr>
          <w:szCs w:val="24"/>
        </w:rPr>
        <w:tab/>
        <w:t>Viscosity [Pas]</w:t>
      </w:r>
    </w:p>
    <w:p w14:paraId="289CA547" w14:textId="77777777" w:rsidR="000F16EB" w:rsidRPr="00812A5B" w:rsidRDefault="000F16EB" w:rsidP="000F16EB">
      <w:pPr>
        <w:pStyle w:val="NoSpacing"/>
        <w:rPr>
          <w:iCs/>
          <w:sz w:val="24"/>
          <w:szCs w:val="24"/>
        </w:rPr>
      </w:pPr>
      <m:oMath>
        <m:r>
          <w:rPr>
            <w:rFonts w:ascii="Cambria Math" w:hAnsi="Cambria Math"/>
            <w:lang w:val="el-GR"/>
          </w:rPr>
          <m:t>Γ</m:t>
        </m:r>
      </m:oMath>
      <w:r>
        <w:rPr>
          <w:lang w:val="el-GR"/>
        </w:rPr>
        <w:tab/>
      </w:r>
      <w:r>
        <w:rPr>
          <w:lang w:val="el-GR"/>
        </w:rPr>
        <w:tab/>
      </w:r>
      <w:r>
        <w:t>Vertical tube loading [kg/(</w:t>
      </w:r>
      <w:proofErr w:type="spellStart"/>
      <w:r>
        <w:t>sm</w:t>
      </w:r>
      <w:proofErr w:type="spellEnd"/>
      <w:r>
        <w:t>)]</w:t>
      </w:r>
    </w:p>
    <w:p w14:paraId="1C7D4B6B" w14:textId="77777777" w:rsidR="000F16EB" w:rsidRDefault="000F16EB" w:rsidP="000F16EB">
      <w:pPr>
        <w:pStyle w:val="Heading8"/>
      </w:pPr>
      <w:r>
        <w:t>Subscripts and Superscripts</w:t>
      </w:r>
    </w:p>
    <w:p w14:paraId="0DC30B4F" w14:textId="77777777" w:rsidR="000F16EB" w:rsidRDefault="000F16EB" w:rsidP="000F16EB">
      <w:pPr>
        <w:pStyle w:val="NoSpacing"/>
        <w:rPr>
          <w:i/>
        </w:rPr>
      </w:pPr>
      <m:oMath>
        <m:r>
          <w:rPr>
            <w:rFonts w:ascii="Cambria Math" w:hAnsi="Cambria Math"/>
          </w:rPr>
          <m:t>a</m:t>
        </m:r>
      </m:oMath>
      <w:r>
        <w:tab/>
      </w:r>
      <w:r>
        <w:tab/>
        <w:t xml:space="preserve">Compound, </w:t>
      </w:r>
      <w:r>
        <w:rPr>
          <w:i/>
        </w:rPr>
        <w:t>a</w:t>
      </w:r>
    </w:p>
    <w:p w14:paraId="0E959B76" w14:textId="77777777" w:rsidR="000F16EB" w:rsidRPr="00864776" w:rsidRDefault="000F16EB" w:rsidP="000F16EB">
      <w:pPr>
        <w:pStyle w:val="NoSpacing"/>
      </w:pPr>
      <m:oMath>
        <m:r>
          <w:rPr>
            <w:rFonts w:ascii="Cambria Math" w:hAnsi="Cambria Math"/>
          </w:rPr>
          <m:t>amb</m:t>
        </m:r>
      </m:oMath>
      <w:r>
        <w:rPr>
          <w:i/>
        </w:rPr>
        <w:tab/>
      </w:r>
      <w:r>
        <w:rPr>
          <w:i/>
        </w:rPr>
        <w:tab/>
      </w:r>
      <w:r>
        <w:t>Ambient</w:t>
      </w:r>
    </w:p>
    <w:p w14:paraId="1C79B577" w14:textId="77777777" w:rsidR="000F16EB" w:rsidRDefault="000F16EB" w:rsidP="000F16EB">
      <w:pPr>
        <w:pStyle w:val="NoSpacing"/>
      </w:pPr>
      <m:oMath>
        <m:r>
          <w:rPr>
            <w:rFonts w:ascii="Cambria Math" w:hAnsi="Cambria Math"/>
          </w:rPr>
          <m:t>As</m:t>
        </m:r>
      </m:oMath>
      <w:r>
        <w:rPr>
          <w:i/>
        </w:rPr>
        <w:tab/>
      </w:r>
      <w:r>
        <w:rPr>
          <w:i/>
        </w:rPr>
        <w:tab/>
      </w:r>
      <w:r>
        <w:t>Assumed</w:t>
      </w:r>
    </w:p>
    <w:p w14:paraId="04336788" w14:textId="77777777" w:rsidR="000F16EB" w:rsidRDefault="000F16EB" w:rsidP="000F16EB">
      <w:pPr>
        <w:pStyle w:val="NoSpacing"/>
      </w:pPr>
      <m:oMath>
        <m:r>
          <w:rPr>
            <w:rFonts w:ascii="Cambria Math" w:hAnsi="Cambria Math"/>
          </w:rPr>
          <m:t>atm</m:t>
        </m:r>
      </m:oMath>
      <w:r>
        <w:tab/>
      </w:r>
      <w:r>
        <w:tab/>
        <w:t>Atmospheric</w:t>
      </w:r>
    </w:p>
    <w:p w14:paraId="431782F4" w14:textId="77777777" w:rsidR="000F16EB" w:rsidRPr="00BF6DFD" w:rsidRDefault="000F16EB" w:rsidP="000F16EB">
      <w:pPr>
        <w:pStyle w:val="NoSpacing"/>
      </w:pPr>
      <m:oMath>
        <m:r>
          <w:rPr>
            <w:rFonts w:ascii="Cambria Math" w:hAnsi="Cambria Math"/>
          </w:rPr>
          <m:t>avg</m:t>
        </m:r>
      </m:oMath>
      <w:r>
        <w:tab/>
      </w:r>
      <w:r>
        <w:tab/>
        <w:t>Average</w:t>
      </w:r>
    </w:p>
    <w:p w14:paraId="7807AD78" w14:textId="77777777" w:rsidR="000F16EB" w:rsidRDefault="000F16EB" w:rsidP="000F16EB">
      <w:pPr>
        <w:pStyle w:val="NoSpacing"/>
        <w:rPr>
          <w:i/>
        </w:rPr>
      </w:pPr>
      <m:oMath>
        <m:r>
          <w:rPr>
            <w:rFonts w:ascii="Cambria Math" w:hAnsi="Cambria Math"/>
          </w:rPr>
          <m:t>b</m:t>
        </m:r>
      </m:oMath>
      <w:r>
        <w:tab/>
      </w:r>
      <w:r>
        <w:tab/>
        <w:t xml:space="preserve">Building category, </w:t>
      </w:r>
      <w:r>
        <w:rPr>
          <w:i/>
        </w:rPr>
        <w:t>b</w:t>
      </w:r>
    </w:p>
    <w:p w14:paraId="5996C4D6" w14:textId="77777777" w:rsidR="000F16EB" w:rsidRDefault="000F16EB" w:rsidP="000F16EB">
      <w:pPr>
        <w:pStyle w:val="NoSpacing"/>
      </w:pPr>
      <m:oMath>
        <m:r>
          <w:rPr>
            <w:rFonts w:ascii="Cambria Math" w:hAnsi="Cambria Math"/>
          </w:rPr>
          <m:t>ba</m:t>
        </m:r>
      </m:oMath>
      <w:r>
        <w:rPr>
          <w:i/>
        </w:rPr>
        <w:tab/>
      </w:r>
      <w:r>
        <w:rPr>
          <w:i/>
        </w:rPr>
        <w:tab/>
      </w:r>
      <w:r>
        <w:t>Baffle</w:t>
      </w:r>
    </w:p>
    <w:p w14:paraId="080A237B" w14:textId="77777777" w:rsidR="000F16EB" w:rsidRPr="00A7365D" w:rsidRDefault="000F16EB" w:rsidP="000F16EB">
      <w:pPr>
        <w:pStyle w:val="NoSpacing"/>
      </w:pPr>
      <m:oMath>
        <m:r>
          <w:rPr>
            <w:rFonts w:ascii="Cambria Math" w:hAnsi="Cambria Math"/>
          </w:rPr>
          <m:t>be</m:t>
        </m:r>
      </m:oMath>
      <w:r>
        <w:tab/>
      </w:r>
      <w:r>
        <w:tab/>
        <w:t>Beam</w:t>
      </w:r>
    </w:p>
    <w:p w14:paraId="07FFE214" w14:textId="77777777" w:rsidR="000F16EB" w:rsidRPr="003D76E6" w:rsidRDefault="000F16EB" w:rsidP="000F16EB">
      <w:pPr>
        <w:pStyle w:val="NoSpacing"/>
      </w:pPr>
      <m:oMath>
        <m:r>
          <w:rPr>
            <w:rFonts w:ascii="Cambria Math" w:hAnsi="Cambria Math"/>
          </w:rPr>
          <m:t>bu</m:t>
        </m:r>
      </m:oMath>
      <w:r>
        <w:tab/>
      </w:r>
      <w:r>
        <w:tab/>
        <w:t>Bundle</w:t>
      </w:r>
    </w:p>
    <w:p w14:paraId="7E90DC2C" w14:textId="77777777" w:rsidR="000F16EB" w:rsidRDefault="000F16EB" w:rsidP="000F16EB">
      <w:pPr>
        <w:pStyle w:val="NoSpacing"/>
      </w:pPr>
      <m:oMath>
        <m:r>
          <w:rPr>
            <w:rFonts w:ascii="Cambria Math" w:hAnsi="Cambria Math"/>
          </w:rPr>
          <m:t>c</m:t>
        </m:r>
      </m:oMath>
      <w:r>
        <w:tab/>
      </w:r>
      <w:r>
        <w:tab/>
        <w:t>Cold fluid</w:t>
      </w:r>
    </w:p>
    <w:p w14:paraId="165B8C0F" w14:textId="77777777" w:rsidR="000F16EB" w:rsidRDefault="000F16EB" w:rsidP="000F16EB">
      <w:pPr>
        <w:pStyle w:val="NoSpacing"/>
      </w:pPr>
      <m:oMath>
        <m:r>
          <w:rPr>
            <w:rFonts w:ascii="Cambria Math" w:hAnsi="Cambria Math"/>
          </w:rPr>
          <m:t>C</m:t>
        </m:r>
      </m:oMath>
      <w:r>
        <w:tab/>
      </w:r>
      <w:r>
        <w:tab/>
        <w:t>Convection section of the heater</w:t>
      </w:r>
    </w:p>
    <w:p w14:paraId="5118C988" w14:textId="77777777" w:rsidR="000F16EB" w:rsidRPr="00F67895" w:rsidRDefault="000F16EB" w:rsidP="000F16EB">
      <w:pPr>
        <w:pStyle w:val="NoSpacing"/>
      </w:pPr>
      <m:oMath>
        <m:r>
          <w:rPr>
            <w:rFonts w:ascii="Cambria Math" w:hAnsi="Cambria Math"/>
          </w:rPr>
          <m:t>ca</m:t>
        </m:r>
      </m:oMath>
      <w:r>
        <w:rPr>
          <w:i/>
        </w:rPr>
        <w:tab/>
      </w:r>
      <w:r>
        <w:rPr>
          <w:i/>
        </w:rPr>
        <w:tab/>
      </w:r>
      <w:r>
        <w:t>Combustion air</w:t>
      </w:r>
    </w:p>
    <w:p w14:paraId="3EF83515" w14:textId="77777777" w:rsidR="000F16EB" w:rsidRPr="00864776" w:rsidRDefault="000F16EB" w:rsidP="000F16EB">
      <w:pPr>
        <w:pStyle w:val="NoSpacing"/>
      </w:pPr>
      <m:oMath>
        <m:r>
          <w:rPr>
            <w:rFonts w:ascii="Cambria Math" w:hAnsi="Cambria Math"/>
          </w:rPr>
          <m:t>cap</m:t>
        </m:r>
      </m:oMath>
      <w:r>
        <w:rPr>
          <w:i/>
        </w:rPr>
        <w:tab/>
      </w:r>
      <w:r>
        <w:rPr>
          <w:i/>
        </w:rPr>
        <w:tab/>
      </w:r>
      <w:r>
        <w:t>Capacity</w:t>
      </w:r>
    </w:p>
    <w:p w14:paraId="531935D4" w14:textId="77777777" w:rsidR="000F16EB" w:rsidRDefault="000F16EB" w:rsidP="000F16EB">
      <w:pPr>
        <w:pStyle w:val="NoSpacing"/>
      </w:pPr>
      <m:oMath>
        <m:r>
          <w:rPr>
            <w:rFonts w:ascii="Cambria Math" w:hAnsi="Cambria Math"/>
          </w:rPr>
          <m:t>ch</m:t>
        </m:r>
      </m:oMath>
      <w:r>
        <w:rPr>
          <w:i/>
        </w:rPr>
        <w:tab/>
      </w:r>
      <w:r>
        <w:rPr>
          <w:i/>
        </w:rPr>
        <w:tab/>
      </w:r>
      <w:r>
        <w:t>Charging</w:t>
      </w:r>
    </w:p>
    <w:p w14:paraId="0932DFA2" w14:textId="77777777" w:rsidR="000F16EB" w:rsidRDefault="000F16EB" w:rsidP="000F16EB">
      <w:pPr>
        <w:pStyle w:val="NoSpacing"/>
      </w:pPr>
      <m:oMath>
        <m:r>
          <w:rPr>
            <w:rFonts w:ascii="Cambria Math" w:hAnsi="Cambria Math"/>
          </w:rPr>
          <m:t>cl</m:t>
        </m:r>
      </m:oMath>
      <w:r>
        <w:tab/>
      </w:r>
      <w:r>
        <w:tab/>
        <w:t>Clearance</w:t>
      </w:r>
    </w:p>
    <w:p w14:paraId="7FBA069D" w14:textId="77777777" w:rsidR="000F16EB" w:rsidRDefault="000F16EB" w:rsidP="000F16EB">
      <w:pPr>
        <w:pStyle w:val="NoSpacing"/>
      </w:pPr>
      <m:oMath>
        <m:r>
          <w:rPr>
            <w:rFonts w:ascii="Cambria Math" w:hAnsi="Cambria Math"/>
          </w:rPr>
          <m:t>cm</m:t>
        </m:r>
      </m:oMath>
      <w:r>
        <w:tab/>
      </w:r>
      <w:r>
        <w:tab/>
        <w:t>Combustion</w:t>
      </w:r>
    </w:p>
    <w:p w14:paraId="1E9CC127" w14:textId="77777777" w:rsidR="000F16EB" w:rsidRDefault="000F16EB" w:rsidP="000F16EB">
      <w:pPr>
        <w:pStyle w:val="NoSpacing"/>
      </w:pPr>
      <m:oMath>
        <m:r>
          <w:rPr>
            <w:rFonts w:ascii="Cambria Math" w:hAnsi="Cambria Math"/>
          </w:rPr>
          <m:t>cn</m:t>
        </m:r>
      </m:oMath>
      <w:r>
        <w:tab/>
      </w:r>
      <w:r>
        <w:tab/>
        <w:t>Channel</w:t>
      </w:r>
    </w:p>
    <w:p w14:paraId="7EAAC26A" w14:textId="77777777" w:rsidR="000F16EB" w:rsidRPr="003C3C5C" w:rsidRDefault="000F16EB" w:rsidP="000F16EB">
      <w:pPr>
        <w:pStyle w:val="NoSpacing"/>
      </w:pPr>
      <m:oMath>
        <m:r>
          <w:rPr>
            <w:rFonts w:ascii="Cambria Math" w:hAnsi="Cambria Math"/>
          </w:rPr>
          <m:t>con</m:t>
        </m:r>
      </m:oMath>
      <w:r>
        <w:tab/>
      </w:r>
      <w:r>
        <w:tab/>
        <w:t>Condensate</w:t>
      </w:r>
    </w:p>
    <w:p w14:paraId="77F1671F" w14:textId="77777777" w:rsidR="000F16EB" w:rsidRDefault="000F16EB" w:rsidP="000F16EB">
      <w:pPr>
        <w:pStyle w:val="NoSpacing"/>
      </w:pPr>
      <m:oMath>
        <m:r>
          <w:rPr>
            <w:rFonts w:ascii="Cambria Math" w:hAnsi="Cambria Math"/>
          </w:rPr>
          <m:t>cons</m:t>
        </m:r>
      </m:oMath>
      <w:r>
        <w:rPr>
          <w:i/>
        </w:rPr>
        <w:tab/>
      </w:r>
      <w:r>
        <w:rPr>
          <w:i/>
        </w:rPr>
        <w:tab/>
      </w:r>
      <w:r>
        <w:t>Consumed</w:t>
      </w:r>
    </w:p>
    <w:p w14:paraId="030E11F7" w14:textId="77777777" w:rsidR="000F16EB" w:rsidRDefault="000F16EB" w:rsidP="000F16EB">
      <w:pPr>
        <w:pStyle w:val="NoSpacing"/>
      </w:pPr>
      <m:oMath>
        <m:r>
          <w:rPr>
            <w:rFonts w:ascii="Cambria Math" w:hAnsi="Cambria Math"/>
          </w:rPr>
          <m:t>cr</m:t>
        </m:r>
      </m:oMath>
      <w:r>
        <w:tab/>
      </w:r>
      <w:r>
        <w:tab/>
        <w:t>Cro</w:t>
      </w:r>
      <w:proofErr w:type="spellStart"/>
      <w:r>
        <w:t>ssover</w:t>
      </w:r>
      <w:proofErr w:type="spellEnd"/>
    </w:p>
    <w:p w14:paraId="4DD3F464" w14:textId="77777777" w:rsidR="000F16EB" w:rsidRDefault="000F16EB" w:rsidP="000F16EB">
      <w:pPr>
        <w:pStyle w:val="NoSpacing"/>
      </w:pPr>
      <m:oMath>
        <m:r>
          <w:rPr>
            <w:rFonts w:ascii="Cambria Math" w:hAnsi="Cambria Math"/>
          </w:rPr>
          <m:t>deep</m:t>
        </m:r>
      </m:oMath>
      <w:r>
        <w:tab/>
      </w:r>
      <w:r>
        <w:tab/>
        <w:t>Deep components of the building storage</w:t>
      </w:r>
    </w:p>
    <w:p w14:paraId="57537AFE" w14:textId="77777777" w:rsidR="000F16EB" w:rsidRDefault="000F16EB" w:rsidP="000F16EB">
      <w:pPr>
        <w:pStyle w:val="NoSpacing"/>
      </w:pPr>
      <m:oMath>
        <m:r>
          <w:rPr>
            <w:rFonts w:ascii="Cambria Math" w:hAnsi="Cambria Math"/>
          </w:rPr>
          <m:t>disch</m:t>
        </m:r>
      </m:oMath>
      <w:r>
        <w:tab/>
      </w:r>
      <w:r>
        <w:tab/>
        <w:t>Discharging</w:t>
      </w:r>
    </w:p>
    <w:p w14:paraId="38A24AE0" w14:textId="77777777" w:rsidR="000F16EB" w:rsidRDefault="000F16EB" w:rsidP="000F16EB">
      <w:pPr>
        <w:pStyle w:val="NoSpacing"/>
      </w:pPr>
      <m:oMath>
        <m:r>
          <w:rPr>
            <w:rFonts w:ascii="Cambria Math" w:hAnsi="Cambria Math"/>
          </w:rPr>
          <m:t>e</m:t>
        </m:r>
      </m:oMath>
      <w:r>
        <w:tab/>
      </w:r>
      <w:r>
        <w:tab/>
        <w:t>Equivalent</w:t>
      </w:r>
    </w:p>
    <w:p w14:paraId="451F3CBB" w14:textId="77777777" w:rsidR="000F16EB" w:rsidRDefault="000F16EB" w:rsidP="000F16EB">
      <w:pPr>
        <w:pStyle w:val="NoSpacing"/>
      </w:pPr>
      <m:oMath>
        <m:r>
          <w:rPr>
            <w:rFonts w:ascii="Cambria Math" w:hAnsi="Cambria Math"/>
          </w:rPr>
          <m:t>ef</m:t>
        </m:r>
      </m:oMath>
      <w:r>
        <w:tab/>
      </w:r>
      <w:r>
        <w:tab/>
        <w:t>Extraction flow</w:t>
      </w:r>
    </w:p>
    <w:p w14:paraId="5A69A51A" w14:textId="77777777" w:rsidR="000F16EB" w:rsidRDefault="000F16EB" w:rsidP="000F16EB">
      <w:pPr>
        <w:pStyle w:val="NoSpacing"/>
      </w:pPr>
      <m:oMath>
        <m:r>
          <w:rPr>
            <w:rFonts w:ascii="Cambria Math" w:hAnsi="Cambria Math"/>
          </w:rPr>
          <m:t>en</m:t>
        </m:r>
      </m:oMath>
      <w:r>
        <w:tab/>
      </w:r>
      <w:r>
        <w:tab/>
        <w:t>Envelope</w:t>
      </w:r>
    </w:p>
    <w:p w14:paraId="21EFC81D" w14:textId="77777777" w:rsidR="000F16EB" w:rsidRDefault="000F16EB" w:rsidP="000F16EB">
      <w:pPr>
        <w:pStyle w:val="NoSpacing"/>
      </w:pPr>
      <m:oMath>
        <m:r>
          <w:rPr>
            <w:rFonts w:ascii="Cambria Math" w:hAnsi="Cambria Math"/>
          </w:rPr>
          <m:t>f</m:t>
        </m:r>
      </m:oMath>
      <w:r>
        <w:tab/>
      </w:r>
      <w:r>
        <w:tab/>
        <w:t>Fluid</w:t>
      </w:r>
    </w:p>
    <w:p w14:paraId="06DCC912" w14:textId="77777777" w:rsidR="000F16EB" w:rsidRDefault="000F16EB" w:rsidP="000F16EB">
      <w:pPr>
        <w:pStyle w:val="NoSpacing"/>
      </w:pPr>
      <m:oMath>
        <m:r>
          <w:rPr>
            <w:rFonts w:ascii="Cambria Math" w:hAnsi="Cambria Math"/>
          </w:rPr>
          <m:t>fi</m:t>
        </m:r>
      </m:oMath>
      <w:r>
        <w:tab/>
      </w:r>
      <w:r>
        <w:tab/>
        <w:t>Fin</w:t>
      </w:r>
    </w:p>
    <w:p w14:paraId="5F1A646B" w14:textId="77777777" w:rsidR="000F16EB" w:rsidRDefault="000F16EB" w:rsidP="000F16EB">
      <w:pPr>
        <w:pStyle w:val="NoSpacing"/>
      </w:pPr>
      <m:oMath>
        <m:r>
          <w:rPr>
            <w:rFonts w:ascii="Cambria Math" w:hAnsi="Cambria Math"/>
          </w:rPr>
          <m:t>fl</m:t>
        </m:r>
      </m:oMath>
      <w:r>
        <w:tab/>
      </w:r>
      <w:r>
        <w:tab/>
        <w:t>Fluid</w:t>
      </w:r>
    </w:p>
    <w:p w14:paraId="128B5582" w14:textId="77777777" w:rsidR="000F16EB" w:rsidRDefault="000F16EB" w:rsidP="000F16EB">
      <w:pPr>
        <w:pStyle w:val="NoSpacing"/>
      </w:pPr>
      <m:oMath>
        <m:r>
          <w:rPr>
            <w:rFonts w:ascii="Cambria Math" w:hAnsi="Cambria Math"/>
          </w:rPr>
          <m:t>flow</m:t>
        </m:r>
      </m:oMath>
      <w:r>
        <w:tab/>
      </w:r>
      <w:r>
        <w:tab/>
        <w:t>Flow from the shallow to the deep components of the building storage</w:t>
      </w:r>
    </w:p>
    <w:p w14:paraId="065C20A4" w14:textId="77777777" w:rsidR="000F16EB" w:rsidRDefault="000F16EB" w:rsidP="000F16EB">
      <w:pPr>
        <w:pStyle w:val="NoSpacing"/>
      </w:pPr>
      <m:oMath>
        <m:r>
          <w:rPr>
            <w:rFonts w:ascii="Cambria Math" w:hAnsi="Cambria Math"/>
          </w:rPr>
          <m:t>fr</m:t>
        </m:r>
      </m:oMath>
      <w:r>
        <w:tab/>
      </w:r>
      <w:r>
        <w:tab/>
        <w:t>Furnace</w:t>
      </w:r>
    </w:p>
    <w:p w14:paraId="175CE0D6" w14:textId="77777777" w:rsidR="000F16EB" w:rsidRDefault="000F16EB" w:rsidP="000F16EB">
      <w:pPr>
        <w:pStyle w:val="NoSpacing"/>
      </w:pPr>
      <m:oMath>
        <m:r>
          <w:rPr>
            <w:rFonts w:ascii="Cambria Math" w:hAnsi="Cambria Math"/>
          </w:rPr>
          <m:t>ft</m:t>
        </m:r>
      </m:oMath>
      <w:r>
        <w:tab/>
      </w:r>
      <w:r>
        <w:tab/>
        <w:t>Friction</w:t>
      </w:r>
    </w:p>
    <w:p w14:paraId="612A407D" w14:textId="77777777" w:rsidR="000F16EB" w:rsidRDefault="000F16EB" w:rsidP="000F16EB">
      <w:pPr>
        <w:pStyle w:val="NoSpacing"/>
      </w:pPr>
      <m:oMath>
        <m:r>
          <w:rPr>
            <w:rFonts w:ascii="Cambria Math" w:hAnsi="Cambria Math"/>
          </w:rPr>
          <m:t>fu</m:t>
        </m:r>
      </m:oMath>
      <w:r>
        <w:tab/>
      </w:r>
      <w:r>
        <w:tab/>
        <w:t>Fuel</w:t>
      </w:r>
    </w:p>
    <w:p w14:paraId="2CF8F7F1" w14:textId="77777777" w:rsidR="000F16EB" w:rsidRDefault="000F16EB" w:rsidP="000F16EB">
      <w:pPr>
        <w:pStyle w:val="NoSpacing"/>
      </w:pPr>
      <m:oMath>
        <m:r>
          <w:rPr>
            <w:rFonts w:ascii="Cambria Math" w:hAnsi="Cambria Math"/>
          </w:rPr>
          <w:lastRenderedPageBreak/>
          <m:t>g</m:t>
        </m:r>
      </m:oMath>
      <w:r>
        <w:tab/>
      </w:r>
      <w:r>
        <w:tab/>
        <w:t>Gas</w:t>
      </w:r>
    </w:p>
    <w:p w14:paraId="664CAE0B" w14:textId="77777777" w:rsidR="000F16EB" w:rsidRDefault="000F16EB" w:rsidP="000F16EB">
      <w:pPr>
        <w:pStyle w:val="NoSpacing"/>
      </w:pPr>
      <m:oMath>
        <m:r>
          <w:rPr>
            <w:rFonts w:ascii="Cambria Math" w:hAnsi="Cambria Math"/>
          </w:rPr>
          <m:t>gr</m:t>
        </m:r>
      </m:oMath>
      <w:r>
        <w:tab/>
      </w:r>
      <w:r>
        <w:tab/>
        <w:t>Gas radiation</w:t>
      </w:r>
    </w:p>
    <w:p w14:paraId="26BDBF81" w14:textId="77777777" w:rsidR="000F16EB" w:rsidRDefault="000F16EB" w:rsidP="000F16EB">
      <w:pPr>
        <w:pStyle w:val="NoSpacing"/>
      </w:pPr>
      <m:oMath>
        <m:r>
          <w:rPr>
            <w:rFonts w:ascii="Cambria Math" w:hAnsi="Cambria Math"/>
          </w:rPr>
          <m:t>h</m:t>
        </m:r>
      </m:oMath>
      <w:r>
        <w:tab/>
      </w:r>
      <w:r>
        <w:tab/>
        <w:t>Hot fluid</w:t>
      </w:r>
    </w:p>
    <w:p w14:paraId="586873BB" w14:textId="77777777" w:rsidR="000F16EB" w:rsidRDefault="000F16EB" w:rsidP="000F16EB">
      <w:pPr>
        <w:pStyle w:val="NoSpacing"/>
      </w:pPr>
      <m:oMath>
        <m:r>
          <w:rPr>
            <w:rFonts w:ascii="Cambria Math" w:hAnsi="Cambria Math"/>
          </w:rPr>
          <m:t>he</m:t>
        </m:r>
      </m:oMath>
      <w:r>
        <w:tab/>
      </w:r>
      <w:r>
        <w:tab/>
        <w:t>Heater</w:t>
      </w:r>
    </w:p>
    <w:p w14:paraId="3A2CABCB" w14:textId="77777777" w:rsidR="000F16EB" w:rsidRDefault="000F16EB" w:rsidP="000F16EB">
      <w:pPr>
        <w:pStyle w:val="NoSpacing"/>
      </w:pPr>
      <m:oMath>
        <m:r>
          <w:rPr>
            <w:rFonts w:ascii="Cambria Math" w:hAnsi="Cambria Math"/>
          </w:rPr>
          <m:t>ht</m:t>
        </m:r>
      </m:oMath>
      <w:r>
        <w:tab/>
      </w:r>
      <w:r>
        <w:tab/>
        <w:t>Height</w:t>
      </w:r>
    </w:p>
    <w:p w14:paraId="5EC762EF" w14:textId="77777777" w:rsidR="000F16EB" w:rsidRDefault="000F16EB" w:rsidP="000F16EB">
      <w:pPr>
        <w:pStyle w:val="NoSpacing"/>
      </w:pPr>
      <m:oMath>
        <m:r>
          <w:rPr>
            <w:rFonts w:ascii="Cambria Math" w:hAnsi="Cambria Math"/>
          </w:rPr>
          <m:t>HWT</m:t>
        </m:r>
      </m:oMath>
      <w:r>
        <w:tab/>
      </w:r>
      <w:r>
        <w:tab/>
        <w:t>Hot water tank</w:t>
      </w:r>
    </w:p>
    <w:p w14:paraId="222B6303" w14:textId="77777777" w:rsidR="000F16EB" w:rsidRPr="001A1FDD" w:rsidRDefault="000F16EB" w:rsidP="000F16EB">
      <w:pPr>
        <w:pStyle w:val="NoSpacing"/>
      </w:pPr>
      <m:oMath>
        <m:r>
          <w:rPr>
            <w:rFonts w:ascii="Cambria Math" w:hAnsi="Cambria Math"/>
          </w:rPr>
          <m:t>hy</m:t>
        </m:r>
      </m:oMath>
      <w:r>
        <w:rPr>
          <w:i/>
        </w:rPr>
        <w:tab/>
      </w:r>
      <w:r>
        <w:rPr>
          <w:i/>
        </w:rPr>
        <w:tab/>
      </w:r>
      <w:r>
        <w:t>Hydraulic</w:t>
      </w:r>
    </w:p>
    <w:p w14:paraId="75822B0D" w14:textId="77777777" w:rsidR="000F16EB" w:rsidRDefault="000F16EB" w:rsidP="000F16EB">
      <w:pPr>
        <w:pStyle w:val="NoSpacing"/>
      </w:pPr>
      <m:oMath>
        <m:r>
          <w:rPr>
            <w:rFonts w:ascii="Cambria Math" w:hAnsi="Cambria Math"/>
          </w:rPr>
          <m:t>i</m:t>
        </m:r>
      </m:oMath>
      <w:r>
        <w:rPr>
          <w:i/>
        </w:rPr>
        <w:tab/>
      </w:r>
      <w:r>
        <w:rPr>
          <w:i/>
        </w:rPr>
        <w:tab/>
      </w:r>
      <w:r>
        <w:t>Inner</w:t>
      </w:r>
    </w:p>
    <w:p w14:paraId="1DBA7E12" w14:textId="77777777" w:rsidR="000F16EB" w:rsidRDefault="000F16EB" w:rsidP="000F16EB">
      <w:pPr>
        <w:pStyle w:val="NoSpacing"/>
      </w:pPr>
      <m:oMath>
        <m:r>
          <w:rPr>
            <w:rFonts w:ascii="Cambria Math" w:hAnsi="Cambria Math"/>
          </w:rPr>
          <m:t>id</m:t>
        </m:r>
      </m:oMath>
      <w:r>
        <w:tab/>
      </w:r>
      <w:r>
        <w:tab/>
        <w:t>Inside dirt</w:t>
      </w:r>
    </w:p>
    <w:p w14:paraId="16834532" w14:textId="77777777" w:rsidR="000F16EB" w:rsidRDefault="000F16EB" w:rsidP="000F16EB">
      <w:pPr>
        <w:pStyle w:val="NoSpacing"/>
      </w:pPr>
      <m:oMath>
        <m:r>
          <w:rPr>
            <w:rFonts w:ascii="Cambria Math" w:hAnsi="Cambria Math"/>
          </w:rPr>
          <m:t>ideal</m:t>
        </m:r>
      </m:oMath>
      <w:r>
        <w:tab/>
      </w:r>
      <w:r>
        <w:tab/>
        <w:t>Ideal gas</w:t>
      </w:r>
    </w:p>
    <w:p w14:paraId="45023BAC" w14:textId="77777777" w:rsidR="000F16EB" w:rsidRDefault="000F16EB" w:rsidP="000F16EB">
      <w:pPr>
        <w:pStyle w:val="NoSpacing"/>
      </w:pPr>
      <m:oMath>
        <m:r>
          <w:rPr>
            <w:rFonts w:ascii="Cambria Math" w:hAnsi="Cambria Math"/>
          </w:rPr>
          <m:t>in</m:t>
        </m:r>
      </m:oMath>
      <w:r>
        <w:tab/>
      </w:r>
      <w:r>
        <w:tab/>
        <w:t>Input</w:t>
      </w:r>
    </w:p>
    <w:p w14:paraId="01B80B48" w14:textId="77777777" w:rsidR="000F16EB" w:rsidRDefault="000F16EB" w:rsidP="000F16EB">
      <w:pPr>
        <w:pStyle w:val="NoSpacing"/>
      </w:pPr>
      <m:oMath>
        <m:r>
          <w:rPr>
            <w:rFonts w:ascii="Cambria Math" w:hAnsi="Cambria Math"/>
          </w:rPr>
          <m:t>inc</m:t>
        </m:r>
      </m:oMath>
      <w:r>
        <w:tab/>
      </w:r>
      <w:r>
        <w:tab/>
        <w:t>Increased supply</w:t>
      </w:r>
    </w:p>
    <w:p w14:paraId="0C957BD0" w14:textId="77777777" w:rsidR="000F16EB" w:rsidRDefault="000F16EB" w:rsidP="000F16EB">
      <w:pPr>
        <w:pStyle w:val="NoSpacing"/>
      </w:pPr>
      <m:oMath>
        <m:r>
          <w:rPr>
            <w:rFonts w:ascii="Cambria Math" w:hAnsi="Cambria Math"/>
          </w:rPr>
          <m:t>l</m:t>
        </m:r>
      </m:oMath>
      <w:r>
        <w:tab/>
      </w:r>
      <w:r>
        <w:tab/>
        <w:t>Liquid</w:t>
      </w:r>
    </w:p>
    <w:p w14:paraId="5DBB85F2" w14:textId="77777777" w:rsidR="000F16EB" w:rsidRDefault="000F16EB" w:rsidP="000F16EB">
      <w:pPr>
        <w:pStyle w:val="NoSpacing"/>
      </w:pPr>
      <m:oMath>
        <m:r>
          <w:rPr>
            <w:rFonts w:ascii="Cambria Math" w:hAnsi="Cambria Math"/>
          </w:rPr>
          <m:t>lm</m:t>
        </m:r>
      </m:oMath>
      <w:r>
        <w:tab/>
      </w:r>
      <w:r>
        <w:tab/>
        <w:t>Logarithmic mean</w:t>
      </w:r>
    </w:p>
    <w:p w14:paraId="7E0E8C43" w14:textId="77777777" w:rsidR="000F16EB" w:rsidRDefault="000F16EB" w:rsidP="000F16EB">
      <w:pPr>
        <w:pStyle w:val="NoSpacing"/>
      </w:pPr>
      <m:oMath>
        <m:r>
          <w:rPr>
            <w:rFonts w:ascii="Cambria Math" w:hAnsi="Cambria Math"/>
          </w:rPr>
          <m:t>loss</m:t>
        </m:r>
      </m:oMath>
      <w:r>
        <w:tab/>
      </w:r>
      <w:r>
        <w:tab/>
        <w:t>Losses</w:t>
      </w:r>
    </w:p>
    <w:p w14:paraId="0F27E4D2" w14:textId="77777777" w:rsidR="000F16EB" w:rsidRPr="00790F90" w:rsidRDefault="000F16EB" w:rsidP="000F16EB">
      <w:pPr>
        <w:pStyle w:val="NoSpacing"/>
      </w:pPr>
      <m:oMath>
        <m:r>
          <w:rPr>
            <w:rFonts w:ascii="Cambria Math" w:hAnsi="Cambria Math"/>
          </w:rPr>
          <m:t>m</m:t>
        </m:r>
      </m:oMath>
      <w:r>
        <w:tab/>
      </w:r>
      <w:r>
        <w:tab/>
        <w:t>True temperature</w:t>
      </w:r>
    </w:p>
    <w:p w14:paraId="08821725" w14:textId="77777777" w:rsidR="000F16EB" w:rsidRDefault="000F16EB" w:rsidP="000F16EB">
      <w:pPr>
        <w:pStyle w:val="NoSpacing"/>
        <w:rPr>
          <w:i/>
        </w:rPr>
      </w:pPr>
      <m:oMath>
        <m:r>
          <w:rPr>
            <w:rFonts w:ascii="Cambria Math" w:hAnsi="Cambria Math"/>
          </w:rPr>
          <m:t>mon</m:t>
        </m:r>
      </m:oMath>
      <w:r>
        <w:tab/>
      </w:r>
      <w:r>
        <w:tab/>
        <w:t xml:space="preserve">Month, </w:t>
      </w:r>
      <w:r>
        <w:rPr>
          <w:i/>
        </w:rPr>
        <w:t>m</w:t>
      </w:r>
    </w:p>
    <w:p w14:paraId="01BEAB88" w14:textId="77777777" w:rsidR="000F16EB" w:rsidRDefault="000F16EB" w:rsidP="000F16EB">
      <w:pPr>
        <w:pStyle w:val="NoSpacing"/>
      </w:pPr>
      <m:oMath>
        <m:r>
          <w:rPr>
            <w:rFonts w:ascii="Cambria Math" w:hAnsi="Cambria Math"/>
          </w:rPr>
          <m:t>Motor</m:t>
        </m:r>
      </m:oMath>
      <w:r>
        <w:tab/>
      </w:r>
      <w:r>
        <w:tab/>
        <w:t>Motor</w:t>
      </w:r>
    </w:p>
    <w:p w14:paraId="0AC71FA8" w14:textId="77777777" w:rsidR="000F16EB" w:rsidRDefault="000F16EB" w:rsidP="000F16EB">
      <w:pPr>
        <w:pStyle w:val="NoSpacing"/>
        <w:rPr>
          <w:i/>
        </w:rPr>
      </w:pPr>
      <m:oMath>
        <m:r>
          <w:rPr>
            <w:rFonts w:ascii="Cambria Math" w:hAnsi="Cambria Math"/>
          </w:rPr>
          <m:t>n</m:t>
        </m:r>
      </m:oMath>
      <w:r>
        <w:tab/>
      </w:r>
      <w:r>
        <w:tab/>
        <w:t xml:space="preserve">Node, </w:t>
      </w:r>
      <w:r>
        <w:rPr>
          <w:i/>
        </w:rPr>
        <w:t>n</w:t>
      </w:r>
    </w:p>
    <w:p w14:paraId="141619B2" w14:textId="77777777" w:rsidR="000F16EB" w:rsidRPr="00A824D3" w:rsidRDefault="000F16EB" w:rsidP="000F16EB">
      <w:pPr>
        <w:pStyle w:val="NoSpacing"/>
      </w:pPr>
      <m:oMath>
        <m:r>
          <w:rPr>
            <w:rFonts w:ascii="Cambria Math" w:hAnsi="Cambria Math"/>
          </w:rPr>
          <m:t>net</m:t>
        </m:r>
      </m:oMath>
      <w:r>
        <w:tab/>
      </w:r>
      <w:r>
        <w:tab/>
        <w:t>Net</w:t>
      </w:r>
    </w:p>
    <w:p w14:paraId="2EE48BD6" w14:textId="77777777" w:rsidR="000F16EB" w:rsidRPr="00864776" w:rsidRDefault="000F16EB" w:rsidP="000F16EB">
      <w:pPr>
        <w:pStyle w:val="NoSpacing"/>
      </w:pPr>
      <m:oMath>
        <m:r>
          <w:rPr>
            <w:rFonts w:ascii="Cambria Math" w:hAnsi="Cambria Math"/>
          </w:rPr>
          <m:t>network</m:t>
        </m:r>
      </m:oMath>
      <w:r>
        <w:tab/>
        <w:t>Network</w:t>
      </w:r>
    </w:p>
    <w:p w14:paraId="10D55498" w14:textId="77777777" w:rsidR="000F16EB" w:rsidRPr="00C27443" w:rsidRDefault="000F16EB" w:rsidP="000F16EB">
      <w:pPr>
        <w:pStyle w:val="NoSpacing"/>
      </w:pPr>
      <m:oMath>
        <m:r>
          <w:rPr>
            <w:rFonts w:ascii="Cambria Math" w:hAnsi="Cambria Math"/>
          </w:rPr>
          <m:t>nu</m:t>
        </m:r>
      </m:oMath>
      <w:r>
        <w:rPr>
          <w:i/>
        </w:rPr>
        <w:tab/>
      </w:r>
      <w:r>
        <w:rPr>
          <w:i/>
        </w:rPr>
        <w:tab/>
      </w:r>
      <w:r>
        <w:t>Number</w:t>
      </w:r>
    </w:p>
    <w:p w14:paraId="631AFDC2" w14:textId="77777777" w:rsidR="000F16EB" w:rsidRDefault="000F16EB" w:rsidP="000F16EB">
      <w:pPr>
        <w:pStyle w:val="NoSpacing"/>
      </w:pPr>
      <m:oMath>
        <m:r>
          <w:rPr>
            <w:rFonts w:ascii="Cambria Math" w:hAnsi="Cambria Math"/>
          </w:rPr>
          <m:t>o</m:t>
        </m:r>
      </m:oMath>
      <w:r>
        <w:tab/>
      </w:r>
      <w:r>
        <w:tab/>
        <w:t>Outer</w:t>
      </w:r>
    </w:p>
    <w:p w14:paraId="1D85D5F4" w14:textId="77777777" w:rsidR="000F16EB" w:rsidRDefault="000F16EB" w:rsidP="000F16EB">
      <w:pPr>
        <w:pStyle w:val="NoSpacing"/>
      </w:pPr>
      <m:oMath>
        <m:r>
          <w:rPr>
            <w:rFonts w:ascii="Cambria Math" w:hAnsi="Cambria Math"/>
          </w:rPr>
          <m:t>od</m:t>
        </m:r>
      </m:oMath>
      <w:r>
        <w:tab/>
      </w:r>
      <w:r>
        <w:tab/>
        <w:t>Outside dirt</w:t>
      </w:r>
    </w:p>
    <w:p w14:paraId="326DC4F6" w14:textId="77777777" w:rsidR="000F16EB" w:rsidRDefault="000F16EB" w:rsidP="000F16EB">
      <w:pPr>
        <w:pStyle w:val="NoSpacing"/>
      </w:pPr>
      <m:oMath>
        <m:r>
          <w:rPr>
            <w:rFonts w:ascii="Cambria Math" w:hAnsi="Cambria Math"/>
          </w:rPr>
          <m:t>p</m:t>
        </m:r>
      </m:oMath>
      <w:r>
        <w:tab/>
      </w:r>
      <w:r>
        <w:tab/>
        <w:t xml:space="preserve">Pipe section, </w:t>
      </w:r>
      <w:r>
        <w:rPr>
          <w:i/>
        </w:rPr>
        <w:t>p</w:t>
      </w:r>
    </w:p>
    <w:p w14:paraId="3829EA9C" w14:textId="77777777" w:rsidR="000F16EB" w:rsidRDefault="000F16EB" w:rsidP="000F16EB">
      <w:pPr>
        <w:pStyle w:val="NoSpacing"/>
      </w:pPr>
      <m:oMath>
        <m:r>
          <w:rPr>
            <w:rFonts w:ascii="Cambria Math" w:hAnsi="Cambria Math"/>
          </w:rPr>
          <m:t>pass</m:t>
        </m:r>
      </m:oMath>
      <w:r>
        <w:tab/>
      </w:r>
      <w:r>
        <w:tab/>
        <w:t>Tube pass</w:t>
      </w:r>
    </w:p>
    <w:p w14:paraId="3B1A22F6" w14:textId="77777777" w:rsidR="000F16EB" w:rsidRDefault="000F16EB" w:rsidP="000F16EB">
      <w:pPr>
        <w:pStyle w:val="NoSpacing"/>
      </w:pPr>
      <m:oMath>
        <m:r>
          <w:rPr>
            <w:rFonts w:ascii="Cambria Math" w:hAnsi="Cambria Math"/>
          </w:rPr>
          <m:t>pi</m:t>
        </m:r>
      </m:oMath>
      <w:r>
        <w:tab/>
      </w:r>
      <w:r>
        <w:tab/>
        <w:t>Pinch</w:t>
      </w:r>
    </w:p>
    <w:p w14:paraId="74BC0B5C" w14:textId="77777777" w:rsidR="000F16EB" w:rsidRDefault="000F16EB" w:rsidP="000F16EB">
      <w:pPr>
        <w:pStyle w:val="NoSpacing"/>
      </w:pPr>
      <m:oMath>
        <m:r>
          <w:rPr>
            <w:rFonts w:ascii="Cambria Math" w:hAnsi="Cambria Math"/>
          </w:rPr>
          <m:t>pl</m:t>
        </m:r>
      </m:oMath>
      <w:r>
        <w:tab/>
      </w:r>
      <w:r>
        <w:tab/>
        <w:t>Plate</w:t>
      </w:r>
    </w:p>
    <w:p w14:paraId="6D0CBA03" w14:textId="77777777" w:rsidR="000F16EB" w:rsidRDefault="000F16EB" w:rsidP="000F16EB">
      <w:pPr>
        <w:pStyle w:val="NoSpacing"/>
      </w:pPr>
      <m:oMath>
        <m:r>
          <w:rPr>
            <w:rFonts w:ascii="Cambria Math" w:hAnsi="Cambria Math"/>
          </w:rPr>
          <m:t>po</m:t>
        </m:r>
      </m:oMath>
      <w:r>
        <w:tab/>
      </w:r>
      <w:r>
        <w:tab/>
        <w:t>Port</w:t>
      </w:r>
    </w:p>
    <w:p w14:paraId="1C48ED05" w14:textId="77777777" w:rsidR="000F16EB" w:rsidRDefault="000F16EB" w:rsidP="000F16EB">
      <w:pPr>
        <w:pStyle w:val="NoSpacing"/>
      </w:pPr>
      <m:oMath>
        <m:r>
          <w:rPr>
            <w:rFonts w:ascii="Cambria Math" w:hAnsi="Cambria Math"/>
          </w:rPr>
          <m:t>prod</m:t>
        </m:r>
      </m:oMath>
      <w:r>
        <w:tab/>
      </w:r>
      <w:r>
        <w:tab/>
        <w:t>Produced</w:t>
      </w:r>
    </w:p>
    <w:p w14:paraId="34B989E5" w14:textId="77777777" w:rsidR="000F16EB" w:rsidRDefault="000F16EB" w:rsidP="000F16EB">
      <w:pPr>
        <w:pStyle w:val="NoSpacing"/>
      </w:pPr>
      <m:oMath>
        <m:r>
          <w:rPr>
            <w:rFonts w:ascii="Cambria Math" w:hAnsi="Cambria Math"/>
          </w:rPr>
          <m:t>Pump</m:t>
        </m:r>
      </m:oMath>
      <w:r>
        <w:tab/>
      </w:r>
      <w:r>
        <w:tab/>
        <w:t>Pump</w:t>
      </w:r>
    </w:p>
    <w:p w14:paraId="4CEBEF0E" w14:textId="77777777" w:rsidR="000F16EB" w:rsidRPr="00CA2400" w:rsidRDefault="000F16EB" w:rsidP="000F16EB">
      <w:pPr>
        <w:pStyle w:val="NoSpacing"/>
        <w:rPr>
          <w:i/>
        </w:rPr>
      </w:pPr>
      <m:oMath>
        <m:r>
          <w:rPr>
            <w:rFonts w:ascii="Cambria Math" w:hAnsi="Cambria Math"/>
          </w:rPr>
          <m:t>q</m:t>
        </m:r>
      </m:oMath>
      <w:r>
        <w:tab/>
      </w:r>
      <w:r>
        <w:tab/>
        <w:t xml:space="preserve">Square, </w:t>
      </w:r>
      <w:r>
        <w:rPr>
          <w:i/>
        </w:rPr>
        <w:t>q</w:t>
      </w:r>
    </w:p>
    <w:p w14:paraId="123ED643" w14:textId="77777777" w:rsidR="000F16EB" w:rsidRDefault="000F16EB" w:rsidP="000F16EB">
      <w:pPr>
        <w:pStyle w:val="NoSpacing"/>
        <w:rPr>
          <w:i/>
        </w:rPr>
      </w:pPr>
      <m:oMath>
        <m:r>
          <w:rPr>
            <w:rFonts w:ascii="Cambria Math" w:hAnsi="Cambria Math"/>
          </w:rPr>
          <m:t>r</m:t>
        </m:r>
      </m:oMath>
      <w:r>
        <w:tab/>
      </w:r>
      <w:r>
        <w:tab/>
        <w:t xml:space="preserve">Subnode, </w:t>
      </w:r>
      <w:r>
        <w:rPr>
          <w:i/>
        </w:rPr>
        <w:t>r</w:t>
      </w:r>
    </w:p>
    <w:p w14:paraId="0FAE8A94" w14:textId="77777777" w:rsidR="000F16EB" w:rsidRPr="00790F90" w:rsidRDefault="000F16EB" w:rsidP="000F16EB">
      <w:pPr>
        <w:pStyle w:val="NoSpacing"/>
      </w:pPr>
      <m:oMath>
        <m:r>
          <w:rPr>
            <w:rFonts w:ascii="Cambria Math" w:hAnsi="Cambria Math"/>
          </w:rPr>
          <m:t>R</m:t>
        </m:r>
      </m:oMath>
      <w:r>
        <w:tab/>
      </w:r>
      <w:r>
        <w:tab/>
        <w:t>Radiant section of the heater</w:t>
      </w:r>
    </w:p>
    <w:p w14:paraId="3607191F" w14:textId="77777777" w:rsidR="000F16EB" w:rsidRDefault="000F16EB" w:rsidP="000F16EB">
      <w:pPr>
        <w:pStyle w:val="NoSpacing"/>
      </w:pPr>
      <m:oMath>
        <m:r>
          <w:rPr>
            <w:rFonts w:ascii="Cambria Math" w:hAnsi="Cambria Math"/>
          </w:rPr>
          <m:t>ref</m:t>
        </m:r>
      </m:oMath>
      <w:r>
        <w:tab/>
      </w:r>
      <w:r>
        <w:tab/>
        <w:t>Reference</w:t>
      </w:r>
    </w:p>
    <w:p w14:paraId="495B8D6F" w14:textId="77777777" w:rsidR="000F16EB" w:rsidRDefault="000F16EB" w:rsidP="000F16EB">
      <w:pPr>
        <w:pStyle w:val="NoSpacing"/>
      </w:pPr>
      <m:oMath>
        <m:r>
          <w:rPr>
            <w:rFonts w:ascii="Cambria Math" w:hAnsi="Cambria Math"/>
          </w:rPr>
          <m:t>ret</m:t>
        </m:r>
      </m:oMath>
      <w:r>
        <w:tab/>
      </w:r>
      <w:r>
        <w:tab/>
        <w:t>Return pipe</w:t>
      </w:r>
    </w:p>
    <w:p w14:paraId="584DA6A0" w14:textId="77777777" w:rsidR="000F16EB" w:rsidRDefault="000F16EB" w:rsidP="000F16EB">
      <w:pPr>
        <w:pStyle w:val="NoSpacing"/>
      </w:pPr>
      <m:oMath>
        <m:r>
          <w:rPr>
            <w:rFonts w:ascii="Cambria Math" w:hAnsi="Cambria Math"/>
          </w:rPr>
          <m:t>rpm</m:t>
        </m:r>
      </m:oMath>
      <w:r>
        <w:tab/>
      </w:r>
      <w:r>
        <w:tab/>
        <w:t>Revolutions per minute</w:t>
      </w:r>
    </w:p>
    <w:p w14:paraId="35FE3705" w14:textId="77777777" w:rsidR="000F16EB" w:rsidRDefault="000F16EB" w:rsidP="000F16EB">
      <w:pPr>
        <w:pStyle w:val="NoSpacing"/>
      </w:pPr>
      <m:oMath>
        <m:r>
          <w:rPr>
            <w:rFonts w:ascii="Cambria Math" w:hAnsi="Cambria Math"/>
          </w:rPr>
          <m:t>s</m:t>
        </m:r>
      </m:oMath>
      <w:r>
        <w:tab/>
      </w:r>
      <w:r>
        <w:tab/>
        <w:t>Shell side</w:t>
      </w:r>
    </w:p>
    <w:p w14:paraId="74918E0F" w14:textId="77777777" w:rsidR="000F16EB" w:rsidRPr="003D76E6" w:rsidRDefault="000F16EB" w:rsidP="000F16EB">
      <w:pPr>
        <w:pStyle w:val="NoSpacing"/>
      </w:pPr>
      <m:oMath>
        <m:r>
          <w:rPr>
            <w:rFonts w:ascii="Cambria Math" w:hAnsi="Cambria Math"/>
          </w:rPr>
          <m:t>SA</m:t>
        </m:r>
      </m:oMath>
      <w:r>
        <w:rPr>
          <w:i/>
        </w:rPr>
        <w:tab/>
      </w:r>
      <w:r>
        <w:rPr>
          <w:i/>
        </w:rPr>
        <w:tab/>
      </w:r>
      <w:r>
        <w:t>Heat transfer surface area</w:t>
      </w:r>
    </w:p>
    <w:p w14:paraId="0F03CE16" w14:textId="77777777" w:rsidR="000F16EB" w:rsidRDefault="000F16EB" w:rsidP="000F16EB">
      <w:pPr>
        <w:pStyle w:val="NoSpacing"/>
      </w:pPr>
      <m:oMath>
        <m:r>
          <w:rPr>
            <w:rFonts w:ascii="Cambria Math" w:hAnsi="Cambria Math"/>
          </w:rPr>
          <m:t>shallow</m:t>
        </m:r>
      </m:oMath>
      <w:r>
        <w:tab/>
        <w:t>Shallow components of the building storage</w:t>
      </w:r>
    </w:p>
    <w:p w14:paraId="2005E68E" w14:textId="77777777" w:rsidR="000F16EB" w:rsidRDefault="000F16EB" w:rsidP="000F16EB">
      <w:pPr>
        <w:pStyle w:val="NoSpacing"/>
      </w:pPr>
      <m:oMath>
        <m:r>
          <w:rPr>
            <w:rFonts w:ascii="Cambria Math" w:hAnsi="Cambria Math"/>
          </w:rPr>
          <m:t>sj</m:t>
        </m:r>
      </m:oMath>
      <w:r>
        <w:tab/>
      </w:r>
      <w:r>
        <w:tab/>
        <w:t>Stream jet</w:t>
      </w:r>
    </w:p>
    <w:p w14:paraId="1D6A90C8" w14:textId="77777777" w:rsidR="000F16EB" w:rsidRDefault="000F16EB" w:rsidP="000F16EB">
      <w:pPr>
        <w:pStyle w:val="NoSpacing"/>
      </w:pPr>
      <m:oMath>
        <m:r>
          <w:rPr>
            <w:rFonts w:ascii="Cambria Math" w:hAnsi="Cambria Math"/>
          </w:rPr>
          <m:t>source</m:t>
        </m:r>
      </m:oMath>
      <w:r>
        <w:tab/>
      </w:r>
      <w:r>
        <w:tab/>
        <w:t>Heat source</w:t>
      </w:r>
    </w:p>
    <w:p w14:paraId="1C410F2B" w14:textId="77777777" w:rsidR="000F16EB" w:rsidRDefault="000F16EB" w:rsidP="000F16EB">
      <w:pPr>
        <w:pStyle w:val="NoSpacing"/>
      </w:pPr>
      <m:oMath>
        <m:r>
          <w:rPr>
            <w:rFonts w:ascii="Cambria Math" w:hAnsi="Cambria Math"/>
          </w:rPr>
          <m:t>st</m:t>
        </m:r>
      </m:oMath>
      <w:r>
        <w:tab/>
      </w:r>
      <w:r>
        <w:tab/>
        <w:t>Shield tubes</w:t>
      </w:r>
    </w:p>
    <w:p w14:paraId="06EF952E" w14:textId="77777777" w:rsidR="000F16EB" w:rsidRDefault="000F16EB" w:rsidP="000F16EB">
      <w:pPr>
        <w:pStyle w:val="NoSpacing"/>
      </w:pPr>
      <m:oMath>
        <m:r>
          <w:rPr>
            <w:rFonts w:ascii="Cambria Math" w:hAnsi="Cambria Math"/>
          </w:rPr>
          <m:t>stored</m:t>
        </m:r>
      </m:oMath>
      <w:r>
        <w:tab/>
      </w:r>
      <w:r>
        <w:tab/>
        <w:t>Stored</w:t>
      </w:r>
    </w:p>
    <w:p w14:paraId="303AADCD" w14:textId="77777777" w:rsidR="000F16EB" w:rsidRDefault="000F16EB" w:rsidP="000F16EB">
      <w:pPr>
        <w:pStyle w:val="NoSpacing"/>
      </w:pPr>
      <m:oMath>
        <m:r>
          <w:rPr>
            <w:rFonts w:ascii="Cambria Math" w:hAnsi="Cambria Math"/>
          </w:rPr>
          <m:t>sup</m:t>
        </m:r>
      </m:oMath>
      <w:r>
        <w:tab/>
      </w:r>
      <w:r>
        <w:tab/>
        <w:t>Supply pipe</w:t>
      </w:r>
    </w:p>
    <w:p w14:paraId="562A4BC4" w14:textId="77777777" w:rsidR="000F16EB" w:rsidRDefault="000F16EB" w:rsidP="000F16EB">
      <w:pPr>
        <w:pStyle w:val="NoSpacing"/>
      </w:pPr>
      <m:oMath>
        <m:r>
          <w:rPr>
            <w:rFonts w:ascii="Cambria Math" w:hAnsi="Cambria Math"/>
          </w:rPr>
          <m:t>s1</m:t>
        </m:r>
      </m:oMath>
      <w:r>
        <w:tab/>
      </w:r>
      <w:r>
        <w:tab/>
        <w:t>Stage 1</w:t>
      </w:r>
    </w:p>
    <w:p w14:paraId="2FA9842F" w14:textId="77777777" w:rsidR="000F16EB" w:rsidRDefault="000F16EB" w:rsidP="000F16EB">
      <w:pPr>
        <w:pStyle w:val="NoSpacing"/>
      </w:pPr>
      <m:oMath>
        <m:r>
          <w:rPr>
            <w:rFonts w:ascii="Cambria Math" w:hAnsi="Cambria Math"/>
          </w:rPr>
          <m:t>s2</m:t>
        </m:r>
      </m:oMath>
      <w:r>
        <w:tab/>
      </w:r>
      <w:r>
        <w:tab/>
        <w:t>Stage 2</w:t>
      </w:r>
    </w:p>
    <w:p w14:paraId="1540BAB8" w14:textId="77777777" w:rsidR="000F16EB" w:rsidRDefault="000F16EB" w:rsidP="000F16EB">
      <w:pPr>
        <w:pStyle w:val="NoSpacing"/>
      </w:pPr>
      <m:oMath>
        <m:r>
          <w:rPr>
            <w:rFonts w:ascii="Cambria Math" w:hAnsi="Cambria Math"/>
          </w:rPr>
          <m:t>s3</m:t>
        </m:r>
      </m:oMath>
      <w:r>
        <w:tab/>
      </w:r>
      <w:r>
        <w:tab/>
        <w:t>Stage 3</w:t>
      </w:r>
    </w:p>
    <w:p w14:paraId="6F47EECC" w14:textId="77777777" w:rsidR="000F16EB" w:rsidRDefault="000F16EB" w:rsidP="000F16EB">
      <w:pPr>
        <w:pStyle w:val="NoSpacing"/>
      </w:pPr>
      <m:oMath>
        <m:r>
          <w:rPr>
            <w:rFonts w:ascii="Cambria Math" w:hAnsi="Cambria Math"/>
          </w:rPr>
          <m:t>s4</m:t>
        </m:r>
      </m:oMath>
      <w:r>
        <w:tab/>
      </w:r>
      <w:r>
        <w:tab/>
        <w:t>Stage 4</w:t>
      </w:r>
    </w:p>
    <w:p w14:paraId="35A0ECAA" w14:textId="77777777" w:rsidR="000F16EB" w:rsidRDefault="000F16EB" w:rsidP="000F16EB">
      <w:pPr>
        <w:pStyle w:val="NoSpacing"/>
        <w:rPr>
          <w:i/>
        </w:rPr>
      </w:pPr>
      <m:oMath>
        <m:r>
          <w:rPr>
            <w:rFonts w:ascii="Cambria Math" w:hAnsi="Cambria Math"/>
          </w:rPr>
          <m:t>t</m:t>
        </m:r>
      </m:oMath>
      <w:r>
        <w:tab/>
      </w:r>
      <w:r>
        <w:tab/>
        <w:t xml:space="preserve">Time, </w:t>
      </w:r>
      <w:r>
        <w:rPr>
          <w:i/>
        </w:rPr>
        <w:t>t</w:t>
      </w:r>
    </w:p>
    <w:p w14:paraId="79A4069A" w14:textId="77777777" w:rsidR="000F16EB" w:rsidRDefault="000F16EB" w:rsidP="000F16EB">
      <w:pPr>
        <w:pStyle w:val="NoSpacing"/>
      </w:pPr>
      <m:oMath>
        <m:r>
          <w:rPr>
            <w:rFonts w:ascii="Cambria Math" w:hAnsi="Cambria Math"/>
          </w:rPr>
          <m:t>t-1</m:t>
        </m:r>
      </m:oMath>
      <w:r>
        <w:tab/>
      </w:r>
      <w:r>
        <w:tab/>
        <w:t>Previous hour</w:t>
      </w:r>
    </w:p>
    <w:p w14:paraId="249E41C6" w14:textId="77777777" w:rsidR="000F16EB" w:rsidRDefault="000F16EB" w:rsidP="000F16EB">
      <w:pPr>
        <w:pStyle w:val="NoSpacing"/>
      </w:pPr>
      <m:oMath>
        <m:r>
          <w:rPr>
            <w:rFonts w:ascii="Cambria Math" w:hAnsi="Cambria Math"/>
          </w:rPr>
          <w:lastRenderedPageBreak/>
          <m:t>th</m:t>
        </m:r>
      </m:oMath>
      <w:r>
        <w:tab/>
      </w:r>
      <w:r>
        <w:tab/>
        <w:t>Thickness</w:t>
      </w:r>
    </w:p>
    <w:p w14:paraId="664E1E45" w14:textId="77777777" w:rsidR="000F16EB" w:rsidRDefault="000F16EB" w:rsidP="000F16EB">
      <w:pPr>
        <w:pStyle w:val="NoSpacing"/>
      </w:pPr>
      <m:oMath>
        <m:r>
          <w:rPr>
            <w:rFonts w:ascii="Cambria Math" w:hAnsi="Cambria Math"/>
          </w:rPr>
          <m:t>tot</m:t>
        </m:r>
      </m:oMath>
      <w:r>
        <w:tab/>
      </w:r>
      <w:r>
        <w:tab/>
        <w:t>Total</w:t>
      </w:r>
    </w:p>
    <w:p w14:paraId="5DEC38FF" w14:textId="77777777" w:rsidR="000F16EB" w:rsidRDefault="000F16EB" w:rsidP="000F16EB">
      <w:pPr>
        <w:pStyle w:val="NoSpacing"/>
      </w:pPr>
      <m:oMath>
        <m:r>
          <w:rPr>
            <w:rFonts w:ascii="Cambria Math" w:hAnsi="Cambria Math"/>
          </w:rPr>
          <m:t>tu</m:t>
        </m:r>
      </m:oMath>
      <w:r>
        <w:rPr>
          <w:i/>
        </w:rPr>
        <w:tab/>
      </w:r>
      <w:r>
        <w:rPr>
          <w:i/>
        </w:rPr>
        <w:tab/>
      </w:r>
      <w:r>
        <w:t>Tube</w:t>
      </w:r>
    </w:p>
    <w:p w14:paraId="4A53791C" w14:textId="77777777" w:rsidR="000F16EB" w:rsidRDefault="000F16EB" w:rsidP="000F16EB">
      <w:pPr>
        <w:pStyle w:val="NoSpacing"/>
      </w:pPr>
      <m:oMath>
        <m:r>
          <w:rPr>
            <w:rFonts w:ascii="Cambria Math" w:hAnsi="Cambria Math"/>
          </w:rPr>
          <m:t>turbine</m:t>
        </m:r>
      </m:oMath>
      <w:r>
        <w:tab/>
        <w:t>Turbine</w:t>
      </w:r>
    </w:p>
    <w:p w14:paraId="7F5A0547" w14:textId="77777777" w:rsidR="000F16EB" w:rsidRDefault="000F16EB" w:rsidP="000F16EB">
      <w:pPr>
        <w:pStyle w:val="NoSpacing"/>
      </w:pPr>
      <m:oMath>
        <m:r>
          <w:rPr>
            <w:rFonts w:ascii="Cambria Math" w:hAnsi="Cambria Math"/>
          </w:rPr>
          <m:t>TU</m:t>
        </m:r>
      </m:oMath>
      <w:r>
        <w:tab/>
      </w:r>
      <w:r>
        <w:tab/>
        <w:t>Transfer units</w:t>
      </w:r>
    </w:p>
    <w:p w14:paraId="3B897A64" w14:textId="77777777" w:rsidR="000F16EB" w:rsidRDefault="000F16EB" w:rsidP="000F16EB">
      <w:pPr>
        <w:pStyle w:val="NoSpacing"/>
      </w:pPr>
      <m:oMath>
        <m:r>
          <w:rPr>
            <w:rFonts w:ascii="Cambria Math" w:hAnsi="Cambria Math"/>
          </w:rPr>
          <m:t>v</m:t>
        </m:r>
      </m:oMath>
      <w:r>
        <w:tab/>
      </w:r>
      <w:r>
        <w:tab/>
        <w:t>Vapour</w:t>
      </w:r>
    </w:p>
    <w:p w14:paraId="24292313" w14:textId="77777777" w:rsidR="000F16EB" w:rsidRPr="003D76E6" w:rsidRDefault="000F16EB" w:rsidP="000F16EB">
      <w:pPr>
        <w:pStyle w:val="NoSpacing"/>
      </w:pPr>
      <m:oMath>
        <m:r>
          <w:rPr>
            <w:rFonts w:ascii="Cambria Math" w:hAnsi="Cambria Math"/>
          </w:rPr>
          <m:t>w</m:t>
        </m:r>
      </m:oMath>
      <w:r>
        <w:tab/>
      </w:r>
      <w:r>
        <w:tab/>
        <w:t>Wall</w:t>
      </w:r>
    </w:p>
    <w:p w14:paraId="59335416" w14:textId="77777777" w:rsidR="000F16EB" w:rsidRDefault="000F16EB" w:rsidP="000F16EB">
      <w:pPr>
        <w:pStyle w:val="NoSpacing"/>
      </w:pPr>
      <m:oMath>
        <m:r>
          <w:rPr>
            <w:rFonts w:ascii="Cambria Math" w:hAnsi="Cambria Math"/>
          </w:rPr>
          <m:t>water</m:t>
        </m:r>
      </m:oMath>
      <w:r>
        <w:tab/>
      </w:r>
      <w:r>
        <w:tab/>
        <w:t>Water</w:t>
      </w:r>
    </w:p>
    <w:p w14:paraId="212DB513" w14:textId="77777777" w:rsidR="000F16EB" w:rsidRDefault="000F16EB" w:rsidP="000F16EB">
      <w:pPr>
        <w:pStyle w:val="NoSpacing"/>
        <w:rPr>
          <w:rFonts w:asciiTheme="majorHAnsi" w:eastAsiaTheme="majorEastAsia" w:hAnsiTheme="majorHAnsi" w:cstheme="majorBidi"/>
        </w:rPr>
      </w:pPr>
      <m:oMath>
        <m:r>
          <w:rPr>
            <w:rFonts w:ascii="Cambria Math" w:eastAsiaTheme="majorEastAsia" w:hAnsi="Cambria Math" w:cstheme="majorBidi"/>
          </w:rPr>
          <m:t>1</m:t>
        </m:r>
      </m:oMath>
      <w:r>
        <w:rPr>
          <w:rFonts w:asciiTheme="majorHAnsi" w:eastAsiaTheme="majorEastAsia" w:hAnsiTheme="majorHAnsi" w:cstheme="majorBidi"/>
        </w:rPr>
        <w:tab/>
      </w:r>
      <w:r>
        <w:rPr>
          <w:rFonts w:asciiTheme="majorHAnsi" w:eastAsiaTheme="majorEastAsia" w:hAnsiTheme="majorHAnsi" w:cstheme="majorBidi"/>
        </w:rPr>
        <w:tab/>
      </w:r>
      <w:r w:rsidRPr="00CA2400">
        <w:rPr>
          <w:rFonts w:eastAsiaTheme="majorEastAsia" w:cstheme="majorBidi"/>
        </w:rPr>
        <w:t>Inlet</w:t>
      </w:r>
    </w:p>
    <w:p w14:paraId="71884EA6" w14:textId="77777777" w:rsidR="000F16EB" w:rsidRDefault="000F16EB" w:rsidP="000F16EB">
      <w:pPr>
        <w:jc w:val="left"/>
        <w:rPr>
          <w:rFonts w:asciiTheme="majorHAnsi" w:eastAsiaTheme="majorEastAsia" w:hAnsiTheme="majorHAnsi" w:cstheme="majorBidi"/>
          <w:b/>
          <w:bCs/>
          <w:color w:val="000000" w:themeColor="text1"/>
          <w:sz w:val="30"/>
          <w:szCs w:val="28"/>
        </w:rPr>
      </w:pPr>
      <w:r>
        <w:br w:type="page"/>
      </w:r>
    </w:p>
    <w:p w14:paraId="153E31B7" w14:textId="77777777" w:rsidR="000F16EB" w:rsidRDefault="000F16EB" w:rsidP="000F16EB">
      <w:pPr>
        <w:pStyle w:val="Heading7"/>
      </w:pPr>
      <w:r>
        <w:lastRenderedPageBreak/>
        <w:t>Acronyms</w:t>
      </w:r>
    </w:p>
    <w:p w14:paraId="0E05F341" w14:textId="77777777" w:rsidR="000F16EB" w:rsidRDefault="000F16EB" w:rsidP="000F16EB">
      <w:pPr>
        <w:pStyle w:val="NoSpacing"/>
      </w:pPr>
      <w:r>
        <w:t>ANN</w:t>
      </w:r>
      <w:r>
        <w:tab/>
      </w:r>
      <w:r>
        <w:tab/>
        <w:t>Artificial neural network</w:t>
      </w:r>
    </w:p>
    <w:p w14:paraId="1551B9D1" w14:textId="52C6D5D0" w:rsidR="000F16EB" w:rsidRDefault="000F16EB" w:rsidP="000F16EB">
      <w:pPr>
        <w:pStyle w:val="NoSpacing"/>
      </w:pPr>
      <w:r>
        <w:t>ARIMA</w:t>
      </w:r>
      <w:r>
        <w:tab/>
      </w:r>
      <w:r>
        <w:tab/>
        <w:t>Autoregressive integrated moving average</w:t>
      </w:r>
    </w:p>
    <w:p w14:paraId="7B52390D" w14:textId="3F047FA7" w:rsidR="000F16EB" w:rsidRDefault="000F16EB" w:rsidP="000F16EB">
      <w:pPr>
        <w:pStyle w:val="NoSpacing"/>
      </w:pPr>
      <w:r>
        <w:t>ARMA</w:t>
      </w:r>
      <w:r>
        <w:tab/>
      </w:r>
      <w:r>
        <w:tab/>
        <w:t>Autoregressive moving average</w:t>
      </w:r>
    </w:p>
    <w:p w14:paraId="1C63956C" w14:textId="77777777" w:rsidR="000F16EB" w:rsidRDefault="000F16EB" w:rsidP="000F16EB">
      <w:pPr>
        <w:pStyle w:val="NoSpacing"/>
      </w:pPr>
      <w:r>
        <w:t>CAES</w:t>
      </w:r>
      <w:r>
        <w:tab/>
      </w:r>
      <w:r>
        <w:tab/>
        <w:t>Compressed air energy storage</w:t>
      </w:r>
    </w:p>
    <w:p w14:paraId="336800B7" w14:textId="77777777" w:rsidR="000F16EB" w:rsidRDefault="000F16EB" w:rsidP="000F16EB">
      <w:pPr>
        <w:pStyle w:val="NoSpacing"/>
      </w:pPr>
      <w:r>
        <w:t xml:space="preserve">CAPEX </w:t>
      </w:r>
      <w:r>
        <w:tab/>
      </w:r>
      <w:r>
        <w:tab/>
        <w:t>Capital costs</w:t>
      </w:r>
    </w:p>
    <w:p w14:paraId="37F033F6" w14:textId="77777777" w:rsidR="000F16EB" w:rsidRDefault="000F16EB" w:rsidP="000F16EB">
      <w:pPr>
        <w:pStyle w:val="NoSpacing"/>
      </w:pPr>
      <w:r>
        <w:t xml:space="preserve">CES </w:t>
      </w:r>
      <w:r>
        <w:tab/>
      </w:r>
      <w:r>
        <w:tab/>
        <w:t>Chemical energy storage</w:t>
      </w:r>
    </w:p>
    <w:p w14:paraId="15064926" w14:textId="77777777" w:rsidR="000F16EB" w:rsidRDefault="000F16EB" w:rsidP="000F16EB">
      <w:pPr>
        <w:pStyle w:val="NoSpacing"/>
      </w:pPr>
      <w:r w:rsidRPr="00481B99">
        <w:t>CHP</w:t>
      </w:r>
      <w:r>
        <w:t xml:space="preserve"> </w:t>
      </w:r>
      <w:r>
        <w:tab/>
      </w:r>
      <w:r>
        <w:tab/>
        <w:t>Combined heat and power</w:t>
      </w:r>
    </w:p>
    <w:p w14:paraId="2D30F60C" w14:textId="77777777" w:rsidR="000F16EB" w:rsidRDefault="000F16EB" w:rsidP="000F16EB">
      <w:pPr>
        <w:pStyle w:val="NoSpacing"/>
      </w:pPr>
      <w:r>
        <w:t xml:space="preserve">COP </w:t>
      </w:r>
      <w:r>
        <w:tab/>
      </w:r>
      <w:r>
        <w:tab/>
        <w:t>Coefficient of performance</w:t>
      </w:r>
    </w:p>
    <w:p w14:paraId="4A5BE986" w14:textId="77777777" w:rsidR="000F16EB" w:rsidRDefault="000F16EB" w:rsidP="000F16EB">
      <w:pPr>
        <w:pStyle w:val="NoSpacing"/>
      </w:pPr>
      <w:r>
        <w:t xml:space="preserve">CT </w:t>
      </w:r>
      <w:r>
        <w:tab/>
      </w:r>
      <w:r>
        <w:tab/>
        <w:t>Conditioning tower</w:t>
      </w:r>
    </w:p>
    <w:p w14:paraId="431A983D" w14:textId="77777777" w:rsidR="000F16EB" w:rsidRPr="00481B99" w:rsidRDefault="000F16EB" w:rsidP="000F16EB">
      <w:pPr>
        <w:pStyle w:val="NoSpacing"/>
      </w:pPr>
      <w:r w:rsidRPr="00481B99">
        <w:t>DH</w:t>
      </w:r>
      <w:r>
        <w:t xml:space="preserve"> </w:t>
      </w:r>
      <w:r>
        <w:tab/>
      </w:r>
      <w:r>
        <w:tab/>
        <w:t>District heating</w:t>
      </w:r>
    </w:p>
    <w:p w14:paraId="6E4F3ED7" w14:textId="77777777" w:rsidR="000F16EB" w:rsidRDefault="000F16EB" w:rsidP="000F16EB">
      <w:pPr>
        <w:pStyle w:val="NoSpacing"/>
      </w:pPr>
      <w:r>
        <w:t xml:space="preserve">DHC </w:t>
      </w:r>
      <w:r>
        <w:tab/>
      </w:r>
      <w:r>
        <w:tab/>
        <w:t>District heating and cooling</w:t>
      </w:r>
    </w:p>
    <w:p w14:paraId="712AA069" w14:textId="77777777" w:rsidR="000F16EB" w:rsidRPr="00481B99" w:rsidRDefault="000F16EB" w:rsidP="000F16EB">
      <w:pPr>
        <w:pStyle w:val="NoSpacing"/>
      </w:pPr>
      <w:r w:rsidRPr="00481B99">
        <w:t>DHN</w:t>
      </w:r>
      <w:r>
        <w:tab/>
      </w:r>
      <w:r>
        <w:tab/>
        <w:t>District heating network</w:t>
      </w:r>
    </w:p>
    <w:p w14:paraId="0B58C1FA" w14:textId="77777777" w:rsidR="000F16EB" w:rsidRDefault="000F16EB" w:rsidP="000F16EB">
      <w:pPr>
        <w:pStyle w:val="NoSpacing"/>
      </w:pPr>
      <w:r>
        <w:t xml:space="preserve">DHW </w:t>
      </w:r>
      <w:r>
        <w:tab/>
      </w:r>
      <w:r>
        <w:tab/>
        <w:t>Domestic hot water</w:t>
      </w:r>
    </w:p>
    <w:p w14:paraId="67164199" w14:textId="77777777" w:rsidR="000F16EB" w:rsidRDefault="000F16EB" w:rsidP="000F16EB">
      <w:pPr>
        <w:pStyle w:val="NoSpacing"/>
      </w:pPr>
      <w:r>
        <w:t xml:space="preserve">DSM </w:t>
      </w:r>
      <w:r>
        <w:tab/>
      </w:r>
      <w:r>
        <w:tab/>
        <w:t>Demand side management</w:t>
      </w:r>
    </w:p>
    <w:p w14:paraId="5BDF8A1C" w14:textId="77777777" w:rsidR="000F16EB" w:rsidRDefault="000F16EB" w:rsidP="000F16EB">
      <w:pPr>
        <w:pStyle w:val="NoSpacing"/>
      </w:pPr>
      <w:r>
        <w:t xml:space="preserve">FF </w:t>
      </w:r>
      <w:r>
        <w:tab/>
      </w:r>
      <w:r>
        <w:tab/>
        <w:t>Fabric filter</w:t>
      </w:r>
    </w:p>
    <w:p w14:paraId="29C233DB" w14:textId="77777777" w:rsidR="000F16EB" w:rsidRDefault="000F16EB" w:rsidP="000F16EB">
      <w:pPr>
        <w:pStyle w:val="NoSpacing"/>
      </w:pPr>
      <w:r>
        <w:t xml:space="preserve">FH </w:t>
      </w:r>
      <w:r>
        <w:tab/>
      </w:r>
      <w:r>
        <w:tab/>
        <w:t>Fired heater</w:t>
      </w:r>
    </w:p>
    <w:p w14:paraId="1A4C30AD" w14:textId="77777777" w:rsidR="000F16EB" w:rsidRDefault="000F16EB" w:rsidP="000F16EB">
      <w:pPr>
        <w:pStyle w:val="NoSpacing"/>
      </w:pPr>
      <w:r>
        <w:t xml:space="preserve">FNN </w:t>
      </w:r>
      <w:r>
        <w:tab/>
      </w:r>
      <w:r>
        <w:tab/>
        <w:t>Fuzzy neural network</w:t>
      </w:r>
    </w:p>
    <w:p w14:paraId="77F427B3" w14:textId="77777777" w:rsidR="000F16EB" w:rsidRDefault="000F16EB" w:rsidP="000F16EB">
      <w:pPr>
        <w:pStyle w:val="NoSpacing"/>
      </w:pPr>
      <w:r>
        <w:t xml:space="preserve">GIS </w:t>
      </w:r>
      <w:r>
        <w:tab/>
      </w:r>
      <w:r>
        <w:tab/>
        <w:t>Geographical information system</w:t>
      </w:r>
    </w:p>
    <w:p w14:paraId="6CA3E979" w14:textId="77777777" w:rsidR="000F16EB" w:rsidRDefault="000F16EB" w:rsidP="000F16EB">
      <w:pPr>
        <w:pStyle w:val="NoSpacing"/>
      </w:pPr>
      <w:r>
        <w:t xml:space="preserve">GP </w:t>
      </w:r>
      <w:r>
        <w:tab/>
      </w:r>
      <w:r>
        <w:tab/>
        <w:t>Genetic programming</w:t>
      </w:r>
    </w:p>
    <w:p w14:paraId="6740B314" w14:textId="77777777" w:rsidR="000F16EB" w:rsidRDefault="000F16EB" w:rsidP="000F16EB">
      <w:pPr>
        <w:pStyle w:val="NoSpacing"/>
      </w:pPr>
      <w:r>
        <w:t>HD</w:t>
      </w:r>
      <w:r>
        <w:tab/>
      </w:r>
      <w:r>
        <w:tab/>
      </w:r>
      <w:bookmarkStart w:id="0" w:name="_Hlk526256320"/>
      <w:r>
        <w:t>Heat demand</w:t>
      </w:r>
      <w:bookmarkEnd w:id="0"/>
    </w:p>
    <w:p w14:paraId="3822E44D" w14:textId="77777777" w:rsidR="000F16EB" w:rsidRPr="005F24F1" w:rsidRDefault="000F16EB" w:rsidP="000F16EB">
      <w:pPr>
        <w:pStyle w:val="NoSpacing"/>
      </w:pPr>
      <w:r w:rsidRPr="005F24F1">
        <w:t>HDD</w:t>
      </w:r>
      <w:r>
        <w:t xml:space="preserve"> </w:t>
      </w:r>
      <w:r>
        <w:tab/>
      </w:r>
      <w:r>
        <w:tab/>
        <w:t>Heating degree day</w:t>
      </w:r>
    </w:p>
    <w:p w14:paraId="2D9D363D" w14:textId="77777777" w:rsidR="000F16EB" w:rsidRDefault="000F16EB" w:rsidP="000F16EB">
      <w:pPr>
        <w:pStyle w:val="NoSpacing"/>
      </w:pPr>
      <w:r>
        <w:t xml:space="preserve">HEX </w:t>
      </w:r>
      <w:r>
        <w:tab/>
      </w:r>
      <w:r>
        <w:tab/>
        <w:t>Heat exchanger</w:t>
      </w:r>
    </w:p>
    <w:p w14:paraId="03369AF4" w14:textId="77777777" w:rsidR="000F16EB" w:rsidRDefault="000F16EB" w:rsidP="000F16EB">
      <w:pPr>
        <w:pStyle w:val="NoSpacing"/>
      </w:pPr>
      <w:r>
        <w:t xml:space="preserve">HEX-DP </w:t>
      </w:r>
      <w:r>
        <w:tab/>
        <w:t>Double pipe heat exchanger</w:t>
      </w:r>
    </w:p>
    <w:p w14:paraId="60E33F7B" w14:textId="77777777" w:rsidR="000F16EB" w:rsidRDefault="000F16EB" w:rsidP="000F16EB">
      <w:pPr>
        <w:pStyle w:val="NoSpacing"/>
      </w:pPr>
      <w:r>
        <w:t xml:space="preserve">HEX-FT </w:t>
      </w:r>
      <w:r>
        <w:tab/>
      </w:r>
      <w:r>
        <w:tab/>
        <w:t>Finned tube heat exchanger</w:t>
      </w:r>
    </w:p>
    <w:p w14:paraId="09073E69" w14:textId="77777777" w:rsidR="000F16EB" w:rsidRDefault="000F16EB" w:rsidP="000F16EB">
      <w:pPr>
        <w:pStyle w:val="NoSpacing"/>
      </w:pPr>
      <w:r>
        <w:t xml:space="preserve">HEX-P </w:t>
      </w:r>
      <w:r>
        <w:tab/>
      </w:r>
      <w:r>
        <w:tab/>
        <w:t>Plate heat exchanger</w:t>
      </w:r>
    </w:p>
    <w:p w14:paraId="75F1FBC3" w14:textId="77777777" w:rsidR="000F16EB" w:rsidRDefault="000F16EB" w:rsidP="000F16EB">
      <w:pPr>
        <w:pStyle w:val="NoSpacing"/>
      </w:pPr>
      <w:r>
        <w:t xml:space="preserve">HEX-ST </w:t>
      </w:r>
      <w:r>
        <w:tab/>
      </w:r>
      <w:r>
        <w:tab/>
        <w:t>Shell and tube heat exchanger</w:t>
      </w:r>
    </w:p>
    <w:p w14:paraId="5F545BD4" w14:textId="77777777" w:rsidR="000F16EB" w:rsidRDefault="000F16EB" w:rsidP="000F16EB">
      <w:pPr>
        <w:pStyle w:val="NoSpacing"/>
      </w:pPr>
      <w:r>
        <w:t xml:space="preserve">HT </w:t>
      </w:r>
      <w:r>
        <w:tab/>
      </w:r>
      <w:r>
        <w:tab/>
        <w:t>Heat transfer</w:t>
      </w:r>
    </w:p>
    <w:p w14:paraId="4253B4C0" w14:textId="7F49C2FC" w:rsidR="000F16EB" w:rsidRDefault="000F16EB" w:rsidP="000F16EB">
      <w:pPr>
        <w:pStyle w:val="NoSpacing"/>
      </w:pPr>
      <w:r>
        <w:t>HTC</w:t>
      </w:r>
      <w:r>
        <w:tab/>
      </w:r>
      <w:r>
        <w:tab/>
        <w:t>H</w:t>
      </w:r>
      <w:r w:rsidR="000C7935">
        <w:t>eat transfer</w:t>
      </w:r>
      <w:r>
        <w:t xml:space="preserve"> coefficient</w:t>
      </w:r>
    </w:p>
    <w:p w14:paraId="2049F056" w14:textId="77777777" w:rsidR="000F16EB" w:rsidRDefault="000F16EB" w:rsidP="000F16EB">
      <w:pPr>
        <w:pStyle w:val="NoSpacing"/>
      </w:pPr>
      <w:r>
        <w:t xml:space="preserve">HT SA </w:t>
      </w:r>
      <w:r>
        <w:tab/>
      </w:r>
      <w:r>
        <w:tab/>
        <w:t>Heat transfer surface area</w:t>
      </w:r>
    </w:p>
    <w:p w14:paraId="4F95CAC3" w14:textId="77777777" w:rsidR="000F16EB" w:rsidRDefault="000F16EB" w:rsidP="000F16EB">
      <w:pPr>
        <w:pStyle w:val="NoSpacing"/>
      </w:pPr>
      <w:r>
        <w:t xml:space="preserve">HTF </w:t>
      </w:r>
      <w:r>
        <w:tab/>
      </w:r>
      <w:r>
        <w:tab/>
        <w:t>Heat transfer fluid</w:t>
      </w:r>
    </w:p>
    <w:p w14:paraId="40908B88" w14:textId="77777777" w:rsidR="000F16EB" w:rsidRDefault="000F16EB" w:rsidP="000F16EB">
      <w:pPr>
        <w:pStyle w:val="NoSpacing"/>
      </w:pPr>
      <w:r w:rsidRPr="00481B99">
        <w:t>HWT</w:t>
      </w:r>
      <w:r>
        <w:t xml:space="preserve"> </w:t>
      </w:r>
      <w:r>
        <w:tab/>
      </w:r>
      <w:r>
        <w:tab/>
        <w:t>Hot water tank</w:t>
      </w:r>
    </w:p>
    <w:p w14:paraId="0445C171" w14:textId="77777777" w:rsidR="000F16EB" w:rsidRPr="00481B99" w:rsidRDefault="000F16EB" w:rsidP="000F16EB">
      <w:pPr>
        <w:pStyle w:val="NoSpacing"/>
      </w:pPr>
      <w:r>
        <w:t>IRR</w:t>
      </w:r>
      <w:r>
        <w:tab/>
      </w:r>
      <w:r>
        <w:tab/>
        <w:t>Internal rate of return</w:t>
      </w:r>
    </w:p>
    <w:p w14:paraId="031AC826" w14:textId="77777777" w:rsidR="000F16EB" w:rsidRPr="00481B99" w:rsidRDefault="000F16EB" w:rsidP="000F16EB">
      <w:pPr>
        <w:pStyle w:val="NoSpacing"/>
      </w:pPr>
      <w:r w:rsidRPr="00481B99">
        <w:t>LAB</w:t>
      </w:r>
      <w:r>
        <w:t xml:space="preserve"> </w:t>
      </w:r>
      <w:r>
        <w:tab/>
      </w:r>
      <w:r>
        <w:tab/>
      </w:r>
      <w:bookmarkStart w:id="1" w:name="_Hlk526245638"/>
      <w:r>
        <w:t>Lead acid battery</w:t>
      </w:r>
      <w:bookmarkEnd w:id="1"/>
    </w:p>
    <w:p w14:paraId="357D00D8" w14:textId="77777777" w:rsidR="000F16EB" w:rsidRPr="005F24F1" w:rsidRDefault="000F16EB" w:rsidP="000F16EB">
      <w:pPr>
        <w:pStyle w:val="NoSpacing"/>
      </w:pPr>
      <w:r w:rsidRPr="005F24F1">
        <w:t>LCA</w:t>
      </w:r>
      <w:r>
        <w:t xml:space="preserve"> </w:t>
      </w:r>
      <w:r>
        <w:tab/>
      </w:r>
      <w:r>
        <w:tab/>
        <w:t>Life cycle assessment</w:t>
      </w:r>
    </w:p>
    <w:p w14:paraId="17962A4D" w14:textId="77777777" w:rsidR="000F16EB" w:rsidRDefault="000F16EB" w:rsidP="000F16EB">
      <w:pPr>
        <w:pStyle w:val="NoSpacing"/>
      </w:pPr>
      <w:r>
        <w:t xml:space="preserve">LGWH </w:t>
      </w:r>
      <w:r>
        <w:tab/>
      </w:r>
      <w:r>
        <w:tab/>
        <w:t>Low grade waste heat</w:t>
      </w:r>
    </w:p>
    <w:p w14:paraId="76E18F8E" w14:textId="77777777" w:rsidR="000F16EB" w:rsidRDefault="000F16EB" w:rsidP="000F16EB">
      <w:pPr>
        <w:pStyle w:val="NoSpacing"/>
      </w:pPr>
      <w:r>
        <w:t xml:space="preserve">MC </w:t>
      </w:r>
      <w:r>
        <w:tab/>
      </w:r>
      <w:r>
        <w:tab/>
        <w:t>Monte Carlo</w:t>
      </w:r>
    </w:p>
    <w:p w14:paraId="464D34A5" w14:textId="77777777" w:rsidR="000F16EB" w:rsidRDefault="000F16EB" w:rsidP="000F16EB">
      <w:pPr>
        <w:pStyle w:val="NoSpacing"/>
      </w:pPr>
      <w:r>
        <w:t xml:space="preserve">MILP </w:t>
      </w:r>
      <w:r>
        <w:tab/>
      </w:r>
      <w:r>
        <w:tab/>
        <w:t xml:space="preserve">Mixed integer linear programming </w:t>
      </w:r>
    </w:p>
    <w:p w14:paraId="1AE973BD" w14:textId="2EE1BB87" w:rsidR="000F16EB" w:rsidRDefault="000F16EB" w:rsidP="000F16EB">
      <w:pPr>
        <w:pStyle w:val="NoSpacing"/>
      </w:pPr>
      <w:r>
        <w:t>MNI</w:t>
      </w:r>
      <w:r w:rsidR="00C72679">
        <w:t>L</w:t>
      </w:r>
      <w:r>
        <w:t xml:space="preserve">P </w:t>
      </w:r>
      <w:r>
        <w:tab/>
      </w:r>
      <w:r>
        <w:tab/>
        <w:t xml:space="preserve">Mixed non-integer linear programming </w:t>
      </w:r>
    </w:p>
    <w:p w14:paraId="0909CC51" w14:textId="77777777" w:rsidR="000F16EB" w:rsidRDefault="000F16EB" w:rsidP="000F16EB">
      <w:pPr>
        <w:pStyle w:val="NoSpacing"/>
      </w:pPr>
      <w:r>
        <w:t xml:space="preserve">MSW </w:t>
      </w:r>
      <w:r>
        <w:tab/>
      </w:r>
      <w:r>
        <w:tab/>
        <w:t>Municipal solid waste</w:t>
      </w:r>
    </w:p>
    <w:p w14:paraId="57EFEACF" w14:textId="77777777" w:rsidR="000F16EB" w:rsidRDefault="000F16EB" w:rsidP="000F16EB">
      <w:pPr>
        <w:pStyle w:val="NoSpacing"/>
      </w:pPr>
      <w:r>
        <w:t xml:space="preserve">OPEX </w:t>
      </w:r>
      <w:r>
        <w:tab/>
      </w:r>
      <w:r>
        <w:tab/>
        <w:t>Operating costs</w:t>
      </w:r>
    </w:p>
    <w:p w14:paraId="2A0FE78F" w14:textId="1624AE28" w:rsidR="000F16EB" w:rsidRDefault="000F16EB" w:rsidP="000F16EB">
      <w:pPr>
        <w:pStyle w:val="NoSpacing"/>
      </w:pPr>
      <w:r>
        <w:t xml:space="preserve">ORC </w:t>
      </w:r>
      <w:r>
        <w:tab/>
      </w:r>
      <w:r>
        <w:tab/>
        <w:t xml:space="preserve">Organic </w:t>
      </w:r>
      <w:r w:rsidR="00C72679">
        <w:t>Rankine</w:t>
      </w:r>
      <w:r>
        <w:t xml:space="preserve"> cycle</w:t>
      </w:r>
    </w:p>
    <w:p w14:paraId="3F33230E" w14:textId="7D330737" w:rsidR="000F16EB" w:rsidRDefault="000F16EB" w:rsidP="000F16EB">
      <w:pPr>
        <w:pStyle w:val="NoSpacing"/>
      </w:pPr>
      <w:r>
        <w:t xml:space="preserve">PCC </w:t>
      </w:r>
      <w:r>
        <w:tab/>
      </w:r>
      <w:r>
        <w:tab/>
        <w:t xml:space="preserve">Post </w:t>
      </w:r>
      <w:r w:rsidR="003E2066">
        <w:t>c</w:t>
      </w:r>
      <w:r>
        <w:t>ombustion chamber</w:t>
      </w:r>
    </w:p>
    <w:p w14:paraId="30BB1B1F" w14:textId="7D3D5154" w:rsidR="003E2066" w:rsidRDefault="003E2066" w:rsidP="000F16EB">
      <w:pPr>
        <w:pStyle w:val="NoSpacing"/>
      </w:pPr>
      <w:r>
        <w:t>PES</w:t>
      </w:r>
      <w:r>
        <w:tab/>
      </w:r>
      <w:r>
        <w:tab/>
        <w:t>Primary energy savings</w:t>
      </w:r>
    </w:p>
    <w:p w14:paraId="27D49C37" w14:textId="77777777" w:rsidR="000F16EB" w:rsidRDefault="000F16EB" w:rsidP="000F16EB">
      <w:pPr>
        <w:pStyle w:val="NoSpacing"/>
      </w:pPr>
      <w:r>
        <w:t xml:space="preserve">RC </w:t>
      </w:r>
      <w:r>
        <w:tab/>
      </w:r>
      <w:r>
        <w:tab/>
        <w:t>Rankine cycle</w:t>
      </w:r>
    </w:p>
    <w:p w14:paraId="2279B270" w14:textId="77777777" w:rsidR="000F16EB" w:rsidRDefault="000F16EB" w:rsidP="000F16EB">
      <w:pPr>
        <w:pStyle w:val="NoSpacing"/>
      </w:pPr>
      <w:r>
        <w:t xml:space="preserve">RES </w:t>
      </w:r>
      <w:r>
        <w:tab/>
      </w:r>
      <w:r>
        <w:tab/>
        <w:t>Renewable energy strategy</w:t>
      </w:r>
    </w:p>
    <w:p w14:paraId="31BF3EF7" w14:textId="77777777" w:rsidR="000F16EB" w:rsidRDefault="000F16EB" w:rsidP="000F16EB">
      <w:pPr>
        <w:pStyle w:val="NoSpacing"/>
      </w:pPr>
      <w:r>
        <w:t xml:space="preserve">ROC </w:t>
      </w:r>
      <w:r>
        <w:tab/>
      </w:r>
      <w:r>
        <w:tab/>
        <w:t>Renewable obligation certificates</w:t>
      </w:r>
    </w:p>
    <w:p w14:paraId="10DF6020" w14:textId="77777777" w:rsidR="000F16EB" w:rsidRDefault="000F16EB" w:rsidP="000F16EB">
      <w:pPr>
        <w:pStyle w:val="NoSpacing"/>
      </w:pPr>
      <w:r>
        <w:t>SA</w:t>
      </w:r>
      <w:r>
        <w:tab/>
      </w:r>
      <w:r>
        <w:tab/>
        <w:t>Surface area</w:t>
      </w:r>
    </w:p>
    <w:p w14:paraId="64776FA8" w14:textId="77777777" w:rsidR="000F16EB" w:rsidRDefault="000F16EB" w:rsidP="000F16EB">
      <w:pPr>
        <w:pStyle w:val="NoSpacing"/>
      </w:pPr>
      <w:r>
        <w:t xml:space="preserve">SH </w:t>
      </w:r>
      <w:r>
        <w:tab/>
      </w:r>
      <w:r>
        <w:tab/>
        <w:t>Space heating</w:t>
      </w:r>
    </w:p>
    <w:p w14:paraId="55037D89" w14:textId="77777777" w:rsidR="000F16EB" w:rsidRDefault="000F16EB" w:rsidP="000F16EB">
      <w:pPr>
        <w:pStyle w:val="NoSpacing"/>
      </w:pPr>
      <w:r>
        <w:t xml:space="preserve">SVM </w:t>
      </w:r>
      <w:r>
        <w:tab/>
      </w:r>
      <w:r>
        <w:tab/>
      </w:r>
      <w:bookmarkStart w:id="2" w:name="_Hlk526256090"/>
      <w:r>
        <w:t>Support vector machine</w:t>
      </w:r>
      <w:bookmarkEnd w:id="2"/>
    </w:p>
    <w:p w14:paraId="01F3D421" w14:textId="77777777" w:rsidR="000F16EB" w:rsidRDefault="000F16EB" w:rsidP="000F16EB">
      <w:pPr>
        <w:pStyle w:val="NoSpacing"/>
      </w:pPr>
      <w:r>
        <w:lastRenderedPageBreak/>
        <w:t xml:space="preserve">SVR </w:t>
      </w:r>
      <w:r>
        <w:tab/>
      </w:r>
      <w:r>
        <w:tab/>
        <w:t>Support vector regression</w:t>
      </w:r>
    </w:p>
    <w:p w14:paraId="021DA3EC" w14:textId="77777777" w:rsidR="000F16EB" w:rsidRDefault="000F16EB" w:rsidP="000F16EB">
      <w:pPr>
        <w:pStyle w:val="NoSpacing"/>
      </w:pPr>
      <w:r>
        <w:t xml:space="preserve">TE </w:t>
      </w:r>
      <w:r>
        <w:tab/>
      </w:r>
      <w:r>
        <w:tab/>
        <w:t>Thermal energy</w:t>
      </w:r>
    </w:p>
    <w:p w14:paraId="4626557A" w14:textId="77777777" w:rsidR="000F16EB" w:rsidRDefault="000F16EB" w:rsidP="000F16EB">
      <w:pPr>
        <w:pStyle w:val="NoSpacing"/>
      </w:pPr>
      <w:r w:rsidRPr="00481B99">
        <w:t>TES</w:t>
      </w:r>
      <w:r>
        <w:t xml:space="preserve"> </w:t>
      </w:r>
      <w:r>
        <w:tab/>
      </w:r>
      <w:r>
        <w:tab/>
        <w:t>Thermal energy storage</w:t>
      </w:r>
    </w:p>
    <w:p w14:paraId="47A9F166" w14:textId="77777777" w:rsidR="000F16EB" w:rsidRPr="00481B99" w:rsidRDefault="000F16EB" w:rsidP="000F16EB">
      <w:pPr>
        <w:pStyle w:val="NoSpacing"/>
      </w:pPr>
      <w:r>
        <w:t>VB</w:t>
      </w:r>
      <w:r>
        <w:tab/>
      </w:r>
      <w:r>
        <w:tab/>
        <w:t>Visual basic</w:t>
      </w:r>
    </w:p>
    <w:p w14:paraId="5D9E9E36" w14:textId="77777777" w:rsidR="000F16EB" w:rsidRPr="00481B99" w:rsidRDefault="000F16EB" w:rsidP="000F16EB">
      <w:pPr>
        <w:pStyle w:val="NoSpacing"/>
      </w:pPr>
      <w:r w:rsidRPr="00481B99">
        <w:t>WH</w:t>
      </w:r>
      <w:r>
        <w:t xml:space="preserve"> </w:t>
      </w:r>
      <w:r>
        <w:tab/>
      </w:r>
      <w:r>
        <w:tab/>
        <w:t>Waste heat</w:t>
      </w:r>
    </w:p>
    <w:p w14:paraId="29285463" w14:textId="77777777" w:rsidR="000F16EB" w:rsidRDefault="000F16EB" w:rsidP="000F16EB">
      <w:pPr>
        <w:pStyle w:val="NoSpacing"/>
      </w:pPr>
      <w:r>
        <w:t xml:space="preserve">WHR </w:t>
      </w:r>
      <w:r>
        <w:tab/>
      </w:r>
      <w:r>
        <w:tab/>
        <w:t>Waste heat recovery</w:t>
      </w:r>
    </w:p>
    <w:p w14:paraId="0B3A1A7B" w14:textId="77777777" w:rsidR="000F16EB" w:rsidRPr="00481B99" w:rsidRDefault="000F16EB" w:rsidP="000F16EB">
      <w:pPr>
        <w:pStyle w:val="NoSpacing"/>
      </w:pPr>
      <w:proofErr w:type="spellStart"/>
      <w:r w:rsidRPr="00481B99">
        <w:t>WtE</w:t>
      </w:r>
      <w:proofErr w:type="spellEnd"/>
      <w:r>
        <w:t xml:space="preserve"> </w:t>
      </w:r>
      <w:r>
        <w:tab/>
      </w:r>
      <w:r>
        <w:tab/>
        <w:t>Waste to energy</w:t>
      </w:r>
    </w:p>
    <w:p w14:paraId="4F16A338" w14:textId="77777777" w:rsidR="000F16EB" w:rsidRDefault="000F16EB" w:rsidP="000F16EB">
      <w:pPr>
        <w:pStyle w:val="Heading8"/>
      </w:pPr>
      <w:r>
        <w:t>Company Acronyms</w:t>
      </w:r>
    </w:p>
    <w:p w14:paraId="32808093" w14:textId="77777777" w:rsidR="000F16EB" w:rsidRDefault="000F16EB" w:rsidP="000F16EB">
      <w:pPr>
        <w:pStyle w:val="NoSpacing"/>
      </w:pPr>
      <w:r>
        <w:t xml:space="preserve">ADE </w:t>
      </w:r>
      <w:r>
        <w:tab/>
      </w:r>
      <w:r>
        <w:tab/>
        <w:t xml:space="preserve">Association </w:t>
      </w:r>
      <w:bookmarkStart w:id="3" w:name="_Hlk526257855"/>
      <w:r>
        <w:t>for Decentralised Energy</w:t>
      </w:r>
      <w:bookmarkEnd w:id="3"/>
    </w:p>
    <w:p w14:paraId="06D14A18" w14:textId="77777777" w:rsidR="000F16EB" w:rsidRDefault="000F16EB" w:rsidP="000F16EB">
      <w:pPr>
        <w:pStyle w:val="NoSpacing"/>
      </w:pPr>
      <w:r>
        <w:t xml:space="preserve">BEIS </w:t>
      </w:r>
      <w:r>
        <w:tab/>
      </w:r>
      <w:r>
        <w:tab/>
        <w:t>Department for Business, Energy and Industrial Strategy</w:t>
      </w:r>
    </w:p>
    <w:p w14:paraId="26142129" w14:textId="77777777" w:rsidR="000F16EB" w:rsidRDefault="000F16EB" w:rsidP="000F16EB">
      <w:pPr>
        <w:pStyle w:val="NoSpacing"/>
      </w:pPr>
      <w:r>
        <w:t xml:space="preserve">BRANZ </w:t>
      </w:r>
      <w:r>
        <w:tab/>
      </w:r>
      <w:r>
        <w:tab/>
      </w:r>
      <w:bookmarkStart w:id="4" w:name="_Hlk526258542"/>
      <w:r>
        <w:t>Building Research Association of New Zealand</w:t>
      </w:r>
      <w:bookmarkEnd w:id="4"/>
    </w:p>
    <w:p w14:paraId="6D48DC56" w14:textId="77777777" w:rsidR="000F16EB" w:rsidRDefault="000F16EB" w:rsidP="000F16EB">
      <w:pPr>
        <w:pStyle w:val="NoSpacing"/>
      </w:pPr>
      <w:r>
        <w:t xml:space="preserve">BRE Trust </w:t>
      </w:r>
      <w:r>
        <w:tab/>
        <w:t>Building Research Establishment Trust</w:t>
      </w:r>
    </w:p>
    <w:p w14:paraId="1F39C329" w14:textId="77777777" w:rsidR="000F16EB" w:rsidRDefault="000F16EB" w:rsidP="000F16EB">
      <w:pPr>
        <w:pStyle w:val="NoSpacing"/>
      </w:pPr>
      <w:r>
        <w:t>CCC</w:t>
      </w:r>
      <w:r>
        <w:tab/>
      </w:r>
      <w:r>
        <w:tab/>
        <w:t>Committee on Climate Change</w:t>
      </w:r>
    </w:p>
    <w:p w14:paraId="0600AF60" w14:textId="77777777" w:rsidR="000F16EB" w:rsidRDefault="000F16EB" w:rsidP="000F16EB">
      <w:pPr>
        <w:pStyle w:val="NoSpacing"/>
      </w:pPr>
      <w:r>
        <w:t xml:space="preserve">CHPA </w:t>
      </w:r>
      <w:r>
        <w:tab/>
      </w:r>
      <w:r>
        <w:tab/>
        <w:t>Combined Heat and Power Association</w:t>
      </w:r>
    </w:p>
    <w:p w14:paraId="6354A12F" w14:textId="77777777" w:rsidR="000F16EB" w:rsidRDefault="000F16EB" w:rsidP="000F16EB">
      <w:pPr>
        <w:pStyle w:val="NoSpacing"/>
      </w:pPr>
      <w:bookmarkStart w:id="5" w:name="_Hlk526259340"/>
      <w:r>
        <w:t xml:space="preserve">CIBSE </w:t>
      </w:r>
      <w:bookmarkEnd w:id="5"/>
      <w:r>
        <w:tab/>
      </w:r>
      <w:r>
        <w:tab/>
        <w:t>Chartered Institution of Building Services Engineers</w:t>
      </w:r>
    </w:p>
    <w:p w14:paraId="40B86177" w14:textId="77777777" w:rsidR="000F16EB" w:rsidRPr="00481B99" w:rsidRDefault="000F16EB" w:rsidP="000F16EB">
      <w:pPr>
        <w:pStyle w:val="NoSpacing"/>
      </w:pPr>
      <w:r w:rsidRPr="00481B99">
        <w:t>CLASP</w:t>
      </w:r>
      <w:r>
        <w:t xml:space="preserve"> </w:t>
      </w:r>
      <w:r>
        <w:tab/>
      </w:r>
      <w:r>
        <w:tab/>
      </w:r>
      <w:bookmarkStart w:id="6" w:name="_Hlk526258961"/>
      <w:r>
        <w:t>Consortium of Local Authorities Special Programme</w:t>
      </w:r>
      <w:bookmarkEnd w:id="6"/>
    </w:p>
    <w:p w14:paraId="7C7FE074" w14:textId="77777777" w:rsidR="000F16EB" w:rsidRDefault="000F16EB" w:rsidP="000F16EB">
      <w:pPr>
        <w:pStyle w:val="NoSpacing"/>
      </w:pPr>
      <w:r>
        <w:t xml:space="preserve">DCLG </w:t>
      </w:r>
      <w:r>
        <w:tab/>
      </w:r>
      <w:r>
        <w:tab/>
      </w:r>
      <w:bookmarkStart w:id="7" w:name="_Hlk526259080"/>
      <w:r>
        <w:t>Department for Communities and Local Government</w:t>
      </w:r>
      <w:bookmarkEnd w:id="7"/>
    </w:p>
    <w:p w14:paraId="50D2B441" w14:textId="77777777" w:rsidR="000F16EB" w:rsidRDefault="000F16EB" w:rsidP="000F16EB">
      <w:pPr>
        <w:pStyle w:val="NoSpacing"/>
      </w:pPr>
      <w:r w:rsidRPr="00481B99">
        <w:t>DECC</w:t>
      </w:r>
      <w:r>
        <w:t xml:space="preserve"> </w:t>
      </w:r>
      <w:r>
        <w:tab/>
      </w:r>
      <w:r>
        <w:tab/>
      </w:r>
      <w:bookmarkStart w:id="8" w:name="_Hlk526259222"/>
      <w:r>
        <w:t xml:space="preserve">Department of Energy and Climate Change </w:t>
      </w:r>
      <w:bookmarkEnd w:id="8"/>
    </w:p>
    <w:p w14:paraId="3E5A1407" w14:textId="77777777" w:rsidR="000F16EB" w:rsidRDefault="000F16EB" w:rsidP="000F16EB">
      <w:pPr>
        <w:pStyle w:val="NoSpacing"/>
      </w:pPr>
      <w:r>
        <w:t xml:space="preserve">DEFRA </w:t>
      </w:r>
      <w:r>
        <w:tab/>
      </w:r>
      <w:r>
        <w:tab/>
      </w:r>
      <w:bookmarkStart w:id="9" w:name="_Hlk526259434"/>
      <w:r>
        <w:t>Department for Environment, Food and Rural Affairs</w:t>
      </w:r>
      <w:bookmarkEnd w:id="9"/>
    </w:p>
    <w:p w14:paraId="20BF3865" w14:textId="77777777" w:rsidR="000F16EB" w:rsidRPr="00CD347B" w:rsidRDefault="000F16EB" w:rsidP="000F16EB">
      <w:pPr>
        <w:pStyle w:val="NoSpacing"/>
      </w:pPr>
      <w:r w:rsidRPr="00CD347B">
        <w:t>DTI</w:t>
      </w:r>
      <w:r>
        <w:t xml:space="preserve"> </w:t>
      </w:r>
      <w:r>
        <w:tab/>
      </w:r>
      <w:r>
        <w:tab/>
      </w:r>
      <w:bookmarkStart w:id="10" w:name="_Hlk526259525"/>
      <w:r>
        <w:t>Department of Trade and Industry</w:t>
      </w:r>
      <w:bookmarkEnd w:id="10"/>
    </w:p>
    <w:p w14:paraId="62E34B16" w14:textId="77777777" w:rsidR="000F16EB" w:rsidRDefault="000F16EB" w:rsidP="000F16EB">
      <w:pPr>
        <w:pStyle w:val="NoSpacing"/>
      </w:pPr>
      <w:r>
        <w:t xml:space="preserve">EC </w:t>
      </w:r>
      <w:r>
        <w:tab/>
      </w:r>
      <w:r>
        <w:tab/>
        <w:t xml:space="preserve">European Commission </w:t>
      </w:r>
    </w:p>
    <w:p w14:paraId="44C48760" w14:textId="77777777" w:rsidR="000F16EB" w:rsidRDefault="000F16EB" w:rsidP="000F16EB">
      <w:pPr>
        <w:pStyle w:val="NoSpacing"/>
      </w:pPr>
      <w:r>
        <w:t xml:space="preserve">ECF </w:t>
      </w:r>
      <w:r>
        <w:tab/>
      </w:r>
      <w:r>
        <w:tab/>
      </w:r>
      <w:bookmarkStart w:id="11" w:name="_Hlk526259789"/>
      <w:r>
        <w:t>European Climate Foundation</w:t>
      </w:r>
      <w:bookmarkEnd w:id="11"/>
    </w:p>
    <w:p w14:paraId="428A356F" w14:textId="77777777" w:rsidR="000F16EB" w:rsidRDefault="000F16EB" w:rsidP="000F16EB">
      <w:pPr>
        <w:pStyle w:val="NoSpacing"/>
      </w:pPr>
      <w:r>
        <w:t xml:space="preserve">EIA </w:t>
      </w:r>
      <w:r>
        <w:tab/>
      </w:r>
      <w:r>
        <w:tab/>
      </w:r>
      <w:bookmarkStart w:id="12" w:name="_Hlk526259874"/>
      <w:r>
        <w:t>Energy Information Administration</w:t>
      </w:r>
      <w:bookmarkEnd w:id="12"/>
    </w:p>
    <w:p w14:paraId="4B30A8B5" w14:textId="77777777" w:rsidR="000F16EB" w:rsidRDefault="000F16EB" w:rsidP="000F16EB">
      <w:pPr>
        <w:pStyle w:val="NoSpacing"/>
      </w:pPr>
      <w:r w:rsidRPr="00481B99">
        <w:t>HJE</w:t>
      </w:r>
      <w:r>
        <w:t xml:space="preserve"> </w:t>
      </w:r>
      <w:r>
        <w:tab/>
      </w:r>
      <w:r>
        <w:tab/>
        <w:t xml:space="preserve">HJ </w:t>
      </w:r>
      <w:proofErr w:type="spellStart"/>
      <w:r>
        <w:t>Enthoven</w:t>
      </w:r>
      <w:proofErr w:type="spellEnd"/>
    </w:p>
    <w:p w14:paraId="24C5093D" w14:textId="77777777" w:rsidR="000F16EB" w:rsidRDefault="000F16EB" w:rsidP="000F16EB">
      <w:pPr>
        <w:pStyle w:val="NoSpacing"/>
      </w:pPr>
      <w:r>
        <w:t xml:space="preserve">HMRC </w:t>
      </w:r>
      <w:r>
        <w:tab/>
      </w:r>
      <w:r>
        <w:tab/>
      </w:r>
      <w:r w:rsidRPr="00680B96">
        <w:rPr>
          <w:rFonts w:cstheme="minorHAnsi"/>
          <w:shd w:val="clear" w:color="auto" w:fill="FFFFFF"/>
        </w:rPr>
        <w:t>Her Majesty's</w:t>
      </w:r>
      <w:r w:rsidRPr="00680B96">
        <w:rPr>
          <w:rFonts w:cstheme="minorHAnsi"/>
        </w:rPr>
        <w:t xml:space="preserve"> Revenues</w:t>
      </w:r>
      <w:r w:rsidRPr="00680B96">
        <w:t xml:space="preserve"> </w:t>
      </w:r>
      <w:r>
        <w:t>and Customs</w:t>
      </w:r>
    </w:p>
    <w:p w14:paraId="360028B3" w14:textId="77777777" w:rsidR="000F16EB" w:rsidRDefault="000F16EB" w:rsidP="000F16EB">
      <w:pPr>
        <w:pStyle w:val="NoSpacing"/>
      </w:pPr>
      <w:r>
        <w:t xml:space="preserve">ICAX </w:t>
      </w:r>
      <w:r>
        <w:tab/>
      </w:r>
      <w:r>
        <w:tab/>
      </w:r>
      <w:proofErr w:type="spellStart"/>
      <w:r>
        <w:t>Interseasonal</w:t>
      </w:r>
      <w:proofErr w:type="spellEnd"/>
      <w:r>
        <w:t xml:space="preserve"> Heat Transfer</w:t>
      </w:r>
    </w:p>
    <w:p w14:paraId="3F263611" w14:textId="77777777" w:rsidR="000F16EB" w:rsidRPr="00481B99" w:rsidRDefault="000F16EB" w:rsidP="000F16EB">
      <w:pPr>
        <w:pStyle w:val="NoSpacing"/>
      </w:pPr>
      <w:r>
        <w:t xml:space="preserve">IGEM </w:t>
      </w:r>
      <w:r>
        <w:tab/>
      </w:r>
      <w:r>
        <w:tab/>
        <w:t xml:space="preserve">The </w:t>
      </w:r>
      <w:bookmarkStart w:id="13" w:name="_Hlk526260279"/>
      <w:r>
        <w:t>Institution of Gas Engineers and Managers</w:t>
      </w:r>
      <w:bookmarkEnd w:id="13"/>
    </w:p>
    <w:p w14:paraId="37F4F840" w14:textId="77777777" w:rsidR="000F16EB" w:rsidRDefault="000F16EB" w:rsidP="000F16EB">
      <w:pPr>
        <w:pStyle w:val="NoSpacing"/>
      </w:pPr>
      <w:r w:rsidRPr="00481B99">
        <w:t>IPCC</w:t>
      </w:r>
      <w:r>
        <w:t xml:space="preserve"> </w:t>
      </w:r>
      <w:r>
        <w:tab/>
      </w:r>
      <w:r>
        <w:tab/>
        <w:t>Intergovernmental Panel on Climate Change</w:t>
      </w:r>
    </w:p>
    <w:p w14:paraId="4BE4936E" w14:textId="77777777" w:rsidR="000F16EB" w:rsidRDefault="000F16EB" w:rsidP="000F16EB">
      <w:pPr>
        <w:pStyle w:val="NoSpacing"/>
      </w:pPr>
      <w:r>
        <w:t xml:space="preserve">ONS </w:t>
      </w:r>
      <w:r>
        <w:tab/>
      </w:r>
      <w:r>
        <w:tab/>
      </w:r>
      <w:bookmarkStart w:id="14" w:name="_Hlk526260354"/>
      <w:r>
        <w:t>Office for National Statistics</w:t>
      </w:r>
      <w:bookmarkEnd w:id="14"/>
    </w:p>
    <w:p w14:paraId="1AF8B72F" w14:textId="77777777" w:rsidR="000F16EB" w:rsidRDefault="000F16EB" w:rsidP="000F16EB">
      <w:pPr>
        <w:pStyle w:val="NoSpacing"/>
      </w:pPr>
      <w:r>
        <w:t xml:space="preserve">PPI </w:t>
      </w:r>
      <w:r>
        <w:tab/>
      </w:r>
      <w:r>
        <w:tab/>
      </w:r>
      <w:bookmarkStart w:id="15" w:name="_Hlk526260493"/>
      <w:r>
        <w:t>Plastic Pipe Institute</w:t>
      </w:r>
      <w:bookmarkEnd w:id="15"/>
    </w:p>
    <w:p w14:paraId="52983FD8" w14:textId="77777777" w:rsidR="000F16EB" w:rsidRDefault="000F16EB" w:rsidP="000F16EB">
      <w:pPr>
        <w:pStyle w:val="NoSpacing"/>
      </w:pPr>
      <w:r>
        <w:t xml:space="preserve">NIST </w:t>
      </w:r>
      <w:r>
        <w:tab/>
      </w:r>
      <w:r>
        <w:tab/>
        <w:t>National Institute of Standards and Technology</w:t>
      </w:r>
    </w:p>
    <w:p w14:paraId="35D61D08" w14:textId="77777777" w:rsidR="000F16EB" w:rsidRDefault="000F16EB" w:rsidP="000F16EB">
      <w:pPr>
        <w:pStyle w:val="NoSpacing"/>
      </w:pPr>
      <w:r>
        <w:t xml:space="preserve">NREL </w:t>
      </w:r>
      <w:r>
        <w:tab/>
      </w:r>
      <w:r>
        <w:tab/>
        <w:t>National Renewable Energy Laboratory</w:t>
      </w:r>
    </w:p>
    <w:p w14:paraId="72249465" w14:textId="77777777" w:rsidR="000F16EB" w:rsidRDefault="000F16EB" w:rsidP="000F16EB">
      <w:pPr>
        <w:pStyle w:val="NoSpacing"/>
      </w:pPr>
      <w:r>
        <w:t xml:space="preserve">UK ERC </w:t>
      </w:r>
      <w:r>
        <w:tab/>
      </w:r>
      <w:r>
        <w:tab/>
        <w:t>UK Energy Research Council</w:t>
      </w:r>
    </w:p>
    <w:p w14:paraId="005DD464" w14:textId="77777777" w:rsidR="000F16EB" w:rsidRDefault="000F16EB" w:rsidP="000F16EB">
      <w:pPr>
        <w:pStyle w:val="NoSpacing"/>
      </w:pPr>
      <w:r>
        <w:t xml:space="preserve">UNEP </w:t>
      </w:r>
      <w:r>
        <w:tab/>
      </w:r>
      <w:r>
        <w:tab/>
      </w:r>
      <w:bookmarkStart w:id="16" w:name="_Hlk526260811"/>
      <w:r>
        <w:t>United National Environment Programme</w:t>
      </w:r>
      <w:bookmarkEnd w:id="16"/>
    </w:p>
    <w:p w14:paraId="2AA9B0CF" w14:textId="77777777" w:rsidR="000F16EB" w:rsidRDefault="000F16EB" w:rsidP="000F16EB">
      <w:pPr>
        <w:pStyle w:val="NoSpacing"/>
      </w:pPr>
      <w:bookmarkStart w:id="17" w:name="_Hlk526260855"/>
      <w:r>
        <w:t>US DOE</w:t>
      </w:r>
      <w:bookmarkEnd w:id="17"/>
      <w:r>
        <w:t xml:space="preserve"> </w:t>
      </w:r>
      <w:r>
        <w:tab/>
      </w:r>
      <w:bookmarkStart w:id="18" w:name="_Hlk526260907"/>
      <w:r>
        <w:t>US Department of Energy</w:t>
      </w:r>
      <w:bookmarkEnd w:id="18"/>
    </w:p>
    <w:p w14:paraId="0CD60399" w14:textId="4CA3D8E9" w:rsidR="000F16EB" w:rsidRDefault="000F16EB">
      <w:pPr>
        <w:jc w:val="left"/>
      </w:pPr>
      <w:r>
        <w:br w:type="page"/>
      </w:r>
    </w:p>
    <w:p w14:paraId="7A3B5370" w14:textId="77777777" w:rsidR="000F16EB" w:rsidRDefault="000F16EB" w:rsidP="000F16EB">
      <w:pPr>
        <w:pStyle w:val="Heading1"/>
      </w:pPr>
      <w:bookmarkStart w:id="19" w:name="_Toc525229939"/>
      <w:bookmarkStart w:id="20" w:name="_Toc531270183"/>
      <w:bookmarkStart w:id="21" w:name="_Toc7187425"/>
      <w:r>
        <w:lastRenderedPageBreak/>
        <w:t>Introduction</w:t>
      </w:r>
      <w:bookmarkEnd w:id="19"/>
      <w:bookmarkEnd w:id="20"/>
      <w:bookmarkEnd w:id="21"/>
    </w:p>
    <w:p w14:paraId="50FCEA1F" w14:textId="4937186D" w:rsidR="000F16EB" w:rsidRDefault="000F16EB" w:rsidP="000F16EB">
      <w:r>
        <w:t xml:space="preserve">The effects of climate change are felt across the globe, impacting on both human and natural systems, as shown in </w:t>
      </w:r>
      <w:r>
        <w:fldChar w:fldCharType="begin"/>
      </w:r>
      <w:r>
        <w:instrText xml:space="preserve"> REF _Ref525662274 \h </w:instrText>
      </w:r>
      <w:r>
        <w:fldChar w:fldCharType="separate"/>
      </w:r>
      <w:r w:rsidR="00CB7456">
        <w:t xml:space="preserve">Figure </w:t>
      </w:r>
      <w:r w:rsidR="00CB7456">
        <w:rPr>
          <w:noProof/>
        </w:rPr>
        <w:t>1</w:t>
      </w:r>
      <w:r w:rsidR="00CB7456">
        <w:t>.</w:t>
      </w:r>
      <w:r w:rsidR="00CB7456">
        <w:rPr>
          <w:noProof/>
        </w:rPr>
        <w:t>1</w:t>
      </w:r>
      <w:r>
        <w:fldChar w:fldCharType="end"/>
      </w:r>
      <w:r>
        <w:t xml:space="preserve"> </w:t>
      </w:r>
      <w:r>
        <w:fldChar w:fldCharType="begin" w:fldLock="1"/>
      </w:r>
      <w:r w:rsidR="002A6A73">
        <w:instrText>ADDIN CSL_CITATION {"citationItems":[{"id":"ITEM-1","itemData":{"DOI":"10.1016/j.renene.2009.11.012","ISBN":"0960-1481","ISSN":"09601481","author":[{"dropping-particle":"","family":"IPCC","given":"","non-dropping-particle":"","parse-names":false,"suffix":""}],"container-title":"Climate Change 2014: Impacts, Adaptation, and Vulnerability. Part A: Global and Sectoral Aspects. Contribution of Working Group II to the Fifth Assessment Report of the Intergovernmental Panel on Climate Change","id":"ITEM-1","issued":{"date-parts":[["2014"]]},"number-of-pages":"35-94","publisher-place":"Geneva, Switzerland","title":"Technical Summary","type":"report"},"uris":["http://www.mendeley.com/documents/?uuid=648eb454-fb88-43f7-9808-af6d258945cc"]}],"mendeley":{"formattedCitation":"(IPCC, 2014)","plainTextFormattedCitation":"(IPCC, 2014)","previouslyFormattedCitation":"(IPCC, 2014)"},"properties":{"noteIndex":0},"schema":"https://github.com/citation-style-language/schema/raw/master/csl-citation.json"}</w:instrText>
      </w:r>
      <w:r>
        <w:fldChar w:fldCharType="separate"/>
      </w:r>
      <w:r w:rsidR="002A6A73" w:rsidRPr="002A6A73">
        <w:rPr>
          <w:noProof/>
        </w:rPr>
        <w:t>(IPCC, 2014)</w:t>
      </w:r>
      <w:r>
        <w:fldChar w:fldCharType="end"/>
      </w:r>
      <w:r>
        <w:t xml:space="preserve">. </w:t>
      </w:r>
      <w:r w:rsidR="008D7EF6">
        <w:t>According to the</w:t>
      </w:r>
      <w:r>
        <w:t xml:space="preserve"> Intergovernmental Panel on Climate Change (IPCC)</w:t>
      </w:r>
      <w:r w:rsidR="008D7EF6">
        <w:t>,</w:t>
      </w:r>
      <w:r>
        <w:t xml:space="preserve"> it is extremely, over 95%, likely that “the global climate change of the past fifty years cannot be explained without external forcing” and very, over 90%, likely that “it is not due to known natural causes alone”</w:t>
      </w:r>
      <w:r w:rsidR="00DE54B7">
        <w:t xml:space="preserve"> </w:t>
      </w:r>
      <w:r w:rsidR="00DE54B7">
        <w:fldChar w:fldCharType="begin" w:fldLock="1"/>
      </w:r>
      <w:r w:rsidR="00DE54B7">
        <w:instrText>ADDIN CSL_CITATION {"citationItems":[{"id":"ITEM-1","itemData":{"DOI":"10.1038/446727a","ISBN":"0521705967","ISSN":"00243590","PMID":"367016","author":[{"dropping-particle":"","family":"IPCC","given":"","non-dropping-particle":"","parse-names":false,"suffix":""}],"id":"ITEM-1","issued":{"date-parts":[["2007"]]},"number-of-pages":"996","publisher-place":"Geneva, Switzerland","title":"Summary for Policymakers","type":"report"},"uris":["http://www.mendeley.com/documents/?uuid=3508eb42-a780-4073-a858-5a1c12f67368"]}],"mendeley":{"formattedCitation":"(IPCC, 2007)","plainTextFormattedCitation":"(IPCC, 2007)","previouslyFormattedCitation":"(IPCC, 2007)"},"properties":{"noteIndex":0},"schema":"https://github.com/citation-style-language/schema/raw/master/csl-citation.json"}</w:instrText>
      </w:r>
      <w:r w:rsidR="00DE54B7">
        <w:fldChar w:fldCharType="separate"/>
      </w:r>
      <w:r w:rsidR="00DE54B7" w:rsidRPr="002A6A73">
        <w:rPr>
          <w:noProof/>
        </w:rPr>
        <w:t>(IPCC, 2007)</w:t>
      </w:r>
      <w:r w:rsidR="00DE54B7">
        <w:fldChar w:fldCharType="end"/>
      </w:r>
      <w:r>
        <w:t xml:space="preserve">. As global climate change issues are caused by human activity, the mitigation of and solution to these issues will require human intervention. </w:t>
      </w:r>
    </w:p>
    <w:p w14:paraId="11AE799C" w14:textId="77777777" w:rsidR="000F16EB" w:rsidRDefault="000F16EB" w:rsidP="000F16EB">
      <w:pPr>
        <w:keepNext/>
        <w:jc w:val="center"/>
      </w:pPr>
      <w:r>
        <w:rPr>
          <w:noProof/>
          <w:lang w:eastAsia="en-GB"/>
        </w:rPr>
        <w:drawing>
          <wp:inline distT="0" distB="0" distL="0" distR="0" wp14:anchorId="7F91BE04" wp14:editId="1533A85A">
            <wp:extent cx="5040000" cy="3868090"/>
            <wp:effectExtent l="19050" t="19050" r="27305" b="184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040000" cy="3868090"/>
                    </a:xfrm>
                    <a:prstGeom prst="rect">
                      <a:avLst/>
                    </a:prstGeom>
                    <a:noFill/>
                    <a:ln>
                      <a:solidFill>
                        <a:schemeClr val="tx1"/>
                      </a:solidFill>
                    </a:ln>
                  </pic:spPr>
                </pic:pic>
              </a:graphicData>
            </a:graphic>
          </wp:inline>
        </w:drawing>
      </w:r>
    </w:p>
    <w:p w14:paraId="6D7C210C" w14:textId="5857F90D" w:rsidR="000F16EB" w:rsidRPr="005E6ED9" w:rsidRDefault="000F16EB" w:rsidP="000F16EB">
      <w:pPr>
        <w:pStyle w:val="Caption"/>
      </w:pPr>
      <w:bookmarkStart w:id="22" w:name="_Ref525662274"/>
      <w:bookmarkStart w:id="23" w:name="_Toc468265792"/>
      <w:bookmarkStart w:id="24" w:name="_Toc525230065"/>
      <w:bookmarkStart w:id="25" w:name="_Toc7187613"/>
      <w:r>
        <w:t xml:space="preserve">Figure </w:t>
      </w:r>
      <w:fldSimple w:instr=" STYLEREF 1 \s ">
        <w:r w:rsidR="00CB7456">
          <w:rPr>
            <w:noProof/>
          </w:rPr>
          <w:t>1</w:t>
        </w:r>
      </w:fldSimple>
      <w:r w:rsidR="007B29C3">
        <w:t>.</w:t>
      </w:r>
      <w:fldSimple w:instr=" SEQ Figure \* ARABIC \s 1 ">
        <w:r w:rsidR="00CB7456">
          <w:rPr>
            <w:noProof/>
          </w:rPr>
          <w:t>1</w:t>
        </w:r>
      </w:fldSimple>
      <w:bookmarkEnd w:id="22"/>
      <w:r>
        <w:t xml:space="preserve">: Worldwide effects of climate </w:t>
      </w:r>
      <w:r w:rsidRPr="00C72679">
        <w:t xml:space="preserve">change </w:t>
      </w:r>
      <w:r w:rsidRPr="00C72679">
        <w:fldChar w:fldCharType="begin" w:fldLock="1"/>
      </w:r>
      <w:r w:rsidR="002A6A73" w:rsidRPr="00C72679">
        <w:instrText>ADDIN CSL_CITATION {"citationItems":[{"id":"ITEM-1","itemData":{"DOI":"10.1016/j.renene.2009.11.012","ISBN":"0960-1481","ISSN":"09601481","author":[{"dropping-particle":"","family":"IPCC","given":"","non-dropping-particle":"","parse-names":false,"suffix":""}],"container-title":"Climate Change 2014: Impacts, Adaptation, and Vulnerability. Part A: Global and Sectoral Aspects. Contribution of Working Group II to the Fifth Assessment Report of the Intergovernmental Panel on Climate Change","id":"ITEM-1","issued":{"date-parts":[["2014"]]},"number-of-pages":"35-94","publisher-place":"Geneva, Switzerland","title":"Technical Summary","type":"report"},"uris":["http://www.mendeley.com/documents/?uuid=648eb454-fb88-43f7-9808-af6d258945cc"]}],"mendeley":{"formattedCitation":"(IPCC, 2014)","plainTextFormattedCitation":"(IPCC, 2014)","previouslyFormattedCitation":"(IPCC, 2014)"},"properties":{"noteIndex":0},"schema":"https://github.com/citation-style-language/schema/raw/master/csl-citation.json"}</w:instrText>
      </w:r>
      <w:r w:rsidRPr="00C72679">
        <w:fldChar w:fldCharType="separate"/>
      </w:r>
      <w:r w:rsidR="002A6A73" w:rsidRPr="00C72679">
        <w:rPr>
          <w:noProof/>
        </w:rPr>
        <w:t>(IPCC, 2014)</w:t>
      </w:r>
      <w:r w:rsidRPr="00C72679">
        <w:fldChar w:fldCharType="end"/>
      </w:r>
      <w:r w:rsidRPr="00C72679">
        <w:t>.</w:t>
      </w:r>
      <w:bookmarkEnd w:id="23"/>
      <w:bookmarkEnd w:id="24"/>
      <w:bookmarkEnd w:id="25"/>
    </w:p>
    <w:p w14:paraId="4E0CBF39" w14:textId="08DAABEF" w:rsidR="000F16EB" w:rsidRDefault="000F16EB" w:rsidP="000F16EB">
      <w:r>
        <w:t xml:space="preserve">The human intervention will come from of a mixture of national and international policy and investment decisions </w:t>
      </w:r>
      <w:r>
        <w:fldChar w:fldCharType="begin" w:fldLock="1"/>
      </w:r>
      <w:r w:rsidR="002A6A73">
        <w:instrText>ADDIN CSL_CITATION {"citationItems":[{"id":"ITEM-1","itemData":{"DOI":"10.1016/j.energy.2014.02.089","ISBN":"0360-5442","ISSN":"03605442","abstract":"This paper defines the concept of 4th Generation District Heating (4GDH) including the relations to District Cooling and the concepts of smart energy and smart thermal grids. The motive is to identify the future challenges of reaching a future renewable non-fossil heat supply as part of the implementation of overall sustainable energy systems. The basic assumption is that district heating and cooling has an important role to play in future sustainable energy systems - including 100 percent renewable energy systems - but the present generation of district heating and cooling technologies will have to be developed further into a new generation in order to play such a role. Unlike the first three generations, the development of 4GDH involves meeting the challenge of more energy efficient buildings as well as being an integrated part of the operation of smart energy systems, i.e. integrated smart electricity, gas and thermal grids. © 2014 Elsevier Ltd.","author":[{"dropping-particle":"","family":"Lund","given":"Henrik","non-dropping-particle":"","parse-names":false,"suffix":""},{"dropping-particle":"","family":"Werner","given":"Sven","non-dropping-particle":"","parse-names":false,"suffix":""},{"dropping-particle":"","family":"Wiltshire","given":"Robin","non-dropping-particle":"","parse-names":false,"suffix":""},{"dropping-particle":"","family":"Svendsen","given":"Svend","non-dropping-particle":"","parse-names":false,"suffix":""},{"dropping-particle":"","family":"Thorsen","given":"Jan Eric","non-dropping-particle":"","parse-names":false,"suffix":""},{"dropping-particle":"","family":"Hvelplund","given":"Frede","non-dropping-particle":"","parse-names":false,"suffix":""},{"dropping-particle":"","family":"Mathiesen","given":"Brian Vad","non-dropping-particle":"","parse-names":false,"suffix":""}],"container-title":"Energy","id":"ITEM-1","issued":{"date-parts":[["2014"]]},"page":"1-11","publisher":"Elsevier Ltd","title":"4th Generation District Heating (4GDH): Integrating smart thermal grids into future sustainable energy systems","type":"article-journal","volume":"68"},"uris":["http://www.mendeley.com/documents/?uuid=b07bb5b3-0405-4e3b-bb45-af175f28cf2a"]},{"id":"ITEM-2","itemData":{"author":[{"dropping-particle":"","family":"ECF","given":"","non-dropping-particle":"","parse-names":false,"suffix":""}],"id":"ITEM-2","issued":{"date-parts":[["2010"]]},"publisher-place":</w:instrText>
      </w:r>
      <w:r w:rsidR="002A6A73">
        <w:rPr>
          <w:rFonts w:hint="eastAsia"/>
        </w:rPr>
        <w:instrText>"Brussels, Belgium","title":"Roadmap 2050</w:instrText>
      </w:r>
      <w:r w:rsidR="002A6A73">
        <w:rPr>
          <w:rFonts w:hint="eastAsia"/>
        </w:rPr>
        <w:instrText>：</w:instrText>
      </w:r>
      <w:r w:rsidR="002A6A73">
        <w:rPr>
          <w:rFonts w:hint="eastAsia"/>
        </w:rPr>
        <w:instrText>A Practical Guide to a Prosperous, Low-carbon Europe - Technical Analysis Executive Summary","type":"report"},"uris":["http://www.mendeley.com/documents/?uuid=2c3a56fa-db85-4166-83b3-750b640250ac"]}],"mendeley":{"</w:instrText>
      </w:r>
      <w:r w:rsidR="002A6A73">
        <w:instrText>formattedCitation":"(ECF, 2010; Lund &lt;i&gt;et al.&lt;/i&gt;, 2014)","plainTextFormattedCitation":"(ECF, 2010; Lund et al., 2014)","previouslyFormattedCitation":"(ECF, 2010; Lund &lt;i&gt;et al.&lt;/i&gt;, 2014)"},"properties":{"noteIndex":0},"schema":"https://github.com/citation-style-language/schema/raw/master/csl-citation.json"}</w:instrText>
      </w:r>
      <w:r>
        <w:fldChar w:fldCharType="separate"/>
      </w:r>
      <w:r w:rsidR="002A6A73" w:rsidRPr="002A6A73">
        <w:rPr>
          <w:noProof/>
        </w:rPr>
        <w:t xml:space="preserve">(ECF, 2010; Lund </w:t>
      </w:r>
      <w:r w:rsidR="002A6A73" w:rsidRPr="002A6A73">
        <w:rPr>
          <w:i/>
          <w:noProof/>
        </w:rPr>
        <w:t>et al.</w:t>
      </w:r>
      <w:r w:rsidR="002A6A73" w:rsidRPr="002A6A73">
        <w:rPr>
          <w:noProof/>
        </w:rPr>
        <w:t>, 2014)</w:t>
      </w:r>
      <w:r>
        <w:fldChar w:fldCharType="end"/>
      </w:r>
      <w:r>
        <w:t xml:space="preserve">. The policy should aim to introduce sustainable energy systems and decarbonisation pathways. Sustainable energy systems should be capable of integrating renewable and residual energy sources into the wider energy networks. Decarbonisation pathways should suggest routes that lead to reduced, and eventually, zero carbon futures. Examples of international policy and decarbonisation pathways are the European Commission’s (EC) 20% by 2020 and the 2050 Roadmap </w:t>
      </w:r>
      <w:r>
        <w:fldChar w:fldCharType="begin" w:fldLock="1"/>
      </w:r>
      <w:r w:rsidR="002A6A73">
        <w:instrText>ADDIN CSL_CITATION {"citationItems":[{"id":"ITEM-1","itemData":{"DOI":"10.3000/19770677.L_2012.315.eng","ISBN":"2012","ISSN":"2012","author":[{"dropping-particle":"","family":"EC","given":"","non-dropping-particle":"","parse-names":false,"suffix":""}],"container-title":"Official Journal of the European Union Directive","id":"ITEM-1","issue":"October","issued":{"date-parts":[["2012"]]},"number-of-pages":"1-56","publisher-place":"Brussels, Belgium","title":"Directive 2012/27/EU of the European Parliament and of the Council of 25 October 2012","type":"report"},"uris":["http://www.mendeley.com/documents/?uuid=f1951e44-5ed0-4f42-a93d-11729b16dafc"]}],"mendeley":{"formattedCitation":"(EC, 2012b)","plainTextFormattedCitation":"(EC, 2012b)","previouslyFormattedCitation":"(EC, 2012b)"},"properties":{"noteIndex":0},"schema":"https://github.com/citation-style-language/schema/raw/master/csl-citation.json"}</w:instrText>
      </w:r>
      <w:r>
        <w:fldChar w:fldCharType="separate"/>
      </w:r>
      <w:r w:rsidR="002A6A73" w:rsidRPr="002A6A73">
        <w:rPr>
          <w:noProof/>
        </w:rPr>
        <w:t>(EC, 2012b)</w:t>
      </w:r>
      <w:r>
        <w:fldChar w:fldCharType="end"/>
      </w:r>
      <w:r>
        <w:t>. The 20% by 2020 policy states that all EU member states must, by 2020, reduce their own emission levels to 20% of their 1990 levels. The 2050 Roadmap by the European Climate Foundation (ECF) gives member states advice on how to reduce their emissions</w:t>
      </w:r>
      <w:r w:rsidR="00DE54B7">
        <w:t xml:space="preserve"> </w:t>
      </w:r>
      <w:r w:rsidR="00DE54B7">
        <w:fldChar w:fldCharType="begin" w:fldLock="1"/>
      </w:r>
      <w:r w:rsidR="00DE54B7">
        <w:instrText>ADDIN CSL_CITATION {"citationItems":[{"id":"ITEM-1","itemData":{"author":[{"dropping-particle":"","family":"ECF","given":"","non-dropping-particle":"","parse-names":false,"suffix":""}],"id":"ITEM-1","issued":{"date-parts":[["2010"]]},"publisher-place":"Br</w:instrText>
      </w:r>
      <w:r w:rsidR="00DE54B7">
        <w:rPr>
          <w:rFonts w:hint="eastAsia"/>
        </w:rPr>
        <w:instrText>ussels, Belgium","title":"Roadmap 2050</w:instrText>
      </w:r>
      <w:r w:rsidR="00DE54B7">
        <w:rPr>
          <w:rFonts w:hint="eastAsia"/>
        </w:rPr>
        <w:instrText>：</w:instrText>
      </w:r>
      <w:r w:rsidR="00DE54B7">
        <w:rPr>
          <w:rFonts w:hint="eastAsia"/>
        </w:rPr>
        <w:instrText>A Practical Guide to a Prosperous, Low-carbon Europe - Technical Analysis Executive Summary","type":"report"},"uris":["http://www.mendeley.com/documents/?uuid=2c3a56fa-db85-4166-83b3-750b640250ac"]}],"mendeley":{"for</w:instrText>
      </w:r>
      <w:r w:rsidR="00DE54B7">
        <w:instrText>mattedCitation":"(ECF, 2010)","plainTextFormattedCitation":"(ECF, 2010)","previouslyFormattedCitation":"(ECF, 2010)"},"properties":{"noteIndex":0},"schema":"https://github.com/citation-style-language/schema/raw/master/csl-citation.json"}</w:instrText>
      </w:r>
      <w:r w:rsidR="00DE54B7">
        <w:fldChar w:fldCharType="separate"/>
      </w:r>
      <w:r w:rsidR="00DE54B7" w:rsidRPr="002A6A73">
        <w:rPr>
          <w:noProof/>
        </w:rPr>
        <w:t>(ECF, 2010)</w:t>
      </w:r>
      <w:r w:rsidR="00DE54B7">
        <w:fldChar w:fldCharType="end"/>
      </w:r>
      <w:r>
        <w:t>.</w:t>
      </w:r>
    </w:p>
    <w:p w14:paraId="5A10BCE8" w14:textId="67AB4493" w:rsidR="000F16EB" w:rsidRPr="003D7103" w:rsidRDefault="000F16EB" w:rsidP="000F16EB">
      <w:r>
        <w:t xml:space="preserve">According to the Department of Energy and Climate Change (DECC), to achieve high levels of decarbonisation the emissions related to the heating of buildings must be reduced to almost </w:t>
      </w:r>
      <w:r>
        <w:lastRenderedPageBreak/>
        <w:t>zero</w:t>
      </w:r>
      <w:r w:rsidR="00E46144">
        <w:t xml:space="preserve"> by 2050</w:t>
      </w:r>
      <w:r w:rsidR="00DE54B7">
        <w:t xml:space="preserve"> </w:t>
      </w:r>
      <w:r w:rsidR="00DE54B7">
        <w:fldChar w:fldCharType="begin" w:fldLock="1"/>
      </w:r>
      <w:r w:rsidR="00DE54B7">
        <w:instrText>ADDIN CSL_CITATION {"citationItems":[{"id":"ITEM-1","itemData":{"abstract":"Various documents and info","author":[{"dropping-particle":"","family":"DECC","given":"","non-dropping-particle":"","parse-names":false,"suffix":""}],"id":"ITEM-1","issued":{"date-parts":[["2013"]]},"publisher-place":"London, England","title":"The Future of Heating: Meeting the challenge","type":"report"},"uris":["http://www.mendeley.com/documents/?uuid=9f3c295e-6e14-48d1-b7e7-ddf8ebd7628d"]}],"mendeley":{"formattedCitation":"(DECC, 2013c)","plainTextFormattedCitation":"(DECC, 2013c)","previouslyFormattedCitation":"(DECC, 2013c)"},"properties":{"noteIndex":0},"schema":"https://github.com/citation-style-language/schema/raw/master/csl-citation.json"}</w:instrText>
      </w:r>
      <w:r w:rsidR="00DE54B7">
        <w:fldChar w:fldCharType="separate"/>
      </w:r>
      <w:r w:rsidR="00DE54B7" w:rsidRPr="002A6A73">
        <w:rPr>
          <w:noProof/>
        </w:rPr>
        <w:t>(DECC, 2013c)</w:t>
      </w:r>
      <w:r w:rsidR="00DE54B7">
        <w:fldChar w:fldCharType="end"/>
      </w:r>
      <w:r>
        <w:t xml:space="preserve">. The decarbonisation of heating will be achieved by both reducing the demand for heating and decarbonising the supply and distribution of the heat </w:t>
      </w:r>
      <w:r>
        <w:fldChar w:fldCharType="begin" w:fldLock="1"/>
      </w:r>
      <w:r w:rsidR="002A6A73">
        <w:instrText>ADDIN CSL_CITATION {"citationItems":[{"id":"ITEM-1","itemData":{"DOI":"10.1016/j.energy.2009.11.023","ISSN":"03605442","author":[{"dropping-particle":"","family":"Lund","given":"Henrik","non-dropping-particle":"","parse-names":false,"suffix":""},{"dropping-particle":"","family":"Möller","given":"B.","non-dropping-particle":"","parse-names":false,"suffix":""},{"dropping-particle":"","family":"Mathiesen","given":"Brian Vad","non-dropping-particle":"","parse-names":false,"suffix":""},{"dropping-particle":"","family":"Dyrelund","given":"A.","non-dropping-particle":"","parse-names":false,"suffix":""}],"container-title":"Energy","id":"ITEM-1","issue":"3","issued":{"date-parts":[["2010"]]},"page":"1381-1390","title":"The role of district heating in future renewable energy systems","type":"article-journal","volume":"35"},"uris":["http://www.mendeley.com/documents/?uuid=661952d8-aec9-4333-9b05-9a9ebab8d30e"]}],"mendeley":{"formattedCitation":"(Lund &lt;i&gt;et al.&lt;/i&gt;, 2010)","plainTextFormattedCitation":"(Lund et al., 2010)","previouslyFormattedCitation":"(Lund &lt;i&gt;et al.&lt;/i&gt;, 2010)"},"properties":{"noteIndex":0},"schema":"https://github.com/citation-style-language/schema/raw/master/csl-citation.json"}</w:instrText>
      </w:r>
      <w:r>
        <w:fldChar w:fldCharType="separate"/>
      </w:r>
      <w:r w:rsidR="002A6A73" w:rsidRPr="002A6A73">
        <w:rPr>
          <w:noProof/>
        </w:rPr>
        <w:t xml:space="preserve">(Lund </w:t>
      </w:r>
      <w:r w:rsidR="002A6A73" w:rsidRPr="002A6A73">
        <w:rPr>
          <w:i/>
          <w:noProof/>
        </w:rPr>
        <w:t>et al.</w:t>
      </w:r>
      <w:r w:rsidR="002A6A73" w:rsidRPr="002A6A73">
        <w:rPr>
          <w:noProof/>
        </w:rPr>
        <w:t>, 2010)</w:t>
      </w:r>
      <w:r>
        <w:fldChar w:fldCharType="end"/>
      </w:r>
      <w:r>
        <w:t xml:space="preserve">. District heating (DH) and electrifying heating are the two key options to achieve the decarbonisation of heating. </w:t>
      </w:r>
      <w:r w:rsidR="00E46144">
        <w:t>One possible advantage of DH comes from the yearly variation in the UK natural gas demand.</w:t>
      </w:r>
      <w:r>
        <w:t xml:space="preserve"> The yearly variation in the UK demand for natural gas is much larger than the variation for electricity, as shown in </w:t>
      </w:r>
      <w:r w:rsidRPr="003D7103">
        <w:fldChar w:fldCharType="begin"/>
      </w:r>
      <w:r w:rsidRPr="003D7103">
        <w:instrText xml:space="preserve"> REF _Ref466989413 \h </w:instrText>
      </w:r>
      <w:r w:rsidRPr="003D7103">
        <w:fldChar w:fldCharType="separate"/>
      </w:r>
      <w:r w:rsidR="00CB7456" w:rsidRPr="00DF4536">
        <w:t xml:space="preserve">Figure </w:t>
      </w:r>
      <w:r w:rsidR="00CB7456">
        <w:rPr>
          <w:noProof/>
        </w:rPr>
        <w:t>1</w:t>
      </w:r>
      <w:r w:rsidR="00CB7456">
        <w:t>.</w:t>
      </w:r>
      <w:r w:rsidR="00CB7456">
        <w:rPr>
          <w:noProof/>
        </w:rPr>
        <w:t>2</w:t>
      </w:r>
      <w:r w:rsidRPr="003D7103">
        <w:fldChar w:fldCharType="end"/>
      </w:r>
      <w:r>
        <w:t xml:space="preserve"> </w:t>
      </w:r>
      <w:r w:rsidRPr="003D7103">
        <w:fldChar w:fldCharType="begin" w:fldLock="1"/>
      </w:r>
      <w:r w:rsidR="002A6A73">
        <w:instrText>ADDIN CSL_CITATION {"citationItems":[{"id":"ITEM-1","itemData":{"DOI":"10.1016/j.enpol.2013.05.110","ISBN":"0301-4215","ISSN":"03014215","abstract":"Publically available data is presented comparing recent historical daily energy flows through Great Britain's electrical and gas transmission networks with a focus on domestic heat and hot water. When this data is expressed graphically it illustrates important differences in the characteristics of the gas and electricity demand; these include the quantity of energy delivered through the networks on a daily basis, the scale of variability in the gas demand over multiple timescales (seasonal, weekly and daily) and the relative stability and predictability of the electrical demand. As the United Kingdom proceeds to migrate heating demands to the electrical network in its drive to cut carbon emissions, electrical demand will increase, but equally importantly the variability and uncertainty shown in the gas demand will also migrate to the electrical demand, which suggests both technical challenges and opportunities for management of future energy networks. ?? 2013 The Authors.","author":[{"dropping-particle":"","family":"Wilson","given":"I. A Grant","non-dropping-particle":"","parse-names":false,"suffix":""},{"dropping-particle":"","family":"Rennie","given":"Anthony J R","non-dropping-particle":"","parse-names":false,"suffix":""},{"dropping-particle":"","family":"Ding","given":"Yulong","non-dropping-particle":"","parse-names":false,"suffix":""},{"dropping-particle":"","family":"Eames","given":"Philip C.","non-dropping-particle":"","parse-names":false,"suffix":""},{"dropping-particle":"","family":"Hall","given":"Peter J.","non-dropping-particle":"","parse-names":false,"suffix":""},{"dropping-particle":"","family":"Kelly","given":"Nicolas J.","non-dropping-particle":"","parse-names":false,"suffix":""}],"container-title":"Energy Policy","id":"ITEM-1","issued":{"date-parts":[["2013"]]},"page":"301-305","publisher":"Elsevier","title":"Historical daily gas and electrical energy flows through Great Britain's transmission networks and the decarbonisation of domestic heat","type":"article-journal","volume":"61"},"uris":["http://www.mendeley.com/documents/?uuid=1c4d793d-2790-4958-b71c-321c4dd208e6"]}],"mendeley":{"formattedCitation":"(Wilson &lt;i&gt;et al.&lt;/i&gt;, 2013)","plainTextFormattedCitation":"(Wilson et al., 2013)","previouslyFormattedCitation":"(Wilson &lt;i&gt;et al.&lt;/i&gt;, 2013)"},"properties":{"noteIndex":0},"schema":"https://github.com/citation-style-language/schema/raw/master/csl-citation.json"}</w:instrText>
      </w:r>
      <w:r w:rsidRPr="003D7103">
        <w:fldChar w:fldCharType="separate"/>
      </w:r>
      <w:r w:rsidR="002A6A73" w:rsidRPr="002A6A73">
        <w:rPr>
          <w:noProof/>
        </w:rPr>
        <w:t xml:space="preserve">(Wilson </w:t>
      </w:r>
      <w:r w:rsidR="002A6A73" w:rsidRPr="002A6A73">
        <w:rPr>
          <w:i/>
          <w:noProof/>
        </w:rPr>
        <w:t>et al.</w:t>
      </w:r>
      <w:r w:rsidR="002A6A73" w:rsidRPr="002A6A73">
        <w:rPr>
          <w:noProof/>
        </w:rPr>
        <w:t>, 2013)</w:t>
      </w:r>
      <w:r w:rsidRPr="003D7103">
        <w:fldChar w:fldCharType="end"/>
      </w:r>
      <w:r>
        <w:t>. If the heating in the UK was electrified the already strained national grid would need to supply both the current demand for electricity and natural gas</w:t>
      </w:r>
      <w:r w:rsidRPr="003D7103">
        <w:t>.</w:t>
      </w:r>
    </w:p>
    <w:p w14:paraId="4F2BE9E5" w14:textId="77777777" w:rsidR="000F16EB" w:rsidRPr="003D7103" w:rsidRDefault="000F16EB" w:rsidP="000F16EB">
      <w:pPr>
        <w:keepNext/>
        <w:jc w:val="center"/>
      </w:pPr>
      <w:r w:rsidRPr="003D7103">
        <w:rPr>
          <w:noProof/>
          <w:lang w:eastAsia="en-GB"/>
        </w:rPr>
        <w:drawing>
          <wp:inline distT="0" distB="0" distL="0" distR="0" wp14:anchorId="79CE32C6" wp14:editId="767ECAF7">
            <wp:extent cx="5040000" cy="2117338"/>
            <wp:effectExtent l="19050" t="19050" r="27305" b="165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
                      <a:extLst>
                        <a:ext uri="{28A0092B-C50C-407E-A947-70E740481C1C}">
                          <a14:useLocalDpi xmlns:a14="http://schemas.microsoft.com/office/drawing/2010/main" val="0"/>
                        </a:ext>
                      </a:extLst>
                    </a:blip>
                    <a:srcRect l="-1055" t="9799" r="-1073"/>
                    <a:stretch/>
                  </pic:blipFill>
                  <pic:spPr bwMode="auto">
                    <a:xfrm>
                      <a:off x="0" y="0"/>
                      <a:ext cx="5040000" cy="2117338"/>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2B8D952" w14:textId="4892F1A5" w:rsidR="000F16EB" w:rsidRPr="00DF4536" w:rsidRDefault="000F16EB" w:rsidP="000F16EB">
      <w:pPr>
        <w:pStyle w:val="Caption"/>
      </w:pPr>
      <w:bookmarkStart w:id="26" w:name="_Ref466989413"/>
      <w:bookmarkStart w:id="27" w:name="_Toc468265793"/>
      <w:bookmarkStart w:id="28" w:name="_Toc525230066"/>
      <w:bookmarkStart w:id="29" w:name="_Toc7187614"/>
      <w:r w:rsidRPr="00DF4536">
        <w:t xml:space="preserve">Figure </w:t>
      </w:r>
      <w:fldSimple w:instr=" STYLEREF 1 \s ">
        <w:r w:rsidR="00CB7456">
          <w:rPr>
            <w:noProof/>
          </w:rPr>
          <w:t>1</w:t>
        </w:r>
      </w:fldSimple>
      <w:r w:rsidR="007B29C3">
        <w:t>.</w:t>
      </w:r>
      <w:fldSimple w:instr=" SEQ Figure \* ARABIC \s 1 ">
        <w:r w:rsidR="00CB7456">
          <w:rPr>
            <w:noProof/>
          </w:rPr>
          <w:t>2</w:t>
        </w:r>
      </w:fldSimple>
      <w:bookmarkEnd w:id="26"/>
      <w:r>
        <w:t>:</w:t>
      </w:r>
      <w:r w:rsidRPr="00DF4536">
        <w:t xml:space="preserve"> Variation of heat and electricity demand</w:t>
      </w:r>
      <w:r>
        <w:t>s</w:t>
      </w:r>
      <w:r w:rsidRPr="00DF4536">
        <w:t xml:space="preserve"> in the </w:t>
      </w:r>
      <w:r w:rsidRPr="0022640E">
        <w:t xml:space="preserve">UK </w:t>
      </w:r>
      <w:r w:rsidRPr="0022640E">
        <w:fldChar w:fldCharType="begin" w:fldLock="1"/>
      </w:r>
      <w:r w:rsidR="002A6A73" w:rsidRPr="0022640E">
        <w:instrText>ADDIN CSL_CITATION {"citationItems":[{"id":"ITEM-1","itemData":{"DOI":"10.1016/j.enpol.2013.05.110","ISBN":"0301-4215","ISSN":"03014215","abstract":"Publically available data is presented comparing recent historical daily energy flows through Great Britain's electrical and gas transmission networks with a focus on domestic heat and hot water. When this data is expressed graphically it illustrates important differences in the characteristics of the gas and electricity demand; these include the quantity of energy delivered through the networks on a daily basis, the scale of variability in the gas demand over multiple timescales (seasonal, weekly and daily) and the relative stability and predictability of the electrical demand. As the United Kingdom proceeds to migrate heating demands to the electrical network in its drive to cut carbon emissions, electrical demand will increase, but equally importantly the variability and uncertainty shown in the gas demand will also migrate to the electrical demand, which suggests both technical challenges and opportunities for management of future energy networks. ?? 2013 The Authors.","author":[{"dropping-particle":"","family":"Wilson","given":"I. A Grant","non-dropping-particle":"","parse-names":false,"suffix":""},{"dropping-particle":"","family":"Rennie","given":"Anthony J R","non-dropping-particle":"","parse-names":false,"suffix":""},{"dropping-particle":"","family":"Ding","given":"Yulong","non-dropping-particle":"","parse-names":false,"suffix":""},{"dropping-particle":"","family":"Eames","given":"Philip C.","non-dropping-particle":"","parse-names":false,"suffix":""},{"dropping-particle":"","family":"Hall","given":"Peter J.","non-dropping-particle":"","parse-names":false,"suffix":""},{"dropping-particle":"","family":"Kelly","given":"Nicolas J.","non-dropping-particle":"","parse-names":false,"suffix":""}],"container-title":"Energy Policy","id":"ITEM-1","issued":{"date-parts":[["2013"]]},"page":"301-305","publisher":"Elsevier","title":"Historical daily gas and electrical energy flows through Great Britain's transmission networks and the decarbonisation of domestic heat","type":"article-journal","volume":"61"},"uris":["http://www.mendeley.com/documents/?uuid=1c4d793d-2790-4958-b71c-321c4dd208e6"]}],"mendeley":{"formattedCitation":"(Wilson &lt;i&gt;et al.&lt;/i&gt;, 2013)","plainTextFormattedCitation":"(Wilson et al., 2013)","previouslyFormattedCitation":"(Wilson &lt;i&gt;et al.&lt;/i&gt;, 2013)"},"properties":{"noteIndex":0},"schema":"https://github.com/citation-style-language/schema/raw/master/csl-citation.json"}</w:instrText>
      </w:r>
      <w:r w:rsidRPr="0022640E">
        <w:fldChar w:fldCharType="separate"/>
      </w:r>
      <w:r w:rsidR="002A6A73" w:rsidRPr="0022640E">
        <w:rPr>
          <w:noProof/>
        </w:rPr>
        <w:t xml:space="preserve">(Wilson </w:t>
      </w:r>
      <w:r w:rsidR="002A6A73" w:rsidRPr="0022640E">
        <w:rPr>
          <w:i/>
          <w:noProof/>
        </w:rPr>
        <w:t>et al.</w:t>
      </w:r>
      <w:r w:rsidR="002A6A73" w:rsidRPr="0022640E">
        <w:rPr>
          <w:noProof/>
        </w:rPr>
        <w:t>, 2013)</w:t>
      </w:r>
      <w:r w:rsidRPr="0022640E">
        <w:fldChar w:fldCharType="end"/>
      </w:r>
      <w:r w:rsidRPr="0022640E">
        <w:t>.</w:t>
      </w:r>
      <w:bookmarkEnd w:id="27"/>
      <w:bookmarkEnd w:id="28"/>
      <w:bookmarkEnd w:id="29"/>
      <w:r w:rsidRPr="00DF4536">
        <w:t xml:space="preserve"> </w:t>
      </w:r>
    </w:p>
    <w:p w14:paraId="6876048A" w14:textId="77777777" w:rsidR="000F16EB" w:rsidRDefault="000F16EB" w:rsidP="000F16EB">
      <w:pPr>
        <w:pStyle w:val="Heading2"/>
      </w:pPr>
      <w:bookmarkStart w:id="30" w:name="_Toc465329857"/>
      <w:bookmarkStart w:id="31" w:name="_Toc468265739"/>
      <w:bookmarkStart w:id="32" w:name="_Toc525229940"/>
      <w:bookmarkStart w:id="33" w:name="_Toc531270184"/>
      <w:bookmarkStart w:id="34" w:name="_Toc7187426"/>
      <w:r w:rsidRPr="003D7103">
        <w:t>District Heating</w:t>
      </w:r>
      <w:bookmarkEnd w:id="30"/>
      <w:bookmarkEnd w:id="31"/>
      <w:bookmarkEnd w:id="32"/>
      <w:bookmarkEnd w:id="33"/>
      <w:bookmarkEnd w:id="34"/>
    </w:p>
    <w:p w14:paraId="1299159A" w14:textId="38E32271" w:rsidR="000F16EB" w:rsidRDefault="000F16EB" w:rsidP="000F16EB">
      <w:pPr>
        <w:rPr>
          <w:lang w:eastAsia="en-GB"/>
        </w:rPr>
      </w:pPr>
      <w:r>
        <w:t xml:space="preserve">DH is based around a pipe network that is used to provide thermal energy (TE) to a number of customers from a centralised heat source, or sources, through the circulation of a </w:t>
      </w:r>
      <w:r w:rsidR="0049101B">
        <w:t xml:space="preserve">HT fluid </w:t>
      </w:r>
      <w:r>
        <w:t xml:space="preserve">(HTF) </w:t>
      </w:r>
      <w:r w:rsidRPr="003D7103">
        <w:fldChar w:fldCharType="begin" w:fldLock="1"/>
      </w:r>
      <w:r w:rsidR="002A6A73">
        <w:instrText>ADDIN CSL_CITATION {"citationItems":[{"id":"ITEM-1","itemData":{"ISBN":"9789144085302","author":[{"dropping-particle":"","family":"Frederiksen","given":"Svend","non-dropping-particle":"","parse-names":false,"suffix":""},{"dropping-particle":"","family":"Werner","given":"Sven","non-dropping-particle":"","parse-names":false,"suffix":""}],"edition":"1","id":"ITEM-1","issued":{"date-parts":[["2013"]]},"publisher":"Studentlitteratur","publisher-place":"Lund, Sweden","title":"District Heating and Cooling","type":"book"},"uris":["http://www.mendeley.com/documents/?uuid=515e9b02-9146-44d2-add6-552d6c8dccbe"]}],"mendeley":{"formattedCitation":"(Frederiksen and Werner, 2013)","plainTextFormattedCitation":"(Frederiksen and Werner, 2013)","previouslyFormattedCitation":"(Frederiksen and Werner, 2013)"},"properties":{"noteIndex":0},"schema":"https://github.com/citation-style-language/schema/raw/master/csl-citation.json"}</w:instrText>
      </w:r>
      <w:r w:rsidRPr="003D7103">
        <w:fldChar w:fldCharType="separate"/>
      </w:r>
      <w:r w:rsidR="002A6A73" w:rsidRPr="002A6A73">
        <w:rPr>
          <w:noProof/>
        </w:rPr>
        <w:t>(Frederiksen and Werner, 2013)</w:t>
      </w:r>
      <w:r w:rsidRPr="003D7103">
        <w:fldChar w:fldCharType="end"/>
      </w:r>
      <w:r>
        <w:t>. A district heating network (DHN) is comprised of</w:t>
      </w:r>
      <w:r w:rsidRPr="003D7103">
        <w:t xml:space="preserve"> </w:t>
      </w:r>
      <w:r>
        <w:t>TE</w:t>
      </w:r>
      <w:r w:rsidRPr="003D7103">
        <w:t xml:space="preserve"> generating unit(s), </w:t>
      </w:r>
      <w:r>
        <w:t>a</w:t>
      </w:r>
      <w:r w:rsidRPr="003D7103">
        <w:t xml:space="preserve"> pipe network</w:t>
      </w:r>
      <w:r>
        <w:t>,</w:t>
      </w:r>
      <w:r w:rsidRPr="003D7103">
        <w:t xml:space="preserve"> and customer substations. </w:t>
      </w:r>
      <w:r>
        <w:t xml:space="preserve">DH is a flexible and secure method of providing TE that can use local and environmental energy sources, which would not be utilised otherwise </w:t>
      </w:r>
      <w:r>
        <w:fldChar w:fldCharType="begin" w:fldLock="1"/>
      </w:r>
      <w:r w:rsidR="002A6A73">
        <w:instrText>ADDIN CSL_CITATION {"citationItems":[{"id":"ITEM-1","itemData":{"author":[{"dropping-particle":"","family":"Sipilä","given":"Kari","non-dropping-particle":"","parse-names":false,"suffix":""}],"container-title":"IEA DHC/ CHP Annex IX","id":"ITEM-1","issue":"January 2011","issued":{"date-parts":[["2011"]]},"publisher":"IEA","publisher-place":"Paris, France","title":"District heating for energy efficient building areas","type":"paper-conference"},"uris":["http://www.mendeley.com/documents/?uuid=4982479a-103b-4044-8a3e-fa34991a9dc3"]}],"mendeley":{"formattedCitation":"(Sipilä, 2011)","plainTextFormattedCitation":"(Sipilä, 2011)","previouslyFormattedCitation":"(Sipilä, 2011)"},"properties":{"noteIndex":0},"schema":"https://github.com/citation-style-language/schema/raw/master/csl-citation.json"}</w:instrText>
      </w:r>
      <w:r>
        <w:fldChar w:fldCharType="separate"/>
      </w:r>
      <w:r w:rsidR="002A6A73" w:rsidRPr="002A6A73">
        <w:rPr>
          <w:noProof/>
        </w:rPr>
        <w:t>(Sipilä, 2011)</w:t>
      </w:r>
      <w:r>
        <w:fldChar w:fldCharType="end"/>
      </w:r>
      <w:r>
        <w:rPr>
          <w:lang w:eastAsia="en-GB"/>
        </w:rPr>
        <w:t>. Energy sources used in DH include waste heat (WH) from industry, waste incineration, combined heat a</w:t>
      </w:r>
      <w:r w:rsidRPr="007E6B09">
        <w:t>nd power</w:t>
      </w:r>
      <w:r>
        <w:t xml:space="preserve"> (CHP), and renewables</w:t>
      </w:r>
      <w:r w:rsidRPr="008D4E2F">
        <w:t>.</w:t>
      </w:r>
      <w:r>
        <w:rPr>
          <w:b/>
          <w:color w:val="FF0000"/>
          <w:lang w:eastAsia="en-GB"/>
        </w:rPr>
        <w:t xml:space="preserve"> </w:t>
      </w:r>
      <w:r>
        <w:rPr>
          <w:lang w:eastAsia="en-GB"/>
        </w:rPr>
        <w:t>Th</w:t>
      </w:r>
      <w:r w:rsidRPr="008D4E2F">
        <w:rPr>
          <w:lang w:eastAsia="en-GB"/>
        </w:rPr>
        <w:t xml:space="preserve">e level of decarbonisation achieved by </w:t>
      </w:r>
      <w:r>
        <w:rPr>
          <w:lang w:eastAsia="en-GB"/>
        </w:rPr>
        <w:t>DH</w:t>
      </w:r>
      <w:r w:rsidRPr="008D4E2F">
        <w:rPr>
          <w:lang w:eastAsia="en-GB"/>
        </w:rPr>
        <w:t xml:space="preserve"> is highly dependent on the heat supply used; the best levels of decarbonisation occur if the fuel used </w:t>
      </w:r>
      <w:r>
        <w:rPr>
          <w:lang w:eastAsia="en-GB"/>
        </w:rPr>
        <w:t>is green or carbon neutral.</w:t>
      </w:r>
      <w:r w:rsidRPr="00AE527F">
        <w:rPr>
          <w:lang w:eastAsia="en-GB"/>
        </w:rPr>
        <w:t xml:space="preserve"> </w:t>
      </w:r>
    </w:p>
    <w:p w14:paraId="15DE64E7" w14:textId="552CBE29" w:rsidR="000F16EB" w:rsidRDefault="000F16EB" w:rsidP="000F16EB">
      <w:r>
        <w:rPr>
          <w:lang w:eastAsia="en-GB"/>
        </w:rPr>
        <w:t xml:space="preserve">Despite the decarbonisation benefits and due to the high costs of network installation, particularly in rural areas, DH may not be economically viable in every case. Due to the potential economic viability problems, as well as a series of other concerns, the uptake of DH in the UK is low, with DH only providing 2% of the total UK heat demand (HD) </w:t>
      </w:r>
      <w:r>
        <w:fldChar w:fldCharType="begin" w:fldLock="1"/>
      </w:r>
      <w:r w:rsidR="002A6A73">
        <w:instrText>ADDIN CSL_CITATION {"citationItems":[{"id":"ITEM-1","itemData":{"author":[{"dropping-particle":"","family":"DECC","given":"","non-dropping-particle":"","parse-names":false,"suffix":""}],"id":"ITEM-1","issue":"January","issued":{"date-parts":[["2015"]]},"publisher-place":"London, England","title":"Delivering UK Energy Investment: Networks Contents","type":"report"},"uris":["http://www.mendeley.com/documents/?uuid=53df8b1d-7a4d-4fff-a418-eda1f92406ce"]}],"mendeley":{"formattedCitation":"(DECC, 2015b)","plainTextFormattedCitation":"(DECC, 2015b)","previouslyFormattedCitation":"(DECC, 2015b)"},"properties":{"noteIndex":0},"schema":"https://github.com/citation-style-language/schema/raw/master/csl-citation.json"}</w:instrText>
      </w:r>
      <w:r>
        <w:fldChar w:fldCharType="separate"/>
      </w:r>
      <w:r w:rsidR="002A6A73" w:rsidRPr="002A6A73">
        <w:rPr>
          <w:noProof/>
        </w:rPr>
        <w:t>(DECC, 2015b)</w:t>
      </w:r>
      <w:r>
        <w:fldChar w:fldCharType="end"/>
      </w:r>
      <w:r>
        <w:t>.</w:t>
      </w:r>
      <w:r>
        <w:rPr>
          <w:lang w:eastAsia="en-GB"/>
        </w:rPr>
        <w:t xml:space="preserve"> A model that could assess the feasibility of any new DHN, without taking much time or incurring a large cost, would be useful. Such a model would allow the feasibility of more potential DHNs to be assessed, hopefully increasing the uptake of DH.</w:t>
      </w:r>
    </w:p>
    <w:p w14:paraId="0FD1AEFD" w14:textId="62EE44FB" w:rsidR="000F16EB" w:rsidRDefault="000F16EB" w:rsidP="000F16EB">
      <w:r>
        <w:t xml:space="preserve">DH has many benefits, which are experienced on societal, community, and individual levels, as shown in </w:t>
      </w:r>
      <w:r>
        <w:fldChar w:fldCharType="begin"/>
      </w:r>
      <w:r>
        <w:instrText xml:space="preserve"> REF _Ref525662299 \h </w:instrText>
      </w:r>
      <w:r>
        <w:fldChar w:fldCharType="separate"/>
      </w:r>
      <w:r w:rsidR="00CB7456">
        <w:t xml:space="preserve">Table </w:t>
      </w:r>
      <w:r w:rsidR="00CB7456">
        <w:rPr>
          <w:noProof/>
        </w:rPr>
        <w:t>1</w:t>
      </w:r>
      <w:r w:rsidR="00CB7456">
        <w:t>.</w:t>
      </w:r>
      <w:r w:rsidR="00CB7456">
        <w:rPr>
          <w:noProof/>
        </w:rPr>
        <w:t>1</w:t>
      </w:r>
      <w:r>
        <w:fldChar w:fldCharType="end"/>
      </w:r>
      <w:r>
        <w:t xml:space="preserve">. DH also has a range of problems, which are important to recognise and address. A DHN has high </w:t>
      </w:r>
      <w:r w:rsidRPr="003D7103">
        <w:t>capital costs</w:t>
      </w:r>
      <w:r>
        <w:t xml:space="preserve"> (CAPEX),</w:t>
      </w:r>
      <w:r w:rsidRPr="003D7103">
        <w:t xml:space="preserve"> mainly due to the cost of the network</w:t>
      </w:r>
      <w:r>
        <w:t>,</w:t>
      </w:r>
      <w:r w:rsidRPr="003D7103">
        <w:t xml:space="preserve"> </w:t>
      </w:r>
      <w:r>
        <w:t>as well as</w:t>
      </w:r>
      <w:r w:rsidRPr="003D7103">
        <w:t xml:space="preserve"> investment uncertainty</w:t>
      </w:r>
      <w:r>
        <w:t xml:space="preserve"> associated with </w:t>
      </w:r>
      <w:r w:rsidRPr="003D7103">
        <w:t>any new technology</w:t>
      </w:r>
      <w:r>
        <w:t>,</w:t>
      </w:r>
      <w:r w:rsidRPr="003D7103">
        <w:t xml:space="preserve"> </w:t>
      </w:r>
      <w:r>
        <w:t xml:space="preserve">which together can </w:t>
      </w:r>
      <w:r>
        <w:lastRenderedPageBreak/>
        <w:t>make DH</w:t>
      </w:r>
      <w:r w:rsidRPr="003D7103">
        <w:t xml:space="preserve"> unattractive to potential investors </w:t>
      </w:r>
      <w:r w:rsidRPr="003D7103">
        <w:fldChar w:fldCharType="begin" w:fldLock="1"/>
      </w:r>
      <w:r w:rsidR="002A6A73">
        <w:instrText xml:space="preserve">ADDIN CSL_CITATION {"citationItems":[{"id":"ITEM-1","itemData":{"DOI":"10.1016/j.enconman.2012.03.006","ISBN":"01968904","ISSN":"01968904","abstract":"District heating can provide cost-effective and low-carbon energy to local populations, such as space heating in winter and year-round hot/cold water; this is also associated with electricity generation in combined-heat-and-power systems. Although this is currently rare in the UK, many legislative policies, including the Renewable Heat Incentive, aim to increase the amount of energy from such sources; including new installations, as well as extending/upgrading existing distributed energy schemes. Sheffield already has an award-winning district energy network, incorporating city-wide heat distribution. This paper aimed to demonstrate the opportunities for expansions to this through geographical information systems software modelling for an in-depth analysis of the heat demands in the city. ‘Heat maps’ were produced, locating existing and emerging heat sources and sinks. Heat loads (industrial, commercial, educational, health care, council and leisure facilities/complex) total 53MW, with existing residential areas accounting for </w:instrText>
      </w:r>
      <w:r w:rsidR="002A6A73">
        <w:rPr>
          <w:rFonts w:ascii="Cambria Math" w:hAnsi="Cambria Math" w:cs="Cambria Math"/>
        </w:rPr>
        <w:instrText>∼</w:instrText>
      </w:r>
      <w:r w:rsidR="002A6A73">
        <w:instrText>1500MW and new housing developments potentially adding a further 35MW in the future. A number of current and emerging heat sources were also discovered – potential suppliers of thermal energy to the above-defined heat sinks. From these, six ‘heat zones’ where an expansion to the existing network could be possible were identified and the infrastructure planned for each development.","author":[{"dropping-particle":"","family":"Finney","given":"Karen N.","non-dropping-particle":"","parse-names":false,"suffix":""},{"dropping-particle":"","family":"Sharifi","given":"Vida N.","non-dropping-particle":"","parse-names":false,"suffix":""},{"dropping-particle":"","family":"Swithenbank","given":"Jim","non-dropping-particle":"","parse-names":false,"suffix":""},{"dropping-particle":"","family":"Nolan","given":"Andy","non-dropping-particle":"","parse-names":false,"suffix":""},{"dropping-particle":"","family":"White","given":"Simon","non-dropping-particle":"","parse-names":false,"suffix":""},{"dropping-particle":"","family":"Ogden","given":"Simon","non-dropping-particle":"","parse-names":false,"suffix":""}],"container-title":"Energy Conversion and Management","id":"ITEM-1","issued":{"date-parts":[["2012"]]},"page":"165-175","publisher":"Elsevier Ltd","title":"Developments to an existing city-wide district energy network – Part I: Identification of potential expansions using heat mapping","type":"article-journal","volume":"62"},"uris":["http://www.mendeley.com/documents/?uuid=cff41c61-20f7-4b1e-ba33-764fb84901d7"]}],"mendeley":{"formattedCitation":"(Finney &lt;i&gt;et al.&lt;/i&gt;, 2012)","plainTextFormattedCitation":"(Finney et al., 2012)","previouslyFormattedCitation":"(Finney &lt;i&gt;et al.&lt;/i&gt;, 2012)"},"properties":{"noteIndex":0},"schema":"https://github.com/citation-style-language/schema/raw/master/csl-citation.json"}</w:instrText>
      </w:r>
      <w:r w:rsidRPr="003D7103">
        <w:fldChar w:fldCharType="separate"/>
      </w:r>
      <w:r w:rsidR="002A6A73" w:rsidRPr="002A6A73">
        <w:rPr>
          <w:noProof/>
        </w:rPr>
        <w:t xml:space="preserve">(Finney </w:t>
      </w:r>
      <w:r w:rsidR="002A6A73" w:rsidRPr="002A6A73">
        <w:rPr>
          <w:i/>
          <w:noProof/>
        </w:rPr>
        <w:t>et al.</w:t>
      </w:r>
      <w:r w:rsidR="002A6A73" w:rsidRPr="002A6A73">
        <w:rPr>
          <w:noProof/>
        </w:rPr>
        <w:t>, 2012)</w:t>
      </w:r>
      <w:r w:rsidRPr="003D7103">
        <w:fldChar w:fldCharType="end"/>
      </w:r>
      <w:r w:rsidRPr="003D7103">
        <w:t>.</w:t>
      </w:r>
      <w:r>
        <w:t xml:space="preserve"> According to the Consortium of Local Authorities Special Programme (CLASP),</w:t>
      </w:r>
      <w:r w:rsidRPr="003D7103">
        <w:t xml:space="preserve"> </w:t>
      </w:r>
      <w:r>
        <w:t>n</w:t>
      </w:r>
      <w:r w:rsidRPr="003D7103">
        <w:t xml:space="preserve">ew customers may be unwilling to connect to </w:t>
      </w:r>
      <w:r>
        <w:t>a DHN</w:t>
      </w:r>
      <w:r w:rsidRPr="003D7103">
        <w:t xml:space="preserve"> due to concerns over monopoly formation and </w:t>
      </w:r>
      <w:r>
        <w:t xml:space="preserve">heat supply </w:t>
      </w:r>
      <w:r w:rsidRPr="003D7103">
        <w:t>disruption</w:t>
      </w:r>
      <w:r>
        <w:t>s</w:t>
      </w:r>
      <w:r w:rsidRPr="003D7103">
        <w:t xml:space="preserve"> during installation</w:t>
      </w:r>
      <w:r w:rsidR="00DE54B7">
        <w:t xml:space="preserve"> </w:t>
      </w:r>
      <w:r w:rsidR="00DE54B7" w:rsidRPr="003D7103">
        <w:fldChar w:fldCharType="begin" w:fldLock="1"/>
      </w:r>
      <w:r w:rsidR="00DE54B7">
        <w:instrText>ADDIN CSL_CITATION {"citationItems":[{"id":"ITEM-1","itemData":{"author":[{"dropping-particle":"","family":"CLASP","given":"","non-dropping-particle":"","parse-names":false,"suffix":""}],"id":"ITEM-1","issued":{"date-parts":[["2011"]]},"publisher-place":"Penrith, England","title":"An introduction to District Heating","type":"report"},"uris":["http://www.mendeley.com/documents/?uuid=e0fa98bb-2f47-4f4d-b0ad-51991f075816"]}],"mendeley":{"formattedCitation":"(CLASP, 2011)","plainTextFormattedCitation":"(CLASP, 2011)","previouslyFormattedCitation":"(CLASP, 2011)"},"properties":{"noteIndex":0},"schema":"https://github.com/citation-style-language/schema/raw/master/csl-citation.json"}</w:instrText>
      </w:r>
      <w:r w:rsidR="00DE54B7" w:rsidRPr="003D7103">
        <w:fldChar w:fldCharType="separate"/>
      </w:r>
      <w:r w:rsidR="00DE54B7" w:rsidRPr="002A6A73">
        <w:rPr>
          <w:noProof/>
        </w:rPr>
        <w:t>(CLASP, 2011)</w:t>
      </w:r>
      <w:r w:rsidR="00DE54B7" w:rsidRPr="003D7103">
        <w:fldChar w:fldCharType="end"/>
      </w:r>
      <w:r w:rsidRPr="003D7103">
        <w:t>.</w:t>
      </w:r>
      <w:r>
        <w:t xml:space="preserve"> </w:t>
      </w:r>
    </w:p>
    <w:p w14:paraId="7A32D4CE" w14:textId="7F6BCF2C" w:rsidR="000F16EB" w:rsidRPr="003D7103" w:rsidRDefault="000F16EB" w:rsidP="000F16EB">
      <w:pPr>
        <w:pStyle w:val="Caption"/>
      </w:pPr>
      <w:bookmarkStart w:id="35" w:name="_Ref525662299"/>
      <w:bookmarkStart w:id="36" w:name="_Toc468265816"/>
      <w:bookmarkStart w:id="37" w:name="_Toc525230112"/>
      <w:bookmarkStart w:id="38" w:name="_Toc7187663"/>
      <w:r>
        <w:t xml:space="preserve">Table </w:t>
      </w:r>
      <w:fldSimple w:instr=" STYLEREF 1 \s ">
        <w:r w:rsidR="00CB7456">
          <w:rPr>
            <w:noProof/>
          </w:rPr>
          <w:t>1</w:t>
        </w:r>
      </w:fldSimple>
      <w:r w:rsidR="009E1A67">
        <w:t>.</w:t>
      </w:r>
      <w:fldSimple w:instr=" SEQ Table \* ARABIC \s 1 ">
        <w:r w:rsidR="00CB7456">
          <w:rPr>
            <w:noProof/>
          </w:rPr>
          <w:t>1</w:t>
        </w:r>
      </w:fldSimple>
      <w:bookmarkEnd w:id="35"/>
      <w:r>
        <w:t>:</w:t>
      </w:r>
      <w:r w:rsidRPr="003D7103">
        <w:t xml:space="preserve"> </w:t>
      </w:r>
      <w:r>
        <w:t>Societal, community, and individual</w:t>
      </w:r>
      <w:r w:rsidRPr="003D7103">
        <w:t xml:space="preserve"> benefits of DH.</w:t>
      </w:r>
      <w:bookmarkEnd w:id="36"/>
      <w:bookmarkEnd w:id="37"/>
      <w:bookmarkEnd w:id="38"/>
    </w:p>
    <w:tbl>
      <w:tblPr>
        <w:tblW w:w="8364" w:type="dxa"/>
        <w:jc w:val="center"/>
        <w:tblBorders>
          <w:top w:val="single" w:sz="4" w:space="0" w:color="auto"/>
          <w:bottom w:val="single" w:sz="4" w:space="0" w:color="auto"/>
        </w:tblBorders>
        <w:tblLayout w:type="fixed"/>
        <w:tblLook w:val="00A0" w:firstRow="1" w:lastRow="0" w:firstColumn="1" w:lastColumn="0" w:noHBand="0" w:noVBand="0"/>
      </w:tblPr>
      <w:tblGrid>
        <w:gridCol w:w="1351"/>
        <w:gridCol w:w="4886"/>
        <w:gridCol w:w="2127"/>
      </w:tblGrid>
      <w:tr w:rsidR="000F16EB" w:rsidRPr="003D7103" w14:paraId="28F61D6D" w14:textId="77777777" w:rsidTr="00E51595">
        <w:trPr>
          <w:jc w:val="center"/>
        </w:trPr>
        <w:tc>
          <w:tcPr>
            <w:tcW w:w="1351" w:type="dxa"/>
            <w:tcBorders>
              <w:bottom w:val="single" w:sz="4" w:space="0" w:color="auto"/>
            </w:tcBorders>
          </w:tcPr>
          <w:p w14:paraId="0B1AEC2F" w14:textId="77777777" w:rsidR="000F16EB" w:rsidRPr="003D7103" w:rsidRDefault="000F16EB" w:rsidP="00A7521D">
            <w:pPr>
              <w:spacing w:after="0" w:line="240" w:lineRule="auto"/>
              <w:jc w:val="center"/>
            </w:pPr>
            <w:r w:rsidRPr="003D7103">
              <w:t>Level</w:t>
            </w:r>
          </w:p>
        </w:tc>
        <w:tc>
          <w:tcPr>
            <w:tcW w:w="4886" w:type="dxa"/>
            <w:tcBorders>
              <w:bottom w:val="single" w:sz="4" w:space="0" w:color="auto"/>
            </w:tcBorders>
          </w:tcPr>
          <w:p w14:paraId="22E3789B" w14:textId="77777777" w:rsidR="000F16EB" w:rsidRPr="003D7103" w:rsidRDefault="000F16EB" w:rsidP="00A7521D">
            <w:pPr>
              <w:spacing w:after="0" w:line="240" w:lineRule="auto"/>
              <w:jc w:val="center"/>
            </w:pPr>
            <w:r w:rsidRPr="003D7103">
              <w:t>Benefit</w:t>
            </w:r>
          </w:p>
        </w:tc>
        <w:tc>
          <w:tcPr>
            <w:tcW w:w="2127" w:type="dxa"/>
            <w:tcBorders>
              <w:bottom w:val="single" w:sz="4" w:space="0" w:color="auto"/>
            </w:tcBorders>
          </w:tcPr>
          <w:p w14:paraId="0B968843" w14:textId="77777777" w:rsidR="000F16EB" w:rsidRPr="003D7103" w:rsidRDefault="000F16EB" w:rsidP="00A7521D">
            <w:pPr>
              <w:spacing w:after="0" w:line="240" w:lineRule="auto"/>
              <w:jc w:val="center"/>
            </w:pPr>
            <w:r w:rsidRPr="003D7103">
              <w:t>Reference</w:t>
            </w:r>
          </w:p>
        </w:tc>
      </w:tr>
      <w:tr w:rsidR="000F16EB" w:rsidRPr="003D7103" w14:paraId="5698D271" w14:textId="77777777" w:rsidTr="00E51595">
        <w:trPr>
          <w:jc w:val="center"/>
        </w:trPr>
        <w:tc>
          <w:tcPr>
            <w:tcW w:w="1351" w:type="dxa"/>
            <w:tcBorders>
              <w:top w:val="single" w:sz="4" w:space="0" w:color="auto"/>
              <w:bottom w:val="nil"/>
            </w:tcBorders>
          </w:tcPr>
          <w:p w14:paraId="04D3A316" w14:textId="77777777" w:rsidR="000F16EB" w:rsidRPr="003D7103" w:rsidRDefault="000F16EB" w:rsidP="00A7521D">
            <w:pPr>
              <w:spacing w:after="0" w:line="240" w:lineRule="auto"/>
              <w:jc w:val="center"/>
            </w:pPr>
            <w:r w:rsidRPr="003D7103">
              <w:t>Societal</w:t>
            </w:r>
          </w:p>
        </w:tc>
        <w:tc>
          <w:tcPr>
            <w:tcW w:w="4886" w:type="dxa"/>
            <w:tcBorders>
              <w:top w:val="single" w:sz="4" w:space="0" w:color="auto"/>
              <w:bottom w:val="nil"/>
            </w:tcBorders>
          </w:tcPr>
          <w:p w14:paraId="46243738" w14:textId="77777777" w:rsidR="000F16EB" w:rsidRPr="003D7103" w:rsidRDefault="000F16EB" w:rsidP="00202E44">
            <w:pPr>
              <w:pStyle w:val="ListParagraph"/>
              <w:numPr>
                <w:ilvl w:val="0"/>
                <w:numId w:val="7"/>
              </w:numPr>
              <w:spacing w:after="0" w:line="240" w:lineRule="auto"/>
              <w:jc w:val="center"/>
            </w:pPr>
            <w:r w:rsidRPr="003D7103">
              <w:t>Flexibility and security of a range of fuels.</w:t>
            </w:r>
          </w:p>
          <w:p w14:paraId="766729F8" w14:textId="77777777" w:rsidR="000F16EB" w:rsidRPr="003D7103" w:rsidRDefault="000F16EB" w:rsidP="00202E44">
            <w:pPr>
              <w:pStyle w:val="ListParagraph"/>
              <w:numPr>
                <w:ilvl w:val="0"/>
                <w:numId w:val="7"/>
              </w:numPr>
              <w:spacing w:after="0" w:line="240" w:lineRule="auto"/>
              <w:jc w:val="center"/>
            </w:pPr>
            <w:r w:rsidRPr="003D7103">
              <w:t>Can use energy efficient fuels.</w:t>
            </w:r>
          </w:p>
          <w:p w14:paraId="6EC20BFF" w14:textId="77777777" w:rsidR="000F16EB" w:rsidRPr="003D7103" w:rsidRDefault="000F16EB" w:rsidP="00202E44">
            <w:pPr>
              <w:pStyle w:val="ListParagraph"/>
              <w:numPr>
                <w:ilvl w:val="0"/>
                <w:numId w:val="7"/>
              </w:numPr>
              <w:spacing w:after="0" w:line="240" w:lineRule="auto"/>
              <w:jc w:val="center"/>
            </w:pPr>
            <w:r w:rsidRPr="003D7103">
              <w:t>Can provide the energy at competitive prices.</w:t>
            </w:r>
          </w:p>
          <w:p w14:paraId="25532E0C" w14:textId="77777777" w:rsidR="000F16EB" w:rsidRPr="003D7103" w:rsidRDefault="000F16EB" w:rsidP="00202E44">
            <w:pPr>
              <w:pStyle w:val="ListParagraph"/>
              <w:numPr>
                <w:ilvl w:val="0"/>
                <w:numId w:val="7"/>
              </w:numPr>
              <w:spacing w:after="0" w:line="240" w:lineRule="auto"/>
              <w:jc w:val="center"/>
            </w:pPr>
            <w:r w:rsidRPr="003D7103">
              <w:t>Reduced CO</w:t>
            </w:r>
            <w:r w:rsidRPr="004268A6">
              <w:rPr>
                <w:vertAlign w:val="subscript"/>
              </w:rPr>
              <w:t>2</w:t>
            </w:r>
            <w:r w:rsidRPr="003D7103">
              <w:t xml:space="preserve"> and greenhouse gas emissions.</w:t>
            </w:r>
          </w:p>
          <w:p w14:paraId="031A584E" w14:textId="77777777" w:rsidR="000F16EB" w:rsidRPr="003D7103" w:rsidRDefault="000F16EB" w:rsidP="00202E44">
            <w:pPr>
              <w:pStyle w:val="ListParagraph"/>
              <w:numPr>
                <w:ilvl w:val="0"/>
                <w:numId w:val="7"/>
              </w:numPr>
              <w:spacing w:after="0" w:line="240" w:lineRule="auto"/>
              <w:jc w:val="center"/>
            </w:pPr>
            <w:r w:rsidRPr="003D7103">
              <w:t>Can use energy storage to reduce network loading.</w:t>
            </w:r>
          </w:p>
        </w:tc>
        <w:tc>
          <w:tcPr>
            <w:tcW w:w="2127" w:type="dxa"/>
            <w:tcBorders>
              <w:top w:val="single" w:sz="4" w:space="0" w:color="auto"/>
              <w:bottom w:val="nil"/>
            </w:tcBorders>
          </w:tcPr>
          <w:p w14:paraId="24BA68ED" w14:textId="4772EF2F" w:rsidR="000F16EB" w:rsidRDefault="000F16EB" w:rsidP="00A7521D">
            <w:pPr>
              <w:spacing w:after="0" w:line="240" w:lineRule="auto"/>
              <w:jc w:val="center"/>
            </w:pPr>
            <w:r>
              <w:fldChar w:fldCharType="begin" w:fldLock="1"/>
            </w:r>
            <w:r w:rsidR="002A6A73">
              <w:instrText>ADDIN CSL_CITATION {"citationItems":[{"id":"ITEM-1","itemData":{"author":[{"dropping-particle":"","family":"Arup","given":"","non-dropping-particle":"","parse-names":false,"suffix":""}],"id":"ITEM-1","issue":"1","issued":{"date-parts":[["2013"]]},"number-of-pages":"83","publisher-place":"London, England","title":"District heating manual for London","type":"report"},"uris":["http://www.mendeley.com/documents/?uuid=46b623fa-090a-4da9-8e6a-ffc46ef15b1c"]}],"mendeley":{"formattedCitation":"(Arup, 2013)","plainTextFormattedCitation":"(Arup, 2013)","previouslyFormattedCitation":"(Arup, 2013)"},"properties":{"noteIndex":0},"schema":"https://github.com/citation-style-language/schema/raw/master/csl-citation.json"}</w:instrText>
            </w:r>
            <w:r>
              <w:fldChar w:fldCharType="separate"/>
            </w:r>
            <w:r w:rsidR="002A6A73" w:rsidRPr="002A6A73">
              <w:rPr>
                <w:noProof/>
              </w:rPr>
              <w:t>(Arup, 2013)</w:t>
            </w:r>
            <w:r>
              <w:fldChar w:fldCharType="end"/>
            </w:r>
          </w:p>
          <w:p w14:paraId="1E58159B" w14:textId="2F1E9A2F" w:rsidR="000F16EB" w:rsidRDefault="000F16EB" w:rsidP="00A7521D">
            <w:pPr>
              <w:spacing w:after="0" w:line="240" w:lineRule="auto"/>
              <w:jc w:val="center"/>
            </w:pPr>
            <w:r>
              <w:fldChar w:fldCharType="begin" w:fldLock="1"/>
            </w:r>
            <w:r w:rsidR="00FF4B5D">
              <w:instrText>ADDIN CSL_CITATION {"citationItems":[{"id":"ITEM-1","itemData":{"DOI":"http://dx.doi.org/10.1016/j.resconrec.2015.01.006","ISBN":"0921-3449","ISSN":"09213449","abstract":"Heat demand is a large contributor to greenhouse gas (GHG) emissions in the European Union (EU), as heat is largely produced using fossil fuel resources. Extended use of district heating (DH) could reduce climate impact, as DH systems can distribute heat produced in efficient combined heat and power (CHP) plants and industrial excess heat, thus utilising heat that would otherwise be wasted. The difficulty to estimate and compare GHG emissions from DH systems can however constitute an obstacle to an expanded implementation of DH. There are several methods for GHG emission assessments that may be used with varying assumptions and system boundaries. The aim of this paper is to illuminate how methodological choices affect the results of studies estimating GHG emissions from DH systems, and to suggest how awareness of this can be used to identify possibilities for GHG emission reductions. DH systems with CHP production and industrial excess heat are analysed and discussed in a systems approach. We apply different methods for allocating GHG emissions between products and combine them with different system boundaries. In addition, we discuss the impact of resource efficiency on GHG emissions, using the framework of industrial symbiosis (IS). We conclude that assessments of the climate impact of DH systems should take local conditions and requirements into account. In order for heat from CHP production and industrial excess heat to be assessed on equal terms, heat should be considered a by-product regardless of its origin. That could also reveal opportunities for GHG emission reductions.","author":[{"dropping-particle":"","family":"Olsson","given":"Linda","non-dropping-particle":"","parse-names":false,"suffix":""},{"dropping-particle":"","family":"Wetterlund","given":"Elisabeth","non-dropping-particle":"","parse-names":false,"suffix":""},{"dropping-particle":"","family":"Söderström","given":"Mats","non-dropping-particle":"","parse-names":false,"suffix":""}],"container-title":"Resources, Conservation and Recycling","id":"ITEM-1","issue":"0","issued":{"date-parts":[["2015"]]},"page":"31-39","publisher":"Elsevier B.V.","title":"Assessing the climate impact of district heating systems with combined heat and power production and industrial excess heat","type":"article-journal","volume":"96"},"uris":["http://www.mendeley.com/documents/?uuid=d6879f53-57c7-4a2e-b6da-2e240c52b070"]}],"mendeley":{"formattedCitation":"(Olsson &lt;i&gt;et al.&lt;/i&gt;, 2015)","plainTextFormattedCitation":"(Olsson et al., 2015)","previouslyFormattedCitation":"(Olsson &lt;i&gt;et al.&lt;/i&gt;, 2015)"},"properties":{"noteIndex":0},"schema":"https://github.com/citation-style-language/schema/raw/master/csl-citation.json"}</w:instrText>
            </w:r>
            <w:r>
              <w:fldChar w:fldCharType="separate"/>
            </w:r>
            <w:r w:rsidR="005F544E" w:rsidRPr="005F544E">
              <w:rPr>
                <w:noProof/>
              </w:rPr>
              <w:t xml:space="preserve">(Olsson </w:t>
            </w:r>
            <w:r w:rsidR="005F544E" w:rsidRPr="005F544E">
              <w:rPr>
                <w:i/>
                <w:noProof/>
              </w:rPr>
              <w:t>et al.</w:t>
            </w:r>
            <w:r w:rsidR="005F544E" w:rsidRPr="005F544E">
              <w:rPr>
                <w:noProof/>
              </w:rPr>
              <w:t>, 2015)</w:t>
            </w:r>
            <w:r>
              <w:fldChar w:fldCharType="end"/>
            </w:r>
          </w:p>
          <w:p w14:paraId="3441AD0E" w14:textId="6574144D" w:rsidR="000F16EB" w:rsidRPr="003D7103" w:rsidRDefault="000F16EB" w:rsidP="00A7521D">
            <w:pPr>
              <w:spacing w:after="0" w:line="240" w:lineRule="auto"/>
              <w:jc w:val="center"/>
            </w:pPr>
            <w:r>
              <w:fldChar w:fldCharType="begin" w:fldLock="1"/>
            </w:r>
            <w:r w:rsidR="002A6A73">
              <w:instrText>ADDIN CSL_CITATION {"citationItems":[{"id":"ITEM-1","itemData":{"DOI":"10.1016/j.enpol.2010.07.010","ISBN":"0301-4215","ISSN":"03014215","abstract":"As global fuel reserves are depleted, alternative and more efficient forms of energy generation and delivery will be required. Combined heat and power with district heating (CHP-DH) provides an alternative energy production and delivery mechanism that is less resource intensive, more efficient and provides greater energy security than many popular alternatives. It will be shown that the economic viability of CHP-DH networks depends on several principles, namely (1) the optimisation of engineering and design principles; (2) organisational and regulatory frameworks; (3) financial and economic factors. It was found that in the long term DH is competitive with other energy supply and distribution technologies such as electricity and gas. However, in the short to medium term it is shown that economic risk, regulatory uncertainty and lock-in of existing technology are the most significant barriers to CHP-DH development. This research suggests that under the present regulatory and economic paradigm, the infrastructure required for DH networks remains financially prohibitive; the implementation of government policies are complicated and impose high transaction costs, while engineering solutions are frequently not implemented or economically optimised. If CHP-DH is going to play any part in meeting climate change targets then collaboration between public and private organisations will be required. It is clear from this analysis that strong local government involvement is therefore necessary for the co-ordination, leadership and infrastructural deployment of CHP-DH. ?? 2010 Elsevier Ltd.","author":[{"dropping-particle":"","family":"Kelly","given":"Scott","non-dropping-particle":"","parse-names":false,"suffix":""},{"dropping-particle":"","family":"Pollitt","given":"Michael","non-dropping-particle":"","parse-names":false,"suffix":""}],"container-title":"Energy Policy","id":"ITEM-1","issue":"11","issued":{"date-parts":[["2010"]]},"page":"6936-6945","publisher":"Elsevier","title":"An assessment of the present and future opportunities for combined heat and power with district heating (CHP-DH) in the United Kingdom","type":"article-journal","volume":"38"},"uris":["http://www.mendeley.com/documents/?uuid=1c7b1ad2-c7dc-47a7-935c-b4d99a0737ff"]}],"mendeley":{"formattedCitation":"(Kelly and Pollitt, 2010)","plainTextFormattedCitation":"(Kelly and Pollitt, 2010)","previouslyFormattedCitation":"(Kelly and Pollitt, 2010)"},"properties":{"noteIndex":0},"schema":"https://github.com/citation-style-language/schema/raw/master/csl-citation.json"}</w:instrText>
            </w:r>
            <w:r>
              <w:fldChar w:fldCharType="separate"/>
            </w:r>
            <w:r w:rsidR="002A6A73" w:rsidRPr="002A6A73">
              <w:rPr>
                <w:noProof/>
              </w:rPr>
              <w:t>(Kelly and Pollitt, 2010)</w:t>
            </w:r>
            <w:r>
              <w:fldChar w:fldCharType="end"/>
            </w:r>
          </w:p>
        </w:tc>
      </w:tr>
      <w:tr w:rsidR="000F16EB" w:rsidRPr="003D7103" w14:paraId="302A14E3" w14:textId="77777777" w:rsidTr="00E51595">
        <w:trPr>
          <w:jc w:val="center"/>
        </w:trPr>
        <w:tc>
          <w:tcPr>
            <w:tcW w:w="1351" w:type="dxa"/>
            <w:tcBorders>
              <w:top w:val="nil"/>
            </w:tcBorders>
          </w:tcPr>
          <w:p w14:paraId="3FCE2985" w14:textId="77777777" w:rsidR="000F16EB" w:rsidRPr="003D7103" w:rsidRDefault="000F16EB" w:rsidP="00A7521D">
            <w:pPr>
              <w:spacing w:after="0" w:line="240" w:lineRule="auto"/>
              <w:jc w:val="center"/>
            </w:pPr>
            <w:r w:rsidRPr="003D7103">
              <w:t>Community</w:t>
            </w:r>
          </w:p>
        </w:tc>
        <w:tc>
          <w:tcPr>
            <w:tcW w:w="4886" w:type="dxa"/>
            <w:tcBorders>
              <w:top w:val="nil"/>
            </w:tcBorders>
          </w:tcPr>
          <w:p w14:paraId="631B9F71" w14:textId="77777777" w:rsidR="000F16EB" w:rsidRPr="003D7103" w:rsidRDefault="000F16EB" w:rsidP="00202E44">
            <w:pPr>
              <w:pStyle w:val="ListParagraph"/>
              <w:numPr>
                <w:ilvl w:val="0"/>
                <w:numId w:val="7"/>
              </w:numPr>
              <w:spacing w:after="0" w:line="240" w:lineRule="auto"/>
              <w:jc w:val="center"/>
            </w:pPr>
            <w:r w:rsidRPr="003D7103">
              <w:t xml:space="preserve">Improved community control over </w:t>
            </w:r>
            <w:r>
              <w:t>the community</w:t>
            </w:r>
            <w:r w:rsidRPr="003D7103">
              <w:t xml:space="preserve"> energy use.</w:t>
            </w:r>
          </w:p>
          <w:p w14:paraId="35C0A0DF" w14:textId="77777777" w:rsidR="000F16EB" w:rsidRPr="003D7103" w:rsidRDefault="000F16EB" w:rsidP="00202E44">
            <w:pPr>
              <w:pStyle w:val="ListParagraph"/>
              <w:numPr>
                <w:ilvl w:val="0"/>
                <w:numId w:val="7"/>
              </w:numPr>
              <w:spacing w:after="0" w:line="240" w:lineRule="auto"/>
              <w:jc w:val="center"/>
            </w:pPr>
            <w:r w:rsidRPr="003D7103">
              <w:t>Us</w:t>
            </w:r>
            <w:r>
              <w:t>e</w:t>
            </w:r>
            <w:r w:rsidRPr="003D7103">
              <w:t xml:space="preserve"> local resources </w:t>
            </w:r>
            <w:r>
              <w:t xml:space="preserve">to </w:t>
            </w:r>
            <w:r w:rsidRPr="003D7103">
              <w:t>generate local income.</w:t>
            </w:r>
          </w:p>
          <w:p w14:paraId="39E8574A" w14:textId="77777777" w:rsidR="000F16EB" w:rsidRPr="003D7103" w:rsidRDefault="000F16EB" w:rsidP="00202E44">
            <w:pPr>
              <w:pStyle w:val="ListParagraph"/>
              <w:numPr>
                <w:ilvl w:val="0"/>
                <w:numId w:val="7"/>
              </w:numPr>
              <w:spacing w:after="0" w:line="240" w:lineRule="auto"/>
              <w:jc w:val="center"/>
            </w:pPr>
            <w:r w:rsidRPr="003D7103">
              <w:t>Reduces local emissions.</w:t>
            </w:r>
          </w:p>
          <w:p w14:paraId="21698847" w14:textId="77777777" w:rsidR="000F16EB" w:rsidRPr="003D7103" w:rsidRDefault="000F16EB" w:rsidP="00202E44">
            <w:pPr>
              <w:pStyle w:val="ListParagraph"/>
              <w:numPr>
                <w:ilvl w:val="0"/>
                <w:numId w:val="7"/>
              </w:numPr>
              <w:spacing w:after="0" w:line="240" w:lineRule="auto"/>
              <w:jc w:val="center"/>
            </w:pPr>
            <w:r w:rsidRPr="003D7103">
              <w:t>Local job generation.</w:t>
            </w:r>
          </w:p>
        </w:tc>
        <w:tc>
          <w:tcPr>
            <w:tcW w:w="2127" w:type="dxa"/>
            <w:tcBorders>
              <w:top w:val="nil"/>
            </w:tcBorders>
          </w:tcPr>
          <w:p w14:paraId="689DCFD3" w14:textId="02F66C6B" w:rsidR="000F16EB" w:rsidRDefault="000F16EB" w:rsidP="00A7521D">
            <w:pPr>
              <w:spacing w:after="0" w:line="240" w:lineRule="auto"/>
              <w:jc w:val="center"/>
            </w:pPr>
            <w:r>
              <w:fldChar w:fldCharType="begin" w:fldLock="1"/>
            </w:r>
            <w:r w:rsidR="002A6A73">
              <w:instrText>ADDIN CSL_CITATION {"citationItems":[{"id":"ITEM-1","itemData":{"DOI":"10.1016/j.enpol.2010.07.010","ISBN":"0301-4215","ISSN":"03014215","abstract":"As global fuel reserves are depleted, alternative and more efficient forms of energy generation and delivery will be required. Combined heat and power with district heating (CHP-DH) provides an alternative energy production and delivery mechanism that is less resource intensive, more efficient and provides greater energy security than many popular alternatives. It will be shown that the economic viability of CHP-DH networks depends on several principles, namely (1) the optimisation of engineering and design principles; (2) organisational and regulatory frameworks; (3) financial and economic factors. It was found that in the long term DH is competitive with other energy supply and distribution technologies such as electricity and gas. However, in the short to medium term it is shown that economic risk, regulatory uncertainty and lock-in of existing technology are the most significant barriers to CHP-DH development. This research suggests that under the present regulatory and economic paradigm, the infrastructure required for DH networks remains financially prohibitive; the implementation of government policies are complicated and impose high transaction costs, while engineering solutions are frequently not implemented or economically optimised. If CHP-DH is going to play any part in meeting climate change targets then collaboration between public and private organisations will be required. It is clear from this analysis that strong local government involvement is therefore necessary for the co-ordination, leadership and infrastructural deployment of CHP-DH. ?? 2010 Elsevier Ltd.","author":[{"dropping-particle":"","family":"Kelly","given":"Scott","non-dropping-particle":"","parse-names":false,"suffix":""},{"dropping-particle":"","family":"Pollitt","given":"Michael","non-dropping-particle":"","parse-names":false,"suffix":""}],"container-title":"Energy Policy","id":"ITEM-1","issue":"11","issued":{"date-parts":[["2010"]]},"page":"6936-6945","publisher":"Elsevier","title":"An assessment of the present and future opportunities for combined heat and power with district heating (CHP-DH) in the United Kingdom","type":"article-journal","volume":"38"},"uris":["http://www.mendeley.com/documents/?uuid=1c7b1ad2-c7dc-47a7-935c-b4d99a0737ff"]}],"mendeley":{"formattedCitation":"(Kelly and Pollitt, 2010)","plainTextFormattedCitation":"(Kelly and Pollitt, 2010)","previouslyFormattedCitation":"(Kelly and Pollitt, 2010)"},"properties":{"noteIndex":0},"schema":"https://github.com/citation-style-language/schema/raw/master/csl-citation.json"}</w:instrText>
            </w:r>
            <w:r>
              <w:fldChar w:fldCharType="separate"/>
            </w:r>
            <w:r w:rsidR="002A6A73" w:rsidRPr="002A6A73">
              <w:rPr>
                <w:noProof/>
              </w:rPr>
              <w:t>(Kelly and Pollitt, 2010)</w:t>
            </w:r>
            <w:r>
              <w:fldChar w:fldCharType="end"/>
            </w:r>
          </w:p>
          <w:p w14:paraId="093ACF29" w14:textId="7C48F10A" w:rsidR="000F16EB" w:rsidRPr="003D7103" w:rsidRDefault="000F16EB" w:rsidP="00A7521D">
            <w:pPr>
              <w:spacing w:after="0" w:line="240" w:lineRule="auto"/>
              <w:jc w:val="center"/>
            </w:pPr>
            <w:r>
              <w:fldChar w:fldCharType="begin" w:fldLock="1"/>
            </w:r>
            <w:r w:rsidR="002A6A73">
              <w:instrText>ADDIN CSL_CITATION {"citationItems":[{"id":"ITEM-1","itemData":{"DOI":"10.1016/j.applthermaleng.2012.10.038","ISBN":"13594311","ISSN":"13594311","abstract":"This paper presents an overview of heat transfer issues arising from the current national situation regarding energy sustainability and global warming. An important concern addressed is the inefficiency of present fuel usage in the UK - namely large-scale, fossil-fuelled power stations and energy-from-waste plants that discharge huge quantities of low-grade heat to the atmosphere. Other countries recover this thermal energy and use it to supply heating and hot water to nearby domestic, commercial and industrial buildings. Such district heating schemes can provide cost-effective and low-carbon energy to local populations. Although the amount of district heating in the UK is small, Sheffield currently has an award-winning city-wide district energy network that incorporates a combined-heat-and-power energy-from-waste facility, providing electricity and district heating; this scheme is explored herein, with the purpose of identifying potential expansions through heat mapping. Heat transfer will clearly need to play a major part in one or more of the various power generation technologies proposed to meet the demands of the developing energy situation - these comprise high-efficiency systems using high-temperature regenerators or high-pressure combustion and energy storage utilising supercritical steam accumulators, which are all considered in this paper. ?? 2012 Elsevier Ltd. All rights reserved.","author":[{"dropping-particle":"","family":"Swithenbank","given":"Jim","non-dropping-particle":"","parse-names":false,"suffix":""},{"dropping-particle":"","family":"Finney","given":"Karen N.","non-dropping-particle":"","parse-names":false,"suffix":""},{"dropping-particle":"","family":"Chen","given":"Qun","non-dropping-particle":"","parse-names":false,"suffix":""},{"dropping-particle":"Bin","family":"Yang","given":"Yao","non-dropping-particle":"","parse-names":false,"suffix":""},{"dropping-particle":"","family":"Nolan","given":"Andy","non-dropping-particle":"","parse-names":false,"suffix":""},{"dropping-particle":"","family":"Sharifi","given":"Vida N.","non-dropping-particle":"","parse-names":false,"suffix":""}],"container-title":"Applied Thermal Engineering","id":"ITEM-1","issued":{"date-parts":[["2012"]]},"page":"430-440","title":"Waste heat usage","type":"article-journal","volume":"60"},"uris":["http://www.mendeley.com/documents/?uuid=ac065a42-799f-487d-8bb8-36306dcd3376"]}],"mendeley":{"formattedCitation":"(Swithenbank &lt;i&gt;et al.&lt;/i&gt;, 2012)","plainTextFormattedCitation":"(Swithenbank et al., 2012)","previouslyFormattedCitation":"(Swithenbank &lt;i&gt;et al.&lt;/i&gt;, 2012)"},"properties":{"noteIndex":0},"schema":"https://github.com/citation-style-language/schema/raw/master/csl-citation.json"}</w:instrText>
            </w:r>
            <w:r>
              <w:fldChar w:fldCharType="separate"/>
            </w:r>
            <w:r w:rsidR="002A6A73" w:rsidRPr="002A6A73">
              <w:rPr>
                <w:noProof/>
              </w:rPr>
              <w:t xml:space="preserve">(Swithenbank </w:t>
            </w:r>
            <w:r w:rsidR="002A6A73" w:rsidRPr="002A6A73">
              <w:rPr>
                <w:i/>
                <w:noProof/>
              </w:rPr>
              <w:t>et al.</w:t>
            </w:r>
            <w:r w:rsidR="002A6A73" w:rsidRPr="002A6A73">
              <w:rPr>
                <w:noProof/>
              </w:rPr>
              <w:t>, 2012)</w:t>
            </w:r>
            <w:r>
              <w:fldChar w:fldCharType="end"/>
            </w:r>
          </w:p>
        </w:tc>
      </w:tr>
      <w:tr w:rsidR="000F16EB" w:rsidRPr="003D7103" w14:paraId="6A2C366E" w14:textId="77777777" w:rsidTr="00E51595">
        <w:trPr>
          <w:jc w:val="center"/>
        </w:trPr>
        <w:tc>
          <w:tcPr>
            <w:tcW w:w="1351" w:type="dxa"/>
          </w:tcPr>
          <w:p w14:paraId="59701CC2" w14:textId="77777777" w:rsidR="000F16EB" w:rsidRPr="003D7103" w:rsidRDefault="000F16EB" w:rsidP="00A7521D">
            <w:pPr>
              <w:spacing w:after="0" w:line="240" w:lineRule="auto"/>
              <w:jc w:val="center"/>
            </w:pPr>
            <w:r w:rsidRPr="003D7103">
              <w:t>Individual</w:t>
            </w:r>
          </w:p>
        </w:tc>
        <w:tc>
          <w:tcPr>
            <w:tcW w:w="4886" w:type="dxa"/>
          </w:tcPr>
          <w:p w14:paraId="3D0C2594" w14:textId="77777777" w:rsidR="000F16EB" w:rsidRPr="003D7103" w:rsidRDefault="000F16EB" w:rsidP="00202E44">
            <w:pPr>
              <w:pStyle w:val="ListParagraph"/>
              <w:numPr>
                <w:ilvl w:val="0"/>
                <w:numId w:val="7"/>
              </w:numPr>
              <w:spacing w:after="0" w:line="240" w:lineRule="auto"/>
              <w:jc w:val="center"/>
            </w:pPr>
            <w:r w:rsidRPr="003D7103">
              <w:t>Reduced costs of energy.</w:t>
            </w:r>
          </w:p>
          <w:p w14:paraId="160A7636" w14:textId="77777777" w:rsidR="000F16EB" w:rsidRPr="003D7103" w:rsidRDefault="000F16EB" w:rsidP="00202E44">
            <w:pPr>
              <w:pStyle w:val="ListParagraph"/>
              <w:numPr>
                <w:ilvl w:val="0"/>
                <w:numId w:val="7"/>
              </w:numPr>
              <w:spacing w:after="0" w:line="240" w:lineRule="auto"/>
              <w:jc w:val="center"/>
            </w:pPr>
            <w:r w:rsidRPr="003D7103">
              <w:t>Reduced space requirements.</w:t>
            </w:r>
          </w:p>
          <w:p w14:paraId="2A65A81F" w14:textId="77777777" w:rsidR="000F16EB" w:rsidRPr="003D7103" w:rsidRDefault="000F16EB" w:rsidP="00202E44">
            <w:pPr>
              <w:pStyle w:val="ListParagraph"/>
              <w:numPr>
                <w:ilvl w:val="0"/>
                <w:numId w:val="7"/>
              </w:numPr>
              <w:spacing w:after="0" w:line="240" w:lineRule="auto"/>
              <w:jc w:val="center"/>
            </w:pPr>
            <w:r>
              <w:t>TE</w:t>
            </w:r>
            <w:r w:rsidRPr="003D7103">
              <w:t xml:space="preserve"> stability and security.</w:t>
            </w:r>
          </w:p>
        </w:tc>
        <w:tc>
          <w:tcPr>
            <w:tcW w:w="2127" w:type="dxa"/>
          </w:tcPr>
          <w:p w14:paraId="18EF7113" w14:textId="46DBA74C" w:rsidR="000F16EB" w:rsidRDefault="000F16EB" w:rsidP="00A7521D">
            <w:pPr>
              <w:spacing w:after="0" w:line="240" w:lineRule="auto"/>
              <w:jc w:val="center"/>
            </w:pPr>
            <w:r>
              <w:fldChar w:fldCharType="begin" w:fldLock="1"/>
            </w:r>
            <w:r w:rsidR="002A6A73">
              <w:instrText>ADDIN CSL_CITATION {"citationItems":[{"id":"ITEM-1","itemData":{"DOI":"10.1016/j.apenergy.2011.04.020","ISSN":"03062619","author":[{"dropping-particle":"","family":"Rezaie","given":"Behnaz","non-dropping-particle":"","parse-names":false,"suffix":""},{"dropping-particle":"","family":"Rosen","given":"Marc A.","non-dropping-particle":"","parse-names":false,"suffix":""}],"container-title":"Applied Energy","id":"ITEM-1","issued":{"date-parts":[["2012"]]},"page":"2-10","publisher":"Elsevier Ltd","title":"District heating and cooling: Review of technology and potential enhancements","type":"article-journal","volume":"93"},"uris":["http://www.mendeley.com/documents/?uuid=63528936-06c6-48f1-8143-9a4d5cbdc591"]}],"mendeley":{"formattedCitation":"(Rezaie and Rosen, 2012)","plainTextFormattedCitation":"(Rezaie and Rosen, 2012)","previouslyFormattedCitation":"(Rezaie and Rosen, 2012)"},"properties":{"noteIndex":0},"schema":"https://github.com/citation-style-language/schema/raw/master/csl-citation.json"}</w:instrText>
            </w:r>
            <w:r>
              <w:fldChar w:fldCharType="separate"/>
            </w:r>
            <w:r w:rsidR="002A6A73" w:rsidRPr="002A6A73">
              <w:rPr>
                <w:noProof/>
              </w:rPr>
              <w:t>(Rezaie and Rosen, 2012)</w:t>
            </w:r>
            <w:r>
              <w:fldChar w:fldCharType="end"/>
            </w:r>
          </w:p>
          <w:p w14:paraId="34D1A824" w14:textId="7C1DDE36" w:rsidR="000F16EB" w:rsidRPr="003D7103" w:rsidRDefault="000F16EB" w:rsidP="00A7521D">
            <w:pPr>
              <w:spacing w:after="0" w:line="240" w:lineRule="auto"/>
              <w:jc w:val="center"/>
            </w:pPr>
            <w:r>
              <w:fldChar w:fldCharType="begin" w:fldLock="1"/>
            </w:r>
            <w:r w:rsidR="002A6A73">
              <w:instrText>ADDIN CSL_CITATION {"citationItems":[{"id":"ITEM-1","itemData":{"author":[{"dropping-particle":"","family":"CLASP","given":"","non-dropping-particle":"","parse-names":false,"suffix":""}],"id":"ITEM-1","issued":{"date-parts":[["2011"]]},"publisher-place":"Penrith, England","title":"An introduction to District Heating","type":"report"},"uris":["http://www.mendeley.com/documents/?uuid=e0fa98bb-2f47-4f4d-b0ad-51991f075816"]}],"mendeley":{"formattedCitation":"(CLASP, 2011)","plainTextFormattedCitation":"(CLASP, 2011)","previouslyFormattedCitation":"(CLASP, 2011)"},"properties":{"noteIndex":0},"schema":"https://github.com/citation-style-language/schema/raw/master/csl-citation.json"}</w:instrText>
            </w:r>
            <w:r>
              <w:fldChar w:fldCharType="separate"/>
            </w:r>
            <w:r w:rsidR="002A6A73" w:rsidRPr="002A6A73">
              <w:rPr>
                <w:noProof/>
              </w:rPr>
              <w:t>(CLASP, 2011)</w:t>
            </w:r>
            <w:r>
              <w:fldChar w:fldCharType="end"/>
            </w:r>
          </w:p>
        </w:tc>
      </w:tr>
    </w:tbl>
    <w:p w14:paraId="3D31137F" w14:textId="77777777" w:rsidR="000F16EB" w:rsidRPr="003D7103" w:rsidRDefault="000F16EB" w:rsidP="00196CD6">
      <w:pPr>
        <w:pStyle w:val="NoSpacing"/>
      </w:pPr>
    </w:p>
    <w:p w14:paraId="1EC5BA71" w14:textId="5B7C5CEA" w:rsidR="000F16EB" w:rsidRDefault="000F16EB" w:rsidP="000F16EB">
      <w:r w:rsidRPr="003D7103">
        <w:t xml:space="preserve">DH can be readily integrated with industrial </w:t>
      </w:r>
      <w:r>
        <w:t>WH</w:t>
      </w:r>
      <w:r w:rsidRPr="003D7103">
        <w:t xml:space="preserve"> sources</w:t>
      </w:r>
      <w:r>
        <w:t>,</w:t>
      </w:r>
      <w:r w:rsidRPr="003D7103">
        <w:t xml:space="preserve"> offer</w:t>
      </w:r>
      <w:r>
        <w:t>ing</w:t>
      </w:r>
      <w:r w:rsidRPr="003D7103">
        <w:t xml:space="preserve"> the potential to improve the efficiency of and decarbonise both heating and industrial operation</w:t>
      </w:r>
      <w:r>
        <w:t xml:space="preserve">. According to </w:t>
      </w:r>
      <w:r w:rsidRPr="00385C4C">
        <w:rPr>
          <w:noProof/>
        </w:rPr>
        <w:t>O’Rielly</w:t>
      </w:r>
      <w:r>
        <w:t xml:space="preserve"> and </w:t>
      </w:r>
      <w:r w:rsidRPr="00385C4C">
        <w:rPr>
          <w:noProof/>
        </w:rPr>
        <w:t>Jeswiet</w:t>
      </w:r>
      <w:r>
        <w:t xml:space="preserve"> and the US Department of Energy</w:t>
      </w:r>
      <w:r w:rsidR="006A7FED">
        <w:t>,</w:t>
      </w:r>
      <w:r>
        <w:t xml:space="preserve"> 20 – 33% of a country’s final user energy demand is used on industrial sources, </w:t>
      </w:r>
      <w:r w:rsidRPr="003D7103">
        <w:t>which are only 50 – 80% efficient</w:t>
      </w:r>
      <w:r w:rsidR="00DE54B7">
        <w:t xml:space="preserve"> </w:t>
      </w:r>
      <w:r w:rsidR="00DE54B7" w:rsidRPr="003D7103">
        <w:fldChar w:fldCharType="begin" w:fldLock="1"/>
      </w:r>
      <w:r w:rsidR="00DE54B7">
        <w:instrText>ADDIN CSL_CITATION {"citationItems":[{"id":"ITEM-1","itemData":{"author":[{"dropping-particle":"","family":"US DOE","given":"","non-dropping-particle":"","parse-names":false,"suffix":""}],"id":"ITEM-1","issued":{"date-parts":[["2008"]]},"number-of-pages":"1-112","publisher-place":"Washington, USA","title":"Waste Heat Recovery: Technology Opportunities in U.S. Industry","type":"report"},"uris":["http://www.mendeley.com/documents/?uuid=cd6a7cf3-17c1-496a-a6fc-8311cbaeaa3a"]},{"id":"ITEM-2","itemData":{"author":[{"dropping-particle":"","family":"O'Rielly","given":"Kristine","non-dropping-particle":"","parse-names":false,"suffix":""},{"dropping-particle":"","family":"Jeswiet","given":"Jack","non-dropping-particle":"","parse-names":false,"suffix":""}],"container-title":"Transactions of the Canadian Society for Mechanical Engineering","id":"ITEM-2","issue":"1","issued":{"date-parts":[["2015"]]},"page":"125-136","title":"Improving Industrial Energy Efficiency through the Implementation of Waste Heat Recovery Systems","type":"article-journal","volume":"39"},"uris":["http://www.mendeley.com/documents/?uuid=dc9eeaf4-2c68-4ab9-8db2-d9625a7b1433"]}],"mendeley":{"formattedCitation":"(US DOE, 2008; O’Rielly and Jeswiet, 2015)","plainTextFormattedCitation":"(US DOE, 2008; O’Rielly and Jeswiet, 2015)","previouslyFormattedCitation":"(US DOE, 2008; O’Rielly and Jeswiet, 2015)"},"properties":{"noteIndex":0},"schema":"https://github.com/citation-style-language/schema/raw/master/csl-citation.json"}</w:instrText>
      </w:r>
      <w:r w:rsidR="00DE54B7" w:rsidRPr="003D7103">
        <w:fldChar w:fldCharType="separate"/>
      </w:r>
      <w:r w:rsidR="00DE54B7" w:rsidRPr="002A6A73">
        <w:rPr>
          <w:noProof/>
        </w:rPr>
        <w:t>(US DOE, 2008; O’Rielly and Jeswiet, 2015)</w:t>
      </w:r>
      <w:r w:rsidR="00DE54B7" w:rsidRPr="003D7103">
        <w:fldChar w:fldCharType="end"/>
      </w:r>
      <w:r w:rsidRPr="003D7103">
        <w:t>. In the UK</w:t>
      </w:r>
      <w:r>
        <w:t>,</w:t>
      </w:r>
      <w:r w:rsidRPr="003D7103">
        <w:t xml:space="preserve"> it is estimated that </w:t>
      </w:r>
      <w:r>
        <w:t>5.0 – 19.7</w:t>
      </w:r>
      <w:r w:rsidRPr="003D7103">
        <w:t xml:space="preserve"> </w:t>
      </w:r>
      <w:proofErr w:type="spellStart"/>
      <w:r>
        <w:t>TWh</w:t>
      </w:r>
      <w:proofErr w:type="spellEnd"/>
      <w:r w:rsidRPr="003D7103">
        <w:t>/y</w:t>
      </w:r>
      <w:r>
        <w:t>ea</w:t>
      </w:r>
      <w:r w:rsidRPr="003D7103">
        <w:t xml:space="preserve">r of </w:t>
      </w:r>
      <w:r>
        <w:t>WH</w:t>
      </w:r>
      <w:r w:rsidRPr="003D7103">
        <w:t xml:space="preserve"> could be recovered </w:t>
      </w:r>
      <w:r w:rsidRPr="003D7103">
        <w:fldChar w:fldCharType="begin" w:fldLock="1"/>
      </w:r>
      <w:r w:rsidR="002A6A73">
        <w:instrText>ADDIN CSL_CITATION {"citationItems":[{"id":"ITEM-1","itemData":{"author":[{"dropping-particle":"","family":"DECC","given":"","non-dropping-particle":"","parse-names":false,"suffix":""}],"id":"ITEM-1","issued":{"date-parts":[["2014"]]},"publisher-place":"London, England","title":"The potential for recovering and using surplus heat from industry","type":"report"},"uris":["http://www.mendeley.com/documents/?uuid=233fb27a-f98b-4213-9880-86f81871e471"]},{"id":"ITEM-2","itemData":{"DOI":"10.1016/j.apenergy.2013.11.008","ISBN":"03062619","ISSN":"03062619","abstract":"A database of the heat demand, and surplus heat available, at United Kingdom industrial sites involved in the European Union Emissions Trading System, was used to estimate the technical potential of various heat recovery technologies. The options considered were recovery for use on-site, using heat exchangers; upgrading the heat to a higher temperature, using heat pumps; conversion of the heat energy to fulfill a chilling demand, using absorption chillers; conversion of the heat energy to electrical energy, using Rankine cycles; and transport of the heat to fulfill an off-site heat demand. A broad analysis of this type, which investigates a large number of sites, cannot accurately identify site level opportunities. However the analysis can provide an indicative assessment of the overall potential for different technologies. The greatest potential for reusing this surplus heat was found to be recovery at low temperatures, utilising heat exchangers; and in conversion to electricity, mostly using organic Rankine cycle technology. Both these technologies exist in commercial applications, but are not well established, support for their development and installation could increase their use. The overall surplus heat that was technically recoverable using a combination of these technologies was estimated at 52PJ/yr, saving 2.2MtCO2e/yr in comparison to supplying the energy outputs in a conventional manner. It is thought that a network and market for trading in heat and the wider use of district heating systems could open considerable potential for exporting heat from industrial sites to other users. ?? 2013 Elsevier Ltd.","author":[{"dropping-particle":"","family":"Hammond","given":"G. P.","non-dropping-particle":"","parse-names":false,"suffix":""},{"dropping-particle":"","family":"Norman","given":"J. B.","non-dropping-particle":"","parse-names":false,"suffix":""}],"container-title":"Applied Energy","id":"ITEM-2","issued":{"date-parts":[["2014"]]},"page":"387-397","publisher":"Elsevier Ltd","title":"Heat recovery opportunities in UK industry","type":"article-journal","volume":"116"},"uris":["http://www.mendeley.com/documents/?uuid=ca71cf69-307e-4f40-9837-05df13781404"]},{"id":"ITEM-3","itemData":{"DOI":"10.1016/j.enpol.2010.05.042","ISBN":"0301-4215","ISSN":"03014215","abstract":"This paper presents a spatial model of industrial heat loads and technical recovery potentials in the UK, by recourse to energetic and exergetic analysis methods. The aims were to categorise heat users into broad temperature bands; quantify heat usage and wastage at different temperatures; and to estimate the technical potential for heat recovery based on current technologies (whilst ignoring spatial and temporal constraints). The main data source was the UK National Allocation Plan for the EU Emissions Trading Scheme, supplemented by capacity/output and specific energy consumption data for certain heterogeneous sectors. Around 60% of industry has been covered in terms of energy use, and 90% of energy-intensive sectors. The total annual heat use for these sectors was estimated at 650 PJ, with technically feasible annual savings in the region 36-71 PJ. This is in agreement with the only extant estimates for heat recovery from industrial processes, which are 65 and 144 PJ, respectively. ?? 2010 Elsevier Ltd. All rights reserved.","author":[{"dropping-particle":"","family":"McKenna","given":"R. C.","non-dropping-particle":"","parse-names":false,"suffix":""},{"dropping-particle":"","family":"Norman","given":"J. B.","non-dropping-particle":"","parse-names":false,"suffix":""}],"container-title":"Energy Policy","id":"ITEM-3","issue":"10","issued":{"date-parts":[["2010"]]},"page":"5878-5891","publisher":"Elsevier","title":"Spatial modelling of industrial heat loads and recovery potentials in the UK","type":"article-journal","volume":"38"},"uris":["http://www.mendeley.com/documents/?uuid=e9014619-7afe-4dd6-956a-a4d0b225de4f"]}],"mendeley":{"formattedCitation":"(McKenna and Norman, 2010; DECC, 2014b; Hammond and Norman, 2014)","plainTextFormattedCitation":"(McKenna and Norman, 2010; DECC, 2014b; Hammond and Norman, 2014)","previouslyFormattedCitation":"(McKenna and Norman, 2010; DECC, 2014b; Hammond and Norman, 2014)"},"properties":{"noteIndex":0},"schema":"https://github.com/citation-style-language/schema/raw/master/csl-citation.json"}</w:instrText>
      </w:r>
      <w:r w:rsidRPr="003D7103">
        <w:fldChar w:fldCharType="separate"/>
      </w:r>
      <w:r w:rsidR="002A6A73" w:rsidRPr="002A6A73">
        <w:rPr>
          <w:noProof/>
        </w:rPr>
        <w:t>(McKenna and Norman, 2010; DECC, 2014b; Hammond and Norman, 2014)</w:t>
      </w:r>
      <w:r w:rsidRPr="003D7103">
        <w:fldChar w:fldCharType="end"/>
      </w:r>
      <w:r w:rsidRPr="003D7103">
        <w:t>.</w:t>
      </w:r>
    </w:p>
    <w:p w14:paraId="228E4995" w14:textId="3A9F9D59" w:rsidR="000F16EB" w:rsidRDefault="000F16EB" w:rsidP="000F16EB">
      <w:r>
        <w:t xml:space="preserve">In the UK, the implementation of a new DHN is a collaboration between the local authority and an engineering consultancy. UK local authorities have steadily moved away from the provision of services, such as heating, and consequently lack the in-house technical experience needed to design a DHN </w:t>
      </w:r>
      <w:r>
        <w:fldChar w:fldCharType="begin" w:fldLock="1"/>
      </w:r>
      <w:r w:rsidR="002A6A73">
        <w:instrText>ADDIN CSL_CITATION {"citationItems":[{"id":"ITEM-1","itemData":{"DOI":"10.1016/j.enpol.2014.12.003","ISBN":"0301-4215","ISSN":"03014215","abstract":"Research on district heating has focused on technical-economic appraisal of its contribution to energy and carbon saving in urban centres. There is however lack of analysis of political and social processes which govern its actual take up. This paper examines these processes through a case study of Aberdeen, Scotland. Interviews and documentary analysis are used to examine the 2002 development of Aberdeen Heat and Power (AHP), an independent energy services company (ESCo). Technical-economic feasibility was a necessary component of appraisal, but not sufficient to govern decision-making. In the UK centralised energy market, DH investment is unattractive to commercial investors, and local authorities lack capacity and expertise in energy provision. In Aberdeen, the politics of fuel poverty converged with climate politics, creating an a-typical willingness to innovate through improvisation. The welfare priority resulted in creation of a non-profit locally-owned ESCo, using cost- rather than market-based heat tariffs. AHP has developed three combined heat and power energy centres and heat networks, supplying 34. MWh/pa of heat. Carbon savings are estimated to be 45% in comparison with electric heating, and heating costs are reduced by a similar amount. The conclusion outlines potential policy improvements.","author":[{"dropping-particle":"","family":"Webb","given":"Janette","non-dropping-particle":"","parse-names":false,"suffix":""}],"container-title":"Energy Policy","id":"ITEM-1","issued":{"date-parts":[["2015"]]},"page":"265-272","publisher":"Elsevier","title":"Improvising innovation in UK urban district heating: The convergence of social and environmental agendas in Aberdeen","type":"article-journal","volume":"78"},"uris":["http://www.mendeley.com/documents/?uuid=85bf2218-5f26-4866-ba77-4eb6da90bd1a"]}],"mendeley":{"formattedCitation":"(Webb, 2015)","plainTextFormattedCitation":"(Webb, 2015)","previouslyFormattedCitation":"(Webb, 2015)"},"properties":{"noteIndex":0},"schema":"https://github.com/citation-style-language/schema/raw/master/csl-citation.json"}</w:instrText>
      </w:r>
      <w:r>
        <w:fldChar w:fldCharType="separate"/>
      </w:r>
      <w:r w:rsidR="002A6A73" w:rsidRPr="002A6A73">
        <w:rPr>
          <w:noProof/>
        </w:rPr>
        <w:t>(Webb, 2015)</w:t>
      </w:r>
      <w:r>
        <w:fldChar w:fldCharType="end"/>
      </w:r>
      <w:r>
        <w:t xml:space="preserve">. The need for a local authority to collaborate with an engineering consultancy drives up the costs of DHNs in the UK, even in the heat mapping and feasibility stages. The increased costs may discourage some local authorities from assessing the feasibility of new DHNs in their locale, reducing the uptake of DH in the UK. </w:t>
      </w:r>
    </w:p>
    <w:p w14:paraId="47A9AC60" w14:textId="77777777" w:rsidR="000F16EB" w:rsidRDefault="000F16EB" w:rsidP="000F16EB">
      <w:r>
        <w:t>Simplifying the feasibility assessment and resulting design of a new DHN, to enable the process to be completed by a non-technical staff member at a local authority will allow for more potential DHNs to be assessed and designed. An increase in the number of DHNs being assessed should hopefully result in more networks being installed. The simplified process needs to be applied to all parts of the network feasibility and design, from the initial heat mapping and heat supply modelling to the detailed HD modelling, optimisation, and both environmental and techno-economic assessments.</w:t>
      </w:r>
    </w:p>
    <w:p w14:paraId="5346B125" w14:textId="77777777" w:rsidR="000F16EB" w:rsidRDefault="000F16EB" w:rsidP="000F16EB">
      <w:pPr>
        <w:pStyle w:val="Heading2"/>
      </w:pPr>
      <w:bookmarkStart w:id="39" w:name="_Toc525229941"/>
      <w:bookmarkStart w:id="40" w:name="_Toc531270185"/>
      <w:bookmarkStart w:id="41" w:name="_Toc7187427"/>
      <w:r>
        <w:lastRenderedPageBreak/>
        <w:t>Research Objectives</w:t>
      </w:r>
      <w:bookmarkEnd w:id="39"/>
      <w:bookmarkEnd w:id="40"/>
      <w:bookmarkEnd w:id="41"/>
    </w:p>
    <w:p w14:paraId="5A06C337" w14:textId="1D803A02" w:rsidR="000F16EB" w:rsidRDefault="000F16EB" w:rsidP="000F16EB">
      <w:r>
        <w:t>The primary aim of this thesis is to design, build, and test a model that will assess the feasibility of any new DHN. The model will be kept simple enough that a non-technical user at a local authority can operate it, encouraging more DHNs to be tested for feasibility purposes and hopefully, more networks to be installed. The model should not require the use of any computing software more complicated or less freely available than Microsoft Excel as any non-technical user should have access to and be capable of using</w:t>
      </w:r>
      <w:r w:rsidR="00CB286A">
        <w:t xml:space="preserve"> a Microsoft</w:t>
      </w:r>
      <w:r>
        <w:t xml:space="preserve"> Excel</w:t>
      </w:r>
      <w:r w:rsidR="00CB286A">
        <w:t xml:space="preserve"> spreadsheet</w:t>
      </w:r>
      <w:r>
        <w:t xml:space="preserve">. The DH feasibility model will: </w:t>
      </w:r>
    </w:p>
    <w:p w14:paraId="507BE89A" w14:textId="77777777" w:rsidR="000F16EB" w:rsidRDefault="000F16EB" w:rsidP="00202E44">
      <w:pPr>
        <w:pStyle w:val="ListParagraph"/>
        <w:numPr>
          <w:ilvl w:val="0"/>
          <w:numId w:val="9"/>
        </w:numPr>
      </w:pPr>
      <w:r>
        <w:t>Run a heat mapping process of the local area.</w:t>
      </w:r>
    </w:p>
    <w:p w14:paraId="3C972AB2" w14:textId="77777777" w:rsidR="000F16EB" w:rsidRDefault="000F16EB" w:rsidP="00202E44">
      <w:pPr>
        <w:pStyle w:val="ListParagraph"/>
        <w:numPr>
          <w:ilvl w:val="0"/>
          <w:numId w:val="9"/>
        </w:numPr>
      </w:pPr>
      <w:r>
        <w:t xml:space="preserve">Quantify the WH available from the heat source. </w:t>
      </w:r>
    </w:p>
    <w:p w14:paraId="0E4DC4D6" w14:textId="77777777" w:rsidR="000F16EB" w:rsidRDefault="000F16EB" w:rsidP="00202E44">
      <w:pPr>
        <w:pStyle w:val="ListParagraph"/>
        <w:numPr>
          <w:ilvl w:val="0"/>
          <w:numId w:val="9"/>
        </w:numPr>
      </w:pPr>
      <w:r>
        <w:t>Decide on the best choice of waste heat recovery (WHR) equipment.</w:t>
      </w:r>
    </w:p>
    <w:p w14:paraId="5884F4DF" w14:textId="77777777" w:rsidR="000F16EB" w:rsidRDefault="000F16EB" w:rsidP="00202E44">
      <w:pPr>
        <w:pStyle w:val="ListParagraph"/>
        <w:numPr>
          <w:ilvl w:val="0"/>
          <w:numId w:val="9"/>
        </w:numPr>
      </w:pPr>
      <w:r>
        <w:t>Accurately model the HD variation.</w:t>
      </w:r>
    </w:p>
    <w:p w14:paraId="7FB2F283" w14:textId="77777777" w:rsidR="000F16EB" w:rsidRDefault="000F16EB" w:rsidP="00202E44">
      <w:pPr>
        <w:pStyle w:val="ListParagraph"/>
        <w:numPr>
          <w:ilvl w:val="0"/>
          <w:numId w:val="9"/>
        </w:numPr>
      </w:pPr>
      <w:r>
        <w:t xml:space="preserve">Optimise the network using thermal energy storage (TES). </w:t>
      </w:r>
    </w:p>
    <w:p w14:paraId="0F0E9430" w14:textId="77777777" w:rsidR="000F16EB" w:rsidRDefault="000F16EB" w:rsidP="00202E44">
      <w:pPr>
        <w:pStyle w:val="ListParagraph"/>
        <w:numPr>
          <w:ilvl w:val="0"/>
          <w:numId w:val="9"/>
        </w:numPr>
      </w:pPr>
      <w:r>
        <w:t xml:space="preserve">Assess the success of the network using techno-economic and environmental methods. </w:t>
      </w:r>
    </w:p>
    <w:p w14:paraId="3D57AE02" w14:textId="77777777" w:rsidR="000F16EB" w:rsidRDefault="000F16EB" w:rsidP="000F16EB">
      <w:r>
        <w:t>To keep the feasibility model simple in nature, several assumptions will have to be made. The effect that the assumptions will have on the accuracy of the model will need to be tested. When possible, the accuracy will be tested by comparing the modelling work to other models or studies. However, comparisons will only be possible if DHN operators can be persuaded to provide primary data or equivalent DH models can be found. In parts of the work when neither of the two options for comparison are available, Monte Carlo (MC) simulations will be used to test the accuracy of the modelling work.</w:t>
      </w:r>
    </w:p>
    <w:p w14:paraId="67BB61E2" w14:textId="77777777" w:rsidR="000F16EB" w:rsidRDefault="000F16EB" w:rsidP="000F16EB">
      <w:r>
        <w:t xml:space="preserve">The feasibility model will be tested using a case study of HJ </w:t>
      </w:r>
      <w:proofErr w:type="spellStart"/>
      <w:r>
        <w:t>Enthoven</w:t>
      </w:r>
      <w:proofErr w:type="spellEnd"/>
      <w:r>
        <w:t xml:space="preserve"> (HJE) and the area surrounding Darley Dale in Derbyshire, England. HJE are a lead acid battery (LAB) recycling site who are looking to find a use for the heat that is not currently utilised on-site. Every stage of the feasibility model in the thesis will be carried out on the case study, assessing whether the HJE DHN is economically and environmentally feasible as well as testing the modelling work. If the DHN is shown not to be economically and environmentally feasible, the knowledge gained of DH as a socio-technical process in the UK will be called upon. It is possible that with access to a government grant or external funding the DHN can be feasible.</w:t>
      </w:r>
    </w:p>
    <w:p w14:paraId="1AA70F2B" w14:textId="77777777" w:rsidR="000F16EB" w:rsidRDefault="000F16EB" w:rsidP="000F16EB">
      <w:pPr>
        <w:pStyle w:val="Heading2"/>
      </w:pPr>
      <w:bookmarkStart w:id="42" w:name="_Toc525229942"/>
      <w:bookmarkStart w:id="43" w:name="_Toc531270186"/>
      <w:bookmarkStart w:id="44" w:name="_Toc7187428"/>
      <w:r>
        <w:t>Layout of the Thesis</w:t>
      </w:r>
      <w:bookmarkEnd w:id="42"/>
      <w:bookmarkEnd w:id="43"/>
      <w:bookmarkEnd w:id="44"/>
    </w:p>
    <w:p w14:paraId="15FDA5F6" w14:textId="77777777" w:rsidR="000F16EB" w:rsidRDefault="000F16EB" w:rsidP="000F16EB">
      <w:r>
        <w:t>The thesis will begin with a literature review. The industrial operation of DHNs will be studied, finding what technologies are used, how DHNs sit in the heating market, and how DHNs act as a socio-technical process. The primary goal of the literature reviews is to investigate the research methods used in the primary stages of the feasibility model.</w:t>
      </w:r>
    </w:p>
    <w:p w14:paraId="3ED490D4" w14:textId="77777777" w:rsidR="000F16EB" w:rsidRDefault="000F16EB" w:rsidP="000F16EB">
      <w:r>
        <w:t>Six experimental chapters will follow that design generic solutions for the following problems (each experimental chapter will refer to the case study):</w:t>
      </w:r>
    </w:p>
    <w:p w14:paraId="7BC4F346" w14:textId="77777777" w:rsidR="000F16EB" w:rsidRDefault="000F16EB" w:rsidP="00202E44">
      <w:pPr>
        <w:pStyle w:val="ListParagraph"/>
        <w:numPr>
          <w:ilvl w:val="0"/>
          <w:numId w:val="8"/>
        </w:numPr>
      </w:pPr>
      <w:r>
        <w:t>Heat mapping of a local area.</w:t>
      </w:r>
    </w:p>
    <w:p w14:paraId="4DB5B19A" w14:textId="77777777" w:rsidR="000F16EB" w:rsidRDefault="000F16EB" w:rsidP="00202E44">
      <w:pPr>
        <w:pStyle w:val="ListParagraph"/>
        <w:numPr>
          <w:ilvl w:val="0"/>
          <w:numId w:val="8"/>
        </w:numPr>
      </w:pPr>
      <w:r>
        <w:t>Quantification of the waste heat available from an industrial site.</w:t>
      </w:r>
    </w:p>
    <w:p w14:paraId="4E6B2D72" w14:textId="77777777" w:rsidR="000F16EB" w:rsidRDefault="000F16EB" w:rsidP="00202E44">
      <w:pPr>
        <w:pStyle w:val="ListParagraph"/>
        <w:numPr>
          <w:ilvl w:val="0"/>
          <w:numId w:val="8"/>
        </w:numPr>
      </w:pPr>
      <w:r>
        <w:t>Choosing the best waste heat recovery equipment for an industrial site.</w:t>
      </w:r>
    </w:p>
    <w:p w14:paraId="00BB59B7" w14:textId="77777777" w:rsidR="000F16EB" w:rsidRDefault="000F16EB" w:rsidP="00202E44">
      <w:pPr>
        <w:pStyle w:val="ListParagraph"/>
        <w:numPr>
          <w:ilvl w:val="0"/>
          <w:numId w:val="8"/>
        </w:numPr>
      </w:pPr>
      <w:r>
        <w:lastRenderedPageBreak/>
        <w:t>Modelling the hourly variation in heat demand experienced by a district heating network.</w:t>
      </w:r>
    </w:p>
    <w:p w14:paraId="2E6D7927" w14:textId="77777777" w:rsidR="000F16EB" w:rsidRDefault="000F16EB" w:rsidP="00202E44">
      <w:pPr>
        <w:pStyle w:val="ListParagraph"/>
        <w:numPr>
          <w:ilvl w:val="0"/>
          <w:numId w:val="8"/>
        </w:numPr>
      </w:pPr>
      <w:r>
        <w:t>Optimising a district heating network using thermal energy storage.</w:t>
      </w:r>
    </w:p>
    <w:p w14:paraId="38CDA56F" w14:textId="77777777" w:rsidR="000F16EB" w:rsidRDefault="000F16EB" w:rsidP="00202E44">
      <w:pPr>
        <w:pStyle w:val="ListParagraph"/>
        <w:numPr>
          <w:ilvl w:val="0"/>
          <w:numId w:val="8"/>
        </w:numPr>
      </w:pPr>
      <w:r>
        <w:t>Assessing the success of the network using techno-economic and environmental models.</w:t>
      </w:r>
    </w:p>
    <w:p w14:paraId="4450779E" w14:textId="75174F0D" w:rsidR="000F16EB" w:rsidRPr="002F4FFE" w:rsidRDefault="000F16EB" w:rsidP="000F16EB">
      <w:r>
        <w:t>The six experimental chapters will be followed by a discussion of the findings. The thesis will end with a conclusion, summarising the major findings.</w:t>
      </w:r>
      <w:bookmarkStart w:id="45" w:name="_Toc525229943"/>
    </w:p>
    <w:p w14:paraId="5E09B3ED" w14:textId="38E749C7" w:rsidR="000F16EB" w:rsidRDefault="000F16EB" w:rsidP="00CB286A">
      <w:pPr>
        <w:pStyle w:val="Heading2"/>
      </w:pPr>
      <w:bookmarkStart w:id="46" w:name="_Toc531270187"/>
      <w:bookmarkStart w:id="47" w:name="_Ref531344458"/>
      <w:bookmarkStart w:id="48" w:name="_Toc7187429"/>
      <w:r>
        <w:t>Case Study</w:t>
      </w:r>
      <w:bookmarkEnd w:id="45"/>
      <w:bookmarkEnd w:id="46"/>
      <w:bookmarkEnd w:id="47"/>
      <w:r w:rsidR="00A76F37">
        <w:t xml:space="preserve"> and HJ </w:t>
      </w:r>
      <w:proofErr w:type="spellStart"/>
      <w:r w:rsidR="00A76F37">
        <w:t>Enthoven</w:t>
      </w:r>
      <w:bookmarkEnd w:id="48"/>
      <w:proofErr w:type="spellEnd"/>
    </w:p>
    <w:p w14:paraId="35486889" w14:textId="77777777" w:rsidR="000F16EB" w:rsidRDefault="000F16EB" w:rsidP="000F16EB">
      <w:r>
        <w:t>The aim of this thesis is to develop a feasibility model for any new DHN network that will assess the success of the network on a techno-economic and environmental basis. The model should be simple enough that a non-technical user is capable of operating it. In order to test the model and assess the success or failure of it a case study is needed. Every stage of the feasibility model will be tested using the case study.</w:t>
      </w:r>
    </w:p>
    <w:p w14:paraId="127675E5" w14:textId="77777777" w:rsidR="00A76F37" w:rsidRPr="00E36DB3" w:rsidRDefault="000F16EB" w:rsidP="00A76F37">
      <w:r>
        <w:t>The case study assesses the success of a potential new DHN based around HJE  and the area of Darley Dale, England</w:t>
      </w:r>
      <w:r w:rsidR="00DE54B7">
        <w:t xml:space="preserve"> </w:t>
      </w:r>
      <w:r w:rsidR="00DE54B7">
        <w:fldChar w:fldCharType="begin" w:fldLock="1"/>
      </w:r>
      <w:r w:rsidR="00DE54B7">
        <w:instrText>ADDIN CSL_CITATION {"citationItems":[{"id":"ITEM-1","itemData":{"URL":"http://ecobatgroup.com/ecobatgroup-en/facilities/uk/hje/index.php","accessed":{"date-parts":[["2018","9","7"]]},"author":[{"dropping-particle":"","family":"ECOBAT","given":"","non-dropping-particle":"","parse-names":false,"suffix":""}],"id":"ITEM-1","issued":{"date-parts":[["2017"]]},"title":"H. J. Enthoven and Sons","type":"webpage"},"uris":["http://www.mendeley.com/documents/?uuid=ebd88e3c-4564-4203-810e-8b59e148b7a8"]}],"mendeley":{"formattedCitation":"(ECOBAT, 2017)","plainTextFormattedCitation":"(ECOBAT, 2017)","previouslyFormattedCitation":"(ECOBAT, 2017)"},"properties":{"noteIndex":0},"schema":"https://github.com/citation-style-language/schema/raw/master/csl-citation.json"}</w:instrText>
      </w:r>
      <w:r w:rsidR="00DE54B7">
        <w:fldChar w:fldCharType="separate"/>
      </w:r>
      <w:r w:rsidR="00DE54B7" w:rsidRPr="002A6A73">
        <w:rPr>
          <w:noProof/>
        </w:rPr>
        <w:t>(ECOBAT, 2017)</w:t>
      </w:r>
      <w:r w:rsidR="00DE54B7">
        <w:fldChar w:fldCharType="end"/>
      </w:r>
      <w:r>
        <w:t xml:space="preserve">. </w:t>
      </w:r>
      <w:r w:rsidR="00A76F37">
        <w:t xml:space="preserve">Every area with a population of at least 1,000 people within an 8 km radius of the HJE site were considered as potential areas to be connected to the new DHN. Seven areas meeting the criteria were identified: </w:t>
      </w:r>
      <w:r w:rsidR="00A76F37" w:rsidRPr="003D7103">
        <w:t xml:space="preserve">Bakewell, </w:t>
      </w:r>
      <w:proofErr w:type="spellStart"/>
      <w:r w:rsidR="00A76F37" w:rsidRPr="003D7103">
        <w:t>Rowsley</w:t>
      </w:r>
      <w:proofErr w:type="spellEnd"/>
      <w:r w:rsidR="00A76F37" w:rsidRPr="003D7103">
        <w:t xml:space="preserve">, </w:t>
      </w:r>
      <w:proofErr w:type="spellStart"/>
      <w:r w:rsidR="00A76F37" w:rsidRPr="003D7103">
        <w:t>Youlgreave</w:t>
      </w:r>
      <w:proofErr w:type="spellEnd"/>
      <w:r w:rsidR="00A76F37" w:rsidRPr="003D7103">
        <w:t>, Darley Dale, Matlock, Matlock Bath</w:t>
      </w:r>
      <w:r w:rsidR="00A76F37">
        <w:t>,</w:t>
      </w:r>
      <w:r w:rsidR="00A76F37" w:rsidRPr="003D7103">
        <w:t xml:space="preserve"> and Cromford.</w:t>
      </w:r>
    </w:p>
    <w:p w14:paraId="2C4C95B4" w14:textId="77777777" w:rsidR="00724FAB" w:rsidRDefault="000F16EB" w:rsidP="000F16EB">
      <w:r>
        <w:t xml:space="preserve">HJE are used as the primary heat supply in the network, with a potential, smaller heat supply coming from Chatsworth House. HJE are the largest LAB recycling plant in Europe, with annual rates of recycling of 80,000 tonnes of lead and polypropylene, recycling 150,000 tonnes of batteries. The HJE process consists of reverberatory and short rotary furnaces as well as a </w:t>
      </w:r>
      <w:r w:rsidRPr="003D7103">
        <w:t>flue gas desulphurisation plant.</w:t>
      </w:r>
      <w:r>
        <w:t xml:space="preserve"> </w:t>
      </w:r>
    </w:p>
    <w:p w14:paraId="35DF16A7" w14:textId="6BEA5AD6" w:rsidR="000F16EB" w:rsidRDefault="000F16EB" w:rsidP="000F16EB">
      <w:r>
        <w:t>HJE</w:t>
      </w:r>
      <w:r w:rsidR="00724FAB">
        <w:t xml:space="preserve"> are interested in my thesis as they</w:t>
      </w:r>
      <w:r>
        <w:t xml:space="preserve"> estimate that there is approximately 5 </w:t>
      </w:r>
      <w:proofErr w:type="spellStart"/>
      <w:r>
        <w:t>MW</w:t>
      </w:r>
      <w:r>
        <w:rPr>
          <w:vertAlign w:val="subscript"/>
        </w:rPr>
        <w:t>th</w:t>
      </w:r>
      <w:proofErr w:type="spellEnd"/>
      <w:r>
        <w:t xml:space="preserve"> of power is available at the site that could be </w:t>
      </w:r>
      <w:r w:rsidR="00724FAB">
        <w:t>recovered and utilised</w:t>
      </w:r>
      <w:r>
        <w:t>.</w:t>
      </w:r>
      <w:r w:rsidR="00724FAB">
        <w:t xml:space="preserve"> One use of the waste heat that HJE identified is as a heat source for a district heating network, explaining their interest in my thesis. HJE are in a similar situation to a local authority, as they have an interest in a DHN being installed in the local area. Similarly, to a local authority, HJE have neither the in-house technical experience </w:t>
      </w:r>
      <w:proofErr w:type="gramStart"/>
      <w:r w:rsidR="00724FAB">
        <w:t>or</w:t>
      </w:r>
      <w:proofErr w:type="gramEnd"/>
      <w:r w:rsidR="00724FAB">
        <w:t xml:space="preserve"> staff hours to design a district heating network. As a result, HJE have commissioned my thesis as a feasibility study for the possible network in their area. Every stage of the feasibility study will be applied to the HJE case study as follows:</w:t>
      </w:r>
    </w:p>
    <w:p w14:paraId="18ABB93C" w14:textId="6B5076F3" w:rsidR="00724FAB" w:rsidRDefault="00724FAB" w:rsidP="00724FAB">
      <w:pPr>
        <w:pStyle w:val="ListParagraph"/>
        <w:numPr>
          <w:ilvl w:val="0"/>
          <w:numId w:val="48"/>
        </w:numPr>
      </w:pPr>
      <w:r>
        <w:t>The heat map will assess the potential of a district heating network in the local area to HJE.</w:t>
      </w:r>
    </w:p>
    <w:p w14:paraId="08F0348D" w14:textId="5F9DD7AC" w:rsidR="00724FAB" w:rsidRDefault="00724FAB" w:rsidP="00724FAB">
      <w:pPr>
        <w:pStyle w:val="ListParagraph"/>
        <w:numPr>
          <w:ilvl w:val="0"/>
          <w:numId w:val="48"/>
        </w:numPr>
      </w:pPr>
      <w:r>
        <w:t xml:space="preserve">The waste heat quantification will estimate the </w:t>
      </w:r>
      <w:r w:rsidR="00E74E12">
        <w:t>heat variation at various locations across the HJE site.</w:t>
      </w:r>
    </w:p>
    <w:p w14:paraId="4567C36A" w14:textId="1B9149C6" w:rsidR="00E74E12" w:rsidRDefault="00E74E12" w:rsidP="00724FAB">
      <w:pPr>
        <w:pStyle w:val="ListParagraph"/>
        <w:numPr>
          <w:ilvl w:val="0"/>
          <w:numId w:val="48"/>
        </w:numPr>
      </w:pPr>
      <w:r>
        <w:t>The waste heat recovery will quantify the heat levels after any waste heat recovery has occurred and the various associated costs and revenues.</w:t>
      </w:r>
    </w:p>
    <w:p w14:paraId="2FC7E528" w14:textId="506BD535" w:rsidR="00E74E12" w:rsidRDefault="00E74E12" w:rsidP="00724FAB">
      <w:pPr>
        <w:pStyle w:val="ListParagraph"/>
        <w:numPr>
          <w:ilvl w:val="0"/>
          <w:numId w:val="48"/>
        </w:numPr>
      </w:pPr>
      <w:r>
        <w:t>The heat demand modelling will quantify the variation in the heat levels in the local area.</w:t>
      </w:r>
    </w:p>
    <w:p w14:paraId="53DF262C" w14:textId="3FFA0C7B" w:rsidR="00E74E12" w:rsidRDefault="00E74E12" w:rsidP="00724FAB">
      <w:pPr>
        <w:pStyle w:val="ListParagraph"/>
        <w:numPr>
          <w:ilvl w:val="0"/>
          <w:numId w:val="48"/>
        </w:numPr>
      </w:pPr>
      <w:r>
        <w:lastRenderedPageBreak/>
        <w:t>The district heating network optimisation will use thermal energy storage to match the HJE heat supply and the local area heat demand.</w:t>
      </w:r>
    </w:p>
    <w:p w14:paraId="76BDB41B" w14:textId="5A8F46DF" w:rsidR="00E74E12" w:rsidRDefault="00E74E12" w:rsidP="00724FAB">
      <w:pPr>
        <w:pStyle w:val="ListParagraph"/>
        <w:numPr>
          <w:ilvl w:val="0"/>
          <w:numId w:val="48"/>
        </w:numPr>
      </w:pPr>
      <w:r>
        <w:t>Techno-economic and environmental models will assess the success of the HJE district heating network.</w:t>
      </w:r>
    </w:p>
    <w:p w14:paraId="44C54B8B" w14:textId="5768A120" w:rsidR="000F16EB" w:rsidRDefault="000F16EB">
      <w:pPr>
        <w:jc w:val="left"/>
      </w:pPr>
      <w:r>
        <w:br w:type="page"/>
      </w:r>
    </w:p>
    <w:p w14:paraId="132ECF24" w14:textId="77777777" w:rsidR="000F16EB" w:rsidRDefault="000F16EB" w:rsidP="000F16EB">
      <w:pPr>
        <w:pStyle w:val="Heading1"/>
      </w:pPr>
      <w:bookmarkStart w:id="49" w:name="_Ref531345046"/>
      <w:bookmarkStart w:id="50" w:name="_Toc7187430"/>
      <w:r>
        <w:lastRenderedPageBreak/>
        <w:t>Literature R</w:t>
      </w:r>
      <w:r w:rsidRPr="007860E5">
        <w:t>eview</w:t>
      </w:r>
      <w:bookmarkEnd w:id="49"/>
      <w:bookmarkEnd w:id="50"/>
    </w:p>
    <w:p w14:paraId="05CD566C" w14:textId="77777777" w:rsidR="000F16EB" w:rsidRDefault="000F16EB" w:rsidP="000F16EB">
      <w:pPr>
        <w:pStyle w:val="Heading2"/>
      </w:pPr>
      <w:bookmarkStart w:id="51" w:name="_Toc468265742"/>
      <w:bookmarkStart w:id="52" w:name="_Toc522192702"/>
      <w:bookmarkStart w:id="53" w:name="_Toc525229945"/>
      <w:bookmarkStart w:id="54" w:name="_Toc529888259"/>
      <w:bookmarkStart w:id="55" w:name="_Toc465329863"/>
      <w:bookmarkStart w:id="56" w:name="_Toc7187431"/>
      <w:r w:rsidRPr="003D7103">
        <w:t>Introduction</w:t>
      </w:r>
      <w:bookmarkEnd w:id="51"/>
      <w:bookmarkEnd w:id="52"/>
      <w:bookmarkEnd w:id="53"/>
      <w:bookmarkEnd w:id="54"/>
      <w:bookmarkEnd w:id="56"/>
    </w:p>
    <w:p w14:paraId="31792582" w14:textId="77777777" w:rsidR="000F16EB" w:rsidRPr="003D7103" w:rsidRDefault="000F16EB" w:rsidP="000F16EB">
      <w:r w:rsidRPr="003D7103">
        <w:t>The literature review is used to gather the information needed to carry out the</w:t>
      </w:r>
      <w:r>
        <w:t xml:space="preserve"> work in the</w:t>
      </w:r>
      <w:r w:rsidRPr="003D7103">
        <w:t xml:space="preserve"> thesis and to identify </w:t>
      </w:r>
      <w:r>
        <w:t>research</w:t>
      </w:r>
      <w:r w:rsidRPr="003D7103">
        <w:t xml:space="preserve"> gap</w:t>
      </w:r>
      <w:r>
        <w:t>s</w:t>
      </w:r>
      <w:r w:rsidRPr="003D7103">
        <w:t xml:space="preserve"> in the market. The key areas to research are:</w:t>
      </w:r>
    </w:p>
    <w:p w14:paraId="0FA0AF84" w14:textId="77777777" w:rsidR="000F16EB" w:rsidRPr="003D7103" w:rsidRDefault="000F16EB" w:rsidP="00202E44">
      <w:pPr>
        <w:pStyle w:val="ListParagraph"/>
        <w:numPr>
          <w:ilvl w:val="0"/>
          <w:numId w:val="11"/>
        </w:numPr>
      </w:pPr>
      <w:r w:rsidRPr="003D7103">
        <w:t>District heating, waste heat recovery and thermal energy storage technologies.</w:t>
      </w:r>
    </w:p>
    <w:p w14:paraId="227A12C7" w14:textId="77777777" w:rsidR="000F16EB" w:rsidRDefault="000F16EB" w:rsidP="00202E44">
      <w:pPr>
        <w:pStyle w:val="ListParagraph"/>
        <w:numPr>
          <w:ilvl w:val="0"/>
          <w:numId w:val="11"/>
        </w:numPr>
      </w:pPr>
      <w:r>
        <w:t>District heating, waste heat recovery and thermal energy storage modelling techniques.</w:t>
      </w:r>
    </w:p>
    <w:p w14:paraId="402F1C22" w14:textId="77777777" w:rsidR="000F16EB" w:rsidRPr="003D7103" w:rsidRDefault="000F16EB" w:rsidP="00202E44">
      <w:pPr>
        <w:pStyle w:val="ListParagraph"/>
        <w:numPr>
          <w:ilvl w:val="0"/>
          <w:numId w:val="11"/>
        </w:numPr>
      </w:pPr>
      <w:r w:rsidRPr="003D7103">
        <w:t>District heating and waste heat recovery markets.</w:t>
      </w:r>
    </w:p>
    <w:p w14:paraId="6A5714E6" w14:textId="77777777" w:rsidR="000F16EB" w:rsidRPr="003D7103" w:rsidRDefault="000F16EB" w:rsidP="00202E44">
      <w:pPr>
        <w:pStyle w:val="ListParagraph"/>
        <w:numPr>
          <w:ilvl w:val="0"/>
          <w:numId w:val="11"/>
        </w:numPr>
      </w:pPr>
      <w:r w:rsidRPr="003D7103">
        <w:t>District heating and waste heat recovery legislation.</w:t>
      </w:r>
    </w:p>
    <w:p w14:paraId="29C99F83" w14:textId="77777777" w:rsidR="000F16EB" w:rsidRDefault="000F16EB" w:rsidP="00202E44">
      <w:pPr>
        <w:pStyle w:val="ListParagraph"/>
        <w:numPr>
          <w:ilvl w:val="0"/>
          <w:numId w:val="11"/>
        </w:numPr>
      </w:pPr>
      <w:r w:rsidRPr="003D7103">
        <w:t>Waste heat characterisation techniques.</w:t>
      </w:r>
    </w:p>
    <w:p w14:paraId="36F923E8" w14:textId="77777777" w:rsidR="000F16EB" w:rsidRPr="003D7103" w:rsidRDefault="000F16EB" w:rsidP="00202E44">
      <w:pPr>
        <w:pStyle w:val="ListParagraph"/>
        <w:numPr>
          <w:ilvl w:val="0"/>
          <w:numId w:val="11"/>
        </w:numPr>
      </w:pPr>
      <w:r>
        <w:t>Industrial use of waste heat recovery with district heating.</w:t>
      </w:r>
    </w:p>
    <w:p w14:paraId="0EE3416B" w14:textId="77777777" w:rsidR="000F16EB" w:rsidRPr="003D7103" w:rsidRDefault="000F16EB" w:rsidP="00202E44">
      <w:pPr>
        <w:pStyle w:val="ListParagraph"/>
        <w:numPr>
          <w:ilvl w:val="0"/>
          <w:numId w:val="11"/>
        </w:numPr>
      </w:pPr>
      <w:r w:rsidRPr="003D7103">
        <w:t>Sociotechnical aspects of district heating.</w:t>
      </w:r>
    </w:p>
    <w:p w14:paraId="3F5159F2" w14:textId="77777777" w:rsidR="000F16EB" w:rsidRPr="003D7103" w:rsidRDefault="000F16EB" w:rsidP="00202E44">
      <w:pPr>
        <w:pStyle w:val="ListParagraph"/>
        <w:numPr>
          <w:ilvl w:val="0"/>
          <w:numId w:val="11"/>
        </w:numPr>
      </w:pPr>
      <w:r w:rsidRPr="003D7103">
        <w:t>Economic and environmental evaluations of district heating.</w:t>
      </w:r>
    </w:p>
    <w:p w14:paraId="2EF47BF8" w14:textId="77777777" w:rsidR="000F16EB" w:rsidRPr="003D7103" w:rsidRDefault="000F16EB" w:rsidP="00202E44">
      <w:pPr>
        <w:pStyle w:val="ListParagraph"/>
        <w:numPr>
          <w:ilvl w:val="0"/>
          <w:numId w:val="11"/>
        </w:numPr>
      </w:pPr>
      <w:r w:rsidRPr="003D7103">
        <w:t>Lead acid battery markets and recycling processes.</w:t>
      </w:r>
    </w:p>
    <w:p w14:paraId="7444B7E0" w14:textId="77777777" w:rsidR="000F16EB" w:rsidRPr="003D7103" w:rsidRDefault="000F16EB" w:rsidP="000F16EB">
      <w:pPr>
        <w:pStyle w:val="Heading2"/>
      </w:pPr>
      <w:bookmarkStart w:id="57" w:name="_Ref467833741"/>
      <w:bookmarkStart w:id="58" w:name="_Toc468265743"/>
      <w:bookmarkStart w:id="59" w:name="_Toc522192703"/>
      <w:bookmarkStart w:id="60" w:name="_Toc525229946"/>
      <w:bookmarkStart w:id="61" w:name="_Toc529888260"/>
      <w:bookmarkStart w:id="62" w:name="_Toc7187432"/>
      <w:r w:rsidRPr="003D7103">
        <w:t>District Heating Technologies</w:t>
      </w:r>
      <w:bookmarkEnd w:id="55"/>
      <w:bookmarkEnd w:id="57"/>
      <w:bookmarkEnd w:id="58"/>
      <w:bookmarkEnd w:id="59"/>
      <w:bookmarkEnd w:id="60"/>
      <w:bookmarkEnd w:id="61"/>
      <w:bookmarkEnd w:id="62"/>
    </w:p>
    <w:p w14:paraId="0B4F03F7" w14:textId="77777777" w:rsidR="000F16EB" w:rsidRPr="003D7103" w:rsidRDefault="000F16EB" w:rsidP="000F16EB">
      <w:r>
        <w:t xml:space="preserve">The technologies used in a DHN are a key component to the overall economic and environmental feasibility of the network. The DH system as a whole, as well as the choices of TE generating units, TE sources and TES will be reviewed. </w:t>
      </w:r>
    </w:p>
    <w:p w14:paraId="7157CA4F" w14:textId="77777777" w:rsidR="000F16EB" w:rsidRPr="003D7103" w:rsidRDefault="000F16EB" w:rsidP="000F16EB">
      <w:pPr>
        <w:pStyle w:val="Heading3"/>
      </w:pPr>
      <w:bookmarkStart w:id="63" w:name="_Toc468265744"/>
      <w:bookmarkStart w:id="64" w:name="_Toc522192704"/>
      <w:bookmarkStart w:id="65" w:name="_Toc525229947"/>
      <w:bookmarkStart w:id="66" w:name="_Toc529888261"/>
      <w:bookmarkStart w:id="67" w:name="_Toc465329864"/>
      <w:bookmarkStart w:id="68" w:name="_Toc7187433"/>
      <w:r w:rsidRPr="003D7103">
        <w:t>The District Heating System</w:t>
      </w:r>
      <w:bookmarkEnd w:id="63"/>
      <w:bookmarkEnd w:id="64"/>
      <w:bookmarkEnd w:id="65"/>
      <w:bookmarkEnd w:id="66"/>
      <w:bookmarkEnd w:id="68"/>
      <w:r w:rsidRPr="003D7103">
        <w:t xml:space="preserve"> </w:t>
      </w:r>
      <w:bookmarkEnd w:id="67"/>
    </w:p>
    <w:p w14:paraId="4FF91FA6" w14:textId="7A1CD62E" w:rsidR="000F16EB" w:rsidRPr="003D7103" w:rsidRDefault="000F16EB" w:rsidP="000F16EB">
      <w:r w:rsidRPr="003D7103">
        <w:t xml:space="preserve">In literature, a DHN is split into four sections: the </w:t>
      </w:r>
      <w:r>
        <w:t>TE</w:t>
      </w:r>
      <w:r w:rsidRPr="003D7103">
        <w:t xml:space="preserve"> generating unit(s), the distribution system,</w:t>
      </w:r>
      <w:r>
        <w:t xml:space="preserve"> the</w:t>
      </w:r>
      <w:r w:rsidRPr="003D7103">
        <w:t xml:space="preserve"> customer substations</w:t>
      </w:r>
      <w:r>
        <w:t>,</w:t>
      </w:r>
      <w:r w:rsidRPr="003D7103">
        <w:t xml:space="preserve"> and the internal building heating system</w:t>
      </w:r>
      <w:r>
        <w:t xml:space="preserve">s </w:t>
      </w:r>
      <w:r w:rsidRPr="003D7103">
        <w:fldChar w:fldCharType="begin" w:fldLock="1"/>
      </w:r>
      <w:r w:rsidR="00FF4B5D">
        <w:instrText>ADDIN CSL_CITATION {"citationItems":[{"id":"ITEM-1","itemData":{"DOI":"10.1007/BF02978572","ISSN":"0948-3349","abstract":"Goal, Scope and Background District heating, the utilization of centrally produced heat for space heating and domestic hot water generation, has the potential to contribute to the eco-efficient use of energy resources in the parts of the world where space heating is needed. In literature, environmental studies on district heating mainly consider the emissions from heat generation; the environmental impact from the distribution system is seldom discussed. This paper presents a life cycle assessment of the production of district heating pipes, based on a cradle-to-gate life cycle inventory commissioned by the Swedish District Heating Association. No external review has been performed but a reference group of district heating experts familiar with the practice was involved in the choice of cases as well as in reviewing parts of the study. Methods Manufacturing of district heating pipes at Powerpipe Systems AB, Göteborg, Sweden, was studied. Prefabricated polyurethane insulated district heating pipes were considered, with a steel tube and a protective casing made of high-density polyethylene. Production of pipes during the time period 1999–2000 was investigated. The functional unit used in the study is production of one district heating pipe unit. The studied pipes are: a twin pipe of the dimension DN25 (12m long) and single pipes of the dimensions DN25 (12m), DN100 (12m) and DN500 (16m). Results and Discussion A short description of the inventory, some inventory results and a life cycle impact assessment are presented. Characterizations according to GWP, AP, POCP and resource depletion are given as well as two weightings: EcoIndicator99 and Ecoscarcity. If the life cycle is grouped into ‘Materials production’, ‘Transports’, ‘Manufacturing’ and ‘Waste management’, the ‘Materials production’ gives rise to a dominating part of the environmental impact. Recommendation and Perspective To use materials in the pipes as efficiently as possible is the most important feature in order to reduce the environmental impact from production of district heating pipes. Twin pipes can be a more material efficient solution than single pipes. It is important to make sure that environmental improvements from changes in the pipe production phase are not offset by other effects in the total life cycle of the district heating pipe.","author":[{"dropping-particle":"","family":"Fröling","given":"Morgan","non-dropping-particle":"","parse-names":false,"suffix":""},{"dropping-particle":"","family":"Holmgren","given":"Camilla","non-dropping-particle":"","parse-names":false,"suffix":""},{"dropping-particle":"","family":"Svanström","given":"Magdalena","non-dropping-particle":"","parse-names":false,"suffix":""}],"container-title":"The International Journal of Life Cycle Assessment","id":"ITEM-1","issue":"2","issued":{"date-parts":[["2004"]]},"page":"130-136","title":"Life Cycle Assessment of the District Heating Distribution System - Part 1: Pipe Production","type":"article-journal","volume":"9"},"uris":["http://www.mendeley.com/documents/?uuid=97fd08b4-1618-440f-a745-f6afea134f64"]}],"mendeley":{"formattedCitation":"(Fröling &lt;i&gt;et al.&lt;/i&gt;, 2004)","plainTextFormattedCitation":"(Fröling et al., 2004)","previouslyFormattedCitation":"(Fröling &lt;i&gt;et al.&lt;/i&gt;, 2004)"},"properties":{"noteIndex":0},"schema":"https://github.com/citation-style-language/schema/raw/master/csl-citation.json"}</w:instrText>
      </w:r>
      <w:r w:rsidRPr="003D7103">
        <w:fldChar w:fldCharType="separate"/>
      </w:r>
      <w:r w:rsidR="005F544E" w:rsidRPr="005F544E">
        <w:rPr>
          <w:noProof/>
        </w:rPr>
        <w:t xml:space="preserve">(Fröling </w:t>
      </w:r>
      <w:r w:rsidR="005F544E" w:rsidRPr="005F544E">
        <w:rPr>
          <w:i/>
          <w:noProof/>
        </w:rPr>
        <w:t>et al.</w:t>
      </w:r>
      <w:r w:rsidR="005F544E" w:rsidRPr="005F544E">
        <w:rPr>
          <w:noProof/>
        </w:rPr>
        <w:t>, 2004)</w:t>
      </w:r>
      <w:r w:rsidRPr="003D7103">
        <w:fldChar w:fldCharType="end"/>
      </w:r>
      <w:r w:rsidRPr="003D7103">
        <w:t xml:space="preserve">. The </w:t>
      </w:r>
      <w:r>
        <w:t>TE</w:t>
      </w:r>
      <w:r w:rsidRPr="003D7103">
        <w:t xml:space="preserve"> generating unit(s) can be one of many different technologies </w:t>
      </w:r>
      <w:r>
        <w:t>utilising</w:t>
      </w:r>
      <w:r w:rsidRPr="003D7103">
        <w:t xml:space="preserve"> a wide range of fuels. The distribution system is the pipe network, containing the </w:t>
      </w:r>
      <w:r>
        <w:t xml:space="preserve">HTF </w:t>
      </w:r>
      <w:r w:rsidRPr="003D7103">
        <w:t xml:space="preserve">and is </w:t>
      </w:r>
      <w:r>
        <w:t>the location of</w:t>
      </w:r>
      <w:r w:rsidRPr="003D7103">
        <w:t xml:space="preserve"> most</w:t>
      </w:r>
      <w:r>
        <w:t xml:space="preserve"> of</w:t>
      </w:r>
      <w:r w:rsidRPr="003D7103">
        <w:t xml:space="preserve"> the heat losses. The substations transfer the energy into the secondary</w:t>
      </w:r>
      <w:r>
        <w:t>,</w:t>
      </w:r>
      <w:r w:rsidRPr="003D7103">
        <w:t xml:space="preserve"> customer network </w:t>
      </w:r>
      <w:r w:rsidRPr="003D7103">
        <w:fldChar w:fldCharType="begin" w:fldLock="1"/>
      </w:r>
      <w:r w:rsidR="002A6A73">
        <w:instrText>ADDIN CSL_CITATION {"citationItems":[{"id":"ITEM-1","itemData":{"DOI":"10.1016/j.apenergy.2011.04.020","ISSN":"03062619","author":[{"dropping-particle":"","family":"Rezaie","given":"Behnaz","non-dropping-particle":"","parse-names":false,"suffix":""},{"dropping-particle":"","family":"Rosen","given":"Marc A.","non-dropping-particle":"","parse-names":false,"suffix":""}],"container-title":"Applied Energy","id":"ITEM-1","issued":{"date-parts":[["2012"]]},"page":"2-10","publisher":"Elsevier Ltd","title":"District heating and cooling: Review of technology and potential enhancements","type":"article-journal","volume":"93"},"uris":["http://www.mendeley.com/documents/?uuid=63528936-06c6-48f1-8143-9a4d5cbdc591"]}],"mendeley":{"formattedCitation":"(Rezaie and Rosen, 2012)","plainTextFormattedCitation":"(Rezaie and Rosen, 2012)","previouslyFormattedCitation":"(Rezaie and Rosen, 2012)"},"properties":{"noteIndex":0},"schema":"https://github.com/citation-style-language/schema/raw/master/csl-citation.json"}</w:instrText>
      </w:r>
      <w:r w:rsidRPr="003D7103">
        <w:fldChar w:fldCharType="separate"/>
      </w:r>
      <w:r w:rsidR="002A6A73" w:rsidRPr="002A6A73">
        <w:rPr>
          <w:noProof/>
        </w:rPr>
        <w:t>(Rezaie and Rosen, 2012)</w:t>
      </w:r>
      <w:r w:rsidRPr="003D7103">
        <w:fldChar w:fldCharType="end"/>
      </w:r>
      <w:r w:rsidRPr="003D7103">
        <w:t xml:space="preserve">. </w:t>
      </w:r>
    </w:p>
    <w:p w14:paraId="23401353" w14:textId="77777777" w:rsidR="000F16EB" w:rsidRPr="003D7103" w:rsidRDefault="000F16EB" w:rsidP="000F16EB">
      <w:pPr>
        <w:pStyle w:val="Heading3"/>
      </w:pPr>
      <w:bookmarkStart w:id="69" w:name="_Toc465329865"/>
      <w:bookmarkStart w:id="70" w:name="_Ref467833745"/>
      <w:bookmarkStart w:id="71" w:name="_Toc468265745"/>
      <w:bookmarkStart w:id="72" w:name="_Ref468270598"/>
      <w:bookmarkStart w:id="73" w:name="_Toc522192705"/>
      <w:bookmarkStart w:id="74" w:name="_Toc525229948"/>
      <w:bookmarkStart w:id="75" w:name="_Toc529888262"/>
      <w:bookmarkStart w:id="76" w:name="_Ref464656524"/>
      <w:bookmarkStart w:id="77" w:name="_Toc7187434"/>
      <w:r w:rsidRPr="003D7103">
        <w:t>Thermal Energy Generating Units</w:t>
      </w:r>
      <w:bookmarkEnd w:id="69"/>
      <w:bookmarkEnd w:id="70"/>
      <w:bookmarkEnd w:id="71"/>
      <w:bookmarkEnd w:id="72"/>
      <w:bookmarkEnd w:id="73"/>
      <w:bookmarkEnd w:id="74"/>
      <w:bookmarkEnd w:id="75"/>
      <w:bookmarkEnd w:id="77"/>
      <w:r w:rsidRPr="003D7103">
        <w:t xml:space="preserve"> </w:t>
      </w:r>
      <w:bookmarkEnd w:id="76"/>
    </w:p>
    <w:p w14:paraId="6C321FD5" w14:textId="77777777" w:rsidR="000F16EB" w:rsidRDefault="000F16EB" w:rsidP="000F16EB">
      <w:r>
        <w:t>The key choice when designing a new DHN is how to generate the TE. The choice of TE generating unit will impact on the</w:t>
      </w:r>
      <w:r w:rsidRPr="003D7103">
        <w:t xml:space="preserve"> cost, security, reliability</w:t>
      </w:r>
      <w:r>
        <w:t>,</w:t>
      </w:r>
      <w:r w:rsidRPr="003D7103">
        <w:t xml:space="preserve"> and environmental performance</w:t>
      </w:r>
      <w:r>
        <w:t xml:space="preserve"> of the network</w:t>
      </w:r>
      <w:r w:rsidRPr="003D7103">
        <w:t xml:space="preserve">. </w:t>
      </w:r>
    </w:p>
    <w:p w14:paraId="59FC0F8F" w14:textId="77777777" w:rsidR="000F16EB" w:rsidRPr="003D7103" w:rsidRDefault="000F16EB" w:rsidP="000F16EB">
      <w:pPr>
        <w:pStyle w:val="Heading4"/>
      </w:pPr>
      <w:bookmarkStart w:id="78" w:name="_Toc522192706"/>
      <w:bookmarkStart w:id="79" w:name="_Toc7187435"/>
      <w:r w:rsidRPr="003D7103">
        <w:t>Boilers</w:t>
      </w:r>
      <w:bookmarkEnd w:id="78"/>
      <w:bookmarkEnd w:id="79"/>
    </w:p>
    <w:p w14:paraId="35EDD16B" w14:textId="4912BD42" w:rsidR="000F16EB" w:rsidRPr="003D7103" w:rsidRDefault="000F16EB" w:rsidP="000F16EB">
      <w:r w:rsidRPr="003D7103">
        <w:t xml:space="preserve">Boilers </w:t>
      </w:r>
      <w:r>
        <w:t>can use</w:t>
      </w:r>
      <w:r w:rsidRPr="003D7103">
        <w:t xml:space="preserve"> a wide range of fuel</w:t>
      </w:r>
      <w:r>
        <w:t>s</w:t>
      </w:r>
      <w:r w:rsidRPr="003D7103">
        <w:t>: fossil fuel</w:t>
      </w:r>
      <w:r>
        <w:t>s</w:t>
      </w:r>
      <w:r w:rsidRPr="003D7103">
        <w:t>, biomass, biofuels</w:t>
      </w:r>
      <w:r>
        <w:t>,</w:t>
      </w:r>
      <w:r w:rsidRPr="003D7103">
        <w:t xml:space="preserve"> and municipal solid waste (MSW). </w:t>
      </w:r>
      <w:r w:rsidRPr="00837A84">
        <w:t xml:space="preserve">Boilers </w:t>
      </w:r>
      <w:r w:rsidRPr="003D7103">
        <w:t xml:space="preserve">are often used in addition to another </w:t>
      </w:r>
      <w:r>
        <w:t xml:space="preserve">TE </w:t>
      </w:r>
      <w:r w:rsidRPr="003D7103">
        <w:t>generating unit</w:t>
      </w:r>
      <w:r>
        <w:t>,</w:t>
      </w:r>
      <w:r w:rsidRPr="003D7103">
        <w:t xml:space="preserve"> </w:t>
      </w:r>
      <w:r>
        <w:t>with the boilers acting as</w:t>
      </w:r>
      <w:r w:rsidRPr="003D7103">
        <w:t xml:space="preserve"> the back-up and peak load generating capability</w:t>
      </w:r>
      <w:r>
        <w:t xml:space="preserve"> </w:t>
      </w:r>
      <w:r w:rsidRPr="003D7103">
        <w:fldChar w:fldCharType="begin" w:fldLock="1"/>
      </w:r>
      <w:r w:rsidR="00FF4B5D">
        <w:instrText>ADDIN CSL_CITATION {"citationItems":[{"id":"ITEM-1","itemData":{"DOI":"10.1016/j.enconman.2014.07.022","ISBN":"0196-8904","ISSN":"01968904","abstract":"Reducing carbon emissions from buildings is vital to achieve goals for avoiding dangerous climate change, and supplying them with low-carbon heat is essential. In the UK, the development of heat networks for supplying low-carbon heat is being encouraged for urban areas where there is high heat demand density. This paper investigates heat demand variability, the role of heat networks and combined heat and power (CHP) in satisfying this demand, and finally the advantages of using heat storage in the system. Building heat demands from 50 buildings were analysed at a half-hour resolution with modelling to determine CHP operation patterns with and without heat storage. Daily total heat demand was found to vary from 25% of the full-year average in summer months up to 235% of the average on the coldest days in winter. The heat demand was shown to correlate to outdoor temperatures measured with the degree-day parameter, except for approximately 100 days during the warmest part of the year falling outside the heating season. Sharp spikes in heat demand were seen at the half-hourly time scale coinciding with the switching on of heating systems in some buildings with consequences for building energy supply options. It was shown that for an annual heat demand of 40,000 MW h, the use of thermal storage can significantly increase the running time of a CHP energy centre with 4 MW capacity designed to supply this demand. The cost savings resulting from increased on-site heat and electricity production resulted in a payback period for heat storage investment of under four years with further benefits if it can assist other heat sources on the heat network. Environmental advantages of using heat storage included further carbon dioxide emission reductions of 1000-1500 tonnes per year depending upon the CHP configuration. ?? 2014 Elsevier Ltd. All rights reserved.","author":[{"dropping-particle":"","family":"Raine","given":"Robert D.","non-dropping-particle":"","parse-names":false,"suffix":""},{"dropping-particle":"","family":"Sharifi","given":"Vida N.","non-dropping-particle":"","parse-names":false,"suffix":""},{"dropping-particle":"","family":"Swithenbank","given":"Jim","non-dropping-particle":"","parse-names":false,"suffix":""}],"container-title":"Energy Conversion and Management","id":"ITEM-1","issued":{"date-parts":[["2014"]]},"page":"164-174","publisher":"Elsevier Ltd","title":"Optimisation of combined heat and power production for buildings using heat storage","type":"article-journal","volume":"87"},"uris":["http://www.mendeley.com/documents/?uuid=4966985d-d2df-489f-9d6f-6c5b6e16040a"]}],"mendeley":{"formattedCitation":"(Raine &lt;i&gt;et al.&lt;/i&gt;, 2014)","plainTextFormattedCitation":"(Raine et al., 2014)","previouslyFormattedCitation":"(Raine &lt;i&gt;et al.&lt;/i&gt;, 2014)"},"properties":{"noteIndex":0},"schema":"https://github.com/citation-style-language/schema/raw/master/csl-citation.json"}</w:instrText>
      </w:r>
      <w:r w:rsidRPr="003D7103">
        <w:fldChar w:fldCharType="separate"/>
      </w:r>
      <w:r w:rsidR="005F544E" w:rsidRPr="005F544E">
        <w:rPr>
          <w:noProof/>
        </w:rPr>
        <w:t xml:space="preserve">(Raine </w:t>
      </w:r>
      <w:r w:rsidR="005F544E" w:rsidRPr="005F544E">
        <w:rPr>
          <w:i/>
          <w:noProof/>
        </w:rPr>
        <w:t>et al.</w:t>
      </w:r>
      <w:r w:rsidR="005F544E" w:rsidRPr="005F544E">
        <w:rPr>
          <w:noProof/>
        </w:rPr>
        <w:t>, 2014)</w:t>
      </w:r>
      <w:r w:rsidRPr="003D7103">
        <w:fldChar w:fldCharType="end"/>
      </w:r>
      <w:r>
        <w:t>. Therefore, boilers</w:t>
      </w:r>
      <w:r w:rsidRPr="003D7103">
        <w:t xml:space="preserve"> </w:t>
      </w:r>
      <w:r>
        <w:t>are</w:t>
      </w:r>
      <w:r w:rsidRPr="003D7103">
        <w:t xml:space="preserve"> referred to as peak shaving equipment. </w:t>
      </w:r>
      <w:r w:rsidRPr="00837A84">
        <w:t xml:space="preserve">Boilers </w:t>
      </w:r>
      <w:r w:rsidRPr="003D7103">
        <w:t>can be of a wide range of designs</w:t>
      </w:r>
      <w:r>
        <w:t xml:space="preserve"> including but not limited to</w:t>
      </w:r>
      <w:r w:rsidRPr="003D7103">
        <w:t xml:space="preserve"> pulverised, low NO</w:t>
      </w:r>
      <w:r>
        <w:rPr>
          <w:vertAlign w:val="subscript"/>
        </w:rPr>
        <w:t>X</w:t>
      </w:r>
      <w:r>
        <w:t>,</w:t>
      </w:r>
      <w:r w:rsidRPr="003D7103">
        <w:t xml:space="preserve"> fluidised bed</w:t>
      </w:r>
      <w:r>
        <w:t xml:space="preserve">, </w:t>
      </w:r>
      <w:r w:rsidRPr="003D7103">
        <w:t xml:space="preserve">and grate </w:t>
      </w:r>
      <w:r w:rsidRPr="003D7103">
        <w:fldChar w:fldCharType="begin" w:fldLock="1"/>
      </w:r>
      <w:r w:rsidR="002A6A73">
        <w:instrText>ADDIN CSL_CITATION {"citationItems":[{"id":"ITEM-1","itemData":{"ISBN":"9789144085302","author":[{"dropping-particle":"","family":"Frederiksen","given":"Svend","non-dropping-particle":"","parse-names":false,"suffix":""},{"dropping-particle":"","family":"Werner","given":"Sven","non-dropping-particle":"","parse-names":false,"suffix":""}],"edition":"1","id":"ITEM-1","issued":{"date-parts":[["2013"]]},"publisher":"Studentlitteratur","publisher-place":"Lund, Sweden","title":"District Heating and Cooling","type":"book"},"uris":["http://www.mendeley.com/documents/?uuid=515e9b02-9146-44d2-add6-552d6c8dccbe"]}],"mendeley":{"formattedCitation":"(Frederiksen and Werner, 2013)","plainTextFormattedCitation":"(Frederiksen and Werner, 2013)","previouslyFormattedCitation":"(Frederiksen and Werner, 2013)"},"properties":{"noteIndex":0},"schema":"https://github.com/citation-style-language/schema/raw/master/csl-citation.json"}</w:instrText>
      </w:r>
      <w:r w:rsidRPr="003D7103">
        <w:fldChar w:fldCharType="separate"/>
      </w:r>
      <w:r w:rsidR="002A6A73" w:rsidRPr="002A6A73">
        <w:rPr>
          <w:noProof/>
        </w:rPr>
        <w:t>(Frederiksen and Werner, 2013)</w:t>
      </w:r>
      <w:r w:rsidRPr="003D7103">
        <w:fldChar w:fldCharType="end"/>
      </w:r>
      <w:r w:rsidRPr="003D7103">
        <w:t>.</w:t>
      </w:r>
    </w:p>
    <w:p w14:paraId="7F87C1FF" w14:textId="77777777" w:rsidR="000F16EB" w:rsidRPr="003D7103" w:rsidRDefault="000F16EB" w:rsidP="000F16EB">
      <w:pPr>
        <w:pStyle w:val="Heading4"/>
      </w:pPr>
      <w:bookmarkStart w:id="80" w:name="_Toc522192708"/>
      <w:bookmarkStart w:id="81" w:name="_Toc7187436"/>
      <w:r w:rsidRPr="003D7103">
        <w:lastRenderedPageBreak/>
        <w:t>Combined Heat and Power</w:t>
      </w:r>
      <w:bookmarkEnd w:id="80"/>
      <w:bookmarkEnd w:id="81"/>
    </w:p>
    <w:p w14:paraId="162A4275" w14:textId="2B80CC51" w:rsidR="000F16EB" w:rsidRDefault="000F16EB" w:rsidP="000F16EB">
      <w:r w:rsidRPr="003D7103">
        <w:t xml:space="preserve">CHP units use the excess </w:t>
      </w:r>
      <w:r>
        <w:t>TE</w:t>
      </w:r>
      <w:r w:rsidRPr="003D7103">
        <w:t xml:space="preserve"> available during thermal electricity generation </w:t>
      </w:r>
      <w:r w:rsidRPr="003D7103">
        <w:fldChar w:fldCharType="begin" w:fldLock="1"/>
      </w:r>
      <w:r w:rsidR="002A6A73">
        <w:instrText>ADDIN CSL_CITATION {"citationItems":[{"id":"ITEM-1","itemData":{"ISBN":"9789144085302","author":[{"dropping-particle":"","family":"Frederiksen","given":"Svend","non-dropping-particle":"","parse-names":false,"suffix":""},{"dropping-particle":"","family":"Werner","given":"Sven","non-dropping-particle":"","parse-names":false,"suffix":""}],"edition":"1","id":"ITEM-1","issued":{"date-parts":[["2013"]]},"publisher":"Studentlitteratur","publisher-place":"Lund, Sweden","title":"District Heating and Cooling","type":"book"},"uris":["http://www.mendeley.com/documents/?uuid=515e9b02-9146-44d2-add6-552d6c8dccbe"]}],"mendeley":{"formattedCitation":"(Frederiksen and Werner, 2013)","plainTextFormattedCitation":"(Frederiksen and Werner, 2013)","previouslyFormattedCitation":"(Frederiksen and Werner, 2013)"},"properties":{"noteIndex":0},"schema":"https://github.com/citation-style-language/schema/raw/master/csl-citation.json"}</w:instrText>
      </w:r>
      <w:r w:rsidRPr="003D7103">
        <w:fldChar w:fldCharType="separate"/>
      </w:r>
      <w:r w:rsidR="002A6A73" w:rsidRPr="002A6A73">
        <w:rPr>
          <w:noProof/>
        </w:rPr>
        <w:t>(Frederiksen and Werner, 2013)</w:t>
      </w:r>
      <w:r w:rsidRPr="003D7103">
        <w:fldChar w:fldCharType="end"/>
      </w:r>
      <w:r w:rsidRPr="003D7103">
        <w:t xml:space="preserve">. </w:t>
      </w:r>
      <w:r>
        <w:t>Using the excess TE</w:t>
      </w:r>
      <w:r w:rsidRPr="00837A84">
        <w:t xml:space="preserve"> </w:t>
      </w:r>
      <w:r w:rsidRPr="003D7103">
        <w:t>increase</w:t>
      </w:r>
      <w:r>
        <w:t>s</w:t>
      </w:r>
      <w:r w:rsidRPr="003D7103">
        <w:t xml:space="preserve"> the overall plant efficiency by 40 – 80%</w:t>
      </w:r>
      <w:r>
        <w:t>,</w:t>
      </w:r>
      <w:r w:rsidRPr="003D7103">
        <w:t xml:space="preserve"> but reduce</w:t>
      </w:r>
      <w:r>
        <w:t>s</w:t>
      </w:r>
      <w:r w:rsidRPr="003D7103">
        <w:t xml:space="preserve"> the electricity output </w:t>
      </w:r>
      <w:r w:rsidRPr="003D7103">
        <w:fldChar w:fldCharType="begin" w:fldLock="1"/>
      </w:r>
      <w:r w:rsidR="002A6A73">
        <w:instrText>ADDIN CSL_CITATION {"citationItems":[{"id":"ITEM-1","itemData":{"DOI":"10.1016/j.enpol.2010.07.010","ISBN":"0301-4215","ISSN":"03014215","abstract":"As global fuel reserves are depleted, alternative and more efficient forms of energy generation and delivery will be required. Combined heat and power with district heating (CHP-DH) provides an alternative energy production and delivery mechanism that is less resource intensive, more efficient and provides greater energy security than many popular alternatives. It will be shown that the economic viability of CHP-DH networks depends on several principles, namely (1) the optimisation of engineering and design principles; (2) organisational and regulatory frameworks; (3) financial and economic factors. It was found that in the long term DH is competitive with other energy supply and distribution technologies such as electricity and gas. However, in the short to medium term it is shown that economic risk, regulatory uncertainty and lock-in of existing technology are the most significant barriers to CHP-DH development. This research suggests that under the present regulatory and economic paradigm, the infrastructure required for DH networks remains financially prohibitive; the implementation of government policies are complicated and impose high transaction costs, while engineering solutions are frequently not implemented or economically optimised. If CHP-DH is going to play any part in meeting climate change targets then collaboration between public and private organisations will be required. It is clear from this analysis that strong local government involvement is therefore necessary for the co-ordination, leadership and infrastructural deployment of CHP-DH. ?? 2010 Elsevier Ltd.","author":[{"dropping-particle":"","family":"Kelly","given":"Scott","non-dropping-particle":"","parse-names":false,"suffix":""},{"dropping-particle":"","family":"Pollitt","given":"Michael","non-dropping-particle":"","parse-names":false,"suffix":""}],"container-title":"Energy Policy","id":"ITEM-1","issue":"11","issued":{"date-parts":[["2010"]]},"page":"6936-6945","publisher":"Elsevier","title":"An assessment of the present and future opportunities for combined heat and power with district heating (CHP-DH) in the United Kingdom","type":"article-journal","volume":"38"},"uris":["http://www.mendeley.com/documents/?uuid=1c7b1ad2-c7dc-47a7-935c-b4d99a0737ff"]}],"mendeley":{"formattedCitation":"(Kelly and Pollitt, 2010)","plainTextFormattedCitation":"(Kelly and Pollitt, 2010)","previouslyFormattedCitation":"(Kelly and Pollitt, 2010)"},"properties":{"noteIndex":0},"schema":"https://github.com/citation-style-language/schema/raw/master/csl-citation.json"}</w:instrText>
      </w:r>
      <w:r w:rsidRPr="003D7103">
        <w:fldChar w:fldCharType="separate"/>
      </w:r>
      <w:r w:rsidR="002A6A73" w:rsidRPr="002A6A73">
        <w:rPr>
          <w:noProof/>
        </w:rPr>
        <w:t>(Kelly and Pollitt, 2010)</w:t>
      </w:r>
      <w:r w:rsidRPr="003D7103">
        <w:fldChar w:fldCharType="end"/>
      </w:r>
      <w:r w:rsidRPr="003D7103">
        <w:t xml:space="preserve">. CHP </w:t>
      </w:r>
      <w:r>
        <w:t>units</w:t>
      </w:r>
      <w:r w:rsidRPr="003D7103">
        <w:t xml:space="preserve"> used in DH</w:t>
      </w:r>
      <w:r>
        <w:t xml:space="preserve"> ar</w:t>
      </w:r>
      <w:r w:rsidRPr="003D7103">
        <w:t xml:space="preserve">e topping cycles, generating electricity in a turbine generator using high pressure steam </w:t>
      </w:r>
      <w:r w:rsidRPr="003D7103">
        <w:fldChar w:fldCharType="begin" w:fldLock="1"/>
      </w:r>
      <w:r w:rsidR="002A6A73">
        <w:instrText>ADDIN CSL_CITATION {"citationItems":[{"id":"ITEM-1","itemData":{"DOI":"10.1016/j.apenergy.2011.04.020","ISSN":"03062619","author":[{"dropping-particle":"","family":"Rezaie","given":"Behnaz","non-dropping-particle":"","parse-names":false,"suffix":""},{"dropping-particle":"","family":"Rosen","given":"Marc A.","non-dropping-particle":"","parse-names":false,"suffix":""}],"container-title":"Applied Energy","id":"ITEM-1","issued":{"date-parts":[["2012"]]},"page":"2-10","publisher":"Elsevier Ltd","title":"District heating and cooling: Review of technology and potential enhancements","type":"article-journal","volume":"93"},"uris":["http://www.mendeley.com/documents/?uuid=63528936-06c6-48f1-8143-9a4d5cbdc591"]}],"mendeley":{"formattedCitation":"(Rezaie and Rosen, 2012)","plainTextFormattedCitation":"(Rezaie and Rosen, 2012)","previouslyFormattedCitation":"(Rezaie and Rosen, 2012)"},"properties":{"noteIndex":0},"schema":"https://github.com/citation-style-language/schema/raw/master/csl-citation.json"}</w:instrText>
      </w:r>
      <w:r w:rsidRPr="003D7103">
        <w:fldChar w:fldCharType="separate"/>
      </w:r>
      <w:r w:rsidR="002A6A73" w:rsidRPr="002A6A73">
        <w:rPr>
          <w:noProof/>
        </w:rPr>
        <w:t>(Rezaie and Rosen, 2012)</w:t>
      </w:r>
      <w:r w:rsidRPr="003D7103">
        <w:fldChar w:fldCharType="end"/>
      </w:r>
      <w:r w:rsidRPr="003D7103">
        <w:t>. CHP can be used to balance the electricity grid as</w:t>
      </w:r>
      <w:r>
        <w:t xml:space="preserve"> the </w:t>
      </w:r>
      <w:r w:rsidRPr="003D7103">
        <w:t>output</w:t>
      </w:r>
      <w:r>
        <w:t xml:space="preserve"> of a unit</w:t>
      </w:r>
      <w:r w:rsidRPr="003D7103">
        <w:t xml:space="preserve"> is highest in winter, during the period</w:t>
      </w:r>
      <w:r>
        <w:t>s</w:t>
      </w:r>
      <w:r w:rsidRPr="003D7103">
        <w:t xml:space="preserve"> of highest electricity demand </w:t>
      </w:r>
      <w:r w:rsidRPr="003D7103">
        <w:fldChar w:fldCharType="begin" w:fldLock="1"/>
      </w:r>
      <w:r w:rsidR="002A6A73">
        <w:instrText>ADDIN CSL_CITATION {"citationItems":[{"id":"ITEM-1","itemData":{"DOI":"10.1016/j.enpol.2010.07.010","ISBN":"0301-4215","ISSN":"03014215","abstract":"As global fuel reserves are depleted, alternative and more efficient forms of energy generation and delivery will be required. Combined heat and power with district heating (CHP-DH) provides an alternative energy production and delivery mechanism that is less resource intensive, more efficient and provides greater energy security than many popular alternatives. It will be shown that the economic viability of CHP-DH networks depends on several principles, namely (1) the optimisation of engineering and design principles; (2) organisational and regulatory frameworks; (3) financial and economic factors. It was found that in the long term DH is competitive with other energy supply and distribution technologies such as electricity and gas. However, in the short to medium term it is shown that economic risk, regulatory uncertainty and lock-in of existing technology are the most significant barriers to CHP-DH development. This research suggests that under the present regulatory and economic paradigm, the infrastructure required for DH networks remains financially prohibitive; the implementation of government policies are complicated and impose high transaction costs, while engineering solutions are frequently not implemented or economically optimised. If CHP-DH is going to play any part in meeting climate change targets then collaboration between public and private organisations will be required. It is clear from this analysis that strong local government involvement is therefore necessary for the co-ordination, leadership and infrastructural deployment of CHP-DH. ?? 2010 Elsevier Ltd.","author":[{"dropping-particle":"","family":"Kelly","given":"Scott","non-dropping-particle":"","parse-names":false,"suffix":""},{"dropping-particle":"","family":"Pollitt","given":"Michael","non-dropping-particle":"","parse-names":false,"suffix":""}],"container-title":"Energy Policy","id":"ITEM-1","issue":"11","issued":{"date-parts":[["2010"]]},"page":"6936-6945","publisher":"Elsevier","title":"An assessment of the present and future opportunities for combined heat and power with district heating (CHP-DH) in the United Kingdom","type":"article-journal","volume":"38"},"uris":["http://www.mendeley.com/documents/?uuid=1c7b1ad2-c7dc-47a7-935c-b4d99a0737ff"]}],"mendeley":{"formattedCitation":"(Kelly and Pollitt, 2010)","plainTextFormattedCitation":"(Kelly and Pollitt, 2010)","previouslyFormattedCitation":"(Kelly and Pollitt, 2010)"},"properties":{"noteIndex":0},"schema":"https://github.com/citation-style-language/schema/raw/master/csl-citation.json"}</w:instrText>
      </w:r>
      <w:r w:rsidRPr="003D7103">
        <w:fldChar w:fldCharType="separate"/>
      </w:r>
      <w:r w:rsidR="002A6A73" w:rsidRPr="002A6A73">
        <w:rPr>
          <w:noProof/>
        </w:rPr>
        <w:t>(Kelly and Pollitt, 2010)</w:t>
      </w:r>
      <w:r w:rsidRPr="003D7103">
        <w:fldChar w:fldCharType="end"/>
      </w:r>
      <w:r w:rsidRPr="003D7103">
        <w:t xml:space="preserve">. </w:t>
      </w:r>
      <w:r>
        <w:t>F</w:t>
      </w:r>
      <w:r w:rsidRPr="003D7103">
        <w:t>urther grid balancing</w:t>
      </w:r>
      <w:r>
        <w:t xml:space="preserve"> is possible</w:t>
      </w:r>
      <w:r w:rsidRPr="003D7103">
        <w:t xml:space="preserve"> when a TES system is installed</w:t>
      </w:r>
      <w:r>
        <w:t>,</w:t>
      </w:r>
      <w:r w:rsidRPr="003D7103">
        <w:t xml:space="preserve"> allowing for</w:t>
      </w:r>
      <w:r>
        <w:t xml:space="preserve"> </w:t>
      </w:r>
      <w:r w:rsidRPr="003D7103">
        <w:t xml:space="preserve">decoupling of the electricity and heat supply </w:t>
      </w:r>
      <w:r w:rsidRPr="003D7103">
        <w:fldChar w:fldCharType="begin" w:fldLock="1"/>
      </w:r>
      <w:r w:rsidR="00FF4B5D">
        <w:instrText>ADDIN CSL_CITATION {"citationItems":[{"id":"ITEM-1","itemData":{"DOI":"10.1016/j.enconman.2014.07.022","ISBN":"0196-8904","ISSN":"01968904","abstract":"Reducing carbon emissions from buildings is vital to achieve goals for avoiding dangerous climate change, and supplying them with low-carbon heat is essential. In the UK, the development of heat networks for supplying low-carbon heat is being encouraged for urban areas where there is high heat demand density. This paper investigates heat demand variability, the role of heat networks and combined heat and power (CHP) in satisfying this demand, and finally the advantages of using heat storage in the system. Building heat demands from 50 buildings were analysed at a half-hour resolution with modelling to determine CHP operation patterns with and without heat storage. Daily total heat demand was found to vary from 25% of the full-year average in summer months up to 235% of the average on the coldest days in winter. The heat demand was shown to correlate to outdoor temperatures measured with the degree-day parameter, except for approximately 100 days during the warmest part of the year falling outside the heating season. Sharp spikes in heat demand were seen at the half-hourly time scale coinciding with the switching on of heating systems in some buildings with consequences for building energy supply options. It was shown that for an annual heat demand of 40,000 MW h, the use of thermal storage can significantly increase the running time of a CHP energy centre with 4 MW capacity designed to supply this demand. The cost savings resulting from increased on-site heat and electricity production resulted in a payback period for heat storage investment of under four years with further benefits if it can assist other heat sources on the heat network. Environmental advantages of using heat storage included further carbon dioxide emission reductions of 1000-1500 tonnes per year depending upon the CHP configuration. ?? 2014 Elsevier Ltd. All rights reserved.","author":[{"dropping-particle":"","family":"Raine","given":"Robert D.","non-dropping-particle":"","parse-names":false,"suffix":""},{"dropping-particle":"","family":"Sharifi","given":"Vida N.","non-dropping-particle":"","parse-names":false,"suffix":""},{"dropping-particle":"","family":"Swithenbank","given":"Jim","non-dropping-particle":"","parse-names":false,"suffix":""}],"container-title":"Energy Conversion and Management","id":"ITEM-1","issued":{"date-parts":[["2014"]]},"page":"164-174","publisher":"Elsevier Ltd","title":"Optimisation of combined heat and power production for buildings using heat storage","type":"article-journal","volume":"87"},"uris":["http://www.mendeley.com/documents/?uuid=4966985d-d2df-489f-9d6f-6c5b6e16040a"]}],"mendeley":{"formattedCitation":"(Raine &lt;i&gt;et al.&lt;/i&gt;, 2014)","plainTextFormattedCitation":"(Raine et al., 2014)","previouslyFormattedCitation":"(Raine &lt;i&gt;et al.&lt;/i&gt;, 2014)"},"properties":{"noteIndex":0},"schema":"https://github.com/citation-style-language/schema/raw/master/csl-citation.json"}</w:instrText>
      </w:r>
      <w:r w:rsidRPr="003D7103">
        <w:fldChar w:fldCharType="separate"/>
      </w:r>
      <w:r w:rsidR="005F544E" w:rsidRPr="005F544E">
        <w:rPr>
          <w:noProof/>
        </w:rPr>
        <w:t xml:space="preserve">(Raine </w:t>
      </w:r>
      <w:r w:rsidR="005F544E" w:rsidRPr="005F544E">
        <w:rPr>
          <w:i/>
          <w:noProof/>
        </w:rPr>
        <w:t>et al.</w:t>
      </w:r>
      <w:r w:rsidR="005F544E" w:rsidRPr="005F544E">
        <w:rPr>
          <w:noProof/>
        </w:rPr>
        <w:t>, 2014)</w:t>
      </w:r>
      <w:r w:rsidRPr="003D7103">
        <w:fldChar w:fldCharType="end"/>
      </w:r>
      <w:r w:rsidRPr="003D7103">
        <w:t>.</w:t>
      </w:r>
      <w:r>
        <w:t xml:space="preserve"> </w:t>
      </w:r>
      <w:r w:rsidRPr="003D7103">
        <w:t xml:space="preserve">A similar option to CHP is </w:t>
      </w:r>
      <w:proofErr w:type="spellStart"/>
      <w:r w:rsidRPr="003D7103">
        <w:t>polygeneration</w:t>
      </w:r>
      <w:proofErr w:type="spellEnd"/>
      <w:r w:rsidRPr="003D7103">
        <w:t xml:space="preserve">, which produces </w:t>
      </w:r>
      <w:r>
        <w:t>TE</w:t>
      </w:r>
      <w:r w:rsidRPr="003D7103">
        <w:t>, electricity</w:t>
      </w:r>
      <w:r>
        <w:t>,</w:t>
      </w:r>
      <w:r w:rsidRPr="003D7103">
        <w:t xml:space="preserve"> and a fuel </w:t>
      </w:r>
      <w:r w:rsidRPr="003D7103">
        <w:fldChar w:fldCharType="begin" w:fldLock="1"/>
      </w:r>
      <w:r w:rsidR="002A6A73">
        <w:instrText>ADDIN CSL_CITATION {"citationItems":[{"id":"ITEM-1","itemData":{"ISBN":"9789144085302","author":[{"dropping-particle":"","family":"Frederiksen","given":"Svend","non-dropping-particle":"","parse-names":false,"suffix":""},{"dropping-particle":"","family":"Werner","given":"Sven","non-dropping-particle":"","parse-names":false,"suffix":""}],"edition":"1","id":"ITEM-1","issued":{"date-parts":[["2013"]]},"publisher":"Studentlitteratur","publisher-place":"Lund, Sweden","title":"District Heating and Cooling","type":"book"},"uris":["http://www.mendeley.com/documents/?uuid=515e9b02-9146-44d2-add6-552d6c8dccbe"]}],"mendeley":{"formattedCitation":"(Frederiksen and Werner, 2013)","plainTextFormattedCitation":"(Frederiksen and Werner, 2013)","previouslyFormattedCitation":"(Frederiksen and Werner, 2013)"},"properties":{"noteIndex":0},"schema":"https://github.com/citation-style-language/schema/raw/master/csl-citation.json"}</w:instrText>
      </w:r>
      <w:r w:rsidRPr="003D7103">
        <w:fldChar w:fldCharType="separate"/>
      </w:r>
      <w:r w:rsidR="002A6A73" w:rsidRPr="002A6A73">
        <w:rPr>
          <w:noProof/>
        </w:rPr>
        <w:t>(Frederiksen and Werner, 2013)</w:t>
      </w:r>
      <w:r w:rsidRPr="003D7103">
        <w:fldChar w:fldCharType="end"/>
      </w:r>
      <w:r w:rsidRPr="003D7103">
        <w:t>.</w:t>
      </w:r>
    </w:p>
    <w:p w14:paraId="6E444EDA" w14:textId="77777777" w:rsidR="000F16EB" w:rsidRPr="003D7103" w:rsidRDefault="000F16EB" w:rsidP="000F16EB">
      <w:pPr>
        <w:pStyle w:val="Heading4"/>
      </w:pPr>
      <w:bookmarkStart w:id="82" w:name="_Ref467837953"/>
      <w:bookmarkStart w:id="83" w:name="_Toc522192707"/>
      <w:bookmarkStart w:id="84" w:name="_Toc7187437"/>
      <w:r w:rsidRPr="003D7103">
        <w:t>Heat Pumps</w:t>
      </w:r>
      <w:bookmarkEnd w:id="82"/>
      <w:bookmarkEnd w:id="83"/>
      <w:bookmarkEnd w:id="84"/>
    </w:p>
    <w:p w14:paraId="4D9204EB" w14:textId="4E1AB1C3" w:rsidR="000F16EB" w:rsidRPr="003D7103" w:rsidRDefault="000F16EB" w:rsidP="000F16EB">
      <w:r w:rsidRPr="003D7103">
        <w:t xml:space="preserve">Heat pumps </w:t>
      </w:r>
      <w:r>
        <w:t xml:space="preserve">work by increasing the temperature of TE allowing low temperature heat sources to be used in a wider range of cases </w:t>
      </w:r>
      <w:r w:rsidRPr="003D7103">
        <w:fldChar w:fldCharType="begin" w:fldLock="1"/>
      </w:r>
      <w:r w:rsidR="002A6A73">
        <w:instrText>ADDIN CSL_CITATION {"citationItems":[{"id":"ITEM-1","itemData":{"ISBN":"9789144085302","author":[{"dropping-particle":"","family":"Frederiksen","given":"Svend","non-dropping-particle":"","parse-names":false,"suffix":""},{"dropping-particle":"","family":"Werner","given":"Sven","non-dropping-particle":"","parse-names":false,"suffix":""}],"edition":"1","id":"ITEM-1","issued":{"date-parts":[["2013"]]},"publisher":"Studentlitteratur","publisher-place":"Lund, Sweden","title":"District Heating and Cooling","type":"book"},"uris":["http://www.mendeley.com/documents/?uuid=515e9b02-9146-44d2-add6-552d6c8dccbe"]}],"mendeley":{"formattedCitation":"(Frederiksen and Werner, 2013)","plainTextFormattedCitation":"(Frederiksen and Werner, 2013)","previouslyFormattedCitation":"(Frederiksen and Werner, 2013)"},"properties":{"noteIndex":0},"schema":"https://github.com/citation-style-language/schema/raw/master/csl-citation.json"}</w:instrText>
      </w:r>
      <w:r w:rsidRPr="003D7103">
        <w:fldChar w:fldCharType="separate"/>
      </w:r>
      <w:r w:rsidR="002A6A73" w:rsidRPr="002A6A73">
        <w:rPr>
          <w:noProof/>
        </w:rPr>
        <w:t>(Frederiksen and Werner, 2013)</w:t>
      </w:r>
      <w:r w:rsidRPr="003D7103">
        <w:fldChar w:fldCharType="end"/>
      </w:r>
      <w:r w:rsidRPr="003D7103">
        <w:t xml:space="preserve">. </w:t>
      </w:r>
      <w:r>
        <w:t>Heat pumps</w:t>
      </w:r>
      <w:r w:rsidRPr="00837A84">
        <w:t xml:space="preserve"> </w:t>
      </w:r>
      <w:r w:rsidRPr="003D7103">
        <w:t>should be used in areas with low electricity prices and imbedded CO</w:t>
      </w:r>
      <w:r w:rsidRPr="004268A6">
        <w:rPr>
          <w:vertAlign w:val="subscript"/>
        </w:rPr>
        <w:t>2</w:t>
      </w:r>
      <w:r w:rsidRPr="003D7103">
        <w:t xml:space="preserve"> emissions</w:t>
      </w:r>
      <w:r w:rsidR="00EE40D4">
        <w:t xml:space="preserve"> due to their need for electricity in increasing the temperature of </w:t>
      </w:r>
      <w:proofErr w:type="gramStart"/>
      <w:r w:rsidR="00EE40D4">
        <w:t>low grade</w:t>
      </w:r>
      <w:proofErr w:type="gramEnd"/>
      <w:r w:rsidR="00EE40D4">
        <w:t xml:space="preserve"> heat sources</w:t>
      </w:r>
      <w:r w:rsidRPr="003D7103">
        <w:t>.</w:t>
      </w:r>
      <w:r>
        <w:t xml:space="preserve"> </w:t>
      </w:r>
    </w:p>
    <w:p w14:paraId="75D391CC" w14:textId="77777777" w:rsidR="000F16EB" w:rsidRDefault="000F16EB" w:rsidP="000F16EB">
      <w:pPr>
        <w:pStyle w:val="Heading3"/>
      </w:pPr>
      <w:bookmarkStart w:id="85" w:name="_Toc522192709"/>
      <w:bookmarkStart w:id="86" w:name="_Toc525229949"/>
      <w:bookmarkStart w:id="87" w:name="_Toc529888263"/>
      <w:bookmarkStart w:id="88" w:name="_Toc7187438"/>
      <w:r w:rsidRPr="003D7103">
        <w:t xml:space="preserve">Thermal Energy </w:t>
      </w:r>
      <w:r>
        <w:t>Sources</w:t>
      </w:r>
      <w:bookmarkEnd w:id="85"/>
      <w:bookmarkEnd w:id="86"/>
      <w:bookmarkEnd w:id="87"/>
      <w:bookmarkEnd w:id="88"/>
      <w:r w:rsidRPr="003D7103">
        <w:t xml:space="preserve"> </w:t>
      </w:r>
    </w:p>
    <w:p w14:paraId="508D2490" w14:textId="77777777" w:rsidR="000F16EB" w:rsidRPr="00D63380" w:rsidRDefault="000F16EB" w:rsidP="000F16EB">
      <w:r>
        <w:t>One of the primary advantages of DH is that the technology can utilise a wide variety of TE sources, making the system more versatile. Unlike with the choice of the TE generating unit, each individual network may not have any choice with respect to the TE source, instead utilising the locally available resources.</w:t>
      </w:r>
    </w:p>
    <w:p w14:paraId="51C0800E" w14:textId="77777777" w:rsidR="000F16EB" w:rsidRPr="003D7103" w:rsidRDefault="000F16EB" w:rsidP="000F16EB">
      <w:pPr>
        <w:pStyle w:val="Heading4"/>
      </w:pPr>
      <w:bookmarkStart w:id="89" w:name="_Ref468270657"/>
      <w:bookmarkStart w:id="90" w:name="_Toc522192710"/>
      <w:bookmarkStart w:id="91" w:name="_Toc7187439"/>
      <w:r w:rsidRPr="003D7103">
        <w:t>Waste Heat Recovery</w:t>
      </w:r>
      <w:bookmarkEnd w:id="89"/>
      <w:bookmarkEnd w:id="90"/>
      <w:bookmarkEnd w:id="91"/>
    </w:p>
    <w:p w14:paraId="60FD6776" w14:textId="4B8254C8" w:rsidR="000F16EB" w:rsidRDefault="000F16EB" w:rsidP="000F16EB">
      <w:r w:rsidRPr="003D7103">
        <w:t>WHR is a</w:t>
      </w:r>
      <w:r>
        <w:t xml:space="preserve"> source of</w:t>
      </w:r>
      <w:r w:rsidRPr="003D7103">
        <w:t xml:space="preserve"> heat that uses</w:t>
      </w:r>
      <w:r>
        <w:t xml:space="preserve"> </w:t>
      </w:r>
      <w:r w:rsidRPr="003D7103">
        <w:t>excess heat from industry</w:t>
      </w:r>
      <w:r>
        <w:t>,</w:t>
      </w:r>
      <w:r w:rsidRPr="003D7103">
        <w:t xml:space="preserve"> which would otherwise be released to the environment.</w:t>
      </w:r>
      <w:r>
        <w:t xml:space="preserve"> WHR can be considered as a carbon neutral energy source that improves the economic and environmental efficiency of both the industrial source and the DHN </w:t>
      </w:r>
      <w:r>
        <w:fldChar w:fldCharType="begin" w:fldLock="1"/>
      </w:r>
      <w:r w:rsidR="002A6A73">
        <w:instrText>ADDIN CSL_CITATION {"citationItems":[{"id":"ITEM-1","itemData":{"DOI":"10.1016/j.apenergy.2013.11.008","ISBN":"03062619","ISSN":"03062619","abstract":"A database of the heat demand, and surplus heat available, at United Kingdom industrial sites involved in the European Union Emissions Trading System, was used to estimate the technical potential of various heat recovery technologies. The options considered were recovery for use on-site, using heat exchangers; upgrading the heat to a higher temperature, using heat pumps; conversion of the heat energy to fulfill a chilling demand, using absorption chillers; conversion of the heat energy to electrical energy, using Rankine cycles; and transport of the heat to fulfill an off-site heat demand. A broad analysis of this type, which investigates a large number of sites, cannot accurately identify site level opportunities. However the analysis can provide an indicative assessment of the overall potential for different technologies. The greatest potential for reusing this surplus heat was found to be recovery at low temperatures, utilising heat exchangers; and in conversion to electricity, mostly using organic Rankine cycle technology. Both these technologies exist in commercial applications, but are not well established, support for their development and installation could increase their use. The overall surplus heat that was technically recoverable using a combination of these technologies was estimated at 52PJ/yr, saving 2.2MtCO2e/yr in comparison to supplying the energy outputs in a conventional manner. It is thought that a network and market for trading in heat and the wider use of district heating systems could open considerable potential for exporting heat from industrial sites to other users. ?? 2013 Elsevier Ltd.","author":[{"dropping-particle":"","family":"Hammond","given":"G. P.","non-dropping-particle":"","parse-names":false,"suffix":""},{"dropping-particle":"","family":"Norman","given":"J. B.","non-dropping-particle":"","parse-names":false,"suffix":""}],"container-title":"Applied Energy","id":"ITEM-1","issued":{"date-parts":[["2014"]]},"page":"387-397","publisher":"Elsevier Ltd","title":"Heat recovery opportunities in UK industry","type":"article-journal","volume":"116"},"uris":["http://www.mendeley.com/documents/?uuid=ca71cf69-307e-4f40-9837-05df13781404"]}],"mendeley":{"formattedCitation":"(Hammond and Norman, 2014)","plainTextFormattedCitation":"(Hammond and Norman, 2014)","previouslyFormattedCitation":"(Hammond and Norman, 2014)"},"properties":{"noteIndex":0},"schema":"https://github.com/citation-style-language/schema/raw/master/csl-citation.json"}</w:instrText>
      </w:r>
      <w:r>
        <w:fldChar w:fldCharType="separate"/>
      </w:r>
      <w:r w:rsidR="002A6A73" w:rsidRPr="002A6A73">
        <w:rPr>
          <w:noProof/>
        </w:rPr>
        <w:t>(Hammond and Norman, 2014)</w:t>
      </w:r>
      <w:r>
        <w:fldChar w:fldCharType="end"/>
      </w:r>
      <w:r>
        <w:t>. The WH</w:t>
      </w:r>
      <w:r w:rsidRPr="003D7103">
        <w:t xml:space="preserve"> can be recovered using a variety of different technologies at a range of temperatures</w:t>
      </w:r>
      <w:r>
        <w:t>, as shown in</w:t>
      </w:r>
      <w:r w:rsidRPr="003D7103">
        <w:t xml:space="preserve"> section</w:t>
      </w:r>
      <w:r>
        <w:t xml:space="preserve"> </w:t>
      </w:r>
      <w:r>
        <w:fldChar w:fldCharType="begin"/>
      </w:r>
      <w:r>
        <w:instrText xml:space="preserve"> REF _Ref468270639 \r \h </w:instrText>
      </w:r>
      <w:r>
        <w:fldChar w:fldCharType="separate"/>
      </w:r>
      <w:r w:rsidR="00CB7456">
        <w:t>2.3.2</w:t>
      </w:r>
      <w:r>
        <w:fldChar w:fldCharType="end"/>
      </w:r>
      <w:r w:rsidRPr="003D7103">
        <w:t xml:space="preserve">. </w:t>
      </w:r>
    </w:p>
    <w:p w14:paraId="7476F38E" w14:textId="77777777" w:rsidR="000F16EB" w:rsidRPr="003D7103" w:rsidRDefault="000F16EB" w:rsidP="000F16EB">
      <w:pPr>
        <w:pStyle w:val="Heading4"/>
      </w:pPr>
      <w:bookmarkStart w:id="92" w:name="_Toc522192711"/>
      <w:bookmarkStart w:id="93" w:name="_Toc7187440"/>
      <w:r w:rsidRPr="003D7103">
        <w:t>Waste to Energy</w:t>
      </w:r>
      <w:bookmarkEnd w:id="92"/>
      <w:bookmarkEnd w:id="93"/>
    </w:p>
    <w:p w14:paraId="126A78B0" w14:textId="7E8BA74B" w:rsidR="000F16EB" w:rsidRPr="003D7103" w:rsidRDefault="000F16EB" w:rsidP="000F16EB">
      <w:r w:rsidRPr="003D7103">
        <w:t>Waste to energy (</w:t>
      </w:r>
      <w:proofErr w:type="spellStart"/>
      <w:r w:rsidRPr="003D7103">
        <w:t>WtE</w:t>
      </w:r>
      <w:proofErr w:type="spellEnd"/>
      <w:r w:rsidRPr="003D7103">
        <w:t xml:space="preserve">) involves the incineration of </w:t>
      </w:r>
      <w:r>
        <w:t xml:space="preserve">a </w:t>
      </w:r>
      <w:r w:rsidRPr="003D7103">
        <w:t xml:space="preserve">waste, generally MSW, as a fuel. </w:t>
      </w:r>
      <w:r>
        <w:t>A</w:t>
      </w:r>
      <w:r w:rsidRPr="003D7103">
        <w:t>s a fuel</w:t>
      </w:r>
      <w:r>
        <w:t>, waste</w:t>
      </w:r>
      <w:r w:rsidRPr="003D7103">
        <w:t xml:space="preserve"> is low carbon</w:t>
      </w:r>
      <w:r>
        <w:t>,</w:t>
      </w:r>
      <w:r w:rsidRPr="003D7103">
        <w:t xml:space="preserve"> sustainable</w:t>
      </w:r>
      <w:r>
        <w:t>,</w:t>
      </w:r>
      <w:r w:rsidRPr="003D7103">
        <w:t xml:space="preserve"> and reduces the environmental impacts of landfilling </w:t>
      </w:r>
      <w:r w:rsidRPr="003D7103">
        <w:fldChar w:fldCharType="begin" w:fldLock="1"/>
      </w:r>
      <w:r w:rsidR="002A6A73">
        <w:instrText xml:space="preserve">ADDIN CSL_CITATION {"citationItems":[{"id":"ITEM-1","itemData":{"DOI":"10.1016/j.enconman.2012.03.006","ISBN":"01968904","ISSN":"01968904","abstract":"District heating can provide cost-effective and low-carbon energy to local populations, such as space heating in winter and year-round hot/cold water; this is also associated with electricity generation in combined-heat-and-power systems. Although this is currently rare in the UK, many legislative policies, including the Renewable Heat Incentive, aim to increase the amount of energy from such sources; including new installations, as well as extending/upgrading existing distributed energy schemes. Sheffield already has an award-winning district energy network, incorporating city-wide heat distribution. This paper aimed to demonstrate the opportunities for expansions to this through geographical information systems software modelling for an in-depth analysis of the heat demands in the city. ‘Heat maps’ were produced, locating existing and emerging heat sources and sinks. Heat loads (industrial, commercial, educational, health care, council and leisure facilities/complex) total 53MW, with existing residential areas accounting for </w:instrText>
      </w:r>
      <w:r w:rsidR="002A6A73">
        <w:rPr>
          <w:rFonts w:ascii="Cambria Math" w:hAnsi="Cambria Math" w:cs="Cambria Math"/>
        </w:rPr>
        <w:instrText>∼</w:instrText>
      </w:r>
      <w:r w:rsidR="002A6A73">
        <w:instrText xml:space="preserve">1500MW and new housing developments potentially adding a further 35MW in the future. A number of current and emerging heat sources were also discovered </w:instrText>
      </w:r>
      <w:r w:rsidR="002A6A73">
        <w:rPr>
          <w:rFonts w:ascii="Calibri" w:hAnsi="Calibri" w:cs="Calibri"/>
        </w:rPr>
        <w:instrText>–</w:instrText>
      </w:r>
      <w:r w:rsidR="002A6A73">
        <w:instrText xml:space="preserve"> potential suppliers of thermal energy to the above-defined heat sinks. From these, six </w:instrText>
      </w:r>
      <w:r w:rsidR="002A6A73">
        <w:rPr>
          <w:rFonts w:ascii="Calibri" w:hAnsi="Calibri" w:cs="Calibri"/>
        </w:rPr>
        <w:instrText>‘</w:instrText>
      </w:r>
      <w:r w:rsidR="002A6A73">
        <w:instrText>heat zones</w:instrText>
      </w:r>
      <w:r w:rsidR="002A6A73">
        <w:rPr>
          <w:rFonts w:ascii="Calibri" w:hAnsi="Calibri" w:cs="Calibri"/>
        </w:rPr>
        <w:instrText>’</w:instrText>
      </w:r>
      <w:r w:rsidR="002A6A73">
        <w:instrText xml:space="preserve"> where an expansion to the existing network could be possible were identified and the infrastructure planned for each development.","author":[{"dropping-particle":"","family":"Finney","given":"Karen N.","non-dropping-particle":"","parse-names":false,"suffix":""},{"dropping-particle":"","family":"Sharifi","given":"Vida N.","non-dropping-particle":"","parse-names":false,"suffix":""},{"dropping-particle":"","family":"Swithenbank","given":"Jim","non-dropping-particle":"","parse-names":false,"suffix":""},{"dropping-particle":"","family":"Nolan","given":"Andy","non-dropping-particle":"","parse-names":false,"suffix":""},{"dropping-particle":"","family":"White","given":"Simon","non-dropping-particle":"","parse-names":false,"suffix":""},{"dropping-particle":"","family":"Ogden","given":"Simon","non-dropping-particle":"","parse-names":false,"suffix":""}],"container-title":"Energy Conversion and Management","id":"ITEM-1","issued":{"date-parts":[["2012"]]},"page":"165-175","publisher":"Elsevier Ltd","title":"Developments to an existing city-wide district energy network – Part I: Identification of potential expansions using heat mapping","type":"article-journal","volume":"62"},"uris":["http://www.mendeley.com/documents/?uuid=cff41c61-20f7-4b1e-ba33-764fb84901d7"]}],"mendeley":{"formattedCitation":"(Finney &lt;i&gt;et al.&lt;/i&gt;, 2012)","plainTextFormattedCitation":"(Finney et al., 2012)","previouslyFormattedCitation":"(Finney &lt;i&gt;et al.&lt;/i&gt;, 2012)"},"properties":{"noteIndex":0},"schema":"https://github.com/citation-style-language/schema/raw/master/csl-citation.json"}</w:instrText>
      </w:r>
      <w:r w:rsidRPr="003D7103">
        <w:fldChar w:fldCharType="separate"/>
      </w:r>
      <w:r w:rsidR="002A6A73" w:rsidRPr="002A6A73">
        <w:rPr>
          <w:noProof/>
        </w:rPr>
        <w:t xml:space="preserve">(Finney </w:t>
      </w:r>
      <w:r w:rsidR="002A6A73" w:rsidRPr="002A6A73">
        <w:rPr>
          <w:i/>
          <w:noProof/>
        </w:rPr>
        <w:t>et al.</w:t>
      </w:r>
      <w:r w:rsidR="002A6A73" w:rsidRPr="002A6A73">
        <w:rPr>
          <w:noProof/>
        </w:rPr>
        <w:t>, 2012)</w:t>
      </w:r>
      <w:r w:rsidRPr="003D7103">
        <w:fldChar w:fldCharType="end"/>
      </w:r>
      <w:r w:rsidRPr="003D7103">
        <w:t xml:space="preserve">. </w:t>
      </w:r>
      <w:proofErr w:type="spellStart"/>
      <w:r w:rsidRPr="003D7103">
        <w:t>WtE</w:t>
      </w:r>
      <w:proofErr w:type="spellEnd"/>
      <w:r w:rsidRPr="003D7103">
        <w:t xml:space="preserve"> should only be considered </w:t>
      </w:r>
      <w:r>
        <w:t>during</w:t>
      </w:r>
      <w:r w:rsidRPr="003D7103">
        <w:t xml:space="preserve"> the recover stage in the waste management hierarchy</w:t>
      </w:r>
      <w:r>
        <w:t xml:space="preserve">, as shown in </w:t>
      </w:r>
      <w:r>
        <w:fldChar w:fldCharType="begin"/>
      </w:r>
      <w:r>
        <w:instrText xml:space="preserve"> REF _Ref525661891 \h </w:instrText>
      </w:r>
      <w:r>
        <w:fldChar w:fldCharType="separate"/>
      </w:r>
      <w:r w:rsidR="00CB7456">
        <w:t xml:space="preserve">Figure </w:t>
      </w:r>
      <w:r w:rsidR="00CB7456">
        <w:rPr>
          <w:noProof/>
        </w:rPr>
        <w:t>2</w:t>
      </w:r>
      <w:r w:rsidR="00CB7456">
        <w:t>.</w:t>
      </w:r>
      <w:r w:rsidR="00CB7456">
        <w:rPr>
          <w:noProof/>
        </w:rPr>
        <w:t>1</w:t>
      </w:r>
      <w:r>
        <w:fldChar w:fldCharType="end"/>
      </w:r>
      <w:r>
        <w:t>. It should be noted that</w:t>
      </w:r>
      <w:r w:rsidRPr="003D7103">
        <w:t xml:space="preserve"> </w:t>
      </w:r>
      <w:r>
        <w:t>waste</w:t>
      </w:r>
      <w:r w:rsidRPr="003D7103">
        <w:t xml:space="preserve"> should only be incinerated if it cannot be reduced, reused</w:t>
      </w:r>
      <w:r>
        <w:t>,</w:t>
      </w:r>
      <w:r w:rsidRPr="003D7103">
        <w:t xml:space="preserve"> or recycled. </w:t>
      </w:r>
      <w:r>
        <w:t>The</w:t>
      </w:r>
      <w:r w:rsidRPr="003D7103">
        <w:t xml:space="preserve"> potential for </w:t>
      </w:r>
      <w:proofErr w:type="spellStart"/>
      <w:r>
        <w:t>WtE</w:t>
      </w:r>
      <w:proofErr w:type="spellEnd"/>
      <w:r w:rsidRPr="003D7103">
        <w:t xml:space="preserve"> in the UK</w:t>
      </w:r>
      <w:r>
        <w:t xml:space="preserve"> is vast,</w:t>
      </w:r>
      <w:r w:rsidRPr="003D7103">
        <w:t xml:space="preserve"> due to the 30 million tonnes of MSW produced annually</w:t>
      </w:r>
      <w:r>
        <w:t xml:space="preserve"> </w:t>
      </w:r>
      <w:r w:rsidRPr="003D7103">
        <w:fldChar w:fldCharType="begin" w:fldLock="1"/>
      </w:r>
      <w:r w:rsidR="002A6A73">
        <w:instrText>ADDIN CSL_CITATION {"citationItems":[{"id":"ITEM-1","itemData":{"DOI":"10.1016/j.wasman.2005.02.008","ISBN":"0956-053X","ISSN":"0956053X","PMID":"15869989","abstract":"This paper outlines the key factors involved in adopting energy from waste incineration (EfWI) as part of a waste management strategy. Incineration means all forms of controlled direct combustion of waste. 'Emerging' technologies, such as gasification, are, in the author's view, 5 to 10 years from proven commercial application. The strict combustion regimen employed and the emissions therefrom are detailed. It is shown that EfWI merits consideration as an integral part of an environmentally responsible and sustainable waste management strategy, where suitable quantities of waste are available. ?? 2005 Elsevier Ltd. All rights reserved.","author":[{"dropping-particle":"","family":"Porteous","given":"A.","non-dropping-particle":"","parse-names":false,"suffix":""}],"container-title":"Waste Management","id":"ITEM-1","issued":{"date-parts":[["2005"]]},"page":"451-459","title":"Why energy from waste incineration is an essential component of environmentally responsible waste management","type":"article-journal","volume":"25"},"uris":["http://www.mendeley.com/documents/?uuid=d8ded45b-1908-4851-a69a-9e7219987179"]}],"mendeley":{"formattedCitation":"(Porteous, 2005)","plainTextFormattedCitation":"(Porteous, 2005)","previouslyFormattedCitation":"(Porteous, 2005)"},"properties":{"noteIndex":0},"schema":"https://github.com/citation-style-language/schema/raw/master/csl-citation.json"}</w:instrText>
      </w:r>
      <w:r w:rsidRPr="003D7103">
        <w:fldChar w:fldCharType="separate"/>
      </w:r>
      <w:r w:rsidR="002A6A73" w:rsidRPr="002A6A73">
        <w:rPr>
          <w:noProof/>
        </w:rPr>
        <w:t>(Porteous, 2005)</w:t>
      </w:r>
      <w:r w:rsidRPr="003D7103">
        <w:fldChar w:fldCharType="end"/>
      </w:r>
      <w:r w:rsidRPr="003D7103">
        <w:t xml:space="preserve">. </w:t>
      </w:r>
      <w:proofErr w:type="spellStart"/>
      <w:r w:rsidRPr="003D7103">
        <w:t>WtE</w:t>
      </w:r>
      <w:proofErr w:type="spellEnd"/>
      <w:r w:rsidRPr="003D7103">
        <w:t xml:space="preserve"> plants require stringent control and monitoring due to the potential emissions of harmful products and pollutants, including dioxins.</w:t>
      </w:r>
    </w:p>
    <w:p w14:paraId="19A4B335" w14:textId="77777777" w:rsidR="000F16EB" w:rsidRPr="003D7103" w:rsidRDefault="000F16EB" w:rsidP="000F16EB">
      <w:pPr>
        <w:keepNext/>
        <w:jc w:val="center"/>
      </w:pPr>
      <w:r>
        <w:rPr>
          <w:noProof/>
        </w:rPr>
        <w:drawing>
          <wp:inline distT="0" distB="0" distL="0" distR="0" wp14:anchorId="5391BD2F" wp14:editId="19139855">
            <wp:extent cx="5040000" cy="383891"/>
            <wp:effectExtent l="19050" t="19050" r="8255" b="165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iagram.png"/>
                    <pic:cNvPicPr/>
                  </pic:nvPicPr>
                  <pic:blipFill rotWithShape="1">
                    <a:blip r:embed="rId12">
                      <a:extLst>
                        <a:ext uri="{28A0092B-C50C-407E-A947-70E740481C1C}">
                          <a14:useLocalDpi xmlns:a14="http://schemas.microsoft.com/office/drawing/2010/main" val="0"/>
                        </a:ext>
                      </a:extLst>
                    </a:blip>
                    <a:srcRect l="-252" t="-5199" r="-156"/>
                    <a:stretch/>
                  </pic:blipFill>
                  <pic:spPr bwMode="auto">
                    <a:xfrm>
                      <a:off x="0" y="0"/>
                      <a:ext cx="5040000" cy="383891"/>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E7BC5BA" w14:textId="37025DAB" w:rsidR="000F16EB" w:rsidRPr="00DF4536" w:rsidRDefault="000F16EB" w:rsidP="000F16EB">
      <w:pPr>
        <w:pStyle w:val="Caption"/>
      </w:pPr>
      <w:bookmarkStart w:id="94" w:name="_Ref525661891"/>
      <w:bookmarkStart w:id="95" w:name="_Toc468265795"/>
      <w:bookmarkStart w:id="96" w:name="_Toc525230067"/>
      <w:bookmarkStart w:id="97" w:name="_Toc7187615"/>
      <w:r>
        <w:t xml:space="preserve">Figure </w:t>
      </w:r>
      <w:fldSimple w:instr=" STYLEREF 1 \s ">
        <w:r w:rsidR="00CB7456">
          <w:rPr>
            <w:noProof/>
          </w:rPr>
          <w:t>2</w:t>
        </w:r>
      </w:fldSimple>
      <w:r w:rsidR="007B29C3">
        <w:t>.</w:t>
      </w:r>
      <w:fldSimple w:instr=" SEQ Figure \* ARABIC \s 1 ">
        <w:r w:rsidR="00CB7456">
          <w:rPr>
            <w:noProof/>
          </w:rPr>
          <w:t>1</w:t>
        </w:r>
      </w:fldSimple>
      <w:bookmarkEnd w:id="94"/>
      <w:r>
        <w:t>:</w:t>
      </w:r>
      <w:r w:rsidRPr="00DF4536">
        <w:t xml:space="preserve"> Waste management </w:t>
      </w:r>
      <w:r w:rsidRPr="00012547">
        <w:t xml:space="preserve">hierarchy </w:t>
      </w:r>
      <w:r w:rsidRPr="0022640E">
        <w:fldChar w:fldCharType="begin" w:fldLock="1"/>
      </w:r>
      <w:r w:rsidR="002A6A73" w:rsidRPr="0022640E">
        <w:instrText>ADDIN CSL_CITATION {"citationItems":[{"id":"ITEM-1","itemData":{"DOI":"10.1016/j.wasman.2005.02.008","ISBN":"0956-053X","ISSN":"0956053X","PMID":"15869989","abstract":"This paper outlines the key factors involved in adopting energy from waste incineration (EfWI) as part of a waste management strategy. Incineration means all forms of controlled direct combustion of waste. 'Emerging' technologies, such as gasification, are, in the author's view, 5 to 10 years from proven commercial application. The strict combustion regimen employed and the emissions therefrom are detailed. It is shown that EfWI merits consideration as an integral part of an environmentally responsible and sustainable waste management strategy, where suitable quantities of waste are available. ?? 2005 Elsevier Ltd. All rights reserved.","author":[{"dropping-particle":"","family":"Porteous","given":"A.","non-dropping-particle":"","parse-names":false,"suffix":""}],"container-title":"Waste Management","id":"ITEM-1","issued":{"date-parts":[["2005"]]},"page":"451-459","title":"Why energy from waste incineration is an essential component of environmentally responsible waste management","type":"article-journal","volume":"25"},"uris":["http://www.mendeley.com/documents/?uuid=d8ded45b-1908-4851-a69a-9e7219987179"]}],"mendeley":{"formattedCitation":"(Porteous, 2005)","plainTextFormattedCitation":"(Porteous, 2005)","previouslyFormattedCitation":"(Porteous, 2005)"},"properties":{"noteIndex":0},"schema":"https://github.com/citation-style-language/schema/raw/master/csl-citation.json"}</w:instrText>
      </w:r>
      <w:r w:rsidRPr="0022640E">
        <w:fldChar w:fldCharType="separate"/>
      </w:r>
      <w:r w:rsidR="002A6A73" w:rsidRPr="0022640E">
        <w:rPr>
          <w:noProof/>
        </w:rPr>
        <w:t>(Porteous, 2005)</w:t>
      </w:r>
      <w:r w:rsidRPr="0022640E">
        <w:fldChar w:fldCharType="end"/>
      </w:r>
      <w:r w:rsidRPr="0022640E">
        <w:t>.</w:t>
      </w:r>
      <w:bookmarkEnd w:id="95"/>
      <w:bookmarkEnd w:id="96"/>
      <w:bookmarkEnd w:id="97"/>
    </w:p>
    <w:p w14:paraId="4D5D69BB" w14:textId="11184AE9" w:rsidR="000F16EB" w:rsidRDefault="000F16EB" w:rsidP="000F16EB">
      <w:pPr>
        <w:pStyle w:val="Heading4"/>
      </w:pPr>
      <w:bookmarkStart w:id="98" w:name="_Toc522192712"/>
      <w:bookmarkStart w:id="99" w:name="_Toc7187441"/>
      <w:r w:rsidRPr="003D7103">
        <w:lastRenderedPageBreak/>
        <w:t>Fossil Fuels</w:t>
      </w:r>
      <w:bookmarkEnd w:id="99"/>
      <w:r w:rsidRPr="003D7103">
        <w:t xml:space="preserve"> </w:t>
      </w:r>
      <w:bookmarkEnd w:id="98"/>
    </w:p>
    <w:p w14:paraId="13ADF9C3" w14:textId="3B9E637C" w:rsidR="000F16EB" w:rsidRPr="003D7103" w:rsidRDefault="000F16EB" w:rsidP="000F16EB">
      <w:r>
        <w:t>Fossil fuels, comprising oil, coal, and natural gas, are composed of decayed plant and animal remains that were exposed to heat and pressure over millions of years</w:t>
      </w:r>
      <w:r w:rsidR="00E46144">
        <w:t>.</w:t>
      </w:r>
      <w:r>
        <w:t xml:space="preserve"> </w:t>
      </w:r>
      <w:r w:rsidRPr="003D7103">
        <w:t>Fossil fuels have poor environmental performance but are cheap and simple to combust</w:t>
      </w:r>
      <w:r>
        <w:t xml:space="preserve"> </w:t>
      </w:r>
      <w:r w:rsidRPr="003D7103">
        <w:fldChar w:fldCharType="begin" w:fldLock="1"/>
      </w:r>
      <w:r w:rsidR="002A6A73">
        <w:instrText>ADDIN CSL_CITATION {"citationItems":[{"id":"ITEM-1","itemData":{"ISBN":"9789144085302","author":[{"dropping-particle":"","family":"Frederiksen","given":"Svend","non-dropping-particle":"","parse-names":false,"suffix":""},{"dropping-particle":"","family":"Werner","given":"Sven","non-dropping-particle":"","parse-names":false,"suffix":""}],"edition":"1","id":"ITEM-1","issued":{"date-parts":[["2013"]]},"publisher":"Studentlitteratur","publisher-place":"Lund, Sweden","title":"District Heating and Cooling","type":"book"},"uris":["http://www.mendeley.com/documents/?uuid=515e9b02-9146-44d2-add6-552d6c8dccbe"]}],"mendeley":{"formattedCitation":"(Frederiksen and Werner, 2013)","plainTextFormattedCitation":"(Frederiksen and Werner, 2013)","previouslyFormattedCitation":"(Frederiksen and Werner, 2013)"},"properties":{"noteIndex":0},"schema":"https://github.com/citation-style-language/schema/raw/master/csl-citation.json"}</w:instrText>
      </w:r>
      <w:r w:rsidRPr="003D7103">
        <w:fldChar w:fldCharType="separate"/>
      </w:r>
      <w:r w:rsidR="002A6A73" w:rsidRPr="002A6A73">
        <w:rPr>
          <w:noProof/>
        </w:rPr>
        <w:t>(Frederiksen and Werner, 2013)</w:t>
      </w:r>
      <w:r w:rsidRPr="003D7103">
        <w:fldChar w:fldCharType="end"/>
      </w:r>
      <w:r w:rsidRPr="003D7103">
        <w:t>. As a result</w:t>
      </w:r>
      <w:r>
        <w:t>, fossil fuels</w:t>
      </w:r>
      <w:r w:rsidRPr="003D7103">
        <w:t xml:space="preserve"> are an ideal fuel to use for backup and peak load </w:t>
      </w:r>
      <w:r>
        <w:t>TE</w:t>
      </w:r>
      <w:r w:rsidRPr="003D7103">
        <w:t xml:space="preserve"> </w:t>
      </w:r>
      <w:r>
        <w:t>generating</w:t>
      </w:r>
      <w:r w:rsidRPr="003D7103">
        <w:t xml:space="preserve"> units.</w:t>
      </w:r>
      <w:r>
        <w:t xml:space="preserve"> </w:t>
      </w:r>
    </w:p>
    <w:p w14:paraId="1453649E" w14:textId="3DE7E389" w:rsidR="000F16EB" w:rsidRDefault="000F16EB" w:rsidP="000F16EB">
      <w:pPr>
        <w:pStyle w:val="Heading4"/>
      </w:pPr>
      <w:bookmarkStart w:id="100" w:name="_Toc522192713"/>
      <w:bookmarkStart w:id="101" w:name="_Toc7187442"/>
      <w:r w:rsidRPr="003D7103">
        <w:t>Renewable Fuels</w:t>
      </w:r>
      <w:bookmarkEnd w:id="100"/>
      <w:r>
        <w:t xml:space="preserve"> and </w:t>
      </w:r>
      <w:r w:rsidR="00E46144">
        <w:t>Biomass</w:t>
      </w:r>
      <w:bookmarkEnd w:id="101"/>
    </w:p>
    <w:p w14:paraId="0410E1C1" w14:textId="3C775A98" w:rsidR="00E46144" w:rsidRPr="00E46144" w:rsidRDefault="00E46144" w:rsidP="00E46144">
      <w:r>
        <w:t>Biomass fuels are comprised of organic materials that contain energy supplied by the sun: wood, crops, and waste materials.</w:t>
      </w:r>
      <w:r w:rsidRPr="00E46144">
        <w:t xml:space="preserve"> </w:t>
      </w:r>
      <w:r w:rsidRPr="003D7103">
        <w:t>Biomass fuel us</w:t>
      </w:r>
      <w:r>
        <w:t>ag</w:t>
      </w:r>
      <w:r w:rsidRPr="003D7103">
        <w:t>e presents concerns due to the debate of fuel over food production and the transportation of the biomass</w:t>
      </w:r>
      <w:r>
        <w:t xml:space="preserve"> </w:t>
      </w:r>
      <w:r w:rsidRPr="003D7103">
        <w:fldChar w:fldCharType="begin" w:fldLock="1"/>
      </w:r>
      <w:r>
        <w:instrText>ADDIN CSL_CITATION {"citationItems":[{"id":"ITEM-1","itemData":{"DOI":"10.1016/j.biombioe.2007.06.012","ISBN":"0961-9534","ISSN":"09619534","PMID":"263","abstract":"The substitution of biomass for fossil fuels in energy consumption is a measure to mitigate global warming, as well as having other advantages. Political action plans for increased use exist at both European and national levels. This paper briefly reviews the contents of recommendations, guidelines, and other synthesis publications on sustainable use of forest biomass for energy. Topics are listed and an overview of advantages, disadvantages, and trade-offs between them is given, from the viewpoint of society in general and the forestry and energy sectors in particular. For the Nordic and Baltic countries, the paper also identifies the extent to which wood for energy is included in forest legislation and forest certification standards under the \"Programme for the Endorsement of Forest Certification\" (PEFC) and the \"Forest Stewardship Council\" (FSC) schemes. Energy and forest policies at EU and national levels, and European PEFC forest standards are analysed. With respect to energy policies, the utilisation of wood for energy is generally supported in forest policies, but forest legislation is seldom used as a direct tool to encourage the utilisation of wood for energy. Regulations sometimes restrict use for environmental reasons. Forest certification standards include indicators directly related to the utilisation of wood for energy under several criteria, with most occurrences found under environmental criteria. Roles and problems in relation to policy, legislation, certification standards, recommendations and guidelines, and science are discussed. © 2007 Elsevier Ltd. All rights reserved.","author":[{"dropping-particle":"","family":"Stupak","given":"I.","non-dropping-particle":"","parse-names":false,"suffix":""},{"dropping-particle":"","family":"Asikainen","given":"A.","non-dropping-particle":"","parse-names":false,"suffix":""},{"dropping-particle":"","family":"Jonsell","given":"M.","non-dropping-particle":"","parse-names":false,"suffix":""},{"dropping-particle":"","family":"Karltun","given":"E.","non-dropping-particle":"","parse-names":false,"suffix":""},{"dropping-particle":"","family":"Lunnan","given":"A.","non-dropping-particle":"","parse-names":false,"suffix":""},{"dropping-particle":"","family":"Mizaraite","given":"D.","non-dropping-particle":"","parse-names":false,"suffix":""},{"dropping-particle":"","family":"Pasanen","given":"K.","non-dropping-particle":"","parse-names":false,"suffix":""},{"dropping-particle":"","family":"Pärn","given":"H.","non-dropping-particle":"","parse-names":false,"suffix":""},{"dropping-particle":"","family":"Raulund-Rasmussen","given":"K.","non-dropping-particle":"","parse-names":false,"suffix":""},{"dropping-particle":"","family":"Röser","given":"D.","non-dropping-particle":"","parse-names":false,"suffix":""},{"dropping-particle":"","family":"Schroeder","given":"M.","non-dropping-particle":"","parse-names":false,"suffix":""},{"dropping-particle":"","family":"Varnagiryte","given":"I.","non-dropping-particle":"","parse-names":false,"suffix":""},{"dropping-particle":"","family":"Vilkriste","given":"L.","non-dropping-particle":"","parse-names":false,"suffix":""},{"dropping-particle":"","family":"Callesen","given":"I.","non-dropping-particle":"","parse-names":false,"suffix":""},{"dropping-particle":"","family":"Clarke","given":"N.","non-dropping-particle":"","parse-names":false,"suffix":""},{"dropping-particle":"","family":"Gaitnieks","given":"T.","non-dropping-particle":"","parse-names":false,"suffix":""},{"dropping-particle":"","family":"Ingerslev","given":"M.","non-dropping-particle":"","parse-names":false,"suffix":""},{"dropping-particle":"","family":"Mandre","given":"M.","non-dropping-particle":"","parse-names":false,"suffix":""},{"dropping-particle":"","family":"Ozolincius","given":"R.","non-dropping-particle":"","parse-names":false,"suffix":""},{"dropping-particle":"","family":"Saarsalmi","given":"A.","non-dropping-particle":"","parse-names":false,"suffix":""},{"dropping-particle":"","family":"Armolaitis","given":"K.","non-dropping-particle":"","parse-names":false,"suffix":""},{"dropping-particle":"","family":"Helmisaari","given":"H. S.","non-dropping-particle":"","parse-names":false,"suffix":""},{"dropping-particle":"","family":"Indriksons","given":"A.","non-dropping-particle":"","parse-names":false,"suffix":""},{"dropping-particle":"","family":"Kairiukstis","given":"L.","non-dropping-particle":"","parse-names":false,"suffix":""},{"dropping-particle":"","family":"Katzensteiner","given":"K.","non-dropping-particle":"","parse-names":false,"suffix":""},{"dropping-particle":"","family":"Kukkola","given":"M.","non-dropping-particle":"","parse-names":false,"suffix":""},{"dropping-particle":"","family":"Ots","given":"K.","non-dropping-particle":"","parse-names":false,"suffix":""},{"dropping-particle":"","family":"Ravn","given":"H. P.","non-dropping-particle":"","parse-names":false,"suffix":""},{"dropping-particle":"","family":"Tamminen","given":"P.","non-dropping-particle":"","parse-names":false,"suffix":""}],"container-title":"Biomass and Bioenergy","id":"ITEM-1","issue":"10","issued":{"date-parts":[["2007"]]},"page":"666-684","title":"Sustainable utilisation of forest biomass for energy - Possibilities and problems: Policy, legislation, certification, and recommendations and guidelines in the Nordic, Baltic, and other European countries","type":"article-journal","volume":"31"},"uris":["http://www.mendeley.com/documents/?uuid=c6063b2c-36d5-478a-a996-b57cab26df44"]}],"mendeley":{"formattedCitation":"(Stupak &lt;i&gt;et al.&lt;/i&gt;, 2007)","plainTextFormattedCitation":"(Stupak et al., 2007)","previouslyFormattedCitation":"(Stupak &lt;i&gt;et al.&lt;/i&gt;, 2007)"},"properties":{"noteIndex":0},"schema":"https://github.com/citation-style-language/schema/raw/master/csl-citation.json"}</w:instrText>
      </w:r>
      <w:r w:rsidRPr="003D7103">
        <w:fldChar w:fldCharType="separate"/>
      </w:r>
      <w:r w:rsidRPr="002A6A73">
        <w:rPr>
          <w:noProof/>
        </w:rPr>
        <w:t xml:space="preserve">(Stupak </w:t>
      </w:r>
      <w:r w:rsidRPr="002A6A73">
        <w:rPr>
          <w:i/>
          <w:noProof/>
        </w:rPr>
        <w:t>et al.</w:t>
      </w:r>
      <w:r w:rsidRPr="002A6A73">
        <w:rPr>
          <w:noProof/>
        </w:rPr>
        <w:t>, 2007)</w:t>
      </w:r>
      <w:r w:rsidRPr="003D7103">
        <w:fldChar w:fldCharType="end"/>
      </w:r>
      <w:r w:rsidRPr="003D7103">
        <w:t xml:space="preserve">. Biomass should only be used as a fuel source when </w:t>
      </w:r>
      <w:r>
        <w:t>the</w:t>
      </w:r>
      <w:r w:rsidRPr="003D7103">
        <w:t xml:space="preserve"> use is sustainable and the economic, ecological</w:t>
      </w:r>
      <w:r>
        <w:t>,</w:t>
      </w:r>
      <w:r w:rsidRPr="003D7103">
        <w:t xml:space="preserve"> and social effects are considered across the entire forest fuel chain.</w:t>
      </w:r>
    </w:p>
    <w:p w14:paraId="5E47AC68" w14:textId="73E59EB5" w:rsidR="000F16EB" w:rsidRPr="003D7103" w:rsidRDefault="00E46144" w:rsidP="000F16EB">
      <w:r>
        <w:t>Other r</w:t>
      </w:r>
      <w:r w:rsidR="000F16EB">
        <w:t>enewable fuels come from sources</w:t>
      </w:r>
      <w:r>
        <w:t xml:space="preserve"> such as</w:t>
      </w:r>
      <w:r w:rsidR="000F16EB">
        <w:t xml:space="preserve"> wind power, geothermal, and solar </w:t>
      </w:r>
      <w:r w:rsidR="000F16EB" w:rsidRPr="003D7103">
        <w:fldChar w:fldCharType="begin" w:fldLock="1"/>
      </w:r>
      <w:r w:rsidR="002A6A73">
        <w:instrText>ADDIN CSL_CITATION {"citationItems":[{"id":"ITEM-1","itemData":{"ISBN":"9789144085302","author":[{"dropping-particle":"","family":"Frederiksen","given":"Svend","non-dropping-particle":"","parse-names":false,"suffix":""},{"dropping-particle":"","family":"Werner","given":"Sven","non-dropping-particle":"","parse-names":false,"suffix":""}],"edition":"1","id":"ITEM-1","issued":{"date-parts":[["2013"]]},"publisher":"Studentlitteratur","publisher-place":"Lund, Sweden","title":"District Heating and Cooling","type":"book"},"uris":["http://www.mendeley.com/documents/?uuid=515e9b02-9146-44d2-add6-552d6c8dccbe"]}],"mendeley":{"formattedCitation":"(Frederiksen and Werner, 2013)","plainTextFormattedCitation":"(Frederiksen and Werner, 2013)","previouslyFormattedCitation":"(Frederiksen and Werner, 2013)"},"properties":{"noteIndex":0},"schema":"https://github.com/citation-style-language/schema/raw/master/csl-citation.json"}</w:instrText>
      </w:r>
      <w:r w:rsidR="000F16EB" w:rsidRPr="003D7103">
        <w:fldChar w:fldCharType="separate"/>
      </w:r>
      <w:r w:rsidR="002A6A73" w:rsidRPr="002A6A73">
        <w:rPr>
          <w:noProof/>
        </w:rPr>
        <w:t>(Frederiksen and Werner, 2013)</w:t>
      </w:r>
      <w:r w:rsidR="000F16EB" w:rsidRPr="003D7103">
        <w:fldChar w:fldCharType="end"/>
      </w:r>
      <w:r w:rsidR="000F16EB">
        <w:t xml:space="preserve">. </w:t>
      </w:r>
      <w:r w:rsidR="000F16EB" w:rsidRPr="003D7103">
        <w:t>In some areas of the world</w:t>
      </w:r>
      <w:r w:rsidR="000F16EB">
        <w:t>,</w:t>
      </w:r>
      <w:r w:rsidR="000F16EB" w:rsidRPr="003D7103">
        <w:t xml:space="preserve"> cheap and plentiful geothermal sources exist which can be extracted with only minimal environmental impacts. When considering the use of geothermal fuels</w:t>
      </w:r>
      <w:r w:rsidR="000F16EB">
        <w:t>,</w:t>
      </w:r>
      <w:r w:rsidR="000F16EB" w:rsidRPr="003D7103">
        <w:t xml:space="preserve"> it is important to find a geothermal map of the area</w:t>
      </w:r>
      <w:r w:rsidR="000F16EB">
        <w:t>, as shown in</w:t>
      </w:r>
      <w:r w:rsidR="000F16EB" w:rsidRPr="003D7103">
        <w:t xml:space="preserve"> </w:t>
      </w:r>
      <w:r w:rsidR="000F16EB" w:rsidRPr="003D7103">
        <w:fldChar w:fldCharType="begin"/>
      </w:r>
      <w:r w:rsidR="000F16EB" w:rsidRPr="003D7103">
        <w:instrText xml:space="preserve"> REF _Ref450640115 \h </w:instrText>
      </w:r>
      <w:r w:rsidR="000F16EB" w:rsidRPr="003D7103">
        <w:fldChar w:fldCharType="separate"/>
      </w:r>
      <w:r w:rsidR="00CB7456" w:rsidRPr="00DF4536">
        <w:t xml:space="preserve">Figure </w:t>
      </w:r>
      <w:r w:rsidR="00CB7456">
        <w:rPr>
          <w:noProof/>
        </w:rPr>
        <w:t>2</w:t>
      </w:r>
      <w:r w:rsidR="00CB7456">
        <w:t>.</w:t>
      </w:r>
      <w:r w:rsidR="00CB7456">
        <w:rPr>
          <w:noProof/>
        </w:rPr>
        <w:t>2</w:t>
      </w:r>
      <w:r w:rsidR="000F16EB" w:rsidRPr="003D7103">
        <w:fldChar w:fldCharType="end"/>
      </w:r>
      <w:r w:rsidR="000F16EB" w:rsidRPr="003D7103">
        <w:t>. Other renewables sources, such as wind and solar photovoltaic</w:t>
      </w:r>
      <w:r w:rsidR="000F16EB">
        <w:t xml:space="preserve"> are available at low temperatures</w:t>
      </w:r>
      <w:r w:rsidR="000F16EB" w:rsidRPr="003D7103">
        <w:t>,</w:t>
      </w:r>
      <w:r w:rsidR="000F16EB">
        <w:t xml:space="preserve"> so</w:t>
      </w:r>
      <w:r w:rsidR="000F16EB" w:rsidRPr="003D7103">
        <w:t xml:space="preserve"> </w:t>
      </w:r>
      <w:r w:rsidR="000F16EB">
        <w:t>can</w:t>
      </w:r>
      <w:r w:rsidR="000F16EB" w:rsidRPr="003D7103">
        <w:t xml:space="preserve"> be used as an energy input for DH when combined with a heat pump. Issues arise due to </w:t>
      </w:r>
      <w:r w:rsidR="000F16EB">
        <w:t>the</w:t>
      </w:r>
      <w:r w:rsidR="000F16EB" w:rsidRPr="00837A84">
        <w:rPr>
          <w:color w:val="FF0000"/>
        </w:rPr>
        <w:t xml:space="preserve"> </w:t>
      </w:r>
      <w:r w:rsidR="000F16EB" w:rsidRPr="003D7103">
        <w:t>unpredictable and variable generating cycles</w:t>
      </w:r>
      <w:r w:rsidR="000F16EB">
        <w:t xml:space="preserve"> of renewable TE sources. </w:t>
      </w:r>
    </w:p>
    <w:p w14:paraId="7EADF5A8" w14:textId="77777777" w:rsidR="000F16EB" w:rsidRPr="003D7103" w:rsidRDefault="000F16EB" w:rsidP="000F16EB">
      <w:pPr>
        <w:keepNext/>
        <w:jc w:val="center"/>
      </w:pPr>
      <w:r w:rsidRPr="003D7103">
        <w:rPr>
          <w:noProof/>
          <w:lang w:eastAsia="en-GB"/>
        </w:rPr>
        <w:drawing>
          <wp:inline distT="0" distB="0" distL="0" distR="0" wp14:anchorId="1FC7A9B5" wp14:editId="49C63A67">
            <wp:extent cx="3168000" cy="3061141"/>
            <wp:effectExtent l="19050" t="19050" r="13970" b="2540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168000" cy="3061141"/>
                    </a:xfrm>
                    <a:prstGeom prst="rect">
                      <a:avLst/>
                    </a:prstGeom>
                    <a:ln>
                      <a:solidFill>
                        <a:schemeClr val="tx1"/>
                      </a:solidFill>
                    </a:ln>
                  </pic:spPr>
                </pic:pic>
              </a:graphicData>
            </a:graphic>
          </wp:inline>
        </w:drawing>
      </w:r>
    </w:p>
    <w:p w14:paraId="72B6331A" w14:textId="28BAD908" w:rsidR="000F16EB" w:rsidRDefault="000F16EB" w:rsidP="000F16EB">
      <w:pPr>
        <w:pStyle w:val="Caption"/>
      </w:pPr>
      <w:bookmarkStart w:id="102" w:name="_Ref450640115"/>
      <w:bookmarkStart w:id="103" w:name="_Toc468265796"/>
      <w:bookmarkStart w:id="104" w:name="_Toc525230068"/>
      <w:bookmarkStart w:id="105" w:name="_Toc7187616"/>
      <w:r w:rsidRPr="00DF4536">
        <w:t xml:space="preserve">Figure </w:t>
      </w:r>
      <w:fldSimple w:instr=" STYLEREF 1 \s ">
        <w:r w:rsidR="00CB7456">
          <w:rPr>
            <w:noProof/>
          </w:rPr>
          <w:t>2</w:t>
        </w:r>
      </w:fldSimple>
      <w:r w:rsidR="007B29C3">
        <w:t>.</w:t>
      </w:r>
      <w:fldSimple w:instr=" SEQ Figure \* ARABIC \s 1 ">
        <w:r w:rsidR="00CB7456">
          <w:rPr>
            <w:noProof/>
          </w:rPr>
          <w:t>2</w:t>
        </w:r>
      </w:fldSimple>
      <w:bookmarkEnd w:id="102"/>
      <w:r>
        <w:rPr>
          <w:noProof/>
        </w:rPr>
        <w:t>:</w:t>
      </w:r>
      <w:r w:rsidRPr="00DF4536">
        <w:t xml:space="preserve"> Map of geothermal resources available in </w:t>
      </w:r>
      <w:r w:rsidRPr="00022E50">
        <w:t xml:space="preserve">Europe </w:t>
      </w:r>
      <w:r w:rsidRPr="0022640E">
        <w:fldChar w:fldCharType="begin" w:fldLock="1"/>
      </w:r>
      <w:r w:rsidR="002A6A73" w:rsidRPr="0022640E">
        <w:instrText>ADDIN CSL_CITATION {"citationItems":[{"id":"ITEM-1","itemData":{"abstract":"The European status of geothermal energy use is presented. The situation varies from country to country according to the geothermal technology that best suits the available natural resource. The spectrum varies from power generation from high enthalpy resources (Iceland, Italy, Greece, Turkey), to direct use of hydrothermal resources in sedimentary basins (France, Germany, Poland, Italy, Hungary, Romania, and others). Shallow geothermal is available everywhere and is mostly harnessed by ground source heat pump installations. Geothermal power generation in Europe currently stands at 1060 MW installed capacity, surpassing fast the target of 1000 MW set forth for 2010 by the White Paper from 1997 (Eurobserv</w:instrText>
      </w:r>
      <w:r w:rsidR="002A6A73" w:rsidRPr="0022640E">
        <w:rPr>
          <w:rFonts w:ascii="MS Gothic" w:eastAsia="MS Gothic" w:hAnsi="MS Gothic" w:cs="MS Gothic" w:hint="eastAsia"/>
        </w:rPr>
        <w:instrText>ﾒ</w:instrText>
      </w:r>
      <w:r w:rsidR="002A6A73" w:rsidRPr="0022640E">
        <w:instrText>ER, 2005). The target value of 2000 MW for 2010 from the Ferrara Declaration (EGEC, 1999) seems not out of reach. Geothermal heating from medium to low temperature source installed capacity exceeds 6600 MWt and has a increasing trend of about 50 MWt per year. This growth rate could lead to a doubling of the forecast capacity of 5000 MWt by 2010 set forth by the White Paper (Eurobserv</w:instrText>
      </w:r>
      <w:r w:rsidR="002A6A73" w:rsidRPr="0022640E">
        <w:rPr>
          <w:rFonts w:ascii="MS Gothic" w:eastAsia="MS Gothic" w:hAnsi="MS Gothic" w:cs="MS Gothic" w:hint="eastAsia"/>
        </w:rPr>
        <w:instrText>ﾒ</w:instrText>
      </w:r>
      <w:r w:rsidR="002A6A73" w:rsidRPr="0022640E">
        <w:instrText>ER, 2005). Shallow geothermal energy, ground source heat pumps (GSHP), installation growth rate is even more spectacular, and a capacity of 8000 MWt could be reached if 10% growth per year is maintained (Rybach, 2006). Summing up, geothermal energy scored well in Europe and has an enormous potential. For the heating sector, the deep and shallow energy production combined is bound for exceeding even the ambitious target of 15000 MWt set forth in the Ferrara Declaration (EGEC, 1999).","author":[{"dropping-particle":"","family":"Antics","given":"Miklos","non-dropping-particle":"","parse-names":false,"suffix":""},{"dropping-particle":"","family":"Sanner","given":"Burkhard","non-dropping-particle":"","parse-names":false,"suffix":""}],"container-title":"Proceedings European Geothermal Congress 2007","id":"ITEM-1","issued":{"date-parts":[["2007"]]},"publisher":"European Geothermal Congress","publisher-place":"Unterhaching, Germany","title":"Status of Geothermal Energy Use and Resources in Europe","type":"paper-conference"},"uris":["http://www.mendeley.com/documents/?uuid=e566fd13-7a64-4dbb-98eb-b38e5ddb33f2"]}],"mendeley":{"formattedCitation":"(Antics and Sanner, 2007)","plainTextFormattedCitation":"(Antics and Sanner, 2007)","previouslyFormattedCitation":"(Antics and Sanner, 2007)"},"properties":{"noteIndex":0},"schema":"https://github.com/citation-style-language/schema/raw/master/csl-citation.json"}</w:instrText>
      </w:r>
      <w:r w:rsidRPr="0022640E">
        <w:fldChar w:fldCharType="separate"/>
      </w:r>
      <w:r w:rsidR="002A6A73" w:rsidRPr="0022640E">
        <w:rPr>
          <w:noProof/>
        </w:rPr>
        <w:t>(Antics and Sanner, 2007)</w:t>
      </w:r>
      <w:r w:rsidRPr="0022640E">
        <w:fldChar w:fldCharType="end"/>
      </w:r>
      <w:r w:rsidRPr="0022640E">
        <w:t>.</w:t>
      </w:r>
      <w:bookmarkEnd w:id="103"/>
      <w:bookmarkEnd w:id="104"/>
      <w:bookmarkEnd w:id="105"/>
    </w:p>
    <w:p w14:paraId="5F1232C0" w14:textId="7ACFAFF6" w:rsidR="00E46144" w:rsidRDefault="00E46144" w:rsidP="00E46144">
      <w:pPr>
        <w:pStyle w:val="Heading4"/>
      </w:pPr>
      <w:bookmarkStart w:id="106" w:name="_Toc7187443"/>
      <w:r>
        <w:t>Nuclear</w:t>
      </w:r>
      <w:bookmarkEnd w:id="106"/>
    </w:p>
    <w:p w14:paraId="0C9E6662" w14:textId="5FD4D548" w:rsidR="00E46144" w:rsidRPr="00E46144" w:rsidRDefault="00E46144" w:rsidP="00E46144">
      <w:r w:rsidRPr="003D7103">
        <w:t xml:space="preserve">Nuclear </w:t>
      </w:r>
      <w:r>
        <w:t>power stations can be converted into CHP plants</w:t>
      </w:r>
      <w:r w:rsidRPr="003D7103">
        <w:t xml:space="preserve"> but </w:t>
      </w:r>
      <w:r>
        <w:t>have</w:t>
      </w:r>
      <w:r w:rsidRPr="003D7103">
        <w:t xml:space="preserve"> not been widely </w:t>
      </w:r>
      <w:r>
        <w:t>converted</w:t>
      </w:r>
      <w:r w:rsidRPr="003D7103">
        <w:t xml:space="preserve"> so </w:t>
      </w:r>
      <w:r>
        <w:t>far</w:t>
      </w:r>
      <w:r w:rsidRPr="003D7103">
        <w:t xml:space="preserve"> to safety concerns</w:t>
      </w:r>
      <w:r>
        <w:t xml:space="preserve"> </w:t>
      </w:r>
      <w:r w:rsidRPr="003D7103">
        <w:fldChar w:fldCharType="begin" w:fldLock="1"/>
      </w:r>
      <w:r>
        <w:instrText>ADDIN CSL_CITATION {"citationItems":[{"id":"ITEM-1","itemData":{"ISBN":"9789144085302","author":[{"dropping-particle":"","family":"Frederiksen","given":"Svend","non-dropping-particle":"","parse-names":false,"suffix":""},{"dropping-particle":"","family":"Werner","given":"Sven","non-dropping-particle":"","parse-names":false,"suffix":""}],"edition":"1","id":"ITEM-1","issued":{"date-parts":[["2013"]]},"publisher":"Studentlitteratur","publisher-place":"Lund, Sweden","title":"District Heating and Cooling","type":"book"},"uris":["http://www.mendeley.com/documents/?uuid=515e9b02-9146-44d2-add6-552d6c8dccbe"]}],"mendeley":{"formattedCitation":"(Frederiksen and Werner, 2013)","plainTextFormattedCitation":"(Frederiksen and Werner, 2013)","previouslyFormattedCitation":"(Frederiksen and Werner, 2013)"},"properties":{"noteIndex":0},"schema":"https://github.com/citation-style-language/schema/raw/master/csl-citation.json"}</w:instrText>
      </w:r>
      <w:r w:rsidRPr="003D7103">
        <w:fldChar w:fldCharType="separate"/>
      </w:r>
      <w:r w:rsidRPr="002A6A73">
        <w:rPr>
          <w:noProof/>
        </w:rPr>
        <w:t>(Frederiksen and Werner, 2013)</w:t>
      </w:r>
      <w:r w:rsidRPr="003D7103">
        <w:fldChar w:fldCharType="end"/>
      </w:r>
      <w:r>
        <w:t>. In additions, n</w:t>
      </w:r>
      <w:r w:rsidRPr="003D7103">
        <w:t>uclear plants are generally located away from urban areas, limiting</w:t>
      </w:r>
      <w:r>
        <w:t xml:space="preserve"> the ability to</w:t>
      </w:r>
      <w:r w:rsidRPr="00837A84">
        <w:rPr>
          <w:color w:val="FF0000"/>
        </w:rPr>
        <w:t xml:space="preserve"> </w:t>
      </w:r>
      <w:r w:rsidRPr="003D7103">
        <w:t>use</w:t>
      </w:r>
      <w:r>
        <w:t xml:space="preserve"> nuclear as the TE source</w:t>
      </w:r>
      <w:r w:rsidRPr="003D7103">
        <w:t xml:space="preserve"> </w:t>
      </w:r>
      <w:r>
        <w:t>in</w:t>
      </w:r>
      <w:r w:rsidRPr="003D7103">
        <w:t xml:space="preserve"> DH.</w:t>
      </w:r>
    </w:p>
    <w:p w14:paraId="52D35D10" w14:textId="77777777" w:rsidR="000F16EB" w:rsidRDefault="000F16EB" w:rsidP="000F16EB">
      <w:pPr>
        <w:pStyle w:val="Heading3"/>
      </w:pPr>
      <w:bookmarkStart w:id="107" w:name="_Toc522192714"/>
      <w:bookmarkStart w:id="108" w:name="_Toc525229950"/>
      <w:bookmarkStart w:id="109" w:name="_Toc529888264"/>
      <w:bookmarkStart w:id="110" w:name="_Toc7187444"/>
      <w:r>
        <w:lastRenderedPageBreak/>
        <w:t>Thermal Energy Storage</w:t>
      </w:r>
      <w:bookmarkEnd w:id="107"/>
      <w:bookmarkEnd w:id="108"/>
      <w:bookmarkEnd w:id="109"/>
      <w:bookmarkEnd w:id="110"/>
    </w:p>
    <w:p w14:paraId="11A608F4" w14:textId="297715F1" w:rsidR="000F16EB" w:rsidRDefault="000F16EB" w:rsidP="000F16EB">
      <w:r>
        <w:t xml:space="preserve">TE is stored in three different forms: sensible heat, latent heat, and chemical energy </w:t>
      </w:r>
      <w:r>
        <w:fldChar w:fldCharType="begin" w:fldLock="1"/>
      </w:r>
      <w:r w:rsidR="00FF4B5D">
        <w:instrText>ADDIN CSL_CITATION {"citationItems":[{"id":"ITEM-1","itemData":{"DOI":"10.1016/j.rser.2014.12.002","ISBN":"13640321","ISSN":"13640321","abstract":"Application of seasonal thermal energy storage with heat pumps for heating and cooling buildings has received much consideration in recent decades, as it can help to cover gaps between energy availability and demand, e.g. from summer to winter. This has the potential to reduce the large proportion of energy consumed by buildings, especially in colder climate countries. The problem with seasonal storage, however, is heat loss. This can be reduced by low-temperature storage but a heat pump is then recommended to adjust temperatures as needed by buildings in use. The aim of this paper was to compare different seasonal thermal energy storage methods using a heat pump in terms of coefficient of performance (COP) of heat pump and solar fraction, and further, to investigate the relationship between those factors and the size of the system, i.e. collector area and storage volume based on past building projects including residences, offices and schools.","author":[{"dropping-particle":"","family":"Hesaraki","given":"Arefeh","non-dropping-particle":"","parse-names":false,"suffix":""},{"dropping-particle":"","family":"Holmberg","given":"Sture","non-dropping-particle":"","parse-names":false,"suffix":""},{"dropping-particle":"","family":"Haghighat","given":"Fariborz","non-dropping-particle":"","parse-names":false,"suffix":""}],"container-title":"Renewable and Sustainable Energy Reviews","id":"ITEM-1","issued":{"date-parts":[["2015"]]},"page":"1199-1213","publisher":"Elsevier","title":"Seasonal thermal energy storage with heat pumps and low temperatures in building projects - A comparative review","type":"article-journal","volume":"43"},"uris":["http://www.mendeley.com/documents/?uuid=24f2ebc5-0b09-43db-aaf1-106c7815b833"]}],"mendeley":{"formattedCitation":"(Hesaraki &lt;i&gt;et al.&lt;/i&gt;, 2015)","plainTextFormattedCitation":"(Hesaraki et al., 2015)","previouslyFormattedCitation":"(Hesaraki &lt;i&gt;et al.&lt;/i&gt;, 2015)"},"properties":{"noteIndex":0},"schema":"https://github.com/citation-style-language/schema/raw/master/csl-citation.json"}</w:instrText>
      </w:r>
      <w:r>
        <w:fldChar w:fldCharType="separate"/>
      </w:r>
      <w:r w:rsidR="005F544E" w:rsidRPr="005F544E">
        <w:rPr>
          <w:noProof/>
        </w:rPr>
        <w:t xml:space="preserve">(Hesaraki </w:t>
      </w:r>
      <w:r w:rsidR="005F544E" w:rsidRPr="005F544E">
        <w:rPr>
          <w:i/>
          <w:noProof/>
        </w:rPr>
        <w:t>et al.</w:t>
      </w:r>
      <w:r w:rsidR="005F544E" w:rsidRPr="005F544E">
        <w:rPr>
          <w:noProof/>
        </w:rPr>
        <w:t>, 2015)</w:t>
      </w:r>
      <w:r>
        <w:fldChar w:fldCharType="end"/>
      </w:r>
      <w:r>
        <w:t xml:space="preserve">. TES technologies can be used to store heat on an hourly, daily, weekly or seasonal bases. TES in DHNs can range from small hot water tanks (HWTs) in individual homes to large underground caverns. </w:t>
      </w:r>
    </w:p>
    <w:bookmarkStart w:id="111" w:name="_Toc522192715"/>
    <w:bookmarkStart w:id="112" w:name="_Toc7187445"/>
    <w:p w14:paraId="29B23FD3" w14:textId="6B6F19D6" w:rsidR="000F16EB" w:rsidRDefault="00641747" w:rsidP="000F16EB">
      <w:pPr>
        <w:pStyle w:val="Heading4"/>
      </w:pPr>
      <w:r>
        <w:rPr>
          <w:noProof/>
        </w:rPr>
        <mc:AlternateContent>
          <mc:Choice Requires="wps">
            <w:drawing>
              <wp:anchor distT="36576" distB="36576" distL="36576" distR="36576" simplePos="0" relativeHeight="251658240" behindDoc="0" locked="0" layoutInCell="1" allowOverlap="1" wp14:anchorId="74A76057" wp14:editId="1FD28CC5">
                <wp:simplePos x="0" y="0"/>
                <wp:positionH relativeFrom="column">
                  <wp:posOffset>8266430</wp:posOffset>
                </wp:positionH>
                <wp:positionV relativeFrom="paragraph">
                  <wp:posOffset>2197735</wp:posOffset>
                </wp:positionV>
                <wp:extent cx="1294130" cy="1361440"/>
                <wp:effectExtent l="17780" t="16510" r="21590" b="12700"/>
                <wp:wrapNone/>
                <wp:docPr id="52" name="Oval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1294130" cy="1361440"/>
                        </a:xfrm>
                        <a:prstGeom prst="ellipse">
                          <a:avLst/>
                        </a:prstGeom>
                        <a:solidFill>
                          <a:srgbClr val="5B9BD5"/>
                        </a:solidFill>
                        <a:ln w="25400"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000000"/>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7818B62" id="Oval 52" o:spid="_x0000_s1026" style="position:absolute;margin-left:650.9pt;margin-top:173.05pt;width:101.9pt;height:107.2pt;flip:x;z-index:25165824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A90twIAAJQFAAAOAAAAZHJzL2Uyb0RvYy54bWysVF1v0zAUfUfiP1h+7/LdbtHSqe1aQBps&#10;0kA8u7GTWDh2sN2mA/HfuXa6LmMgIUQeIt/k+vjcc4/v5dWhFWjPtOFKFjg6CzFislSUy7rAnz5u&#10;JucYGUskJUJJVuAHZvDV/PWry77LWawaJSjTCECkyfuuwI21XR4EpmxYS8yZ6piEn5XSLbEQ6jqg&#10;mvSA3oogDsNp0CtNO61KZgx8vR5+4rnHrypW2tuqMswiUWDgZv1b+/fWvYP5JclrTbqGl0ca5B9Y&#10;tIRLOPQEdU0sQTvNX0C1vNTKqMqelaoNVFXxkvkaoJoo/KWa+4Z0zNcC4pjuJJP5f7Dlh/2dRpwW&#10;OIsxkqSFHt3uiUAQgjZ9Z3JIue/utKvOdDeq/GKQVKuGyJottFZ9wwgFRpHLD55tcIGBrWjbv1cU&#10;kMnOKi/TodItqgTv3rqNDhqkQAffl4dTX9jBohI+RvFFGiXQvhL+Rck0SlPfuYDkDsht77Sxb5hq&#10;kVsUmAnANk47kpP9jbGO21OWr0UJTjdcCB/oersSGkHloMTyYnmd+XKg5HGakKgvcJylIZAhogbL&#10;l1b7U57lmTFc6J/fwWm1k9Q70Gm4Pq4t4WJYA2MhHT3mnTyUAdHBwtJ/B4G8y74vNlk4S5PzyWyW&#10;JZM0WYeT5flmNVmsoul0tl6uluvohyMapXnDKWVy7THNo+mj9O9Mdbx+g11Ptj8RdKzUzjJ939Ae&#10;Ue6akWQXcYQhgHsXzwY1Ruohrexnbhvvdtd7h/FnBU/ovqOjg4MXtQ0ZB5AKlHxUzVvUuXJw91bR&#10;B3AocPDmg1EGi0bpbxj1MBYKbL7uiGYYiXcSXJ5Ms9kU5sg40ONgOw6ILAGqwBbc4pcrO8yeXad5&#10;3cBJg/mlWsDNqLi3qbs1Ayvg7QK4+r6C45hys2Uc+6ynYTr/CQAA//8DAFBLAwQUAAYACAAAACEA&#10;MQZfBeEAAAANAQAADwAAAGRycy9kb3ducmV2LnhtbEyPMW+DMBSE90r9D9ar1K2xCQFFFBORKu3Q&#10;qkOSdnfwC6DiZ4QdIP++ztSOpzvdfZdvZtOxEQfXWpIQLQQwpMrqlmoJX8fXpzUw5xVp1VlCCVd0&#10;sCnu73KVaTvRHseDr1koIZcpCY33fca5qxo0yi1sjxS8sx2M8kEONdeDmkK56fhSiJQb1VJYaFSP&#10;Lw1WP4eLkbArzcq+x9P3+W0s/e76sTWf1V7Kx4e5fAbmcfZ/YbjhB3QoAtPJXkg71gUdiyiwewnx&#10;Ko2A3SKJSFJgJwlJKhLgRc7/vyh+AQAA//8DAFBLAQItABQABgAIAAAAIQC2gziS/gAAAOEBAAAT&#10;AAAAAAAAAAAAAAAAAAAAAABbQ29udGVudF9UeXBlc10ueG1sUEsBAi0AFAAGAAgAAAAhADj9If/W&#10;AAAAlAEAAAsAAAAAAAAAAAAAAAAALwEAAF9yZWxzLy5yZWxzUEsBAi0AFAAGAAgAAAAhAIoMD3S3&#10;AgAAlAUAAA4AAAAAAAAAAAAAAAAALgIAAGRycy9lMm9Eb2MueG1sUEsBAi0AFAAGAAgAAAAhADEG&#10;XwXhAAAADQEAAA8AAAAAAAAAAAAAAAAAEQUAAGRycy9kb3ducmV2LnhtbFBLBQYAAAAABAAEAPMA&#10;AAAfBgAAAAA=&#10;" fillcolor="#5b9bd5" strokeweight="2pt">
                <v:shadow color="black"/>
                <v:textbox inset="2.88pt,2.88pt,2.88pt,2.88pt"/>
              </v:oval>
            </w:pict>
          </mc:Fallback>
        </mc:AlternateContent>
      </w:r>
      <w:r w:rsidR="000F16EB">
        <w:t>Hot Water Tank</w:t>
      </w:r>
      <w:bookmarkEnd w:id="111"/>
      <w:r w:rsidR="000F16EB">
        <w:t xml:space="preserve"> Thermal Energy Storage</w:t>
      </w:r>
      <w:bookmarkEnd w:id="112"/>
    </w:p>
    <w:p w14:paraId="36474A8F" w14:textId="65A4AE03" w:rsidR="000F16EB" w:rsidRDefault="000F16EB" w:rsidP="000F16EB">
      <w:r>
        <w:t xml:space="preserve">HWTs store energy in the form of sensible heat </w:t>
      </w:r>
      <w:r>
        <w:fldChar w:fldCharType="begin" w:fldLock="1"/>
      </w:r>
      <w:r w:rsidR="002A6A73">
        <w:instrText>ADDIN CSL_CITATION {"citationItems":[{"id":"ITEM-1","itemData":{"DOI":"10.3390/su10010191","ISSN":"2071-1050","author":[{"dropping-particle":"","family":"Sarbu","given":"Ioan","non-dropping-particle":"","parse-names":false,"suffix":""},{"dropping-particle":"","family":"Sebarchievici","given":"Calin","non-dropping-particle":"","parse-names":false,"suffix":""}],"container-title":"Sustainability","id":"ITEM-1","issue":"1","issued":{"date-parts":[["2018"]]},"page":"191","title":"A Comprehensive Review of Thermal Energy Storage","type":"article-journal","volume":"10"},"uris":["http://www.mendeley.com/documents/?uuid=1b67936a-126d-452a-a4e4-f80b76350b3e"]}],"mendeley":{"formattedCitation":"(Sarbu and Sebarchievici, 2018)","plainTextFormattedCitation":"(Sarbu and Sebarchievici, 2018)","previouslyFormattedCitation":"(Sarbu and Sebarchievici, 2018)"},"properties":{"noteIndex":0},"schema":"https://github.com/citation-style-language/schema/raw/master/csl-citation.json"}</w:instrText>
      </w:r>
      <w:r>
        <w:fldChar w:fldCharType="separate"/>
      </w:r>
      <w:r w:rsidR="002A6A73" w:rsidRPr="002A6A73">
        <w:rPr>
          <w:noProof/>
        </w:rPr>
        <w:t>(Sarbu and Sebarchievici, 2018)</w:t>
      </w:r>
      <w:r>
        <w:fldChar w:fldCharType="end"/>
      </w:r>
      <w:r>
        <w:t xml:space="preserve">. Using water as the storage medium makes HWT based TES one of the cheapest options for storage. Using water, which is generally the HTF in a DHN, as the storage medium allows the HWT to be charged directly though HWTs can also be charged indirectly using heat exchangers (HEXs) </w:t>
      </w:r>
      <w:r>
        <w:fldChar w:fldCharType="begin" w:fldLock="1"/>
      </w:r>
      <w:r w:rsidR="002A6A73">
        <w:instrText>ADDIN CSL_CITATION {"citationItems":[{"id":"ITEM-1","itemData":{"author":[{"dropping-particle":"","family":"Delta Energy &amp; Environment Ltd","given":"","non-dropping-particle":"","parse-names":false,"suffix":""}],"id":"ITEM-1","issued":{"date-parts":[["2016"]]},"publisher-place":"London, England","title":"Evidence Gathering: Thermal Energy Storage (TES) Technologies","type":"report"},"uris":["http://www.mendeley.com/documents/?uuid=3ba07f6f-99b4-48b6-8dc4-f4ac814d94db"]}],"mendeley":{"formattedCitation":"(Delta Energy &amp; Environment Ltd, 2016)","plainTextFormattedCitation":"(Delta Energy &amp; Environment Ltd, 2016)","previouslyFormattedCitation":"(Delta Energy &amp; Environment Ltd, 2016)"},"properties":{"noteIndex":0},"schema":"https://github.com/citation-style-language/schema/raw/master/csl-citation.json"}</w:instrText>
      </w:r>
      <w:r>
        <w:fldChar w:fldCharType="separate"/>
      </w:r>
      <w:r w:rsidR="002A6A73" w:rsidRPr="002A6A73">
        <w:rPr>
          <w:noProof/>
        </w:rPr>
        <w:t>(Delta Energy &amp; Environment Ltd, 2016)</w:t>
      </w:r>
      <w:r>
        <w:fldChar w:fldCharType="end"/>
      </w:r>
      <w:r>
        <w:t xml:space="preserve">. When used in a DHN, HWTs are generally large tanks that are constructed using reinforced concrete or steel, with an insulation layer </w:t>
      </w:r>
      <w:r>
        <w:fldChar w:fldCharType="begin" w:fldLock="1"/>
      </w:r>
      <w:r w:rsidR="00FF4B5D">
        <w:instrText>ADDIN CSL_CITATION {"citationItems":[{"id":"ITEM-1","itemData":{"DOI":"10.13140/2.1.3857.6008","author":[{"dropping-particle":"","family":"Guadalfajara","given":"Mateo","non-dropping-particle":"","parse-names":false,"suffix":""},{"dropping-particle":"","family":"Lozano","given":"MA","non-dropping-particle":"","parse-names":false,"suffix":""},{"dropping-particle":"","family":"Serra","given":"LM","non-dropping-particle":"","parse-names":false,"suffix":""}],"container-title":"Eurotherm Seminar #99 Advances in Thermal Energy Storage","id":"ITEM-1","issue":"August","issued":{"date-parts":[["2014"]]},"page":"1-10","publisher-place":"Lleida, Spain","title":"Analysis of Large Thermal Energy Storage for Solar District Heating","type":"paper-conference"},"uris":["http://www.mendeley.com/documents/?uuid=84deb20e-6e67-4b08-a386-3bae6d9bb39e"]}],"mendeley":{"formattedCitation":"(Guadalfajara &lt;i&gt;et al.&lt;/i&gt;, 2014)","plainTextFormattedCitation":"(Guadalfajara et al., 2014)","previouslyFormattedCitation":"(Guadalfajara &lt;i&gt;et al.&lt;/i&gt;, 2014)"},"properties":{"noteIndex":0},"schema":"https://github.com/citation-style-language/schema/raw/master/csl-citation.json"}</w:instrText>
      </w:r>
      <w:r>
        <w:fldChar w:fldCharType="separate"/>
      </w:r>
      <w:r w:rsidR="005F544E" w:rsidRPr="005F544E">
        <w:rPr>
          <w:noProof/>
        </w:rPr>
        <w:t xml:space="preserve">(Guadalfajara </w:t>
      </w:r>
      <w:r w:rsidR="005F544E" w:rsidRPr="005F544E">
        <w:rPr>
          <w:i/>
          <w:noProof/>
        </w:rPr>
        <w:t>et al.</w:t>
      </w:r>
      <w:r w:rsidR="005F544E" w:rsidRPr="005F544E">
        <w:rPr>
          <w:noProof/>
        </w:rPr>
        <w:t>, 2014)</w:t>
      </w:r>
      <w:r>
        <w:fldChar w:fldCharType="end"/>
      </w:r>
      <w:r>
        <w:t>. The HWTs may be buried underground to alleviate stresses on the tank walls and can reach sizes of 12,000 m</w:t>
      </w:r>
      <w:r>
        <w:rPr>
          <w:vertAlign w:val="superscript"/>
        </w:rPr>
        <w:t>3</w:t>
      </w:r>
      <w:r>
        <w:t xml:space="preserve"> </w:t>
      </w:r>
      <w:r>
        <w:fldChar w:fldCharType="begin" w:fldLock="1"/>
      </w:r>
      <w:r w:rsidR="002A6A73">
        <w:instrText>ADDIN CSL_CITATION {"citationItems":[{"id":"ITEM-1","itemData":{"author":[{"dropping-particle":"","family":"Eames","given":"Philip","non-dropping-particle":"","parse-names":false,"suffix":""},{"dropping-particle":"","family":"Dennis","given":"Loveday","non-dropping-particle":"","parse-names":false,"suffix":""},{"dropping-particle":"","family":"Victoria","given":"Haines","non-dropping-particle":"","parse-names":false,"suffix":""},{"dropping-particle":"","family":"Romanos","given":"Panayiotis","non-dropping-particle":"","parse-names":false,"suffix":""}],"id":"ITEM-1","issued":{"date-parts":[["2014"]]},"publisher-place":"London, England","title":"The Future Role of Thermal Energy Storage in the UK Energy System: An Assessment of the Technical Feasibility and Factors Influencing Adoption - Research Report","type":"report"},"uris":["http://www.mendeley.com/documents/?uuid=ad0fec80-2266-45f0-a7aa-03c9a7b8a0cc"]}],"mendeley":{"formattedCitation":"(Eames &lt;i&gt;et al.&lt;/i&gt;, 2014)","plainTextFormattedCitation":"(Eames et al., 2014)","previouslyFormattedCitation":"(Eames &lt;i&gt;et al.&lt;/i&gt;, 2014)"},"properties":{"noteIndex":0},"schema":"https://github.com/citation-style-language/schema/raw/master/csl-citation.json"}</w:instrText>
      </w:r>
      <w:r>
        <w:fldChar w:fldCharType="separate"/>
      </w:r>
      <w:r w:rsidR="002A6A73" w:rsidRPr="002A6A73">
        <w:rPr>
          <w:noProof/>
        </w:rPr>
        <w:t xml:space="preserve">(Eames </w:t>
      </w:r>
      <w:r w:rsidR="002A6A73" w:rsidRPr="002A6A73">
        <w:rPr>
          <w:i/>
          <w:noProof/>
        </w:rPr>
        <w:t>et al.</w:t>
      </w:r>
      <w:r w:rsidR="002A6A73" w:rsidRPr="002A6A73">
        <w:rPr>
          <w:noProof/>
        </w:rPr>
        <w:t>, 2014)</w:t>
      </w:r>
      <w:r>
        <w:fldChar w:fldCharType="end"/>
      </w:r>
      <w:r>
        <w:t>.</w:t>
      </w:r>
    </w:p>
    <w:p w14:paraId="68041FAC" w14:textId="22CA58C0" w:rsidR="000F16EB" w:rsidRPr="00E64650" w:rsidRDefault="000F16EB" w:rsidP="000F16EB">
      <w:r>
        <w:t xml:space="preserve">HWTs can be stratified, where multiple layers, either horizontal or vertical, are created in the tank, as shown in </w:t>
      </w:r>
      <w:r>
        <w:fldChar w:fldCharType="begin"/>
      </w:r>
      <w:r>
        <w:instrText xml:space="preserve"> REF _Ref521931285 \h </w:instrText>
      </w:r>
      <w:r>
        <w:fldChar w:fldCharType="separate"/>
      </w:r>
      <w:r w:rsidR="00CB7456">
        <w:t xml:space="preserve">Figure </w:t>
      </w:r>
      <w:r w:rsidR="00CB7456">
        <w:rPr>
          <w:noProof/>
        </w:rPr>
        <w:t>2</w:t>
      </w:r>
      <w:r w:rsidR="00CB7456">
        <w:t>.</w:t>
      </w:r>
      <w:r w:rsidR="00CB7456">
        <w:rPr>
          <w:noProof/>
        </w:rPr>
        <w:t>3</w:t>
      </w:r>
      <w:r>
        <w:fldChar w:fldCharType="end"/>
      </w:r>
      <w:r>
        <w:t xml:space="preserve"> </w:t>
      </w:r>
      <w:r>
        <w:fldChar w:fldCharType="begin" w:fldLock="1"/>
      </w:r>
      <w:r w:rsidR="00FF4B5D">
        <w:instrText>ADDIN CSL_CITATION {"citationItems":[{"id":"ITEM-1","itemData":{"DOI":"10.1016/j.enbuild.2015.02.031","ISBN":"0378-7788","ISSN":"03787788","abstract":"In this study, four approaches to model stratification in thermal energy storage (TES) units with mixed-integer linear programs are introduced. These stratification models are compared with the widely utilized capacity model, in which TES units are modeled as homogeneous volumes. The approaches are verified with a use case consisting of a single building with a monovalent heating system comprising a combined heat and power (CHP) unit and a TES unit. The objective is the minimization of the total operational costs. The results conclude that both models, capacity and stratification models, generate electricity driven schedules. In the capacity model, the minimum energy content is typically set to a constant value, mostly zero, while the layered storage model allows for implementing more accurate restrictions, such as the required flow temperature based on the building's heating curve. Consequently, the capacity model overrates the system's efficiency, thus underestimating the operating costs by 6-7%.","author":[{"dropping-particle":"","family":"Schütz","given":"Thomas","non-dropping-particle":"","parse-names":false,"suffix":""},{"dropping-particle":"","family":"Streblow","given":"Rita","non-dropping-particle":"","parse-names":false,"suffix":""},{"dropping-particle":"","family":"Müller","given":"Dirk","non-dropping-particle":"","parse-names":false,"suffix":""}],"container-title":"Energy and Buildings","id":"ITEM-1","issued":{"date-parts":[["2015"]]},"page":"23-31","publisher":"Elsevier B.V.","title":"A comparison of thermal energy storage models for building energy system optimization","type":"article-journal","volume":"93"},"uris":["http://www.mendeley.com/documents/?uuid=82eaa1ee-ba34-473a-88cc-2a9bde072fef"]}],"mendeley":{"formattedCitation":"(Schütz &lt;i&gt;et al.&lt;/i&gt;, 2015)","plainTextFormattedCitation":"(Schütz et al., 2015)","previouslyFormattedCitation":"(Schütz &lt;i&gt;et al.&lt;/i&gt;, 2015)"},"properties":{"noteIndex":0},"schema":"https://github.com/citation-style-language/schema/raw/master/csl-citation.json"}</w:instrText>
      </w:r>
      <w:r>
        <w:fldChar w:fldCharType="separate"/>
      </w:r>
      <w:r w:rsidR="005F544E" w:rsidRPr="005F544E">
        <w:rPr>
          <w:noProof/>
        </w:rPr>
        <w:t xml:space="preserve">(Schütz </w:t>
      </w:r>
      <w:r w:rsidR="005F544E" w:rsidRPr="005F544E">
        <w:rPr>
          <w:i/>
          <w:noProof/>
        </w:rPr>
        <w:t>et al.</w:t>
      </w:r>
      <w:r w:rsidR="005F544E" w:rsidRPr="005F544E">
        <w:rPr>
          <w:noProof/>
        </w:rPr>
        <w:t>, 2015)</w:t>
      </w:r>
      <w:r>
        <w:fldChar w:fldCharType="end"/>
      </w:r>
      <w:r>
        <w:t xml:space="preserve">. Each stratified layer is assumed to have a constant mass and temperature and be perfectly mixed. Stratification is introduced to improve the efficiency of the tanks’ charging and discharging and can only be achieved in HWTs of a minimum height </w:t>
      </w:r>
      <w:r>
        <w:fldChar w:fldCharType="begin" w:fldLock="1"/>
      </w:r>
      <w:r w:rsidR="00DE54B7">
        <w:instrText>ADDIN CSL_CITATION {"citationItems":[{"id":"ITEM-1","itemData":{"author":[{"dropping-particle":"","family":"Eames","given":"Philip","non-dropping-particle":"","parse-names":false,"suffix":""},{"dropping-particle":"","family":"Dennis","given":"Loveday","non-dropping-particle":"","parse-names":false,"suffix":""},{"dropping-particle":"","family":"Victoria","given":"Haines","non-dropping-particle":"","parse-names":false,"suffix":""},{"dropping-particle":"","family":"Romanos","given":"Panayiotis","non-dropping-particle":"","parse-names":false,"suffix":""}],"id":"ITEM-1","issued":{"date-parts":[["2014"]]},"publisher-place":"London, England","title":"The Future Role of Thermal Energy Storage in the UK Energy System: An Assessment of the Technical Feasibility and Factors Influencing Adoption - Research Report","type":"report"},"uris":["http://www.mendeley.com/documents/?uuid=ad0fec80-2266-45f0-a7aa-03c9a7b8a0cc"]},{"id":"ITEM-2","itemData":{"DOI":"10.3390/su10010191","ISSN":"2071-1050","author":[{"dropping-particle":"","family":"Sarbu","given":"Ioan","non-dropping-particle":"","parse-names":false,"suffix":""},{"dropping-particle":"","family":"Sebarchievici","given":"Calin","non-dropping-particle":"","parse-names":false,"suffix":""}],"container-title":"Sustainability","id":"ITEM-2","issue":"1","issued":{"date-parts":[["2018"]]},"page":"191","title":"A Comprehensive Review of Thermal Energy Storage","type":"article-journal","volume":"10"},"uris":["http://www.mendeley.com/documents/?uuid=1b67936a-126d-452a-a4e4-f80b76350b3e"]}],"mendeley":{"formattedCitation":"(Eames &lt;i&gt;et al.&lt;/i&gt;, 2014; Sarbu and Sebarchievici, 2018)","plainTextFormattedCitation":"(Eames et al., 2014; Sarbu and Sebarchievici, 2018)","previouslyFormattedCitation":"(Eames &lt;i&gt;et al.&lt;/i&gt;, 2014; Sarbu and Sebarchievici, 2018)"},"properties":{"noteIndex":0},"schema":"https://github.com/citation-style-language/schema/raw/master/csl-citation.json"}</w:instrText>
      </w:r>
      <w:r>
        <w:fldChar w:fldCharType="separate"/>
      </w:r>
      <w:r w:rsidR="00DE54B7" w:rsidRPr="00DE54B7">
        <w:rPr>
          <w:noProof/>
        </w:rPr>
        <w:t xml:space="preserve">(Eames </w:t>
      </w:r>
      <w:r w:rsidR="00DE54B7" w:rsidRPr="00DE54B7">
        <w:rPr>
          <w:i/>
          <w:noProof/>
        </w:rPr>
        <w:t>et al.</w:t>
      </w:r>
      <w:r w:rsidR="00DE54B7" w:rsidRPr="00DE54B7">
        <w:rPr>
          <w:noProof/>
        </w:rPr>
        <w:t>, 2014; Sarbu and Sebarchievici, 2018)</w:t>
      </w:r>
      <w:r>
        <w:fldChar w:fldCharType="end"/>
      </w:r>
      <w:r>
        <w:t>.</w:t>
      </w:r>
    </w:p>
    <w:p w14:paraId="013FED85" w14:textId="746A0CCD" w:rsidR="000F16EB" w:rsidRDefault="00B75215" w:rsidP="000F16EB">
      <w:pPr>
        <w:keepNext/>
        <w:jc w:val="center"/>
      </w:pPr>
      <w:r>
        <w:rPr>
          <w:noProof/>
        </w:rPr>
        <w:drawing>
          <wp:inline distT="0" distB="0" distL="0" distR="0" wp14:anchorId="237A0564" wp14:editId="2C49AB9F">
            <wp:extent cx="1800000" cy="1226933"/>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1.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800000" cy="1226933"/>
                    </a:xfrm>
                    <a:prstGeom prst="rect">
                      <a:avLst/>
                    </a:prstGeom>
                  </pic:spPr>
                </pic:pic>
              </a:graphicData>
            </a:graphic>
          </wp:inline>
        </w:drawing>
      </w:r>
    </w:p>
    <w:p w14:paraId="0C87A73D" w14:textId="4297E4FB" w:rsidR="000F16EB" w:rsidRPr="00012547" w:rsidRDefault="000F16EB" w:rsidP="000F16EB">
      <w:pPr>
        <w:pStyle w:val="Caption"/>
      </w:pPr>
      <w:bookmarkStart w:id="113" w:name="_Ref521931285"/>
      <w:bookmarkStart w:id="114" w:name="_Toc525230069"/>
      <w:bookmarkStart w:id="115" w:name="_Toc7187617"/>
      <w:r>
        <w:t xml:space="preserve">Figure </w:t>
      </w:r>
      <w:fldSimple w:instr=" STYLEREF 1 \s ">
        <w:r w:rsidR="00CB7456">
          <w:rPr>
            <w:noProof/>
          </w:rPr>
          <w:t>2</w:t>
        </w:r>
      </w:fldSimple>
      <w:r w:rsidR="007B29C3">
        <w:t>.</w:t>
      </w:r>
      <w:fldSimple w:instr=" SEQ Figure \* ARABIC \s 1 ">
        <w:r w:rsidR="00CB7456">
          <w:rPr>
            <w:noProof/>
          </w:rPr>
          <w:t>3</w:t>
        </w:r>
      </w:fldSimple>
      <w:bookmarkEnd w:id="113"/>
      <w:r>
        <w:rPr>
          <w:noProof/>
        </w:rPr>
        <w:t>:</w:t>
      </w:r>
      <w:r>
        <w:t xml:space="preserve"> Stratified </w:t>
      </w:r>
      <w:r w:rsidRPr="00E15B8E">
        <w:t xml:space="preserve">layers in </w:t>
      </w:r>
      <w:r w:rsidRPr="006A7FED">
        <w:t>a HWT</w:t>
      </w:r>
      <w:r w:rsidR="00B75215">
        <w:t>, adapted from</w:t>
      </w:r>
      <w:r w:rsidRPr="006A7FED">
        <w:t xml:space="preserve"> </w:t>
      </w:r>
      <w:r w:rsidRPr="006A7FED">
        <w:fldChar w:fldCharType="begin" w:fldLock="1"/>
      </w:r>
      <w:r w:rsidR="00FF4B5D" w:rsidRPr="006A7FED">
        <w:instrText>ADDIN CSL_CITATION {"citationItems":[{"id":"ITEM-1","itemData":{"DOI":"10.1016/j.enbuild.2015.02.031","ISBN":"0378-7788","ISSN":"03787788","abstract":"In this study, four approaches to model stratification in thermal energy storage (TES) units with mixed-integer linear programs are introduced. These stratification models are compared with the widely utilized capacity model, in which TES units are modeled as homogeneous volumes. The approaches are verified with a use case consisting of a single building with a monovalent heating system comprising a combined heat and power (CHP) unit and a TES unit. The objective is the minimization of the total operational costs. The results conclude that both models, capacity and stratification models, generate electricity driven schedules. In the capacity model, the minimum energy content is typically set to a constant value, mostly zero, while the layered storage model allows for implementing more accurate restrictions, such as the required flow temperature based on the building's heating curve. Consequently, the capacity model overrates the system's efficiency, thus underestimating the operating costs by 6-7%.","author":[{"dropping-particle":"","family":"Schütz","given":"Thomas","non-dropping-particle":"","parse-names":false,"suffix":""},{"dropping-particle":"","family":"Streblow","given":"Rita","non-dropping-particle":"","parse-names":false,"suffix":""},{"dropping-particle":"","family":"Müller","given":"Dirk","non-dropping-particle":"","parse-names":false,"suffix":""}],"container-title":"Energy and Buildings","id":"ITEM-1","issued":{"date-parts":[["2015"]]},"page":"23-31","publisher":"Elsevier B.V.","title":"A comparison of thermal energy storage models for building energy system optimization","type":"article-journal","volume":"93"},"uris":["http://www.mendeley.com/documents/?uuid=82eaa1ee-ba34-473a-88cc-2a9bde072fef"]}],"mendeley":{"formattedCitation":"(Schütz &lt;i&gt;et al.&lt;/i&gt;, 2015)","plainTextFormattedCitation":"(Schütz et al., 2015)","previouslyFormattedCitation":"(Schütz &lt;i&gt;et al.&lt;/i&gt;, 2015)"},"properties":{"noteIndex":0},"schema":"https://github.com/citation-style-language/schema/raw/master/csl-citation.json"}</w:instrText>
      </w:r>
      <w:r w:rsidRPr="006A7FED">
        <w:fldChar w:fldCharType="separate"/>
      </w:r>
      <w:r w:rsidR="005F544E" w:rsidRPr="006A7FED">
        <w:rPr>
          <w:noProof/>
        </w:rPr>
        <w:t xml:space="preserve">(Schütz </w:t>
      </w:r>
      <w:r w:rsidR="005F544E" w:rsidRPr="006A7FED">
        <w:rPr>
          <w:i/>
          <w:noProof/>
        </w:rPr>
        <w:t>et al.</w:t>
      </w:r>
      <w:r w:rsidR="005F544E" w:rsidRPr="006A7FED">
        <w:rPr>
          <w:noProof/>
        </w:rPr>
        <w:t>, 2015)</w:t>
      </w:r>
      <w:r w:rsidRPr="006A7FED">
        <w:fldChar w:fldCharType="end"/>
      </w:r>
      <w:r w:rsidRPr="006A7FED">
        <w:t>.</w:t>
      </w:r>
      <w:bookmarkEnd w:id="114"/>
      <w:bookmarkEnd w:id="115"/>
    </w:p>
    <w:p w14:paraId="4B27912C" w14:textId="77777777" w:rsidR="000F16EB" w:rsidRDefault="000F16EB" w:rsidP="000F16EB">
      <w:pPr>
        <w:pStyle w:val="Heading4"/>
      </w:pPr>
      <w:bookmarkStart w:id="116" w:name="_Toc522192716"/>
      <w:bookmarkStart w:id="117" w:name="_Toc7187446"/>
      <w:r>
        <w:t>Chemical Energy Storage</w:t>
      </w:r>
      <w:bookmarkEnd w:id="116"/>
      <w:bookmarkEnd w:id="117"/>
    </w:p>
    <w:p w14:paraId="47F92B4C" w14:textId="2D638ECB" w:rsidR="000F16EB" w:rsidRDefault="000F16EB" w:rsidP="000F16EB">
      <w:r>
        <w:t xml:space="preserve">Chemical energy storage (CES) stores TE in the form of chemical potential energy using stable chemical substances </w:t>
      </w:r>
      <w:r>
        <w:fldChar w:fldCharType="begin" w:fldLock="1"/>
      </w:r>
      <w:r w:rsidR="002A6A73">
        <w:instrText>ADDIN CSL_CITATION {"citationItems":[{"id":"ITEM-1","itemData":{"DOI":"10.1016/j.rser.2014.11.015","ISBN":"1364-0321","ISSN":"13640321","abstract":"Thermal energy storage is a necessary technology for the application of renewable energy and low-grade thermal energy. Chemical heat storage has been proved to be a feasible and promising method to store thermal energy. As compared to other thermal energy storage methods, chemical heat storage exhibits high energy storage density as well as feasibility for long-duration energy storage. In this paper, the basic principle of the chemical heat storage is firstly elaborated. Then the selection criteria of the chemical reaction are given. The aim of this review is to provide an insight into the promising candidate reactions for chemical heat storage application. The associated reversible chemical reactions available for thermal energy storage systems are summarized. Ongoing research and development studies illustrate that chemical heat storage is a very favorable option for the different application when diverse promising candidate reactions are selected. As working temperature is one of the key parameters for thermal energy storage systems, emphasis is given to the judgment of application temperature range for chemical heat storage. The determination of applicative temperature range of reversible chemical reactions is discussed. Besides, the challenge and prospect of the chemical heat storage technology are analyzed in the paper.","author":[{"dropping-particle":"","family":"Yan","given":"T.","non-dropping-particle":"","parse-names":false,"suffix":""},{"dropping-particle":"","family":"Wang","given":"R. Z.","non-dropping-particle":"","parse-names":false,"suffix":""},{"dropping-particle":"","family":"Li","given":"T. X.","non-dropping-particle":"","parse-names":false,"suffix":""},{"dropping-particle":"","family":"Wang","given":"L. W.","non-dropping-particle":"","parse-names":false,"suffix":""},{"dropping-particle":"","family":"Fred","given":"Ishugah T.","non-dropping-particle":"","parse-names":false,"suffix":""}],"container-title":"Renewable and Sustainable Energy Reviews","id":"ITEM-1","issued":{"date-parts":[["2015"]]},"page":"13-31","title":"A review of promising candidate reactions for chemical heat storage","type":"article-journal","volume":"43"},"uris":["http://www.mendeley.com/documents/?uuid=f1a549e3-1903-433d-8a99-ba8c74d9dad2"]}],"mendeley":{"formattedCitation":"(Yan &lt;i&gt;et al.&lt;/i&gt;, 2015)","plainTextFormattedCitation":"(Yan et al., 2015)","previouslyFormattedCitation":"(Yan &lt;i&gt;et al.&lt;/i&gt;, 2015)"},"properties":{"noteIndex":0},"schema":"https://github.com/citation-style-language/schema/raw/master/csl-citation.json"}</w:instrText>
      </w:r>
      <w:r>
        <w:fldChar w:fldCharType="separate"/>
      </w:r>
      <w:r w:rsidR="002A6A73" w:rsidRPr="002A6A73">
        <w:rPr>
          <w:noProof/>
        </w:rPr>
        <w:t xml:space="preserve">(Yan </w:t>
      </w:r>
      <w:r w:rsidR="002A6A73" w:rsidRPr="002A6A73">
        <w:rPr>
          <w:i/>
          <w:noProof/>
        </w:rPr>
        <w:t>et al.</w:t>
      </w:r>
      <w:r w:rsidR="002A6A73" w:rsidRPr="002A6A73">
        <w:rPr>
          <w:noProof/>
        </w:rPr>
        <w:t>, 2015)</w:t>
      </w:r>
      <w:r>
        <w:fldChar w:fldCharType="end"/>
      </w:r>
      <w:r>
        <w:t xml:space="preserve">. The chemical substances undergo cycles of endothermic and exothermic reversible reactions, alternatively storing and releasing TE. Ideal CES substances will: </w:t>
      </w:r>
    </w:p>
    <w:p w14:paraId="3CFEF0C1" w14:textId="2E991A39" w:rsidR="000F16EB" w:rsidRDefault="000F16EB" w:rsidP="00202E44">
      <w:pPr>
        <w:pStyle w:val="ListParagraph"/>
        <w:numPr>
          <w:ilvl w:val="0"/>
          <w:numId w:val="12"/>
        </w:numPr>
      </w:pPr>
      <w:r>
        <w:t>React at moderate temperatures, with a high level of reaction heat.</w:t>
      </w:r>
    </w:p>
    <w:p w14:paraId="1B66F668" w14:textId="77777777" w:rsidR="000F16EB" w:rsidRDefault="000F16EB" w:rsidP="00202E44">
      <w:pPr>
        <w:pStyle w:val="ListParagraph"/>
        <w:numPr>
          <w:ilvl w:val="0"/>
          <w:numId w:val="12"/>
        </w:numPr>
      </w:pPr>
      <w:r>
        <w:t>Be easily reversible, without undergoing a secondary reaction.</w:t>
      </w:r>
    </w:p>
    <w:p w14:paraId="5807A289" w14:textId="77777777" w:rsidR="000F16EB" w:rsidRDefault="000F16EB" w:rsidP="00202E44">
      <w:pPr>
        <w:pStyle w:val="ListParagraph"/>
        <w:numPr>
          <w:ilvl w:val="0"/>
          <w:numId w:val="12"/>
        </w:numPr>
      </w:pPr>
      <w:r>
        <w:t>React quickly enough, in both directions, to allow for prompt charging and discharging.</w:t>
      </w:r>
    </w:p>
    <w:p w14:paraId="37F348CC" w14:textId="77777777" w:rsidR="000F16EB" w:rsidRDefault="000F16EB" w:rsidP="00202E44">
      <w:pPr>
        <w:pStyle w:val="ListParagraph"/>
        <w:numPr>
          <w:ilvl w:val="0"/>
          <w:numId w:val="12"/>
        </w:numPr>
      </w:pPr>
      <w:r>
        <w:t>Be easily separable from the reaction products.</w:t>
      </w:r>
    </w:p>
    <w:p w14:paraId="0B3C8A96" w14:textId="77777777" w:rsidR="000F16EB" w:rsidRDefault="000F16EB" w:rsidP="00202E44">
      <w:pPr>
        <w:pStyle w:val="ListParagraph"/>
        <w:numPr>
          <w:ilvl w:val="0"/>
          <w:numId w:val="12"/>
        </w:numPr>
      </w:pPr>
      <w:r>
        <w:t>Be stable in storage.</w:t>
      </w:r>
    </w:p>
    <w:p w14:paraId="2C9D531E" w14:textId="77777777" w:rsidR="000F16EB" w:rsidRDefault="000F16EB" w:rsidP="00202E44">
      <w:pPr>
        <w:pStyle w:val="ListParagraph"/>
        <w:numPr>
          <w:ilvl w:val="0"/>
          <w:numId w:val="12"/>
        </w:numPr>
      </w:pPr>
      <w:r>
        <w:t>Be non-corrosive, non-toxic, non-flammable and non-explosive.</w:t>
      </w:r>
    </w:p>
    <w:p w14:paraId="2A8A6956" w14:textId="77777777" w:rsidR="000F16EB" w:rsidRDefault="000F16EB" w:rsidP="00202E44">
      <w:pPr>
        <w:pStyle w:val="ListParagraph"/>
        <w:numPr>
          <w:ilvl w:val="0"/>
          <w:numId w:val="12"/>
        </w:numPr>
      </w:pPr>
      <w:r>
        <w:t>Only undergo small volume changes during reaction.</w:t>
      </w:r>
    </w:p>
    <w:p w14:paraId="1AF7CE01" w14:textId="77777777" w:rsidR="000F16EB" w:rsidRDefault="000F16EB" w:rsidP="00202E44">
      <w:pPr>
        <w:pStyle w:val="ListParagraph"/>
        <w:numPr>
          <w:ilvl w:val="0"/>
          <w:numId w:val="12"/>
        </w:numPr>
      </w:pPr>
      <w:r>
        <w:t>Be abundant and cheap.</w:t>
      </w:r>
    </w:p>
    <w:p w14:paraId="2FA6B3F6" w14:textId="77777777" w:rsidR="000F16EB" w:rsidRDefault="000F16EB" w:rsidP="000F16EB">
      <w:pPr>
        <w:pStyle w:val="Heading4"/>
      </w:pPr>
      <w:bookmarkStart w:id="118" w:name="_Toc522192717"/>
      <w:bookmarkStart w:id="119" w:name="_Toc7187447"/>
      <w:r>
        <w:lastRenderedPageBreak/>
        <w:t>Phase Change Materials</w:t>
      </w:r>
      <w:bookmarkEnd w:id="118"/>
      <w:bookmarkEnd w:id="119"/>
    </w:p>
    <w:p w14:paraId="2952B5AB" w14:textId="66AD792F" w:rsidR="000F16EB" w:rsidRDefault="000F16EB" w:rsidP="000F16EB">
      <w:r>
        <w:t xml:space="preserve">PCMs store TE as latent heat that is generated during phase change, normally solid to liquid </w:t>
      </w:r>
      <w:r>
        <w:fldChar w:fldCharType="begin" w:fldLock="1"/>
      </w:r>
      <w:r w:rsidR="002A6A73">
        <w:instrText>ADDIN CSL_CITATION {"citationItems":[{"id":"ITEM-1","itemData":{"author":[{"dropping-particle":"","family":"Delta Energy &amp; Environment Ltd","given":"","non-dropping-particle":"","parse-names":false,"suffix":""}],"id":"ITEM-1","issued":{"date-parts":[["2016"]]},"publisher-place":"London, England","title":"Evidence Gathering: Thermal Energy Storage (TES) Technologies","type":"report"},"uris":["http://www.mendeley.com/documents/?uuid=3ba07f6f-99b4-48b6-8dc4-f4ac814d94db"]}],"mendeley":{"formattedCitation":"(Delta Energy &amp; Environment Ltd, 2016)","plainTextFormattedCitation":"(Delta Energy &amp; Environment Ltd, 2016)","previouslyFormattedCitation":"(Delta Energy &amp; Environment Ltd, 2016)"},"properties":{"noteIndex":0},"schema":"https://github.com/citation-style-language/schema/raw/master/csl-citation.json"}</w:instrText>
      </w:r>
      <w:r>
        <w:fldChar w:fldCharType="separate"/>
      </w:r>
      <w:r w:rsidR="002A6A73" w:rsidRPr="002A6A73">
        <w:rPr>
          <w:noProof/>
        </w:rPr>
        <w:t>(Delta Energy &amp; Environment Ltd, 2016)</w:t>
      </w:r>
      <w:r>
        <w:fldChar w:fldCharType="end"/>
      </w:r>
      <w:r>
        <w:t xml:space="preserve">. PCMs can belong to one of three different groups: paraffins, fatty acids, and salt hydrates </w:t>
      </w:r>
      <w:r>
        <w:fldChar w:fldCharType="begin" w:fldLock="1"/>
      </w:r>
      <w:r w:rsidR="002A6A73">
        <w:instrText>ADDIN CSL_CITATION {"citationItems":[{"id":"ITEM-1","itemData":{"DOI":"10.1016/j.enbuild.2015.06.007","ISBN":"3497300357","ISSN":"03787788","abstract":"It is well known that there is a need to develop technologies to achieve thermal comfort in buildings lowering the cooling and heating demand. Research has shown that thermal energy storage (TES) is a way to do so, but also other purposes can be pursued when using TES in buildings, such as peak shaving or increase of energy efficiency in HVAC systems. This paper reviews TES in buildings using sensible, latent heat and thermochemical energy storage. Sustainable heating and cooling with TES in buildings can be achieved through passive systems in building envelopes, Phase Change Materials (PCM) in active systems, sorption systems, and seasonal storage.","author":[{"dropping-particle":"","family":"Gracia","given":"Alvaro","non-dropping-particle":"De","parse-names":false,"suffix":""},{"dropping-particle":"","family":"Cabeza","given":"Luisa F.","non-dropping-particle":"","parse-names":false,"suffix":""}],"container-title":"Energy and Buildings","id":"ITEM-1","issued":{"date-parts":[["2015"]]},"page":"414-419","publisher":"Elsevier B.V.","title":"Phase change materials and thermal energy storage for buildings","type":"article-journal","volume":"103"},"uris":["http://www.mendeley.com/documents/?uuid=e2f4d89e-6dec-4b78-ad80-e783b0e4f23d"]}],"mendeley":{"formattedCitation":"(De Gracia and Cabeza, 2015)","plainTextFormattedCitation":"(De Gracia and Cabeza, 2015)","previouslyFormattedCitation":"(De Gracia and Cabeza, 2015)"},"properties":{"noteIndex":0},"schema":"https://github.com/citation-style-language/schema/raw/master/csl-citation.json"}</w:instrText>
      </w:r>
      <w:r>
        <w:fldChar w:fldCharType="separate"/>
      </w:r>
      <w:r w:rsidR="002A6A73" w:rsidRPr="002A6A73">
        <w:rPr>
          <w:noProof/>
        </w:rPr>
        <w:t>(De Gracia and Cabeza, 2015)</w:t>
      </w:r>
      <w:r>
        <w:fldChar w:fldCharType="end"/>
      </w:r>
      <w:r>
        <w:t xml:space="preserve">. Paraffins and fatty acids do not experience subcooling, but only experience small amounts of hysteresis and are stable in cycling. Paraffins and fatty acids must be encapsulated or stabilised to prevent fire hazards and improve upon their low thermal conductivity. Salt hydrates generally are not used due to the segregation that occurs after cycling. Ideal PCMs will </w:t>
      </w:r>
      <w:r>
        <w:fldChar w:fldCharType="begin" w:fldLock="1"/>
      </w:r>
      <w:r w:rsidR="002A6A73">
        <w:instrText>ADDIN CSL_CITATION {"citationItems":[{"id":"ITEM-1","itemData":{"author":[{"dropping-particle":"","family":"Eames","given":"Philip","non-dropping-particle":"","parse-names":false,"suffix":""},{"dropping-particle":"","family":"Dennis","given":"Loveday","non-dropping-particle":"","parse-names":false,"suffix":""},{"dropping-particle":"","family":"Victoria","given":"Haines","non-dropping-particle":"","parse-names":false,"suffix":""},{"dropping-particle":"","family":"Romanos","given":"Panayiotis","non-dropping-particle":"","parse-names":false,"suffix":""}],"id":"ITEM-1","issued":{"date-parts":[["2014"]]},"publisher-place":"London, England","title":"The Future Role of Thermal Energy Storage in the UK Energy System: An Assessment of the Technical Feasibility and Factors Influencing Adoption - Research Report","type":"report"},"uris":["http://www.mendeley.com/documents/?uuid=ad0fec80-2266-45f0-a7aa-03c9a7b8a0cc"]}],"mendeley":{"formattedCitation":"(Eames &lt;i&gt;et al.&lt;/i&gt;, 2014)","plainTextFormattedCitation":"(Eames et al., 2014)","previouslyFormattedCitation":"(Eames &lt;i&gt;et al.&lt;/i&gt;, 2014)"},"properties":{"noteIndex":0},"schema":"https://github.com/citation-style-language/schema/raw/master/csl-citation.json"}</w:instrText>
      </w:r>
      <w:r>
        <w:fldChar w:fldCharType="separate"/>
      </w:r>
      <w:r w:rsidR="002A6A73" w:rsidRPr="002A6A73">
        <w:rPr>
          <w:noProof/>
        </w:rPr>
        <w:t xml:space="preserve">(Eames </w:t>
      </w:r>
      <w:r w:rsidR="002A6A73" w:rsidRPr="002A6A73">
        <w:rPr>
          <w:i/>
          <w:noProof/>
        </w:rPr>
        <w:t>et al.</w:t>
      </w:r>
      <w:r w:rsidR="002A6A73" w:rsidRPr="002A6A73">
        <w:rPr>
          <w:noProof/>
        </w:rPr>
        <w:t>, 2014)</w:t>
      </w:r>
      <w:r>
        <w:fldChar w:fldCharType="end"/>
      </w:r>
      <w:r>
        <w:t>:</w:t>
      </w:r>
    </w:p>
    <w:p w14:paraId="651017AB" w14:textId="77777777" w:rsidR="000F16EB" w:rsidRDefault="000F16EB" w:rsidP="00202E44">
      <w:pPr>
        <w:pStyle w:val="ListParagraph"/>
        <w:numPr>
          <w:ilvl w:val="0"/>
          <w:numId w:val="13"/>
        </w:numPr>
      </w:pPr>
      <w:r>
        <w:t>Undergo phase change in the desired temperature range.</w:t>
      </w:r>
    </w:p>
    <w:p w14:paraId="3568DDF4" w14:textId="77777777" w:rsidR="000F16EB" w:rsidRDefault="000F16EB" w:rsidP="00202E44">
      <w:pPr>
        <w:pStyle w:val="ListParagraph"/>
        <w:numPr>
          <w:ilvl w:val="0"/>
          <w:numId w:val="14"/>
        </w:numPr>
        <w:spacing w:after="160" w:line="259" w:lineRule="auto"/>
        <w:jc w:val="left"/>
      </w:pPr>
      <w:r>
        <w:t>Have a high latent heat of fusion per unit mass or volume.</w:t>
      </w:r>
    </w:p>
    <w:p w14:paraId="1317A386" w14:textId="77777777" w:rsidR="000F16EB" w:rsidRDefault="000F16EB" w:rsidP="00202E44">
      <w:pPr>
        <w:pStyle w:val="ListParagraph"/>
        <w:numPr>
          <w:ilvl w:val="0"/>
          <w:numId w:val="14"/>
        </w:numPr>
        <w:spacing w:after="160" w:line="259" w:lineRule="auto"/>
        <w:jc w:val="left"/>
      </w:pPr>
      <w:r>
        <w:t>Have a high specific heat capacity, to provide additional sensible heat storage.</w:t>
      </w:r>
    </w:p>
    <w:p w14:paraId="0CE902E8" w14:textId="77777777" w:rsidR="000F16EB" w:rsidRDefault="000F16EB" w:rsidP="00202E44">
      <w:pPr>
        <w:pStyle w:val="ListParagraph"/>
        <w:numPr>
          <w:ilvl w:val="0"/>
          <w:numId w:val="14"/>
        </w:numPr>
        <w:spacing w:after="160" w:line="259" w:lineRule="auto"/>
        <w:jc w:val="left"/>
      </w:pPr>
      <w:r>
        <w:t>Have a high thermal conductivity, to enable effective charging and discharging.</w:t>
      </w:r>
    </w:p>
    <w:p w14:paraId="62212CBC" w14:textId="77777777" w:rsidR="000F16EB" w:rsidRDefault="000F16EB" w:rsidP="00202E44">
      <w:pPr>
        <w:pStyle w:val="ListParagraph"/>
        <w:numPr>
          <w:ilvl w:val="0"/>
          <w:numId w:val="14"/>
        </w:numPr>
        <w:spacing w:after="160" w:line="259" w:lineRule="auto"/>
        <w:jc w:val="left"/>
      </w:pPr>
      <w:r>
        <w:t>Undergo little volume change during phase change, to reduce required the space for expansion.</w:t>
      </w:r>
    </w:p>
    <w:p w14:paraId="2DBE19D1" w14:textId="77777777" w:rsidR="000F16EB" w:rsidRDefault="000F16EB" w:rsidP="00202E44">
      <w:pPr>
        <w:pStyle w:val="ListParagraph"/>
        <w:numPr>
          <w:ilvl w:val="0"/>
          <w:numId w:val="14"/>
        </w:numPr>
        <w:spacing w:after="160" w:line="259" w:lineRule="auto"/>
        <w:jc w:val="left"/>
      </w:pPr>
      <w:r>
        <w:t>Experience little or no sub-cooling during freezing.</w:t>
      </w:r>
    </w:p>
    <w:p w14:paraId="70F12184" w14:textId="77777777" w:rsidR="000F16EB" w:rsidRDefault="000F16EB" w:rsidP="00202E44">
      <w:pPr>
        <w:pStyle w:val="ListParagraph"/>
        <w:numPr>
          <w:ilvl w:val="0"/>
          <w:numId w:val="14"/>
        </w:numPr>
        <w:spacing w:after="160" w:line="259" w:lineRule="auto"/>
        <w:jc w:val="left"/>
      </w:pPr>
      <w:r>
        <w:t>Experience chemical stability, with no degradation over multiple cycles and low or no reactivity with encapsulants.</w:t>
      </w:r>
    </w:p>
    <w:p w14:paraId="6D9FC6CD" w14:textId="77777777" w:rsidR="000F16EB" w:rsidRDefault="000F16EB" w:rsidP="00202E44">
      <w:pPr>
        <w:pStyle w:val="ListParagraph"/>
        <w:numPr>
          <w:ilvl w:val="0"/>
          <w:numId w:val="14"/>
        </w:numPr>
        <w:spacing w:after="160" w:line="259" w:lineRule="auto"/>
        <w:jc w:val="left"/>
      </w:pPr>
      <w:r>
        <w:t>Be non-poisonous, non-flammable, and non-explosive.</w:t>
      </w:r>
    </w:p>
    <w:p w14:paraId="259A9E6F" w14:textId="77777777" w:rsidR="000F16EB" w:rsidRDefault="000F16EB" w:rsidP="00202E44">
      <w:pPr>
        <w:pStyle w:val="ListParagraph"/>
        <w:numPr>
          <w:ilvl w:val="0"/>
          <w:numId w:val="14"/>
        </w:numPr>
        <w:spacing w:after="160" w:line="259" w:lineRule="auto"/>
        <w:jc w:val="left"/>
      </w:pPr>
      <w:r>
        <w:t>Be abundant and cheap.</w:t>
      </w:r>
    </w:p>
    <w:p w14:paraId="37BCDAD2" w14:textId="77777777" w:rsidR="000F16EB" w:rsidRDefault="000F16EB" w:rsidP="000F16EB">
      <w:pPr>
        <w:pStyle w:val="Heading4"/>
      </w:pPr>
      <w:bookmarkStart w:id="120" w:name="_Toc522192718"/>
      <w:bookmarkStart w:id="121" w:name="_Toc7187448"/>
      <w:r>
        <w:t>Borehole Thermal Energy Storage</w:t>
      </w:r>
      <w:bookmarkEnd w:id="120"/>
      <w:bookmarkEnd w:id="121"/>
    </w:p>
    <w:p w14:paraId="6323839A" w14:textId="0D942E3B" w:rsidR="000F16EB" w:rsidRDefault="000F16EB" w:rsidP="000F16EB">
      <w:r w:rsidRPr="00744CFB">
        <w:t xml:space="preserve">Borehole, or duct, TES stores </w:t>
      </w:r>
      <w:r>
        <w:t>TE as sensible energy in</w:t>
      </w:r>
      <w:r w:rsidRPr="00744CFB">
        <w:t xml:space="preserve"> vertical</w:t>
      </w:r>
      <w:r>
        <w:t>, or horizontal,</w:t>
      </w:r>
      <w:r w:rsidRPr="00744CFB">
        <w:t xml:space="preserve"> ducts that are inserted under the ground</w:t>
      </w:r>
      <w:r>
        <w:t xml:space="preserve"> </w:t>
      </w:r>
      <w:r>
        <w:fldChar w:fldCharType="begin" w:fldLock="1"/>
      </w:r>
      <w:r w:rsidR="002A6A73">
        <w:instrText>ADDIN CSL_CITATION {"citationItems":[{"id":"ITEM-1","itemData":{"author":[{"dropping-particle":"","family":"Delta Energy &amp; Environment Ltd","given":"","non-dropping-particle":"","parse-names":false,"suffix":""}],"id":"ITEM-1","issued":{"date-parts":[["2016"]]},"publisher-place":"London, England","title":"Evidence Gathering: Thermal Energy Storage (TES) Technologies","type":"report"},"uris":["http://www.mendeley.com/documents/?uuid=3ba07f6f-99b4-48b6-8dc4-f4ac814d94db"]}],"mendeley":{"formattedCitation":"(Delta Energy &amp; Environment Ltd, 2016)","plainTextFormattedCitation":"(Delta Energy &amp; Environment Ltd, 2016)","previouslyFormattedCitation":"(Delta Energy &amp; Environment Ltd, 2016)"},"properties":{"noteIndex":0},"schema":"https://github.com/citation-style-language/schema/raw/master/csl-citation.json"}</w:instrText>
      </w:r>
      <w:r>
        <w:fldChar w:fldCharType="separate"/>
      </w:r>
      <w:r w:rsidR="002A6A73" w:rsidRPr="002A6A73">
        <w:rPr>
          <w:noProof/>
        </w:rPr>
        <w:t>(Delta Energy &amp; Environment Ltd, 2016)</w:t>
      </w:r>
      <w:r>
        <w:fldChar w:fldCharType="end"/>
      </w:r>
      <w:r w:rsidRPr="00744CFB">
        <w:t xml:space="preserve">. </w:t>
      </w:r>
      <w:r>
        <w:t xml:space="preserve">Vertical, or horizontal, HEXs are used to charge and discharge the systems. Borehole based TES does not require the installation of large quantities of new infrastructure, so the technology is relatively cheap </w:t>
      </w:r>
      <w:r>
        <w:fldChar w:fldCharType="begin" w:fldLock="1"/>
      </w:r>
      <w:r w:rsidR="00FF4B5D">
        <w:instrText>ADDIN CSL_CITATION {"citationItems":[{"id":"ITEM-1","itemData":{"DOI":"10.13140/2.1.3857.6008","author":[{"dropping-particle":"","family":"Guadalfajara","given":"Mateo","non-dropping-particle":"","parse-names":false,"suffix":""},{"dropping-particle":"","family":"Lozano","given":"MA","non-dropping-particle":"","parse-names":false,"suffix":""},{"dropping-particle":"","family":"Serra","given":"LM","non-dropping-particle":"","parse-names":false,"suffix":""}],"container-title":"Eurotherm Seminar #99 Advances in Thermal Energy Storage","id":"ITEM-1","issue":"August","issued":{"date-parts":[["2014"]]},"page":"1-10","publisher-place":"Lleida, Spain","title":"Analysis of Large Thermal Energy Storage for Solar District Heating","type":"paper-conference"},"uris":["http://www.mendeley.com/documents/?uuid=84deb20e-6e67-4b08-a386-3bae6d9bb39e"]}],"mendeley":{"formattedCitation":"(Guadalfajara &lt;i&gt;et al.&lt;/i&gt;, 2014)","plainTextFormattedCitation":"(Guadalfajara et al., 2014)","previouslyFormattedCitation":"(Guadalfajara &lt;i&gt;et al.&lt;/i&gt;, 2014)"},"properties":{"noteIndex":0},"schema":"https://github.com/citation-style-language/schema/raw/master/csl-citation.json"}</w:instrText>
      </w:r>
      <w:r>
        <w:fldChar w:fldCharType="separate"/>
      </w:r>
      <w:r w:rsidR="005F544E" w:rsidRPr="005F544E">
        <w:rPr>
          <w:noProof/>
        </w:rPr>
        <w:t xml:space="preserve">(Guadalfajara </w:t>
      </w:r>
      <w:r w:rsidR="005F544E" w:rsidRPr="005F544E">
        <w:rPr>
          <w:i/>
          <w:noProof/>
        </w:rPr>
        <w:t>et al.</w:t>
      </w:r>
      <w:r w:rsidR="005F544E" w:rsidRPr="005F544E">
        <w:rPr>
          <w:noProof/>
        </w:rPr>
        <w:t>, 2014)</w:t>
      </w:r>
      <w:r>
        <w:fldChar w:fldCharType="end"/>
      </w:r>
      <w:r>
        <w:t xml:space="preserve">. However, borehole TES systems need to have large volumes to reduce the effects of losses </w:t>
      </w:r>
      <w:r>
        <w:fldChar w:fldCharType="begin" w:fldLock="1"/>
      </w:r>
      <w:r w:rsidR="002A6A73">
        <w:instrText>ADDIN CSL_CITATION {"citationItems":[{"id":"ITEM-1","itemData":{"author":[{"dropping-particle":"","family":"Eames","given":"Philip","non-dropping-particle":"","parse-names":false,"suffix":""},{"dropping-particle":"","family":"Dennis","given":"Loveday","non-dropping-particle":"","parse-names":false,"suffix":""},{"dropping-particle":"","family":"Victoria","given":"Haines","non-dropping-particle":"","parse-names":false,"suffix":""},{"dropping-particle":"","family":"Romanos","given":"Panayiotis","non-dropping-particle":"","parse-names":false,"suffix":""}],"id":"ITEM-1","issued":{"date-parts":[["2014"]]},"publisher-place":"London, England","title":"The Future Role of Thermal Energy Storage in the UK Energy System: An Assessment of the Technical Feasibility and Factors Influencing Adoption - Research Report","type":"report"},"uris":["http://www.mendeley.com/documents/?uuid=ad0fec80-2266-45f0-a7aa-03c9a7b8a0cc"]}],"mendeley":{"formattedCitation":"(Eames &lt;i&gt;et al.&lt;/i&gt;, 2014)","plainTextFormattedCitation":"(Eames et al., 2014)","previouslyFormattedCitation":"(Eames &lt;i&gt;et al.&lt;/i&gt;, 2014)"},"properties":{"noteIndex":0},"schema":"https://github.com/citation-style-language/schema/raw/master/csl-citation.json"}</w:instrText>
      </w:r>
      <w:r>
        <w:fldChar w:fldCharType="separate"/>
      </w:r>
      <w:r w:rsidR="002A6A73" w:rsidRPr="002A6A73">
        <w:rPr>
          <w:noProof/>
        </w:rPr>
        <w:t xml:space="preserve">(Eames </w:t>
      </w:r>
      <w:r w:rsidR="002A6A73" w:rsidRPr="002A6A73">
        <w:rPr>
          <w:i/>
          <w:noProof/>
        </w:rPr>
        <w:t>et al.</w:t>
      </w:r>
      <w:r w:rsidR="002A6A73" w:rsidRPr="002A6A73">
        <w:rPr>
          <w:noProof/>
        </w:rPr>
        <w:t>, 2014)</w:t>
      </w:r>
      <w:r>
        <w:fldChar w:fldCharType="end"/>
      </w:r>
      <w:r>
        <w:t>. Borehole</w:t>
      </w:r>
      <w:r w:rsidRPr="00744CFB">
        <w:t xml:space="preserve"> TES usually discharges heat at a low temperature, requiring the use of a heat pump</w:t>
      </w:r>
      <w:r>
        <w:t xml:space="preserve"> and</w:t>
      </w:r>
      <w:r w:rsidRPr="00744CFB">
        <w:t xml:space="preserve"> is not feasible in areas with high water table recharging</w:t>
      </w:r>
      <w:r>
        <w:t xml:space="preserve"> </w:t>
      </w:r>
      <w:r>
        <w:fldChar w:fldCharType="begin" w:fldLock="1"/>
      </w:r>
      <w:r w:rsidR="00FF4B5D">
        <w:instrText>ADDIN CSL_CITATION {"citationItems":[{"id":"ITEM-1","itemData":{"DOI":"10.1016/j.rser.2014.12.002","ISBN":"13640321","ISSN":"13640321","abstract":"Application of seasonal thermal energy storage with heat pumps for heating and cooling buildings has received much consideration in recent decades, as it can help to cover gaps between energy availability and demand, e.g. from summer to winter. This has the potential to reduce the large proportion of energy consumed by buildings, especially in colder climate countries. The problem with seasonal storage, however, is heat loss. This can be reduced by low-temperature storage but a heat pump is then recommended to adjust temperatures as needed by buildings in use. The aim of this paper was to compare different seasonal thermal energy storage methods using a heat pump in terms of coefficient of performance (COP) of heat pump and solar fraction, and further, to investigate the relationship between those factors and the size of the system, i.e. collector area and storage volume based on past building projects including residences, offices and schools.","author":[{"dropping-particle":"","family":"Hesaraki","given":"Arefeh","non-dropping-particle":"","parse-names":false,"suffix":""},{"dropping-particle":"","family":"Holmberg","given":"Sture","non-dropping-particle":"","parse-names":false,"suffix":""},{"dropping-particle":"","family":"Haghighat","given":"Fariborz","non-dropping-particle":"","parse-names":false,"suffix":""}],"container-title":"Renewable and Sustainable Energy Reviews","id":"ITEM-1","issued":{"date-parts":[["2015"]]},"page":"1199-1213","publisher":"Elsevier","title":"Seasonal thermal energy storage with heat pumps and low temperatures in building projects - A comparative review","type":"article-journal","volume":"43"},"uris":["http://www.mendeley.com/documents/?uuid=24f2ebc5-0b09-43db-aaf1-106c7815b833"]}],"mendeley":{"formattedCitation":"(Hesaraki &lt;i&gt;et al.&lt;/i&gt;, 2015)","plainTextFormattedCitation":"(Hesaraki et al., 2015)","previouslyFormattedCitation":"(Hesaraki &lt;i&gt;et al.&lt;/i&gt;, 2015)"},"properties":{"noteIndex":0},"schema":"https://github.com/citation-style-language/schema/raw/master/csl-citation.json"}</w:instrText>
      </w:r>
      <w:r>
        <w:fldChar w:fldCharType="separate"/>
      </w:r>
      <w:r w:rsidR="005F544E" w:rsidRPr="005F544E">
        <w:rPr>
          <w:noProof/>
        </w:rPr>
        <w:t xml:space="preserve">(Hesaraki </w:t>
      </w:r>
      <w:r w:rsidR="005F544E" w:rsidRPr="005F544E">
        <w:rPr>
          <w:i/>
          <w:noProof/>
        </w:rPr>
        <w:t>et al.</w:t>
      </w:r>
      <w:r w:rsidR="005F544E" w:rsidRPr="005F544E">
        <w:rPr>
          <w:noProof/>
        </w:rPr>
        <w:t>, 2015)</w:t>
      </w:r>
      <w:r>
        <w:fldChar w:fldCharType="end"/>
      </w:r>
      <w:r w:rsidRPr="00744CFB">
        <w:t xml:space="preserve">. The first three years of a </w:t>
      </w:r>
      <w:r>
        <w:t>borehole</w:t>
      </w:r>
      <w:r w:rsidRPr="00744CFB">
        <w:t xml:space="preserve"> TES lifespan are spent slowly heating the soil, to obtain the necessary conditions</w:t>
      </w:r>
      <w:r>
        <w:t xml:space="preserve"> for operation</w:t>
      </w:r>
      <w:r w:rsidRPr="00744CFB">
        <w:t>.</w:t>
      </w:r>
    </w:p>
    <w:p w14:paraId="647C9890" w14:textId="77777777" w:rsidR="000F16EB" w:rsidRDefault="000F16EB" w:rsidP="000F16EB">
      <w:pPr>
        <w:pStyle w:val="Heading4"/>
      </w:pPr>
      <w:bookmarkStart w:id="122" w:name="_Toc522192719"/>
      <w:bookmarkStart w:id="123" w:name="_Toc7187449"/>
      <w:r>
        <w:t>Pit Thermal Energy Storage</w:t>
      </w:r>
      <w:bookmarkEnd w:id="122"/>
      <w:bookmarkEnd w:id="123"/>
    </w:p>
    <w:p w14:paraId="1AF5C28D" w14:textId="5A3A8C1D" w:rsidR="000F16EB" w:rsidRDefault="000F16EB" w:rsidP="000F16EB">
      <w:r>
        <w:t xml:space="preserve">Pit TES systems are sensible energy storage based HWTs that replace the water tank with a large water pit, which is partially insulated on the sides and the top </w:t>
      </w:r>
      <w:r>
        <w:fldChar w:fldCharType="begin" w:fldLock="1"/>
      </w:r>
      <w:r w:rsidR="00FF4B5D">
        <w:instrText>ADDIN CSL_CITATION {"citationItems":[{"id":"ITEM-1","itemData":{"DOI":"10.13140/2.1.3857.6008","author":[{"dropping-particle":"","family":"Guadalfajara","given":"Mateo","non-dropping-particle":"","parse-names":false,"suffix":""},{"dropping-particle":"","family":"Lozano","given":"MA","non-dropping-particle":"","parse-names":false,"suffix":""},{"dropping-particle":"","family":"Serra","given":"LM","non-dropping-particle":"","parse-names":false,"suffix":""}],"container-title":"Eurotherm Seminar #99 Advances in Thermal Energy Storage","id":"ITEM-1","issue":"August","issued":{"date-parts":[["2014"]]},"page":"1-10","publisher-place":"Lleida, Spain","title":"Analysis of Large Thermal Energy Storage for Solar District Heating","type":"paper-conference"},"uris":["http://www.mendeley.com/documents/?uuid=84deb20e-6e67-4b08-a386-3bae6d9bb39e"]}],"mendeley":{"formattedCitation":"(Guadalfajara &lt;i&gt;et al.&lt;/i&gt;, 2014)","plainTextFormattedCitation":"(Guadalfajara et al., 2014)","previouslyFormattedCitation":"(Guadalfajara &lt;i&gt;et al.&lt;/i&gt;, 2014)"},"properties":{"noteIndex":0},"schema":"https://github.com/citation-style-language/schema/raw/master/csl-citation.json"}</w:instrText>
      </w:r>
      <w:r>
        <w:fldChar w:fldCharType="separate"/>
      </w:r>
      <w:r w:rsidR="005F544E" w:rsidRPr="005F544E">
        <w:rPr>
          <w:noProof/>
        </w:rPr>
        <w:t xml:space="preserve">(Guadalfajara </w:t>
      </w:r>
      <w:r w:rsidR="005F544E" w:rsidRPr="005F544E">
        <w:rPr>
          <w:i/>
          <w:noProof/>
        </w:rPr>
        <w:t>et al.</w:t>
      </w:r>
      <w:r w:rsidR="005F544E" w:rsidRPr="005F544E">
        <w:rPr>
          <w:noProof/>
        </w:rPr>
        <w:t>, 2014)</w:t>
      </w:r>
      <w:r>
        <w:fldChar w:fldCharType="end"/>
      </w:r>
      <w:r>
        <w:t xml:space="preserve">. Pit TES is cheaper than HWT storage, due to the lack of the tank structure. The pit is generally filled with a mixture of gravel and water, allowing for direct charging and discharging </w:t>
      </w:r>
      <w:r>
        <w:fldChar w:fldCharType="begin" w:fldLock="1"/>
      </w:r>
      <w:r w:rsidR="002A6A73">
        <w:instrText>ADDIN CSL_CITATION {"citationItems":[{"id":"ITEM-1","itemData":{"author":[{"dropping-particle":"","family":"Eames","given":"Philip","non-dropping-particle":"","parse-names":false,"suffix":""},{"dropping-particle":"","family":"Dennis","given":"Loveday","non-dropping-particle":"","parse-names":false,"suffix":""},{"dropping-particle":"","family":"Victoria","given":"Haines","non-dropping-particle":"","parse-names":false,"suffix":""},{"dropping-particle":"","family":"Romanos","given":"Panayiotis","non-dropping-particle":"","parse-names":false,"suffix":""}],"id":"ITEM-1","issued":{"date-parts":[["2014"]]},"publisher-place":"London, England","title":"The Future Role of Thermal Energy Storage in the UK Energy System: An Assessment of the Technical Feasibility and Factors Influencing Adoption - Research Report","type":"report"},"uris":["http://www.mendeley.com/documents/?uuid=ad0fec80-2266-45f0-a7aa-03c9a7b8a0cc"]}],"mendeley":{"formattedCitation":"(Eames &lt;i&gt;et al.&lt;/i&gt;, 2014)","plainTextFormattedCitation":"(Eames et al., 2014)","previouslyFormattedCitation":"(Eames &lt;i&gt;et al.&lt;/i&gt;, 2014)"},"properties":{"noteIndex":0},"schema":"https://github.com/citation-style-language/schema/raw/master/csl-citation.json"}</w:instrText>
      </w:r>
      <w:r>
        <w:fldChar w:fldCharType="separate"/>
      </w:r>
      <w:r w:rsidR="002A6A73" w:rsidRPr="002A6A73">
        <w:rPr>
          <w:noProof/>
        </w:rPr>
        <w:t xml:space="preserve">(Eames </w:t>
      </w:r>
      <w:r w:rsidR="002A6A73" w:rsidRPr="002A6A73">
        <w:rPr>
          <w:i/>
          <w:noProof/>
        </w:rPr>
        <w:t>et al.</w:t>
      </w:r>
      <w:r w:rsidR="002A6A73" w:rsidRPr="002A6A73">
        <w:rPr>
          <w:noProof/>
        </w:rPr>
        <w:t>, 2014)</w:t>
      </w:r>
      <w:r>
        <w:fldChar w:fldCharType="end"/>
      </w:r>
      <w:r>
        <w:t>.</w:t>
      </w:r>
    </w:p>
    <w:p w14:paraId="613566D3" w14:textId="77777777" w:rsidR="000F16EB" w:rsidRDefault="000F16EB" w:rsidP="000F16EB">
      <w:pPr>
        <w:pStyle w:val="Heading4"/>
      </w:pPr>
      <w:bookmarkStart w:id="124" w:name="_Toc522192720"/>
      <w:bookmarkStart w:id="125" w:name="_Toc7187450"/>
      <w:r>
        <w:t>Aquifer Thermal Energy Storage</w:t>
      </w:r>
      <w:bookmarkEnd w:id="124"/>
      <w:bookmarkEnd w:id="125"/>
    </w:p>
    <w:p w14:paraId="58B6910E" w14:textId="67BD9F31" w:rsidR="000F16EB" w:rsidRPr="00E07470" w:rsidRDefault="000F16EB" w:rsidP="000F16EB">
      <w:r w:rsidRPr="00E07470">
        <w:t xml:space="preserve">Aquifer TES stores </w:t>
      </w:r>
      <w:r>
        <w:t>TE as sensible heat</w:t>
      </w:r>
      <w:r w:rsidRPr="00E07470">
        <w:t xml:space="preserve"> using a hot and a cold well, from which groundwater is either extracted or stored</w:t>
      </w:r>
      <w:r>
        <w:t xml:space="preserve"> </w:t>
      </w:r>
      <w:r w:rsidRPr="00E07470">
        <w:fldChar w:fldCharType="begin" w:fldLock="1"/>
      </w:r>
      <w:r w:rsidR="00FF4B5D">
        <w:instrText>ADDIN CSL_CITATION {"citationItems":[{"id":"ITEM-1","itemData":{"DOI":"10.1016/j.rser.2014.12.002","ISBN":"13640321","ISSN":"13640321","abstract":"Application of seasonal thermal energy storage with heat pumps for heating and cooling buildings has received much consideration in recent decades, as it can help to cover gaps between energy availability and demand, e.g. from summer to winter. This has the potential to reduce the large proportion of energy consumed by buildings, especially in colder climate countries. The problem with seasonal storage, however, is heat loss. This can be reduced by low-temperature storage but a heat pump is then recommended to adjust temperatures as needed by buildings in use. The aim of this paper was to compare different seasonal thermal energy storage methods using a heat pump in terms of coefficient of performance (COP) of heat pump and solar fraction, and further, to investigate the relationship between those factors and the size of the system, i.e. collector area and storage volume based on past building projects including residences, offices and schools.","author":[{"dropping-particle":"","family":"Hesaraki","given":"Arefeh","non-dropping-particle":"","parse-names":false,"suffix":""},{"dropping-particle":"","family":"Holmberg","given":"Sture","non-dropping-particle":"","parse-names":false,"suffix":""},{"dropping-particle":"","family":"Haghighat","given":"Fariborz","non-dropping-particle":"","parse-names":false,"suffix":""}],"container-title":"Renewable and Sustainable Energy Reviews","id":"ITEM-1","issued":{"date-parts":[["2015"]]},"page":"1199-1213","publisher":"Elsevier","title":"Seasonal thermal energy storage with heat pumps and low temperatures in building projects - A comparative review","type":"article-journal","volume":"43"},"uris":["http://www.mendeley.com/documents/?uuid=24f2ebc5-0b09-43db-aaf1-106c7815b833"]}],"mendeley":{"formattedCitation":"(Hesaraki &lt;i&gt;et al.&lt;/i&gt;, 2015)","plainTextFormattedCitation":"(Hesaraki et al., 2015)","previouslyFormattedCitation":"(Hesaraki &lt;i&gt;et al.&lt;/i&gt;, 2015)"},"properties":{"noteIndex":0},"schema":"https://github.com/citation-style-language/schema/raw/master/csl-citation.json"}</w:instrText>
      </w:r>
      <w:r w:rsidRPr="00E07470">
        <w:fldChar w:fldCharType="separate"/>
      </w:r>
      <w:r w:rsidR="005F544E" w:rsidRPr="005F544E">
        <w:rPr>
          <w:noProof/>
        </w:rPr>
        <w:t xml:space="preserve">(Hesaraki </w:t>
      </w:r>
      <w:r w:rsidR="005F544E" w:rsidRPr="005F544E">
        <w:rPr>
          <w:i/>
          <w:noProof/>
        </w:rPr>
        <w:t>et al.</w:t>
      </w:r>
      <w:r w:rsidR="005F544E" w:rsidRPr="005F544E">
        <w:rPr>
          <w:noProof/>
        </w:rPr>
        <w:t>, 2015)</w:t>
      </w:r>
      <w:r w:rsidRPr="00E07470">
        <w:fldChar w:fldCharType="end"/>
      </w:r>
      <w:r w:rsidRPr="00E07470">
        <w:t>. Aquifer TES systems are geographically constrained and require large wells, so will not be suitable for every DHN.</w:t>
      </w:r>
      <w:r>
        <w:t xml:space="preserve"> The TE stored in the aquifers is available at low temperatures, so must be upgraded using a heat pump </w:t>
      </w:r>
      <w:r>
        <w:fldChar w:fldCharType="begin" w:fldLock="1"/>
      </w:r>
      <w:r w:rsidR="00FF4B5D">
        <w:instrText>ADDIN CSL_CITATION {"citationItems":[{"id":"ITEM-1","itemData":{"DOI":"10.13140/2.1.3857.6008","author":[{"dropping-particle":"","family":"Guadalfajara","given":"Mateo","non-dropping-particle":"","parse-names":false,"suffix":""},{"dropping-particle":"","family":"Lozano","given":"MA","non-dropping-particle":"","parse-names":false,"suffix":""},{"dropping-particle":"","family":"Serra","given":"LM","non-dropping-particle":"","parse-names":false,"suffix":""}],"container-title":"Eurotherm Seminar #99 Advances in Thermal Energy Storage","id":"ITEM-1","issue":"August","issued":{"date-parts":[["2014"]]},"page":"1-10","publisher-place":"Lleida, Spain","title":"Analysis of Large Thermal Energy Storage for Solar District Heating","type":"paper-conference"},"uris":["http://www.mendeley.com/documents/?uuid=84deb20e-6e67-4b08-a386-3bae6d9bb39e"]}],"mendeley":{"formattedCitation":"(Guadalfajara &lt;i&gt;et al.&lt;/i&gt;, 2014)","plainTextFormattedCitation":"(Guadalfajara et al., 2014)","previouslyFormattedCitation":"(Guadalfajara &lt;i&gt;et al.&lt;/i&gt;, 2014)"},"properties":{"noteIndex":0},"schema":"https://github.com/citation-style-language/schema/raw/master/csl-citation.json"}</w:instrText>
      </w:r>
      <w:r>
        <w:fldChar w:fldCharType="separate"/>
      </w:r>
      <w:r w:rsidR="005F544E" w:rsidRPr="005F544E">
        <w:rPr>
          <w:noProof/>
        </w:rPr>
        <w:t xml:space="preserve">(Guadalfajara </w:t>
      </w:r>
      <w:r w:rsidR="005F544E" w:rsidRPr="005F544E">
        <w:rPr>
          <w:i/>
          <w:noProof/>
        </w:rPr>
        <w:t>et al.</w:t>
      </w:r>
      <w:r w:rsidR="005F544E" w:rsidRPr="005F544E">
        <w:rPr>
          <w:noProof/>
        </w:rPr>
        <w:t>, 2014)</w:t>
      </w:r>
      <w:r>
        <w:fldChar w:fldCharType="end"/>
      </w:r>
      <w:r>
        <w:t xml:space="preserve">. </w:t>
      </w:r>
    </w:p>
    <w:p w14:paraId="6EE7AF35" w14:textId="77777777" w:rsidR="000F16EB" w:rsidRDefault="000F16EB" w:rsidP="000F16EB">
      <w:pPr>
        <w:pStyle w:val="Heading2"/>
      </w:pPr>
      <w:bookmarkStart w:id="126" w:name="_Toc522192721"/>
      <w:bookmarkStart w:id="127" w:name="_Toc525229951"/>
      <w:bookmarkStart w:id="128" w:name="_Toc529888265"/>
      <w:bookmarkStart w:id="129" w:name="_Toc7187451"/>
      <w:r>
        <w:lastRenderedPageBreak/>
        <w:t>Waste Heat Recovery</w:t>
      </w:r>
      <w:bookmarkEnd w:id="126"/>
      <w:bookmarkEnd w:id="127"/>
      <w:bookmarkEnd w:id="128"/>
      <w:bookmarkEnd w:id="129"/>
    </w:p>
    <w:p w14:paraId="49397E63" w14:textId="74E554D6" w:rsidR="000F16EB" w:rsidRPr="00C106AF" w:rsidRDefault="000F16EB" w:rsidP="000F16EB">
      <w:pPr>
        <w:rPr>
          <w:rStyle w:val="fontstyle01"/>
          <w:sz w:val="22"/>
        </w:rPr>
      </w:pPr>
      <w:r w:rsidRPr="00C106AF">
        <w:rPr>
          <w:rStyle w:val="fontstyle01"/>
          <w:sz w:val="22"/>
        </w:rPr>
        <w:t xml:space="preserve">WHR should be considered from both an industrial and a governmental perspective </w:t>
      </w:r>
      <w:r>
        <w:rPr>
          <w:rStyle w:val="fontstyle01"/>
          <w:sz w:val="22"/>
        </w:rPr>
        <w:t xml:space="preserve">as a method of </w:t>
      </w:r>
      <w:r w:rsidRPr="00C106AF">
        <w:rPr>
          <w:rStyle w:val="fontstyle01"/>
          <w:sz w:val="22"/>
        </w:rPr>
        <w:t>increas</w:t>
      </w:r>
      <w:r>
        <w:rPr>
          <w:rStyle w:val="fontstyle01"/>
          <w:sz w:val="22"/>
        </w:rPr>
        <w:t>ing</w:t>
      </w:r>
      <w:r w:rsidRPr="00C106AF">
        <w:rPr>
          <w:rStyle w:val="fontstyle01"/>
          <w:sz w:val="22"/>
        </w:rPr>
        <w:t xml:space="preserve"> the efficiency of industrial processes, which are generally only 50 – 80% efficient </w:t>
      </w:r>
      <w:r w:rsidRPr="00C106AF">
        <w:rPr>
          <w:rStyle w:val="fontstyle01"/>
          <w:sz w:val="22"/>
        </w:rPr>
        <w:fldChar w:fldCharType="begin" w:fldLock="1"/>
      </w:r>
      <w:r w:rsidR="002A6A73">
        <w:rPr>
          <w:rStyle w:val="fontstyle01"/>
          <w:sz w:val="22"/>
        </w:rPr>
        <w:instrText>ADDIN CSL_CITATION {"citationItems":[{"id":"ITEM-1","itemData":{"author":[{"dropping-particle":"","family":"O'Rielly","given":"Kristine","non-dropping-particle":"","parse-names":false,"suffix":""},{"dropping-particle":"","family":"Jeswiet","given":"Jack","non-dropping-particle":"","parse-names":false,"suffix":""}],"container-title":"Transactions of the Canadian Society for Mechanical Engineering","id":"ITEM-1","issue":"1","issued":{"date-parts":[["2015"]]},"page":"125-136","title":"Improving Industrial Energy Efficiency through the Implementation of Waste Heat Recovery Systems","type":"article-journal","volume":"39"},"uris":["http://www.mendeley.com/documents/?uuid=dc9eeaf4-2c68-4ab9-8db2-d9625a7b1433"]}],"mendeley":{"formattedCitation":"(O’Rielly and Jeswiet, 2015)","plainTextFormattedCitation":"(O’Rielly and Jeswiet, 2015)","previouslyFormattedCitation":"(O’Rielly and Jeswiet, 2015)"},"properties":{"noteIndex":0},"schema":"https://github.com/citation-style-language/schema/raw/master/csl-citation.json"}</w:instrText>
      </w:r>
      <w:r w:rsidRPr="00C106AF">
        <w:rPr>
          <w:rStyle w:val="fontstyle01"/>
          <w:sz w:val="22"/>
        </w:rPr>
        <w:fldChar w:fldCharType="separate"/>
      </w:r>
      <w:r w:rsidR="002A6A73" w:rsidRPr="002A6A73">
        <w:rPr>
          <w:rStyle w:val="fontstyle01"/>
          <w:noProof/>
          <w:sz w:val="22"/>
        </w:rPr>
        <w:t>(O’Rielly and Jeswiet, 2015)</w:t>
      </w:r>
      <w:r w:rsidRPr="00C106AF">
        <w:rPr>
          <w:rStyle w:val="fontstyle01"/>
          <w:sz w:val="22"/>
        </w:rPr>
        <w:fldChar w:fldCharType="end"/>
      </w:r>
      <w:r w:rsidRPr="00C106AF">
        <w:rPr>
          <w:rStyle w:val="fontstyle01"/>
          <w:sz w:val="22"/>
        </w:rPr>
        <w:t>. Increased use of WHR should reduce global CO</w:t>
      </w:r>
      <w:r w:rsidRPr="00C106AF">
        <w:rPr>
          <w:rStyle w:val="fontstyle01"/>
          <w:sz w:val="22"/>
          <w:vertAlign w:val="subscript"/>
        </w:rPr>
        <w:t xml:space="preserve">2 </w:t>
      </w:r>
      <w:r w:rsidRPr="00C106AF">
        <w:rPr>
          <w:rStyle w:val="fontstyle01"/>
          <w:sz w:val="22"/>
        </w:rPr>
        <w:t>emissions</w:t>
      </w:r>
      <w:r>
        <w:rPr>
          <w:rStyle w:val="fontstyle01"/>
          <w:sz w:val="22"/>
        </w:rPr>
        <w:t xml:space="preserve"> and</w:t>
      </w:r>
      <w:r w:rsidRPr="00C106AF">
        <w:rPr>
          <w:rStyle w:val="fontstyle01"/>
          <w:sz w:val="22"/>
        </w:rPr>
        <w:t xml:space="preserve"> increas</w:t>
      </w:r>
      <w:r>
        <w:rPr>
          <w:rStyle w:val="fontstyle01"/>
          <w:sz w:val="22"/>
        </w:rPr>
        <w:t>e</w:t>
      </w:r>
      <w:r w:rsidRPr="00C106AF">
        <w:rPr>
          <w:rStyle w:val="fontstyle01"/>
          <w:sz w:val="22"/>
        </w:rPr>
        <w:t xml:space="preserve"> industrial revenue. As industry tends to use 20 – 33% of a countries’ final user energy demand, there is a large potential for worldwide WHR </w:t>
      </w:r>
      <w:r w:rsidRPr="00C106AF">
        <w:rPr>
          <w:rStyle w:val="fontstyle01"/>
          <w:sz w:val="22"/>
        </w:rPr>
        <w:fldChar w:fldCharType="begin" w:fldLock="1"/>
      </w:r>
      <w:r w:rsidR="002A6A73">
        <w:rPr>
          <w:rStyle w:val="fontstyle01"/>
          <w:sz w:val="22"/>
        </w:rPr>
        <w:instrText>ADDIN CSL_CITATION {"citationItems":[{"id":"ITEM-1","itemData":{"author":[{"dropping-particle":"","family":"US DOE","given":"","non-dropping-particle":"","parse-names":false,"suffix":""}],"id":"ITEM-1","issued":{"date-parts":[["2008"]]},"number-of-pages":"1-112","publisher-place":"Washington, USA","title":"Waste Heat Recovery: Technology Opportunities in U.S. Industry","type":"report"},"uris":["http://www.mendeley.com/documents/?uuid=cd6a7cf3-17c1-496a-a6fc-8311cbaeaa3a"]}],"mendeley":{"formattedCitation":"(US DOE, 2008)","plainTextFormattedCitation":"(US DOE, 2008)","previouslyFormattedCitation":"(US DOE, 2008)"},"properties":{"noteIndex":0},"schema":"https://github.com/citation-style-language/schema/raw/master/csl-citation.json"}</w:instrText>
      </w:r>
      <w:r w:rsidRPr="00C106AF">
        <w:rPr>
          <w:rStyle w:val="fontstyle01"/>
          <w:sz w:val="22"/>
        </w:rPr>
        <w:fldChar w:fldCharType="separate"/>
      </w:r>
      <w:r w:rsidR="002A6A73" w:rsidRPr="002A6A73">
        <w:rPr>
          <w:rStyle w:val="fontstyle01"/>
          <w:noProof/>
          <w:sz w:val="22"/>
        </w:rPr>
        <w:t>(US DOE, 2008)</w:t>
      </w:r>
      <w:r w:rsidRPr="00C106AF">
        <w:rPr>
          <w:rStyle w:val="fontstyle01"/>
          <w:sz w:val="22"/>
        </w:rPr>
        <w:fldChar w:fldCharType="end"/>
      </w:r>
      <w:r w:rsidRPr="00C106AF">
        <w:rPr>
          <w:rStyle w:val="fontstyle01"/>
          <w:sz w:val="22"/>
        </w:rPr>
        <w:t>. Studies by DECC and the University of Bath estimate the potential for feasible WHR in the UK to be 18</w:t>
      </w:r>
      <w:r>
        <w:rPr>
          <w:rStyle w:val="fontstyle01"/>
          <w:sz w:val="22"/>
        </w:rPr>
        <w:t> </w:t>
      </w:r>
      <w:r w:rsidRPr="00C106AF">
        <w:rPr>
          <w:rStyle w:val="fontstyle01"/>
          <w:sz w:val="22"/>
        </w:rPr>
        <w:t>–</w:t>
      </w:r>
      <w:r>
        <w:rPr>
          <w:rStyle w:val="fontstyle01"/>
          <w:sz w:val="22"/>
        </w:rPr>
        <w:t> </w:t>
      </w:r>
      <w:r w:rsidRPr="00C106AF">
        <w:rPr>
          <w:rStyle w:val="fontstyle01"/>
          <w:sz w:val="22"/>
        </w:rPr>
        <w:t>71 PJ</w:t>
      </w:r>
      <w:r>
        <w:rPr>
          <w:rStyle w:val="fontstyle01"/>
          <w:sz w:val="22"/>
        </w:rPr>
        <w:t>/</w:t>
      </w:r>
      <w:r w:rsidRPr="00C106AF">
        <w:rPr>
          <w:rStyle w:val="fontstyle01"/>
          <w:sz w:val="22"/>
        </w:rPr>
        <w:t xml:space="preserve">year </w:t>
      </w:r>
      <w:r w:rsidRPr="00C106AF">
        <w:rPr>
          <w:rStyle w:val="fontstyle01"/>
          <w:sz w:val="22"/>
        </w:rPr>
        <w:fldChar w:fldCharType="begin" w:fldLock="1"/>
      </w:r>
      <w:r w:rsidR="00DE54B7">
        <w:rPr>
          <w:rStyle w:val="fontstyle01"/>
          <w:sz w:val="22"/>
        </w:rPr>
        <w:instrText>ADDIN CSL_CITATION {"citationItems":[{"id":"ITEM-1","itemData":{"DOI":"10.1016/j.enpol.2010.05.042","ISBN":"0301-4215","ISSN":"03014215","abstract":"This paper presents a spatial model of industrial heat loads and technical recovery potentials in the UK, by recourse to energetic and exergetic analysis methods. The aims were to categorise heat users into broad temperature bands; quantify heat usage and wastage at different temperatures; and to estimate the technical potential for heat recovery based on current technologies (whilst ignoring spatial and temporal constraints). The main data source was the UK National Allocation Plan for the EU Emissions Trading Scheme, supplemented by capacity/output and specific energy consumption data for certain heterogeneous sectors. Around 60% of industry has been covered in terms of energy use, and 90% of energy-intensive sectors. The total annual heat use for these sectors was estimated at 650 PJ, with technically feasible annual savings in the region 36-71 PJ. This is in agreement with the only extant estimates for heat recovery from industrial processes, which are 65 and 144 PJ, respectively. ?? 2010 Elsevier Ltd. All rights reserved.","author":[{"dropping-particle":"","family":"McKenna","given":"R. C.","non-dropping-particle":"","parse-names":false,"suffix":""},{"dropping-particle":"","family":"Norman","given":"J. B.","non-dropping-particle":"","parse-names":false,"suffix":""}],"container-title":"Energy Policy","id":"ITEM-1","issue":"10","issued":{"date-parts":[["2010"]]},"page":"5878-5891","publisher":"Elsevier","title":"Spatial modelling of industrial heat loads and recovery potentials in the UK","type":"article-journal","volume":"38"},"uris":["http://www.mendeley.com/documents/?uuid=e9014619-7afe-4dd6-956a-a4d0b225de4f"]},{"id":"ITEM-2","itemData":{"DOI":"10.1016/j.apenergy.2013.11.008","ISBN":"03062619","ISSN":"03062619","abstract":"A database of the heat demand, and surplus heat available, at United Kingdom industrial sites involved in the European Union Emissions Trading System, was used to estimate the technical potential of various heat recovery technologies. The options considered were recovery for use on-site, using heat exchangers; upgrading the heat to a higher temperature, using heat pumps; conversion of the heat energy to fulfill a chilling demand, using absorption chillers; conversion of the heat energy to electrical energy, using Rankine cycles; and transport of the heat to fulfill an off-site heat demand. A broad analysis of this type, which investigates a large number of sites, cannot accurately identify site level opportunities. However the analysis can provide an indicative assessment of the overall potential for different technologies. The greatest potential for reusing this surplus heat was found to be recovery at low temperatures, utilising heat exchangers; and in conversion to electricity, mostly using organic Rankine cycle technology. Both these technologies exist in commercial applications, but are not well established, support for their development and installation could increase their use. The overall surplus heat that was technically recoverable using a combination of these technologies was estimated at 52PJ/yr, saving 2.2MtCO2e/yr in comparison to supplying the energy outputs in a conventional manner. It is thought that a network and market for trading in heat and the wider use of district heating systems could open considerable potential for exporting heat from industrial sites to other users. ?? 2013 Elsevier Ltd.","author":[{"dropping-particle":"","family":"Hammond","given":"G. P.","non-dropping-particle":"","parse-names":false,"suffix":""},{"dropping-particle":"","family":"Norman","given":"J. B.","non-dropping-particle":"","parse-names":false,"suffix":""}],"container-title":"Applied Energy","id":"ITEM-2","issued":{"date-parts":[["2014"]]},"page":"387-397","publisher":"Elsevier Ltd","title":"Heat recovery opportunities in UK industry","type":"article-journal","volume":"116"},"uris":["http://www.mendeley.com/documents/?uuid=ca71cf69-307e-4f40-9837-05df13781404"]},{"id":"ITEM-3","itemData":{"author":[{"dropping-particle":"","family":"DECC","given":"","non-dropping-particle":"","parse-names":false,"suffix":""}],"id":"ITEM-3","issued":{"date-parts":[["2014"]]},"publisher-place":"London, England","title":"The potential for recovering and using surplus heat from industry","type":"report"},"uris":["http://www.mendeley.com/documents/?uuid=233fb27a-f98b-4213-9880-86f81871e471"]}],"mendeley":{"formattedCitation":"(McKenna and Norman, 2010; DECC, 2014b; Hammond and Norman, 2014)","plainTextFormattedCitation":"(McKenna and Norman, 2010; DECC, 2014b; Hammond and Norman, 2014)","previouslyFormattedCitation":"(McKenna and Norman, 2010; DECC, 2014b; Hammond and Norman, 2014)"},"properties":{"noteIndex":0},"schema":"https://github.com/citation-style-language/schema/raw/master/csl-citation.json"}</w:instrText>
      </w:r>
      <w:r w:rsidRPr="00C106AF">
        <w:rPr>
          <w:rStyle w:val="fontstyle01"/>
          <w:sz w:val="22"/>
        </w:rPr>
        <w:fldChar w:fldCharType="separate"/>
      </w:r>
      <w:r w:rsidR="002A6A73" w:rsidRPr="002A6A73">
        <w:rPr>
          <w:rStyle w:val="fontstyle01"/>
          <w:noProof/>
          <w:sz w:val="22"/>
        </w:rPr>
        <w:t>(McKenna and Norman, 2010; DECC, 2014b; Hammond and Norman, 2014)</w:t>
      </w:r>
      <w:r w:rsidRPr="00C106AF">
        <w:rPr>
          <w:rStyle w:val="fontstyle01"/>
          <w:sz w:val="22"/>
        </w:rPr>
        <w:fldChar w:fldCharType="end"/>
      </w:r>
      <w:r w:rsidRPr="00C106AF">
        <w:rPr>
          <w:rStyle w:val="fontstyle01"/>
          <w:sz w:val="22"/>
        </w:rPr>
        <w:t>. The large variation</w:t>
      </w:r>
      <w:r>
        <w:rPr>
          <w:rStyle w:val="fontstyle01"/>
          <w:sz w:val="22"/>
        </w:rPr>
        <w:t xml:space="preserve"> in results</w:t>
      </w:r>
      <w:r w:rsidRPr="00C106AF">
        <w:rPr>
          <w:rStyle w:val="fontstyle01"/>
          <w:sz w:val="22"/>
        </w:rPr>
        <w:t xml:space="preserve"> is due to differences in the inputs, assumptions</w:t>
      </w:r>
      <w:r>
        <w:rPr>
          <w:rStyle w:val="fontstyle01"/>
          <w:sz w:val="22"/>
        </w:rPr>
        <w:t>,</w:t>
      </w:r>
      <w:r w:rsidRPr="00C106AF">
        <w:rPr>
          <w:rStyle w:val="fontstyle01"/>
          <w:sz w:val="22"/>
        </w:rPr>
        <w:t xml:space="preserve"> and definitions of ‘feasible’ used in the studies.</w:t>
      </w:r>
    </w:p>
    <w:p w14:paraId="3DB278CD" w14:textId="77777777" w:rsidR="000F16EB" w:rsidRDefault="000F16EB" w:rsidP="000F16EB">
      <w:pPr>
        <w:pStyle w:val="Heading3"/>
      </w:pPr>
      <w:bookmarkStart w:id="130" w:name="_Toc522192722"/>
      <w:bookmarkStart w:id="131" w:name="_Toc525229952"/>
      <w:bookmarkStart w:id="132" w:name="_Toc529888266"/>
      <w:bookmarkStart w:id="133" w:name="_Toc7187452"/>
      <w:r>
        <w:t>Waste Heat Characterisation</w:t>
      </w:r>
      <w:bookmarkEnd w:id="130"/>
      <w:bookmarkEnd w:id="131"/>
      <w:bookmarkEnd w:id="132"/>
      <w:bookmarkEnd w:id="133"/>
    </w:p>
    <w:p w14:paraId="02D12C57" w14:textId="72358037" w:rsidR="000F16EB" w:rsidRPr="00C106AF" w:rsidRDefault="000F16EB" w:rsidP="000F16EB">
      <w:pPr>
        <w:rPr>
          <w:rStyle w:val="fontstyle01"/>
          <w:rFonts w:asciiTheme="minorHAnsi" w:hAnsiTheme="minorHAnsi"/>
          <w:sz w:val="22"/>
        </w:rPr>
      </w:pPr>
      <w:r w:rsidRPr="00C106AF">
        <w:rPr>
          <w:rStyle w:val="fontstyle01"/>
          <w:rFonts w:asciiTheme="minorHAnsi" w:hAnsiTheme="minorHAnsi"/>
          <w:sz w:val="22"/>
        </w:rPr>
        <w:t>The characterisation of WH is vital to match WH sources to possible uses. Characterisation is based on the</w:t>
      </w:r>
      <w:r w:rsidRPr="00C106AF">
        <w:rPr>
          <w:rStyle w:val="fontstyle01"/>
          <w:rFonts w:asciiTheme="minorHAnsi" w:hAnsiTheme="minorHAnsi"/>
          <w:color w:val="FF0000"/>
          <w:sz w:val="22"/>
        </w:rPr>
        <w:t xml:space="preserve"> </w:t>
      </w:r>
      <w:r w:rsidRPr="00C106AF">
        <w:rPr>
          <w:rStyle w:val="fontstyle01"/>
          <w:rFonts w:asciiTheme="minorHAnsi" w:hAnsiTheme="minorHAnsi"/>
          <w:sz w:val="22"/>
        </w:rPr>
        <w:t xml:space="preserve">quality (temperature), quantity (enthalpy) and temporal availability of the WH </w:t>
      </w:r>
      <w:r w:rsidRPr="00C106AF">
        <w:rPr>
          <w:rStyle w:val="fontstyle01"/>
          <w:rFonts w:asciiTheme="minorHAnsi" w:hAnsiTheme="minorHAnsi"/>
          <w:sz w:val="22"/>
        </w:rPr>
        <w:fldChar w:fldCharType="begin" w:fldLock="1"/>
      </w:r>
      <w:r w:rsidR="002A6A73">
        <w:rPr>
          <w:rStyle w:val="fontstyle01"/>
          <w:rFonts w:asciiTheme="minorHAnsi" w:hAnsiTheme="minorHAnsi"/>
          <w:sz w:val="22"/>
        </w:rPr>
        <w:instrText>ADDIN CSL_CITATION {"citationItems":[{"id":"ITEM-1","itemData":{"author":[{"dropping-particle":"","family":"O'Rielly","given":"Kristine","non-dropping-particle":"","parse-names":false,"suffix":""},{"dropping-particle":"","family":"Jeswiet","given":"Jack","non-dropping-particle":"","parse-names":false,"suffix":""}],"container-title":"Transactions of the Canadian Society for Mechanical Engineering","id":"ITEM-1","issue":"1","issued":{"date-parts":[["2015"]]},"page":"125-136","title":"Improving Industrial Energy Efficiency through the Implementation of Waste Heat Recovery Systems","type":"article-journal","volume":"39"},"uris":["http://www.mendeley.com/documents/?uuid=dc9eeaf4-2c68-4ab9-8db2-d9625a7b1433"]}],"mendeley":{"formattedCitation":"(O’Rielly and Jeswiet, 2015)","plainTextFormattedCitation":"(O’Rielly and Jeswiet, 2015)","previouslyFormattedCitation":"(O’Rielly and Jeswiet, 2015)"},"properties":{"noteIndex":0},"schema":"https://github.com/citation-style-language/schema/raw/master/csl-citation.json"}</w:instrText>
      </w:r>
      <w:r w:rsidRPr="00C106AF">
        <w:rPr>
          <w:rStyle w:val="fontstyle01"/>
          <w:rFonts w:asciiTheme="minorHAnsi" w:hAnsiTheme="minorHAnsi"/>
          <w:sz w:val="22"/>
        </w:rPr>
        <w:fldChar w:fldCharType="separate"/>
      </w:r>
      <w:r w:rsidR="002A6A73" w:rsidRPr="002A6A73">
        <w:rPr>
          <w:rStyle w:val="fontstyle01"/>
          <w:rFonts w:asciiTheme="minorHAnsi" w:hAnsiTheme="minorHAnsi"/>
          <w:noProof/>
          <w:sz w:val="22"/>
        </w:rPr>
        <w:t>(O’Rielly and Jeswiet, 2015)</w:t>
      </w:r>
      <w:r w:rsidRPr="00C106AF">
        <w:rPr>
          <w:rStyle w:val="fontstyle01"/>
          <w:rFonts w:asciiTheme="minorHAnsi" w:hAnsiTheme="minorHAnsi"/>
          <w:sz w:val="22"/>
        </w:rPr>
        <w:fldChar w:fldCharType="end"/>
      </w:r>
      <w:r w:rsidRPr="00C106AF">
        <w:rPr>
          <w:rStyle w:val="fontstyle01"/>
          <w:rFonts w:asciiTheme="minorHAnsi" w:hAnsiTheme="minorHAnsi"/>
          <w:sz w:val="22"/>
        </w:rPr>
        <w:t>. WH is available at three quality levels: high grade (650 °C and above), medium grade (230 – 650 °C)</w:t>
      </w:r>
      <w:r>
        <w:rPr>
          <w:rStyle w:val="fontstyle01"/>
          <w:rFonts w:asciiTheme="minorHAnsi" w:hAnsiTheme="minorHAnsi"/>
          <w:sz w:val="22"/>
        </w:rPr>
        <w:t>,</w:t>
      </w:r>
      <w:r w:rsidRPr="00C106AF">
        <w:rPr>
          <w:rStyle w:val="fontstyle01"/>
          <w:rFonts w:asciiTheme="minorHAnsi" w:hAnsiTheme="minorHAnsi"/>
          <w:sz w:val="22"/>
        </w:rPr>
        <w:t xml:space="preserve"> and low grade (230 °C and below). Temporal availability is a measure of how the quality and quantity of the WH varies with time </w:t>
      </w:r>
      <w:r w:rsidRPr="00C106AF">
        <w:rPr>
          <w:rStyle w:val="fontstyle01"/>
          <w:rFonts w:asciiTheme="minorHAnsi" w:hAnsiTheme="minorHAnsi"/>
          <w:sz w:val="22"/>
        </w:rPr>
        <w:fldChar w:fldCharType="begin" w:fldLock="1"/>
      </w:r>
      <w:r w:rsidR="00FF4B5D">
        <w:rPr>
          <w:rStyle w:val="fontstyle01"/>
          <w:rFonts w:asciiTheme="minorHAnsi" w:hAnsiTheme="minorHAnsi"/>
          <w:sz w:val="22"/>
        </w:rPr>
        <w:instrText>ADDIN CSL_CITATION {"citationItems":[{"id":"ITEM-1","itemData":{"abstract":"A substantial amount of energy used by industry is wasted as heat in the form of exhaust gases, air streams, and liquids leaving industrial facilities. Although it is not technically and economically feasible to recover all waste heat, a gross estimate is that waste-heat recovery could substitute for 9% of total energy used by US industry—or 1.4 quadrillion BTU—which would ultimately help improve the global competitiveness of the US (Energetics and E3M 2004). An increased use of waste-heat recovery technologies by industry would also serve to mitigate greenhouse gas (GHG) emissions. The primary sources of waste heat in industrial facilities include exhaust gases from fossil fuel-fired furnaces, boilers, and process heating equipment. These types of high-grade waste-heat sources can readily be used to preheat combustion air, boiler feedwater, and process loads. Waste-heat recovery from lower temperature sources, such as cooling water from machines and condensers, is generally somewhat more problematic, and typically involves the use of heat pumps to increase the temperature to a suitable temperature for distillation, evaporation, water heating, and space heating. This paper summarizes the results of numerous studies conducted by the authors and/or their associates to identify opportunities for waste-heat recovery in industrial facilities. It also describes recent advancements and applications in waste-heat recovery technology. Typical “energy audits” identify annual energy cost savings of about 5%. However, this paper confirms that systematic waste-heat recovery projects based on sound thermodynamic principles can yield annual energy cost savings of 10% to 20% with paybacks of 6 to 18 months for industrial facilities. Recent advancements in heat recovery technology may increase the energy savings by an additional 5% to 10%. Since only 5% of US manufacturing facilities currently use waste-heat recovery, there is tremendous potential for energy savings in the industrial sector (EIA 2002, Table 8.2). Definition","author":[{"dropping-particle":"","family":"Arzbaecher","given":"Cecilia","non-dropping-particle":"","parse-names":false,"suffix":""},{"dropping-particle":"","family":"Fouche","given":"Ed","non-dropping-particle":"","parse-names":false,"suffix":""},{"dropping-particle":"","family":"Parmenter","given":"Kelly","non-dropping-particle":"","parse-names":false,"suffix":""}],"container-title":"ACEEE Summer Study on Energy Efficiency in Industry","id":"ITEM-1","issued":{"date-parts":[["2007"]]},"publisher":"American Council for an Energy-Efficient Economy","publisher-place":"White Plains, USA","title":"Industrial Waste-Heat Recovery: Benefits and Recent Advancements in Technology and Applications","type":"paper-conference"},"uris":["http://www.mendeley.com/documents/?uuid=460850da-4815-4a90-83ef-8036619e3599"]}],"mendeley":{"formattedCitation":"(Arzbaecher &lt;i&gt;et al.&lt;/i&gt;, 2007)","plainTextFormattedCitation":"(Arzbaecher et al., 2007)","previouslyFormattedCitation":"(Arzbaecher &lt;i&gt;et al.&lt;/i&gt;, 2007)"},"properties":{"noteIndex":0},"schema":"https://github.com/citation-style-language/schema/raw/master/csl-citation.json"}</w:instrText>
      </w:r>
      <w:r w:rsidRPr="00C106AF">
        <w:rPr>
          <w:rStyle w:val="fontstyle01"/>
          <w:rFonts w:asciiTheme="minorHAnsi" w:hAnsiTheme="minorHAnsi"/>
          <w:sz w:val="22"/>
        </w:rPr>
        <w:fldChar w:fldCharType="separate"/>
      </w:r>
      <w:r w:rsidR="005F544E" w:rsidRPr="005F544E">
        <w:rPr>
          <w:rStyle w:val="fontstyle01"/>
          <w:rFonts w:asciiTheme="minorHAnsi" w:hAnsiTheme="minorHAnsi"/>
          <w:noProof/>
          <w:sz w:val="22"/>
        </w:rPr>
        <w:t xml:space="preserve">(Arzbaecher </w:t>
      </w:r>
      <w:r w:rsidR="005F544E" w:rsidRPr="005F544E">
        <w:rPr>
          <w:rStyle w:val="fontstyle01"/>
          <w:rFonts w:asciiTheme="minorHAnsi" w:hAnsiTheme="minorHAnsi"/>
          <w:i/>
          <w:noProof/>
          <w:sz w:val="22"/>
        </w:rPr>
        <w:t>et al.</w:t>
      </w:r>
      <w:r w:rsidR="005F544E" w:rsidRPr="005F544E">
        <w:rPr>
          <w:rStyle w:val="fontstyle01"/>
          <w:rFonts w:asciiTheme="minorHAnsi" w:hAnsiTheme="minorHAnsi"/>
          <w:noProof/>
          <w:sz w:val="22"/>
        </w:rPr>
        <w:t>, 2007)</w:t>
      </w:r>
      <w:r w:rsidRPr="00C106AF">
        <w:rPr>
          <w:rStyle w:val="fontstyle01"/>
          <w:rFonts w:asciiTheme="minorHAnsi" w:hAnsiTheme="minorHAnsi"/>
          <w:sz w:val="22"/>
        </w:rPr>
        <w:fldChar w:fldCharType="end"/>
      </w:r>
      <w:r w:rsidRPr="00C106AF">
        <w:rPr>
          <w:rStyle w:val="fontstyle01"/>
          <w:rFonts w:asciiTheme="minorHAnsi" w:hAnsiTheme="minorHAnsi"/>
          <w:sz w:val="22"/>
        </w:rPr>
        <w:t>. High grade heat is the most valuable due to its high temperature and high heat transfer (HT) rate; it is the quality of heat use</w:t>
      </w:r>
      <w:r>
        <w:rPr>
          <w:rStyle w:val="fontstyle01"/>
          <w:rFonts w:asciiTheme="minorHAnsi" w:hAnsiTheme="minorHAnsi"/>
          <w:sz w:val="22"/>
        </w:rPr>
        <w:t>d</w:t>
      </w:r>
      <w:r w:rsidRPr="00C106AF">
        <w:rPr>
          <w:rStyle w:val="fontstyle01"/>
          <w:rFonts w:asciiTheme="minorHAnsi" w:hAnsiTheme="minorHAnsi"/>
          <w:sz w:val="22"/>
        </w:rPr>
        <w:t xml:space="preserve"> in CHP plants </w:t>
      </w:r>
      <w:r w:rsidRPr="00C106AF">
        <w:rPr>
          <w:rStyle w:val="fontstyle01"/>
          <w:rFonts w:asciiTheme="minorHAnsi" w:hAnsiTheme="minorHAnsi"/>
          <w:sz w:val="22"/>
        </w:rPr>
        <w:fldChar w:fldCharType="begin" w:fldLock="1"/>
      </w:r>
      <w:r w:rsidR="002A6A73">
        <w:rPr>
          <w:rStyle w:val="fontstyle01"/>
          <w:rFonts w:asciiTheme="minorHAnsi" w:hAnsiTheme="minorHAnsi"/>
          <w:sz w:val="22"/>
        </w:rPr>
        <w:instrText>ADDIN CSL_CITATION {"citationItems":[{"id":"ITEM-1","itemData":{"author":[{"dropping-particle":"","family":"Mehta","given":"Paul","non-dropping-particle":"","parse-names":false,"suffix":""}],"chapter-number":"8","container-title":"Energy Management Handbook","edition":"7th","id":"ITEM-1","issued":{"date-parts":[["2009"]]},"page":"193-216","publisher":"The Fairmont Press","publisher-place":"Lilburn, USA","title":"Chapter 8: Waste-heat recovery","type":"chapter"},"uris":["http://www.mendeley.com/documents/?uuid=97fb2412-5ca6-476d-95ec-eb241499f8e9"]}],"mendeley":{"formattedCitation":"(Mehta, 2009)","plainTextFormattedCitation":"(Mehta, 2009)","previouslyFormattedCitation":"(Mehta, 2009)"},"properties":{"noteIndex":0},"schema":"https://github.com/citation-style-language/schema/raw/master/csl-citation.json"}</w:instrText>
      </w:r>
      <w:r w:rsidRPr="00C106AF">
        <w:rPr>
          <w:rStyle w:val="fontstyle01"/>
          <w:rFonts w:asciiTheme="minorHAnsi" w:hAnsiTheme="minorHAnsi"/>
          <w:sz w:val="22"/>
        </w:rPr>
        <w:fldChar w:fldCharType="separate"/>
      </w:r>
      <w:r w:rsidR="002A6A73" w:rsidRPr="002A6A73">
        <w:rPr>
          <w:rStyle w:val="fontstyle01"/>
          <w:rFonts w:asciiTheme="minorHAnsi" w:hAnsiTheme="minorHAnsi"/>
          <w:noProof/>
          <w:sz w:val="22"/>
        </w:rPr>
        <w:t>(Mehta, 2009)</w:t>
      </w:r>
      <w:r w:rsidRPr="00C106AF">
        <w:rPr>
          <w:rStyle w:val="fontstyle01"/>
          <w:rFonts w:asciiTheme="minorHAnsi" w:hAnsiTheme="minorHAnsi"/>
          <w:sz w:val="22"/>
        </w:rPr>
        <w:fldChar w:fldCharType="end"/>
      </w:r>
      <w:r w:rsidRPr="00C106AF">
        <w:rPr>
          <w:rStyle w:val="fontstyle01"/>
          <w:rFonts w:asciiTheme="minorHAnsi" w:hAnsiTheme="minorHAnsi"/>
          <w:sz w:val="22"/>
        </w:rPr>
        <w:t>. Medium grade heat is cheaper to use, as it does not require the use of special materials and engineering</w:t>
      </w:r>
      <w:r>
        <w:rPr>
          <w:rStyle w:val="fontstyle01"/>
          <w:rFonts w:asciiTheme="minorHAnsi" w:hAnsiTheme="minorHAnsi"/>
          <w:sz w:val="22"/>
        </w:rPr>
        <w:t>. Medium grade heat</w:t>
      </w:r>
      <w:r w:rsidRPr="00C106AF">
        <w:rPr>
          <w:rStyle w:val="fontstyle01"/>
          <w:rFonts w:asciiTheme="minorHAnsi" w:hAnsiTheme="minorHAnsi"/>
          <w:sz w:val="22"/>
        </w:rPr>
        <w:t xml:space="preserve"> should be used when the </w:t>
      </w:r>
      <w:r>
        <w:rPr>
          <w:rStyle w:val="fontstyle01"/>
          <w:rFonts w:asciiTheme="minorHAnsi" w:hAnsiTheme="minorHAnsi"/>
          <w:sz w:val="22"/>
        </w:rPr>
        <w:t>HD</w:t>
      </w:r>
      <w:r w:rsidRPr="00C106AF">
        <w:rPr>
          <w:rStyle w:val="fontstyle01"/>
          <w:rFonts w:asciiTheme="minorHAnsi" w:hAnsiTheme="minorHAnsi"/>
          <w:sz w:val="22"/>
        </w:rPr>
        <w:t xml:space="preserve"> is of medium quality, such as the direct substitution of process heat. Low grade </w:t>
      </w:r>
      <w:r w:rsidR="0043230A">
        <w:rPr>
          <w:rStyle w:val="fontstyle01"/>
          <w:rFonts w:asciiTheme="minorHAnsi" w:hAnsiTheme="minorHAnsi"/>
          <w:sz w:val="22"/>
        </w:rPr>
        <w:t>WH</w:t>
      </w:r>
      <w:r w:rsidRPr="00C106AF">
        <w:rPr>
          <w:rStyle w:val="fontstyle01"/>
          <w:rFonts w:asciiTheme="minorHAnsi" w:hAnsiTheme="minorHAnsi"/>
          <w:sz w:val="22"/>
        </w:rPr>
        <w:t xml:space="preserve"> (LGWH) is problematic to use, see section </w:t>
      </w:r>
      <w:r w:rsidRPr="00C106AF">
        <w:rPr>
          <w:rStyle w:val="fontstyle01"/>
          <w:rFonts w:asciiTheme="minorHAnsi" w:hAnsiTheme="minorHAnsi"/>
          <w:sz w:val="22"/>
        </w:rPr>
        <w:fldChar w:fldCharType="begin"/>
      </w:r>
      <w:r w:rsidRPr="00C106AF">
        <w:rPr>
          <w:rStyle w:val="fontstyle01"/>
          <w:rFonts w:asciiTheme="minorHAnsi" w:hAnsiTheme="minorHAnsi"/>
          <w:sz w:val="22"/>
        </w:rPr>
        <w:instrText xml:space="preserve"> REF _Ref525661292 \n \h  \* MERGEFORMAT </w:instrText>
      </w:r>
      <w:r w:rsidRPr="00C106AF">
        <w:rPr>
          <w:rStyle w:val="fontstyle01"/>
          <w:rFonts w:asciiTheme="minorHAnsi" w:hAnsiTheme="minorHAnsi"/>
          <w:sz w:val="22"/>
        </w:rPr>
      </w:r>
      <w:r w:rsidRPr="00C106AF">
        <w:rPr>
          <w:rStyle w:val="fontstyle01"/>
          <w:rFonts w:asciiTheme="minorHAnsi" w:hAnsiTheme="minorHAnsi"/>
          <w:sz w:val="22"/>
        </w:rPr>
        <w:fldChar w:fldCharType="separate"/>
      </w:r>
      <w:r w:rsidR="00CB7456">
        <w:rPr>
          <w:rStyle w:val="fontstyle01"/>
          <w:rFonts w:asciiTheme="minorHAnsi" w:hAnsiTheme="minorHAnsi"/>
          <w:sz w:val="22"/>
        </w:rPr>
        <w:t>2.3.5</w:t>
      </w:r>
      <w:r w:rsidRPr="00C106AF">
        <w:rPr>
          <w:rStyle w:val="fontstyle01"/>
          <w:rFonts w:asciiTheme="minorHAnsi" w:hAnsiTheme="minorHAnsi"/>
          <w:sz w:val="22"/>
        </w:rPr>
        <w:fldChar w:fldCharType="end"/>
      </w:r>
      <w:r w:rsidRPr="00C106AF">
        <w:rPr>
          <w:rStyle w:val="fontstyle01"/>
          <w:rFonts w:asciiTheme="minorHAnsi" w:hAnsiTheme="minorHAnsi"/>
          <w:sz w:val="22"/>
        </w:rPr>
        <w:t>. The enthalpy, the quality, of the WH is defined by</w:t>
      </w:r>
      <w:r>
        <w:rPr>
          <w:rStyle w:val="fontstyle01"/>
          <w:rFonts w:asciiTheme="minorHAnsi" w:hAnsiTheme="minorHAnsi"/>
          <w:sz w:val="22"/>
        </w:rPr>
        <w:t xml:space="preserve"> Equation </w:t>
      </w:r>
      <w:r>
        <w:rPr>
          <w:rStyle w:val="fontstyle01"/>
          <w:rFonts w:asciiTheme="minorHAnsi" w:hAnsiTheme="minorHAnsi"/>
          <w:sz w:val="22"/>
        </w:rPr>
        <w:fldChar w:fldCharType="begin"/>
      </w:r>
      <w:r>
        <w:rPr>
          <w:rStyle w:val="fontstyle01"/>
          <w:rFonts w:asciiTheme="minorHAnsi" w:hAnsiTheme="minorHAnsi"/>
          <w:sz w:val="22"/>
        </w:rPr>
        <w:instrText xml:space="preserve"> REF _Ref531100396 \h </w:instrText>
      </w:r>
      <w:r>
        <w:rPr>
          <w:rStyle w:val="fontstyle01"/>
          <w:rFonts w:asciiTheme="minorHAnsi" w:hAnsiTheme="minorHAnsi"/>
          <w:sz w:val="22"/>
        </w:rPr>
      </w:r>
      <w:r>
        <w:rPr>
          <w:rStyle w:val="fontstyle01"/>
          <w:rFonts w:asciiTheme="minorHAnsi" w:hAnsiTheme="minorHAnsi"/>
          <w:sz w:val="22"/>
        </w:rPr>
        <w:fldChar w:fldCharType="separate"/>
      </w:r>
      <w:r w:rsidR="00CB7456">
        <w:rPr>
          <w:noProof/>
        </w:rPr>
        <w:t>2</w:t>
      </w:r>
      <w:r w:rsidR="00CB7456">
        <w:t>.</w:t>
      </w:r>
      <w:r w:rsidR="00CB7456">
        <w:rPr>
          <w:noProof/>
        </w:rPr>
        <w:t>1</w:t>
      </w:r>
      <w:r>
        <w:rPr>
          <w:rStyle w:val="fontstyle01"/>
          <w:rFonts w:asciiTheme="minorHAnsi" w:hAnsiTheme="minorHAnsi"/>
          <w:sz w:val="22"/>
        </w:rPr>
        <w:fldChar w:fldCharType="end"/>
      </w:r>
      <w:r>
        <w:rPr>
          <w:rStyle w:val="fontstyle01"/>
          <w:rFonts w:asciiTheme="minorHAnsi" w:hAnsiTheme="minorHAnsi"/>
          <w:sz w:val="22"/>
        </w:rPr>
        <w:t xml:space="preserve"> </w:t>
      </w:r>
      <w:r w:rsidRPr="00C106AF">
        <w:rPr>
          <w:rStyle w:val="fontstyle01"/>
          <w:rFonts w:asciiTheme="minorHAnsi" w:hAnsiTheme="minorHAnsi"/>
          <w:sz w:val="22"/>
        </w:rPr>
        <w:fldChar w:fldCharType="begin" w:fldLock="1"/>
      </w:r>
      <w:r w:rsidR="002A6A73">
        <w:rPr>
          <w:rStyle w:val="fontstyle01"/>
          <w:rFonts w:asciiTheme="minorHAnsi" w:hAnsiTheme="minorHAnsi"/>
          <w:sz w:val="22"/>
        </w:rPr>
        <w:instrText>ADDIN CSL_CITATION {"citationItems":[{"id":"ITEM-1","itemData":{"ISBN":"0881735426","author":[{"dropping-particle":"","family":"Rohrer","given":"Wesley M.","non-dropping-particle":"","parse-names":false,"suffix":""}],"chapter-number":"8","container-title":"Energy Management Handbook","edition":"6th","editor":[{"dropping-particle":"","family":"Turner","given":"Wayne C","non-dropping-particle":"","parse-names":false,"suffix":""},{"dropping-particle":"","family":"Doty","given":"Steve","non-dropping-particle":"","parse-names":false,"suffix":""}],"id":"ITEM-1","issued":{"date-parts":[["2007"]]},"page":"193 - 220","publisher":"Farimont Press","publisher-place":"Lilburn, USA","title":"Chapter 8: Waste-heat recovery","type":"chapter"},"uris":["http://www.mendeley.com/documents/?uuid=2bab79c3-b92e-449c-af36-1f82044c6267"]}],"mendeley":{"formattedCitation":"(Rohrer, 2007)","plainTextFormattedCitation":"(Rohrer, 2007)","previouslyFormattedCitation":"(Rohrer, 2007)"},"properties":{"noteIndex":0},"schema":"https://github.com/citation-style-language/schema/raw/master/csl-citation.json"}</w:instrText>
      </w:r>
      <w:r w:rsidRPr="00C106AF">
        <w:rPr>
          <w:rStyle w:val="fontstyle01"/>
          <w:rFonts w:asciiTheme="minorHAnsi" w:hAnsiTheme="minorHAnsi"/>
          <w:sz w:val="22"/>
        </w:rPr>
        <w:fldChar w:fldCharType="separate"/>
      </w:r>
      <w:r w:rsidR="002A6A73" w:rsidRPr="002A6A73">
        <w:rPr>
          <w:rStyle w:val="fontstyle01"/>
          <w:rFonts w:asciiTheme="minorHAnsi" w:hAnsiTheme="minorHAnsi"/>
          <w:noProof/>
          <w:sz w:val="22"/>
        </w:rPr>
        <w:t>(Rohrer, 2007)</w:t>
      </w:r>
      <w:r w:rsidRPr="00C106AF">
        <w:rPr>
          <w:rStyle w:val="fontstyle01"/>
          <w:rFonts w:asciiTheme="minorHAnsi" w:hAnsiTheme="minorHAnsi"/>
          <w:sz w:val="22"/>
        </w:rPr>
        <w:fldChar w:fldCharType="end"/>
      </w:r>
      <w:r w:rsidRPr="00C106AF">
        <w:rPr>
          <w:rStyle w:val="fontstyle01"/>
          <w:rFonts w:asciiTheme="minorHAnsi" w:hAnsiTheme="minorHAnsi"/>
          <w:sz w:val="22"/>
        </w:rP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40"/>
        <w:gridCol w:w="1958"/>
      </w:tblGrid>
      <w:tr w:rsidR="000F16EB" w14:paraId="464E1BA4" w14:textId="77777777" w:rsidTr="00A7521D">
        <w:tc>
          <w:tcPr>
            <w:tcW w:w="6232" w:type="dxa"/>
          </w:tcPr>
          <w:p w14:paraId="2D9EAD3E" w14:textId="77777777" w:rsidR="000F16EB" w:rsidRPr="00AC69E9" w:rsidRDefault="00C73E04" w:rsidP="00A7521D">
            <w:pPr>
              <w:keepNext/>
            </w:pPr>
            <m:oMathPara>
              <m:oMathParaPr>
                <m:jc m:val="left"/>
              </m:oMathParaPr>
              <m:oMath>
                <m:acc>
                  <m:accPr>
                    <m:chr m:val="̇"/>
                    <m:ctrlPr>
                      <w:rPr>
                        <w:rStyle w:val="fontstyle01"/>
                        <w:rFonts w:ascii="Cambria Math" w:hAnsi="Cambria Math"/>
                        <w:i/>
                        <w:sz w:val="22"/>
                        <w:szCs w:val="22"/>
                      </w:rPr>
                    </m:ctrlPr>
                  </m:accPr>
                  <m:e>
                    <m:r>
                      <w:rPr>
                        <w:rStyle w:val="fontstyle01"/>
                        <w:rFonts w:ascii="Cambria Math" w:hAnsi="Cambria Math"/>
                      </w:rPr>
                      <m:t>H</m:t>
                    </m:r>
                  </m:e>
                </m:acc>
                <m:r>
                  <w:rPr>
                    <w:rStyle w:val="fontstyle01"/>
                    <w:rFonts w:ascii="Cambria Math" w:hAnsi="Cambria Math"/>
                  </w:rPr>
                  <m:t>=</m:t>
                </m:r>
                <m:acc>
                  <m:accPr>
                    <m:chr m:val="̇"/>
                    <m:ctrlPr>
                      <w:rPr>
                        <w:rStyle w:val="fontstyle01"/>
                        <w:rFonts w:ascii="Cambria Math" w:hAnsi="Cambria Math"/>
                        <w:i/>
                        <w:sz w:val="22"/>
                        <w:szCs w:val="22"/>
                      </w:rPr>
                    </m:ctrlPr>
                  </m:accPr>
                  <m:e>
                    <m:r>
                      <w:rPr>
                        <w:rStyle w:val="fontstyle01"/>
                        <w:rFonts w:ascii="Cambria Math" w:hAnsi="Cambria Math"/>
                      </w:rPr>
                      <m:t>m</m:t>
                    </m:r>
                  </m:e>
                </m:acc>
                <m:r>
                  <w:rPr>
                    <w:rStyle w:val="fontstyle01"/>
                    <w:rFonts w:ascii="Cambria Math" w:hAnsi="Cambria Math"/>
                  </w:rPr>
                  <m:t>h</m:t>
                </m:r>
              </m:oMath>
            </m:oMathPara>
          </w:p>
        </w:tc>
        <w:bookmarkStart w:id="134" w:name="_Ref531100396"/>
        <w:tc>
          <w:tcPr>
            <w:tcW w:w="1956" w:type="dxa"/>
            <w:vAlign w:val="center"/>
          </w:tcPr>
          <w:p w14:paraId="3B6900BD" w14:textId="526000D8" w:rsidR="000F16EB" w:rsidRDefault="000F16EB" w:rsidP="00A7521D">
            <w:pPr>
              <w:pStyle w:val="Caption"/>
              <w:jc w:val="right"/>
            </w:pPr>
            <w:r>
              <w:fldChar w:fldCharType="begin"/>
            </w:r>
            <w:r>
              <w:instrText xml:space="preserve"> STYLEREF 1 \s </w:instrText>
            </w:r>
            <w:r>
              <w:fldChar w:fldCharType="separate"/>
            </w:r>
            <w:r w:rsidR="00CB7456">
              <w:rPr>
                <w:noProof/>
              </w:rPr>
              <w:t>2</w:t>
            </w:r>
            <w:r>
              <w:fldChar w:fldCharType="end"/>
            </w:r>
            <w:r>
              <w:t>.</w:t>
            </w:r>
            <w:r>
              <w:rPr>
                <w:noProof/>
              </w:rPr>
              <w:fldChar w:fldCharType="begin"/>
            </w:r>
            <w:r>
              <w:rPr>
                <w:noProof/>
              </w:rPr>
              <w:instrText xml:space="preserve"> SEQ Equation \* ARABIC \s 1 </w:instrText>
            </w:r>
            <w:r>
              <w:rPr>
                <w:noProof/>
              </w:rPr>
              <w:fldChar w:fldCharType="separate"/>
            </w:r>
            <w:r w:rsidR="00CB7456">
              <w:rPr>
                <w:noProof/>
              </w:rPr>
              <w:t>1</w:t>
            </w:r>
            <w:r>
              <w:rPr>
                <w:noProof/>
              </w:rPr>
              <w:fldChar w:fldCharType="end"/>
            </w:r>
            <w:bookmarkEnd w:id="134"/>
          </w:p>
        </w:tc>
      </w:tr>
    </w:tbl>
    <w:p w14:paraId="3D873945" w14:textId="77777777" w:rsidR="000F16EB" w:rsidRDefault="000F16EB" w:rsidP="000F16EB">
      <w:pPr>
        <w:pStyle w:val="NoSpacing"/>
        <w:rPr>
          <w:rStyle w:val="fontstyle01"/>
          <w:rFonts w:asciiTheme="minorHAnsi" w:hAnsiTheme="minorHAnsi"/>
          <w:sz w:val="22"/>
          <w:szCs w:val="22"/>
        </w:rPr>
      </w:pPr>
    </w:p>
    <w:p w14:paraId="07ACEBFA" w14:textId="77777777" w:rsidR="000F16EB" w:rsidRDefault="00C73E04" w:rsidP="000F16EB">
      <w:pPr>
        <w:pStyle w:val="NoSpacing"/>
        <w:rPr>
          <w:rStyle w:val="fontstyle01"/>
        </w:rPr>
      </w:pPr>
      <m:oMath>
        <m:acc>
          <m:accPr>
            <m:chr m:val="̇"/>
            <m:ctrlPr>
              <w:rPr>
                <w:rStyle w:val="fontstyle01"/>
                <w:rFonts w:ascii="Cambria Math" w:hAnsi="Cambria Math"/>
                <w:i/>
                <w:sz w:val="22"/>
                <w:szCs w:val="22"/>
              </w:rPr>
            </m:ctrlPr>
          </m:accPr>
          <m:e>
            <m:r>
              <w:rPr>
                <w:rStyle w:val="fontstyle01"/>
                <w:rFonts w:ascii="Cambria Math" w:hAnsi="Cambria Math"/>
              </w:rPr>
              <m:t>H</m:t>
            </m:r>
          </m:e>
        </m:acc>
      </m:oMath>
      <w:r w:rsidR="000F16EB">
        <w:rPr>
          <w:rStyle w:val="fontstyle01"/>
        </w:rPr>
        <w:t xml:space="preserve"> </w:t>
      </w:r>
      <w:r w:rsidR="000F16EB" w:rsidRPr="00C106AF">
        <w:rPr>
          <w:rStyle w:val="fontstyle01"/>
          <w:sz w:val="22"/>
        </w:rPr>
        <w:t>is the enthalpy of the stream [kW],</w:t>
      </w:r>
    </w:p>
    <w:p w14:paraId="0FE59C7B" w14:textId="08E9FE11" w:rsidR="000F16EB" w:rsidRDefault="00C73E04" w:rsidP="000F16EB">
      <w:pPr>
        <w:pStyle w:val="NoSpacing"/>
        <w:rPr>
          <w:rStyle w:val="fontstyle01"/>
        </w:rPr>
      </w:pPr>
      <m:oMath>
        <m:acc>
          <m:accPr>
            <m:chr m:val="̇"/>
            <m:ctrlPr>
              <w:rPr>
                <w:rStyle w:val="fontstyle01"/>
                <w:rFonts w:ascii="Cambria Math" w:hAnsi="Cambria Math"/>
                <w:i/>
                <w:sz w:val="22"/>
                <w:szCs w:val="22"/>
              </w:rPr>
            </m:ctrlPr>
          </m:accPr>
          <m:e>
            <m:r>
              <w:rPr>
                <w:rStyle w:val="fontstyle01"/>
                <w:rFonts w:ascii="Cambria Math" w:hAnsi="Cambria Math"/>
              </w:rPr>
              <m:t>m</m:t>
            </m:r>
          </m:e>
        </m:acc>
      </m:oMath>
      <w:r w:rsidR="000F16EB">
        <w:rPr>
          <w:rStyle w:val="fontstyle01"/>
        </w:rPr>
        <w:t xml:space="preserve"> </w:t>
      </w:r>
      <w:r w:rsidR="000F16EB" w:rsidRPr="00C106AF">
        <w:rPr>
          <w:rStyle w:val="fontstyle01"/>
          <w:sz w:val="22"/>
        </w:rPr>
        <w:t>is the mass flowrate of the stream [kg/</w:t>
      </w:r>
      <w:r w:rsidR="00B75215">
        <w:rPr>
          <w:rStyle w:val="fontstyle01"/>
          <w:sz w:val="22"/>
        </w:rPr>
        <w:t>hour</w:t>
      </w:r>
      <w:r w:rsidR="000F16EB" w:rsidRPr="00C106AF">
        <w:rPr>
          <w:rStyle w:val="fontstyle01"/>
          <w:sz w:val="22"/>
        </w:rPr>
        <w:t>]</w:t>
      </w:r>
      <w:r w:rsidR="000F16EB">
        <w:rPr>
          <w:rStyle w:val="fontstyle01"/>
          <w:sz w:val="22"/>
        </w:rPr>
        <w:t>,</w:t>
      </w:r>
    </w:p>
    <w:p w14:paraId="76B0D92C" w14:textId="77777777" w:rsidR="000F16EB" w:rsidRPr="00C106AF" w:rsidRDefault="000F16EB" w:rsidP="000F16EB">
      <w:pPr>
        <w:rPr>
          <w:rStyle w:val="fontstyle01"/>
          <w:sz w:val="22"/>
        </w:rPr>
      </w:pPr>
      <m:oMath>
        <m:r>
          <w:rPr>
            <w:rStyle w:val="fontstyle01"/>
            <w:rFonts w:ascii="Cambria Math" w:hAnsi="Cambria Math"/>
          </w:rPr>
          <m:t>h</m:t>
        </m:r>
      </m:oMath>
      <w:r>
        <w:rPr>
          <w:rStyle w:val="fontstyle01"/>
        </w:rPr>
        <w:t xml:space="preserve"> </w:t>
      </w:r>
      <w:r w:rsidRPr="00C106AF">
        <w:rPr>
          <w:rStyle w:val="fontstyle01"/>
          <w:sz w:val="22"/>
        </w:rPr>
        <w:t>is the specific enthalpy of the stream [kWh/kg].</w:t>
      </w:r>
    </w:p>
    <w:p w14:paraId="7988598D" w14:textId="77777777" w:rsidR="000F16EB" w:rsidRPr="003D7103" w:rsidRDefault="000F16EB" w:rsidP="000F16EB">
      <w:pPr>
        <w:pStyle w:val="Heading3"/>
      </w:pPr>
      <w:bookmarkStart w:id="135" w:name="_Ref468270639"/>
      <w:bookmarkStart w:id="136" w:name="_Toc522192723"/>
      <w:bookmarkStart w:id="137" w:name="_Toc525229953"/>
      <w:bookmarkStart w:id="138" w:name="_Toc529888267"/>
      <w:bookmarkStart w:id="139" w:name="_Toc7187453"/>
      <w:r w:rsidRPr="003D7103">
        <w:t>Waste Heat Recovery Technologies</w:t>
      </w:r>
      <w:bookmarkEnd w:id="135"/>
      <w:bookmarkEnd w:id="136"/>
      <w:bookmarkEnd w:id="137"/>
      <w:bookmarkEnd w:id="138"/>
      <w:bookmarkEnd w:id="139"/>
    </w:p>
    <w:p w14:paraId="7EE07E10" w14:textId="77777777" w:rsidR="000F16EB" w:rsidRDefault="000F16EB" w:rsidP="000F16EB">
      <w:pPr>
        <w:rPr>
          <w:rFonts w:ascii="Cambria" w:eastAsia="SimSun" w:hAnsi="Cambria" w:cs="Times New Roman"/>
          <w:b/>
          <w:bCs/>
          <w:i/>
          <w:iCs/>
          <w:color w:val="000000"/>
        </w:rPr>
      </w:pPr>
      <w:r w:rsidRPr="003D7103">
        <w:t xml:space="preserve">A range of technologies can be used to capture the </w:t>
      </w:r>
      <w:r>
        <w:t>WH</w:t>
      </w:r>
      <w:r w:rsidRPr="003D7103">
        <w:t xml:space="preserve"> in WHR. </w:t>
      </w:r>
    </w:p>
    <w:p w14:paraId="05513828" w14:textId="77777777" w:rsidR="000F16EB" w:rsidRPr="003D7103" w:rsidRDefault="000F16EB" w:rsidP="000F16EB">
      <w:pPr>
        <w:pStyle w:val="Heading4"/>
      </w:pPr>
      <w:bookmarkStart w:id="140" w:name="_Toc522192724"/>
      <w:bookmarkStart w:id="141" w:name="_Toc7187454"/>
      <w:r w:rsidRPr="003D7103">
        <w:t>Heat Exchangers</w:t>
      </w:r>
      <w:bookmarkEnd w:id="140"/>
      <w:bookmarkEnd w:id="141"/>
    </w:p>
    <w:p w14:paraId="17E41240" w14:textId="7693116D" w:rsidR="000F16EB" w:rsidRPr="003D7103" w:rsidRDefault="000F16EB" w:rsidP="000F16EB">
      <w:r>
        <w:t>HEX</w:t>
      </w:r>
      <w:r w:rsidRPr="003D7103">
        <w:t xml:space="preserve">s transfer </w:t>
      </w:r>
      <w:r>
        <w:t>TE</w:t>
      </w:r>
      <w:r w:rsidRPr="003D7103">
        <w:t xml:space="preserve"> from one stream to another</w:t>
      </w:r>
      <w:r>
        <w:t>,</w:t>
      </w:r>
      <w:r w:rsidRPr="003D7103">
        <w:t xml:space="preserve"> </w:t>
      </w:r>
      <w:r>
        <w:t>using either</w:t>
      </w:r>
      <w:r w:rsidRPr="003D7103">
        <w:t xml:space="preserve"> direct contact, where the streams are mixed, or indirect, where</w:t>
      </w:r>
      <w:r>
        <w:t xml:space="preserve"> the streams</w:t>
      </w:r>
      <w:r w:rsidRPr="003D7103">
        <w:t xml:space="preserve"> are kept separate</w:t>
      </w:r>
      <w:r>
        <w:t xml:space="preserve"> </w:t>
      </w:r>
      <w:r w:rsidRPr="003D7103">
        <w:fldChar w:fldCharType="begin" w:fldLock="1"/>
      </w:r>
      <w:r w:rsidR="002A6A73">
        <w:instrText>ADDIN CSL_CITATION {"citationItems":[{"id":"ITEM-1","itemData":{"ISBN":"0-8493-0902-6","author":[{"dropping-particle":"","family":"Kakac","given":"Sadik","non-dropping-particle":"","parse-names":false,"suffix":""},{"dropping-particle":"","family":"Liu","given":"Hongtan","non-dropping-particle":"","parse-names":false,"suffix":""}],"edition":"2","id":"ITEM-1","issued":{"date-parts":[["2002"]]},"publisher":"CRC Press LLC","publisher-place":"Washington, USA","title":"Heat exchangers: Selection, rating and thermal design","type":"book"},"uris":["http://www.mendeley.com/documents/?uuid=9a4fed88-2e25-4fc8-bfc6-430d3aa93b2b"]}],"mendeley":{"formattedCitation":"(Kakac and Liu, 2002)","plainTextFormattedCitation":"(Kakac and Liu, 2002)","previouslyFormattedCitation":"(Kakac and Liu, 2002)"},"properties":{"noteIndex":0},"schema":"https://github.com/citation-style-language/schema/raw/master/csl-citation.json"}</w:instrText>
      </w:r>
      <w:r w:rsidRPr="003D7103">
        <w:fldChar w:fldCharType="separate"/>
      </w:r>
      <w:r w:rsidR="002A6A73" w:rsidRPr="002A6A73">
        <w:rPr>
          <w:noProof/>
        </w:rPr>
        <w:t>(Kakac and Liu, 2002)</w:t>
      </w:r>
      <w:r w:rsidRPr="003D7103">
        <w:fldChar w:fldCharType="end"/>
      </w:r>
      <w:r w:rsidRPr="003D7103">
        <w:t xml:space="preserve">. </w:t>
      </w:r>
      <w:r>
        <w:t xml:space="preserve">HEXs </w:t>
      </w:r>
      <w:r w:rsidRPr="003D7103">
        <w:t xml:space="preserve">can be recuperative, where one stream recovers heat through a </w:t>
      </w:r>
      <w:r>
        <w:t>heat transfer surface area (HT</w:t>
      </w:r>
      <w:r w:rsidR="0049101B">
        <w:t> </w:t>
      </w:r>
      <w:r>
        <w:t>SA)</w:t>
      </w:r>
      <w:r w:rsidRPr="003D7103">
        <w:t xml:space="preserve">, or regenerative, where the streams alternately flow through a matrix, storing or extracting </w:t>
      </w:r>
      <w:r>
        <w:t>TE</w:t>
      </w:r>
      <w:r w:rsidRPr="003D7103">
        <w:t>.</w:t>
      </w:r>
      <w:r>
        <w:t xml:space="preserve"> The HT rate of a HEX is determined by Equation </w:t>
      </w:r>
      <w:r>
        <w:fldChar w:fldCharType="begin"/>
      </w:r>
      <w:r>
        <w:instrText xml:space="preserve"> REF _Ref531100532 \h </w:instrText>
      </w:r>
      <w:r>
        <w:fldChar w:fldCharType="separate"/>
      </w:r>
      <w:r w:rsidR="00CB7456">
        <w:rPr>
          <w:noProof/>
        </w:rPr>
        <w:t>2</w:t>
      </w:r>
      <w:r w:rsidR="00CB7456">
        <w:t>.</w:t>
      </w:r>
      <w:r w:rsidR="00CB7456">
        <w:rPr>
          <w:noProof/>
        </w:rPr>
        <w:t>2</w:t>
      </w:r>
      <w:r>
        <w:fldChar w:fldCharType="end"/>
      </w:r>
      <w:r>
        <w:t xml:space="preserve"> </w:t>
      </w:r>
      <w:r w:rsidRPr="003D7103">
        <w:fldChar w:fldCharType="begin" w:fldLock="1"/>
      </w:r>
      <w:r w:rsidR="002A6A73">
        <w:instrText>ADDIN CSL_CITATION {"citationItems":[{"id":"ITEM-1","itemData":{"author":[{"dropping-particle":"","family":"US DOE","given":"","non-dropping-particle":"","parse-names":false,"suffix":""}],"id":"ITEM-1","issued":{"date-parts":[["2008"]]},"number-of-pages":"1-112","publisher-place":"Washington, USA","title":"Waste Heat Recovery: Technology Opportunities in U.S. Industry","type":"report"},"uris":["http://www.mendeley.com/documents/?uuid=cd6a7cf3-17c1-496a-a6fc-8311cbaeaa3a"]}],"mendeley":{"formattedCitation":"(US DOE, 2008)","plainTextFormattedCitation":"(US DOE, 2008)","previouslyFormattedCitation":"(US DOE, 2008)"},"properties":{"noteIndex":0},"schema":"https://github.com/citation-style-language/schema/raw/master/csl-citation.json"}</w:instrText>
      </w:r>
      <w:r w:rsidRPr="003D7103">
        <w:fldChar w:fldCharType="separate"/>
      </w:r>
      <w:r w:rsidR="002A6A73" w:rsidRPr="002A6A73">
        <w:rPr>
          <w:noProof/>
        </w:rPr>
        <w:t>(US DOE, 2008)</w:t>
      </w:r>
      <w:r w:rsidRPr="003D7103">
        <w:fldChar w:fldCharType="end"/>
      </w:r>
      <w:r w:rsidRPr="003D7103">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40"/>
        <w:gridCol w:w="1958"/>
      </w:tblGrid>
      <w:tr w:rsidR="000F16EB" w14:paraId="37E373F2" w14:textId="77777777" w:rsidTr="00A7521D">
        <w:tc>
          <w:tcPr>
            <w:tcW w:w="6240" w:type="dxa"/>
          </w:tcPr>
          <w:p w14:paraId="239CF22D" w14:textId="77777777" w:rsidR="000F16EB" w:rsidRPr="00AC69E9" w:rsidRDefault="00C73E04" w:rsidP="00A7521D">
            <w:pPr>
              <w:keepNext/>
            </w:pPr>
            <m:oMathPara>
              <m:oMathParaPr>
                <m:jc m:val="left"/>
              </m:oMathParaPr>
              <m:oMath>
                <m:acc>
                  <m:accPr>
                    <m:chr m:val="̇"/>
                    <m:ctrlPr>
                      <w:rPr>
                        <w:rFonts w:ascii="Cambria Math" w:hAnsi="Cambria Math"/>
                        <w:i/>
                      </w:rPr>
                    </m:ctrlPr>
                  </m:accPr>
                  <m:e>
                    <m:r>
                      <w:rPr>
                        <w:rFonts w:ascii="Cambria Math" w:hAnsi="Cambria Math"/>
                      </w:rPr>
                      <m:t>Q</m:t>
                    </m:r>
                  </m:e>
                </m:acc>
                <m:r>
                  <w:rPr>
                    <w:rFonts w:ascii="Cambria Math" w:hAnsi="Cambria Math"/>
                  </w:rPr>
                  <m:t>=UA∆</m:t>
                </m:r>
                <m:sSub>
                  <m:sSubPr>
                    <m:ctrlPr>
                      <w:rPr>
                        <w:rFonts w:ascii="Cambria Math" w:hAnsi="Cambria Math"/>
                        <w:i/>
                      </w:rPr>
                    </m:ctrlPr>
                  </m:sSubPr>
                  <m:e>
                    <m:r>
                      <w:rPr>
                        <w:rFonts w:ascii="Cambria Math" w:hAnsi="Cambria Math"/>
                      </w:rPr>
                      <m:t>T</m:t>
                    </m:r>
                  </m:e>
                  <m:sub>
                    <m:r>
                      <w:rPr>
                        <w:rFonts w:ascii="Cambria Math" w:hAnsi="Cambria Math"/>
                      </w:rPr>
                      <m:t>m</m:t>
                    </m:r>
                  </m:sub>
                </m:sSub>
              </m:oMath>
            </m:oMathPara>
          </w:p>
        </w:tc>
        <w:bookmarkStart w:id="142" w:name="_Ref531100532"/>
        <w:tc>
          <w:tcPr>
            <w:tcW w:w="1958" w:type="dxa"/>
            <w:vAlign w:val="center"/>
          </w:tcPr>
          <w:p w14:paraId="5703626A" w14:textId="5408A82E" w:rsidR="000F16EB" w:rsidRDefault="000F16EB" w:rsidP="00A7521D">
            <w:pPr>
              <w:pStyle w:val="Caption"/>
              <w:jc w:val="right"/>
            </w:pPr>
            <w:r>
              <w:fldChar w:fldCharType="begin"/>
            </w:r>
            <w:r>
              <w:instrText xml:space="preserve"> STYLEREF 1 \s </w:instrText>
            </w:r>
            <w:r>
              <w:fldChar w:fldCharType="separate"/>
            </w:r>
            <w:r w:rsidR="00CB7456">
              <w:rPr>
                <w:noProof/>
              </w:rPr>
              <w:t>2</w:t>
            </w:r>
            <w:r>
              <w:fldChar w:fldCharType="end"/>
            </w:r>
            <w:r>
              <w:t>.</w:t>
            </w:r>
            <w:r>
              <w:rPr>
                <w:noProof/>
              </w:rPr>
              <w:fldChar w:fldCharType="begin"/>
            </w:r>
            <w:r>
              <w:rPr>
                <w:noProof/>
              </w:rPr>
              <w:instrText xml:space="preserve"> SEQ Equation \* ARABIC \s 1 </w:instrText>
            </w:r>
            <w:r>
              <w:rPr>
                <w:noProof/>
              </w:rPr>
              <w:fldChar w:fldCharType="separate"/>
            </w:r>
            <w:r w:rsidR="00CB7456">
              <w:rPr>
                <w:noProof/>
              </w:rPr>
              <w:t>2</w:t>
            </w:r>
            <w:r>
              <w:rPr>
                <w:noProof/>
              </w:rPr>
              <w:fldChar w:fldCharType="end"/>
            </w:r>
            <w:bookmarkEnd w:id="142"/>
          </w:p>
        </w:tc>
      </w:tr>
    </w:tbl>
    <w:p w14:paraId="2BE3D2EC" w14:textId="77777777" w:rsidR="000F16EB" w:rsidRPr="00AC69E9" w:rsidRDefault="000F16EB" w:rsidP="000F16EB">
      <w:pPr>
        <w:pStyle w:val="NoSpacing"/>
      </w:pPr>
    </w:p>
    <w:p w14:paraId="5E1F7090" w14:textId="77777777" w:rsidR="000F16EB" w:rsidRDefault="00C73E04" w:rsidP="000F16EB">
      <w:pPr>
        <w:pStyle w:val="NoSpacing"/>
      </w:pPr>
      <m:oMath>
        <m:acc>
          <m:accPr>
            <m:chr m:val="̇"/>
            <m:ctrlPr>
              <w:rPr>
                <w:rFonts w:ascii="Cambria Math" w:hAnsi="Cambria Math"/>
                <w:i/>
              </w:rPr>
            </m:ctrlPr>
          </m:accPr>
          <m:e>
            <m:r>
              <w:rPr>
                <w:rFonts w:ascii="Cambria Math" w:hAnsi="Cambria Math"/>
              </w:rPr>
              <m:t>Q</m:t>
            </m:r>
          </m:e>
        </m:acc>
      </m:oMath>
      <w:r w:rsidR="000F16EB">
        <w:t xml:space="preserve"> is the HT rate of the HEX [kW],</w:t>
      </w:r>
    </w:p>
    <w:p w14:paraId="772E336E" w14:textId="4A609A7C" w:rsidR="000F16EB" w:rsidRDefault="000F16EB" w:rsidP="000F16EB">
      <w:pPr>
        <w:pStyle w:val="NoSpacing"/>
      </w:pPr>
      <m:oMath>
        <m:r>
          <w:rPr>
            <w:rFonts w:ascii="Cambria Math" w:hAnsi="Cambria Math"/>
          </w:rPr>
          <m:t>U</m:t>
        </m:r>
      </m:oMath>
      <w:r>
        <w:t xml:space="preserve"> is the overall </w:t>
      </w:r>
      <w:r w:rsidR="0049101B">
        <w:t>heat transfer coefficient</w:t>
      </w:r>
      <w:r>
        <w:t xml:space="preserve"> [kW/(m</w:t>
      </w:r>
      <w:r>
        <w:rPr>
          <w:vertAlign w:val="superscript"/>
        </w:rPr>
        <w:t>2</w:t>
      </w:r>
      <w:r w:rsidRPr="003D7103">
        <w:t>°C</w:t>
      </w:r>
      <w:r>
        <w:t>)],</w:t>
      </w:r>
    </w:p>
    <w:p w14:paraId="4277EB1D" w14:textId="77777777" w:rsidR="000F16EB" w:rsidRDefault="000F16EB" w:rsidP="000F16EB">
      <w:pPr>
        <w:pStyle w:val="NoSpacing"/>
      </w:pPr>
      <m:oMath>
        <m:r>
          <w:rPr>
            <w:rFonts w:ascii="Cambria Math" w:hAnsi="Cambria Math"/>
          </w:rPr>
          <m:t>A</m:t>
        </m:r>
      </m:oMath>
      <w:r>
        <w:t xml:space="preserve"> is the HT SA [m</w:t>
      </w:r>
      <w:r w:rsidRPr="008E703B">
        <w:rPr>
          <w:vertAlign w:val="superscript"/>
        </w:rPr>
        <w:t>2</w:t>
      </w:r>
      <w:r>
        <w:t>],</w:t>
      </w:r>
    </w:p>
    <w:p w14:paraId="0D837D99" w14:textId="77777777" w:rsidR="000F16EB" w:rsidRPr="008E703B" w:rsidRDefault="000F16EB" w:rsidP="000F16EB">
      <m:oMath>
        <m:r>
          <w:rPr>
            <w:rFonts w:ascii="Cambria Math" w:hAnsi="Cambria Math"/>
          </w:rPr>
          <m:t>∆</m:t>
        </m:r>
        <m:sSub>
          <m:sSubPr>
            <m:ctrlPr>
              <w:rPr>
                <w:rFonts w:ascii="Cambria Math" w:hAnsi="Cambria Math"/>
                <w:i/>
              </w:rPr>
            </m:ctrlPr>
          </m:sSubPr>
          <m:e>
            <m:r>
              <w:rPr>
                <w:rFonts w:ascii="Cambria Math" w:hAnsi="Cambria Math" w:cs="Cambria Math"/>
              </w:rPr>
              <m:t>T</m:t>
            </m:r>
          </m:e>
          <m:sub>
            <m:r>
              <w:rPr>
                <w:rFonts w:ascii="Cambria Math" w:hAnsi="Cambria Math"/>
              </w:rPr>
              <m:t>m</m:t>
            </m:r>
          </m:sub>
        </m:sSub>
      </m:oMath>
      <w:r>
        <w:t xml:space="preserve"> is the temperature difference between the two streams [</w:t>
      </w:r>
      <w:r w:rsidRPr="003D7103">
        <w:t>°C</w:t>
      </w:r>
      <w:r>
        <w:t>].</w:t>
      </w:r>
    </w:p>
    <w:p w14:paraId="087603B1" w14:textId="77777777" w:rsidR="000F16EB" w:rsidRPr="003D7103" w:rsidRDefault="000F16EB" w:rsidP="000F16EB">
      <w:pPr>
        <w:pStyle w:val="Heading4"/>
      </w:pPr>
      <w:bookmarkStart w:id="143" w:name="_Toc522192725"/>
      <w:bookmarkStart w:id="144" w:name="_Toc7187455"/>
      <w:r w:rsidRPr="003D7103">
        <w:lastRenderedPageBreak/>
        <w:t>Heat Pumps</w:t>
      </w:r>
      <w:bookmarkEnd w:id="143"/>
      <w:bookmarkEnd w:id="144"/>
    </w:p>
    <w:p w14:paraId="32785E1D" w14:textId="30B02EC8" w:rsidR="000F16EB" w:rsidRPr="00C106AF" w:rsidRDefault="000F16EB" w:rsidP="000F16EB">
      <w:r w:rsidRPr="00C106AF">
        <w:t xml:space="preserve">Heat pumps upgrade the quality of the WH through the cycling of a refrigerant, requiring an external energy source, as shown in </w:t>
      </w:r>
      <w:r w:rsidRPr="00C106AF">
        <w:fldChar w:fldCharType="begin"/>
      </w:r>
      <w:r w:rsidRPr="00C106AF">
        <w:instrText xml:space="preserve"> REF _Ref450661687 \h  \* MERGEFORMAT </w:instrText>
      </w:r>
      <w:r w:rsidRPr="00C106AF">
        <w:fldChar w:fldCharType="separate"/>
      </w:r>
      <w:r w:rsidR="00CB7456" w:rsidRPr="00012547">
        <w:t xml:space="preserve">Figure </w:t>
      </w:r>
      <w:r w:rsidR="00CB7456">
        <w:rPr>
          <w:noProof/>
        </w:rPr>
        <w:t>2.4</w:t>
      </w:r>
      <w:r w:rsidRPr="00C106AF">
        <w:fldChar w:fldCharType="end"/>
      </w:r>
      <w:r w:rsidRPr="00C106AF">
        <w:t xml:space="preserve"> </w:t>
      </w:r>
      <w:r w:rsidRPr="00C106AF">
        <w:rPr>
          <w:rStyle w:val="fontstyle01"/>
          <w:sz w:val="22"/>
          <w:szCs w:val="22"/>
        </w:rPr>
        <w:fldChar w:fldCharType="begin" w:fldLock="1"/>
      </w:r>
      <w:r w:rsidR="002A6A73">
        <w:rPr>
          <w:rStyle w:val="fontstyle01"/>
          <w:sz w:val="22"/>
          <w:szCs w:val="22"/>
        </w:rPr>
        <w:instrText>ADDIN CSL_CITATION {"citationItems":[{"id":"ITEM-1","itemData":{"author":[{"dropping-particle":"","family":"O'Rielly","given":"Kristine","non-dropping-particle":"","parse-names":false,"suffix":""},{"dropping-particle":"","family":"Jeswiet","given":"Jack","non-dropping-particle":"","parse-names":false,"suffix":""}],"container-title":"Transactions of the Canadian Society for Mechanical Engineering","id":"ITEM-1","issue":"1","issued":{"date-parts":[["2015"]]},"page":"125-136","title":"Improving Industrial Energy Efficiency through the Implementation of Waste Heat Recovery Systems","type":"article-journal","volume":"39"},"uris":["http://www.mendeley.com/documents/?uuid=dc9eeaf4-2c68-4ab9-8db2-d9625a7b1433"]}],"mendeley":{"formattedCitation":"(O’Rielly and Jeswiet, 2015)","plainTextFormattedCitation":"(O’Rielly and Jeswiet, 2015)","previouslyFormattedCitation":"(O’Rielly and Jeswiet, 2015)"},"properties":{"noteIndex":0},"schema":"https://github.com/citation-style-language/schema/raw/master/csl-citation.json"}</w:instrText>
      </w:r>
      <w:r w:rsidRPr="00C106AF">
        <w:rPr>
          <w:rStyle w:val="fontstyle01"/>
          <w:sz w:val="22"/>
          <w:szCs w:val="22"/>
        </w:rPr>
        <w:fldChar w:fldCharType="separate"/>
      </w:r>
      <w:r w:rsidR="002A6A73" w:rsidRPr="002A6A73">
        <w:rPr>
          <w:rStyle w:val="fontstyle01"/>
          <w:noProof/>
          <w:sz w:val="22"/>
          <w:szCs w:val="22"/>
        </w:rPr>
        <w:t>(O’Rielly and Jeswiet, 2015)</w:t>
      </w:r>
      <w:r w:rsidRPr="00C106AF">
        <w:rPr>
          <w:rStyle w:val="fontstyle01"/>
          <w:sz w:val="22"/>
          <w:szCs w:val="22"/>
        </w:rPr>
        <w:fldChar w:fldCharType="end"/>
      </w:r>
      <w:r w:rsidRPr="00C106AF">
        <w:t xml:space="preserve">. </w:t>
      </w:r>
    </w:p>
    <w:p w14:paraId="608ACE50" w14:textId="77777777" w:rsidR="007B29C3" w:rsidRDefault="000F16EB" w:rsidP="007B29C3">
      <w:pPr>
        <w:keepNext/>
        <w:jc w:val="center"/>
      </w:pPr>
      <w:r w:rsidRPr="00012547">
        <w:rPr>
          <w:b/>
          <w:noProof/>
          <w:lang w:eastAsia="en-GB"/>
        </w:rPr>
        <w:drawing>
          <wp:inline distT="0" distB="0" distL="0" distR="0" wp14:anchorId="1F4082A3" wp14:editId="08E05992">
            <wp:extent cx="3168000" cy="2414785"/>
            <wp:effectExtent l="19050" t="19050" r="13970" b="2413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168000" cy="2414785"/>
                    </a:xfrm>
                    <a:prstGeom prst="rect">
                      <a:avLst/>
                    </a:prstGeom>
                    <a:ln>
                      <a:solidFill>
                        <a:schemeClr val="tx1"/>
                      </a:solidFill>
                    </a:ln>
                  </pic:spPr>
                </pic:pic>
              </a:graphicData>
            </a:graphic>
          </wp:inline>
        </w:drawing>
      </w:r>
    </w:p>
    <w:p w14:paraId="1E5D84A9" w14:textId="08422A62" w:rsidR="000F16EB" w:rsidRPr="00012547" w:rsidRDefault="000F16EB" w:rsidP="000F16EB">
      <w:pPr>
        <w:pStyle w:val="Caption"/>
        <w:jc w:val="left"/>
      </w:pPr>
      <w:bookmarkStart w:id="145" w:name="_Ref450661687"/>
      <w:bookmarkStart w:id="146" w:name="_Toc468265797"/>
      <w:bookmarkStart w:id="147" w:name="_Toc525230070"/>
      <w:bookmarkStart w:id="148" w:name="_Toc7187618"/>
      <w:r w:rsidRPr="00012547">
        <w:t xml:space="preserve">Figure </w:t>
      </w:r>
      <w:fldSimple w:instr=" STYLEREF 1 \s ">
        <w:r w:rsidR="00CB7456">
          <w:rPr>
            <w:noProof/>
          </w:rPr>
          <w:t>2</w:t>
        </w:r>
      </w:fldSimple>
      <w:r w:rsidR="007B29C3">
        <w:t>.</w:t>
      </w:r>
      <w:fldSimple w:instr=" SEQ Figure \* ARABIC \s 1 ">
        <w:r w:rsidR="00CB7456">
          <w:rPr>
            <w:noProof/>
          </w:rPr>
          <w:t>4</w:t>
        </w:r>
      </w:fldSimple>
      <w:bookmarkEnd w:id="145"/>
      <w:r>
        <w:rPr>
          <w:noProof/>
        </w:rPr>
        <w:t>:</w:t>
      </w:r>
      <w:r w:rsidRPr="00012547">
        <w:t xml:space="preserve"> The operating cycle of a heat pump </w:t>
      </w:r>
      <w:r w:rsidRPr="0022640E">
        <w:fldChar w:fldCharType="begin" w:fldLock="1"/>
      </w:r>
      <w:r w:rsidR="002A6A73" w:rsidRPr="0022640E">
        <w:instrText>ADDIN CSL_CITATION {"citationItems":[{"id":"ITEM-1","itemData":{"author":[{"dropping-particle":"","family":"O'Rielly","given":"Kristine","non-dropping-particle":"","parse-names":false,"suffix":""},{"dropping-particle":"","family":"Jeswiet","given":"Jack","non-dropping-particle":"","parse-names":false,"suffix":""}],"container-title":"Transactions of the Canadian Society for Mechanical Engineering","id":"ITEM-1","issue":"1","issued":{"date-parts":[["2015"]]},"page":"125-136","title":"Improving Industrial Energy Efficiency through the Implementation of Waste Heat Recovery Systems","type":"article-journal","volume":"39"},"uris":["http://www.mendeley.com/documents/?uuid=dc9eeaf4-2c68-4ab9-8db2-d9625a7b1433"]}],"mendeley":{"formattedCitation":"(O’Rielly and Jeswiet, 2015)","plainTextFormattedCitation":"(O’Rielly and Jeswiet, 2015)","previouslyFormattedCitation":"(O’Rielly and Jeswiet, 2015)"},"properties":{"noteIndex":0},"schema":"https://github.com/citation-style-language/schema/raw/master/csl-citation.json"}</w:instrText>
      </w:r>
      <w:r w:rsidRPr="0022640E">
        <w:fldChar w:fldCharType="separate"/>
      </w:r>
      <w:r w:rsidR="002A6A73" w:rsidRPr="0022640E">
        <w:rPr>
          <w:noProof/>
        </w:rPr>
        <w:t>(O’Rielly and Jeswiet, 2015)</w:t>
      </w:r>
      <w:r w:rsidRPr="0022640E">
        <w:fldChar w:fldCharType="end"/>
      </w:r>
      <w:r w:rsidRPr="0022640E">
        <w:t>.</w:t>
      </w:r>
      <w:bookmarkEnd w:id="146"/>
      <w:bookmarkEnd w:id="147"/>
      <w:bookmarkEnd w:id="148"/>
    </w:p>
    <w:p w14:paraId="04B70B95" w14:textId="64E3C707" w:rsidR="000F16EB" w:rsidRDefault="000F16EB" w:rsidP="000F16EB">
      <w:r w:rsidRPr="003D7103">
        <w:t>A heat pump is characterised by its coefficient of performance (COP)</w:t>
      </w:r>
      <w:r>
        <w:t xml:space="preserve"> </w:t>
      </w:r>
      <w:r w:rsidRPr="00DF4536">
        <w:fldChar w:fldCharType="begin" w:fldLock="1"/>
      </w:r>
      <w:r w:rsidR="00FF4B5D">
        <w:instrText>ADDIN CSL_CITATION {"citationItems":[{"id":"ITEM-1","itemData":{"DOI":"http://dx.doi.org/10.1016/0890-4332(93)90047-Y","ISBN":"0890-4332","ISSN":"1509-572X","PMID":"21225504","abstract":"A review of waste heat recovery and utilization is presented. The potential for re-using the otherwise wasted heat in different branches of industry is discussed. Traditional and new ways to recover the discharged heat from industrial equipment are illustrated. It is concluded that there exist numerous opportunities for recuperating and using waste heat.","author":[{"dropping-particle":"","family":"Al-Rabghi","given":"O.M.","non-dropping-particle":"","parse-names":false,"suffix":""},{"dropping-particle":"","family":"Beirutty","given":"M.","non-dropping-particle":"","parse-names":false,"suffix":""},{"dropping-particle":"","family":"Akyurt","given":"M.","non-dropping-particle":"","parse-names":false,"suffix":""},{"dropping-particle":"","family":"Najjar","given":"Y.;","non-dropping-particle":"","parse-names":false,"suffix":""},{"dropping-particle":"","family":"Alp","given":"T.","non-dropping-particle":"","parse-names":false,"suffix":""}],"container-title":"Heat Recovery Systems and CHP","id":"ITEM-1","issue":"5","issued":{"date-parts":[["1993"]]},"page":"463-470","title":"Recovery and utilization of waste heat","type":"article-journal","volume":"13"},"uris":["http://www.mendeley.com/documents/?uuid=aa223525-2093-4bfa-860d-36aec5c5693b"]},{"id":"ITEM-2","itemData":{"author":[{"dropping-particle":"","family":"Zottl","given":"Andreas","non-dropping-particle":"","parse-names":false,"suffix":""},{"dropping-particle":"","family":"Nordman","given":"Roger","non-dropping-particle":"","parse-names":false,"suffix":""},{"dropping-particle":"","family":"Miara","given":"Marek","non-dropping-particle":"","parse-names":false,"suffix":""}],"id":"ITEM-2","issued":{"date-parts":[["2012"]]},"publisher-place":"Brussels, Belgium","title":"Seasonal performance factor and monitoring for heat pump systems in the building sector","type":"report"},"uris":["http://www.mendeley.com/documents/?uuid=426ad6e5-4d43-45b5-a56d-19725b085496"]}],"mendeley":{"formattedCitation":"(Al-Rabghi &lt;i&gt;et al.&lt;/i&gt;, 1993; Zottl &lt;i&gt;et al.&lt;/i&gt;, 2012)","plainTextFormattedCitation":"(Al-Rabghi et al., 1993; Zottl et al., 2012)","previouslyFormattedCitation":"(Al-Rabghi &lt;i&gt;et al.&lt;/i&gt;, 1993; Zottl &lt;i&gt;et al.&lt;/i&gt;, 2012)"},"properties":{"noteIndex":0},"schema":"https://github.com/citation-style-language/schema/raw/master/csl-citation.json"}</w:instrText>
      </w:r>
      <w:r w:rsidRPr="00DF4536">
        <w:fldChar w:fldCharType="separate"/>
      </w:r>
      <w:r w:rsidR="005F544E" w:rsidRPr="005F544E">
        <w:rPr>
          <w:noProof/>
        </w:rPr>
        <w:t xml:space="preserve">(Al-Rabghi </w:t>
      </w:r>
      <w:r w:rsidR="005F544E" w:rsidRPr="005F544E">
        <w:rPr>
          <w:i/>
          <w:noProof/>
        </w:rPr>
        <w:t>et al.</w:t>
      </w:r>
      <w:r w:rsidR="005F544E" w:rsidRPr="005F544E">
        <w:rPr>
          <w:noProof/>
        </w:rPr>
        <w:t xml:space="preserve">, 1993; Zottl </w:t>
      </w:r>
      <w:r w:rsidR="005F544E" w:rsidRPr="005F544E">
        <w:rPr>
          <w:i/>
          <w:noProof/>
        </w:rPr>
        <w:t>et al.</w:t>
      </w:r>
      <w:r w:rsidR="005F544E" w:rsidRPr="005F544E">
        <w:rPr>
          <w:noProof/>
        </w:rPr>
        <w:t>, 2012)</w:t>
      </w:r>
      <w:r w:rsidRPr="00DF4536">
        <w:fldChar w:fldCharType="end"/>
      </w:r>
      <w:r>
        <w:t>. The COP of heating</w:t>
      </w:r>
      <w:r w:rsidR="00EE40D4">
        <w:t xml:space="preserve"> from a heat pump</w:t>
      </w:r>
      <w:r w:rsidRPr="003D7103">
        <w:t xml:space="preserve"> </w:t>
      </w:r>
      <w:r>
        <w:t xml:space="preserve">is defined in Equation </w:t>
      </w:r>
      <w:r>
        <w:fldChar w:fldCharType="begin"/>
      </w:r>
      <w:r>
        <w:instrText xml:space="preserve"> REF _Ref531100681 \h </w:instrText>
      </w:r>
      <w:r>
        <w:fldChar w:fldCharType="separate"/>
      </w:r>
      <w:r w:rsidR="00CB7456">
        <w:rPr>
          <w:noProof/>
        </w:rPr>
        <w:t>2</w:t>
      </w:r>
      <w:r w:rsidR="00CB7456">
        <w:t>.</w:t>
      </w:r>
      <w:r w:rsidR="00CB7456">
        <w:rPr>
          <w:noProof/>
        </w:rPr>
        <w:t>3</w:t>
      </w:r>
      <w:r>
        <w:fldChar w:fldCharType="end"/>
      </w:r>
      <w:r>
        <w:t xml:space="preserve"> and is dependent on the ratio of heat delivered to and work done by the compressor.</w:t>
      </w:r>
      <w:r w:rsidRPr="003D7103">
        <w:t xml:space="preserve">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5"/>
        <w:gridCol w:w="543"/>
      </w:tblGrid>
      <w:tr w:rsidR="000F16EB" w14:paraId="7B05372B" w14:textId="77777777" w:rsidTr="00A7521D">
        <w:tc>
          <w:tcPr>
            <w:tcW w:w="7655" w:type="dxa"/>
          </w:tcPr>
          <w:p w14:paraId="7D4411D7" w14:textId="082BD28C" w:rsidR="000F16EB" w:rsidRPr="00AC69E9" w:rsidRDefault="00C73E04" w:rsidP="00A7521D">
            <w:pPr>
              <w:keepNext/>
            </w:pPr>
            <m:oMathPara>
              <m:oMathParaPr>
                <m:jc m:val="left"/>
              </m:oMathParaPr>
              <m:oMath>
                <m:sSub>
                  <m:sSubPr>
                    <m:ctrlPr>
                      <w:rPr>
                        <w:rFonts w:ascii="Cambria Math" w:hAnsi="Cambria Math"/>
                        <w:i/>
                      </w:rPr>
                    </m:ctrlPr>
                  </m:sSubPr>
                  <m:e>
                    <m:r>
                      <m:rPr>
                        <m:nor/>
                      </m:rPr>
                      <m:t>COP</m:t>
                    </m:r>
                  </m:e>
                  <m:sub>
                    <m:r>
                      <m:rPr>
                        <m:nor/>
                      </m:rPr>
                      <w:rPr>
                        <w:rFonts w:ascii="Cambria Math"/>
                      </w:rPr>
                      <m:t>Heating</m:t>
                    </m:r>
                  </m:sub>
                </m:sSub>
                <m:r>
                  <m:rPr>
                    <m:nor/>
                  </m:rPr>
                  <w:rPr>
                    <w:rFonts w:ascii="Cambria Math"/>
                  </w:rPr>
                  <m:t xml:space="preserve"> </m:t>
                </m:r>
                <m:r>
                  <m:rPr>
                    <m:nor/>
                  </m:rPr>
                  <m:t>=</m:t>
                </m:r>
                <m:r>
                  <m:rPr>
                    <m:nor/>
                  </m:rPr>
                  <w:rPr>
                    <w:rFonts w:ascii="Cambria Math"/>
                  </w:rPr>
                  <m:t xml:space="preserve"> </m:t>
                </m:r>
                <m:f>
                  <m:fPr>
                    <m:ctrlPr>
                      <w:rPr>
                        <w:rFonts w:ascii="Cambria Math" w:hAnsi="Cambria Math"/>
                        <w:i/>
                      </w:rPr>
                    </m:ctrlPr>
                  </m:fPr>
                  <m:num>
                    <m:r>
                      <m:rPr>
                        <m:nor/>
                      </m:rPr>
                      <m:t>useful heat at the condenser</m:t>
                    </m:r>
                  </m:num>
                  <m:den>
                    <m:r>
                      <m:rPr>
                        <m:nor/>
                      </m:rPr>
                      <m:t>work done by the co</m:t>
                    </m:r>
                    <m:r>
                      <m:rPr>
                        <m:nor/>
                      </m:rPr>
                      <w:rPr>
                        <w:rFonts w:ascii="Cambria Math"/>
                      </w:rPr>
                      <m:t>mpressor</m:t>
                    </m:r>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Q</m:t>
                        </m:r>
                      </m:e>
                      <m:sub>
                        <m:r>
                          <w:rPr>
                            <w:rFonts w:ascii="Cambria Math" w:hAnsi="Cambria Math"/>
                          </w:rPr>
                          <m:t>H</m:t>
                        </m:r>
                      </m:sub>
                    </m:sSub>
                  </m:num>
                  <m:den>
                    <m:sSub>
                      <m:sSubPr>
                        <m:ctrlPr>
                          <w:rPr>
                            <w:rFonts w:ascii="Cambria Math" w:hAnsi="Cambria Math"/>
                            <w:i/>
                          </w:rPr>
                        </m:ctrlPr>
                      </m:sSubPr>
                      <m:e>
                        <m:r>
                          <w:rPr>
                            <w:rFonts w:ascii="Cambria Math" w:hAnsi="Cambria Math"/>
                          </w:rPr>
                          <m:t>Q</m:t>
                        </m:r>
                      </m:e>
                      <m:sub>
                        <m:r>
                          <w:rPr>
                            <w:rFonts w:ascii="Cambria Math" w:hAnsi="Cambria Math"/>
                          </w:rPr>
                          <m:t>net</m:t>
                        </m:r>
                      </m:sub>
                    </m:sSub>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Q</m:t>
                        </m:r>
                      </m:e>
                      <m:sub>
                        <m:r>
                          <w:rPr>
                            <w:rFonts w:ascii="Cambria Math" w:hAnsi="Cambria Math"/>
                          </w:rPr>
                          <m:t>H</m:t>
                        </m:r>
                      </m:sub>
                    </m:sSub>
                  </m:num>
                  <m:den>
                    <m:sSub>
                      <m:sSubPr>
                        <m:ctrlPr>
                          <w:rPr>
                            <w:rFonts w:ascii="Cambria Math" w:hAnsi="Cambria Math"/>
                            <w:i/>
                          </w:rPr>
                        </m:ctrlPr>
                      </m:sSubPr>
                      <m:e>
                        <m:r>
                          <w:rPr>
                            <w:rFonts w:ascii="Cambria Math" w:hAnsi="Cambria Math"/>
                          </w:rPr>
                          <m:t>Q</m:t>
                        </m:r>
                      </m:e>
                      <m:sub>
                        <m:r>
                          <w:rPr>
                            <w:rFonts w:ascii="Cambria Math" w:hAnsi="Cambria Math"/>
                          </w:rPr>
                          <m:t>H</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L</m:t>
                        </m:r>
                      </m:sub>
                    </m:sSub>
                  </m:den>
                </m:f>
                <m:r>
                  <w:rPr>
                    <w:rFonts w:ascii="Cambria Math" w:hAnsi="Cambria Math"/>
                  </w:rPr>
                  <m:t>&lt;</m:t>
                </m:r>
                <m:f>
                  <m:fPr>
                    <m:ctrlPr>
                      <w:rPr>
                        <w:rFonts w:ascii="Cambria Math" w:hAnsi="Cambria Math"/>
                        <w:i/>
                      </w:rPr>
                    </m:ctrlPr>
                  </m:fPr>
                  <m:num>
                    <m:sSub>
                      <m:sSubPr>
                        <m:ctrlPr>
                          <w:rPr>
                            <w:rFonts w:ascii="Cambria Math" w:hAnsi="Cambria Math"/>
                            <w:i/>
                          </w:rPr>
                        </m:ctrlPr>
                      </m:sSubPr>
                      <m:e>
                        <m:r>
                          <w:rPr>
                            <w:rFonts w:ascii="Cambria Math" w:hAnsi="Cambria Math"/>
                          </w:rPr>
                          <m:t>T</m:t>
                        </m:r>
                      </m:e>
                      <m:sub>
                        <m:r>
                          <w:rPr>
                            <w:rFonts w:ascii="Cambria Math" w:hAnsi="Cambria Math"/>
                          </w:rPr>
                          <m:t>H</m:t>
                        </m:r>
                      </m:sub>
                    </m:sSub>
                  </m:num>
                  <m:den>
                    <m:sSub>
                      <m:sSubPr>
                        <m:ctrlPr>
                          <w:rPr>
                            <w:rFonts w:ascii="Cambria Math" w:hAnsi="Cambria Math"/>
                            <w:i/>
                          </w:rPr>
                        </m:ctrlPr>
                      </m:sSubPr>
                      <m:e>
                        <m:r>
                          <w:rPr>
                            <w:rFonts w:ascii="Cambria Math" w:hAnsi="Cambria Math"/>
                          </w:rPr>
                          <m:t>T</m:t>
                        </m:r>
                      </m:e>
                      <m:sub>
                        <m:r>
                          <w:rPr>
                            <w:rFonts w:ascii="Cambria Math" w:hAnsi="Cambria Math"/>
                          </w:rPr>
                          <m:t>H</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L</m:t>
                        </m:r>
                      </m:sub>
                    </m:sSub>
                  </m:den>
                </m:f>
              </m:oMath>
            </m:oMathPara>
          </w:p>
        </w:tc>
        <w:bookmarkStart w:id="149" w:name="_Ref531100681"/>
        <w:tc>
          <w:tcPr>
            <w:tcW w:w="543" w:type="dxa"/>
            <w:vAlign w:val="center"/>
          </w:tcPr>
          <w:p w14:paraId="376D6695" w14:textId="36CCB505" w:rsidR="000F16EB" w:rsidRDefault="000F16EB" w:rsidP="00A7521D">
            <w:pPr>
              <w:pStyle w:val="Caption"/>
              <w:jc w:val="right"/>
            </w:pPr>
            <w:r>
              <w:fldChar w:fldCharType="begin"/>
            </w:r>
            <w:r>
              <w:instrText xml:space="preserve"> STYLEREF 1 \s </w:instrText>
            </w:r>
            <w:r>
              <w:fldChar w:fldCharType="separate"/>
            </w:r>
            <w:r w:rsidR="00CB7456">
              <w:rPr>
                <w:noProof/>
              </w:rPr>
              <w:t>2</w:t>
            </w:r>
            <w:r>
              <w:fldChar w:fldCharType="end"/>
            </w:r>
            <w:r>
              <w:t>.</w:t>
            </w:r>
            <w:r>
              <w:rPr>
                <w:noProof/>
              </w:rPr>
              <w:fldChar w:fldCharType="begin"/>
            </w:r>
            <w:r>
              <w:rPr>
                <w:noProof/>
              </w:rPr>
              <w:instrText xml:space="preserve"> SEQ Equation \* ARABIC \s 1 </w:instrText>
            </w:r>
            <w:r>
              <w:rPr>
                <w:noProof/>
              </w:rPr>
              <w:fldChar w:fldCharType="separate"/>
            </w:r>
            <w:r w:rsidR="00CB7456">
              <w:rPr>
                <w:noProof/>
              </w:rPr>
              <w:t>3</w:t>
            </w:r>
            <w:r>
              <w:rPr>
                <w:noProof/>
              </w:rPr>
              <w:fldChar w:fldCharType="end"/>
            </w:r>
            <w:bookmarkEnd w:id="149"/>
          </w:p>
        </w:tc>
      </w:tr>
    </w:tbl>
    <w:p w14:paraId="1222730C" w14:textId="77777777" w:rsidR="000F16EB" w:rsidRPr="003D7103" w:rsidRDefault="000F16EB" w:rsidP="00196CD6">
      <w:pPr>
        <w:pStyle w:val="NoSpacing"/>
      </w:pPr>
    </w:p>
    <w:p w14:paraId="4EA441BD" w14:textId="77777777" w:rsidR="000F16EB" w:rsidRDefault="00C73E04" w:rsidP="000F16EB">
      <w:pPr>
        <w:pStyle w:val="NoSpacing"/>
      </w:pPr>
      <m:oMath>
        <m:sSub>
          <m:sSubPr>
            <m:ctrlPr>
              <w:rPr>
                <w:rFonts w:ascii="Cambria Math" w:hAnsi="Cambria Math"/>
                <w:i/>
              </w:rPr>
            </m:ctrlPr>
          </m:sSubPr>
          <m:e>
            <m:r>
              <w:rPr>
                <w:rFonts w:ascii="Cambria Math" w:hAnsi="Cambria Math"/>
              </w:rPr>
              <m:t>Q</m:t>
            </m:r>
          </m:e>
          <m:sub>
            <m:r>
              <w:rPr>
                <w:rFonts w:ascii="Cambria Math" w:hAnsi="Cambria Math"/>
              </w:rPr>
              <m:t>H</m:t>
            </m:r>
          </m:sub>
        </m:sSub>
      </m:oMath>
      <w:r w:rsidR="000F16EB">
        <w:t xml:space="preserve"> is the heat delivered to the condenser [MWh],</w:t>
      </w:r>
    </w:p>
    <w:p w14:paraId="0E7ADA36" w14:textId="77777777" w:rsidR="000F16EB" w:rsidRDefault="00C73E04" w:rsidP="000F16EB">
      <w:pPr>
        <w:pStyle w:val="NoSpacing"/>
      </w:pPr>
      <m:oMath>
        <m:sSub>
          <m:sSubPr>
            <m:ctrlPr>
              <w:rPr>
                <w:rFonts w:ascii="Cambria Math" w:hAnsi="Cambria Math"/>
                <w:i/>
              </w:rPr>
            </m:ctrlPr>
          </m:sSubPr>
          <m:e>
            <m:r>
              <w:rPr>
                <w:rFonts w:ascii="Cambria Math" w:hAnsi="Cambria Math"/>
              </w:rPr>
              <m:t>Q</m:t>
            </m:r>
          </m:e>
          <m:sub>
            <m:r>
              <w:rPr>
                <w:rFonts w:ascii="Cambria Math" w:hAnsi="Cambria Math"/>
              </w:rPr>
              <m:t>L</m:t>
            </m:r>
          </m:sub>
        </m:sSub>
      </m:oMath>
      <w:r w:rsidR="000F16EB">
        <w:t xml:space="preserve"> is the heat extracted from the evaporator [MWh],</w:t>
      </w:r>
    </w:p>
    <w:p w14:paraId="1A120856" w14:textId="1EA57DB4" w:rsidR="000F16EB" w:rsidRDefault="00C73E04" w:rsidP="000F16EB">
      <w:pPr>
        <w:pStyle w:val="NoSpacing"/>
      </w:pPr>
      <m:oMath>
        <m:sSub>
          <m:sSubPr>
            <m:ctrlPr>
              <w:rPr>
                <w:rFonts w:ascii="Cambria Math" w:hAnsi="Cambria Math"/>
                <w:i/>
              </w:rPr>
            </m:ctrlPr>
          </m:sSubPr>
          <m:e>
            <m:r>
              <w:rPr>
                <w:rFonts w:ascii="Cambria Math" w:hAnsi="Cambria Math"/>
              </w:rPr>
              <m:t>Q</m:t>
            </m:r>
          </m:e>
          <m:sub>
            <m:r>
              <w:rPr>
                <w:rFonts w:ascii="Cambria Math" w:hAnsi="Cambria Math"/>
              </w:rPr>
              <m:t>net</m:t>
            </m:r>
          </m:sub>
        </m:sSub>
      </m:oMath>
      <w:r w:rsidR="000F16EB">
        <w:t xml:space="preserve"> is the </w:t>
      </w:r>
      <w:r w:rsidR="00B75215">
        <w:t>energy delivered</w:t>
      </w:r>
      <w:r w:rsidR="000F16EB">
        <w:t xml:space="preserve"> by the condenser [MW</w:t>
      </w:r>
      <w:r w:rsidR="00B75215">
        <w:t>h</w:t>
      </w:r>
      <w:r w:rsidR="000F16EB">
        <w:t>],</w:t>
      </w:r>
    </w:p>
    <w:p w14:paraId="40D67FFE" w14:textId="77777777" w:rsidR="000F16EB" w:rsidRDefault="00C73E04" w:rsidP="000F16EB">
      <w:pPr>
        <w:pStyle w:val="NoSpacing"/>
      </w:pPr>
      <m:oMath>
        <m:sSub>
          <m:sSubPr>
            <m:ctrlPr>
              <w:rPr>
                <w:rFonts w:ascii="Cambria Math" w:hAnsi="Cambria Math"/>
                <w:i/>
              </w:rPr>
            </m:ctrlPr>
          </m:sSubPr>
          <m:e>
            <m:r>
              <w:rPr>
                <w:rFonts w:ascii="Cambria Math" w:hAnsi="Cambria Math"/>
              </w:rPr>
              <m:t>T</m:t>
            </m:r>
          </m:e>
          <m:sub>
            <m:r>
              <w:rPr>
                <w:rFonts w:ascii="Cambria Math" w:hAnsi="Cambria Math"/>
              </w:rPr>
              <m:t>L</m:t>
            </m:r>
          </m:sub>
        </m:sSub>
      </m:oMath>
      <w:r w:rsidR="000F16EB">
        <w:t xml:space="preserve"> is the temperature delivered to the condenser (the heat sink temperature) [</w:t>
      </w:r>
      <w:r w:rsidR="000F16EB">
        <w:rPr>
          <w:rFonts w:cstheme="minorHAnsi"/>
        </w:rPr>
        <w:t>°</w:t>
      </w:r>
      <w:r w:rsidR="000F16EB">
        <w:t>C],</w:t>
      </w:r>
    </w:p>
    <w:p w14:paraId="7FF90850" w14:textId="77777777" w:rsidR="000F16EB" w:rsidRDefault="00C73E04" w:rsidP="000F16EB">
      <m:oMath>
        <m:sSub>
          <m:sSubPr>
            <m:ctrlPr>
              <w:rPr>
                <w:rFonts w:ascii="Cambria Math" w:hAnsi="Cambria Math"/>
                <w:i/>
              </w:rPr>
            </m:ctrlPr>
          </m:sSubPr>
          <m:e>
            <m:r>
              <w:rPr>
                <w:rFonts w:ascii="Cambria Math" w:hAnsi="Cambria Math"/>
              </w:rPr>
              <m:t>T</m:t>
            </m:r>
          </m:e>
          <m:sub>
            <m:r>
              <w:rPr>
                <w:rFonts w:ascii="Cambria Math" w:hAnsi="Cambria Math"/>
              </w:rPr>
              <m:t>H</m:t>
            </m:r>
          </m:sub>
        </m:sSub>
      </m:oMath>
      <w:r w:rsidR="000F16EB">
        <w:t xml:space="preserve"> is the temperature extracted from the evaporator (the WH temperature) [</w:t>
      </w:r>
      <w:r w:rsidR="000F16EB">
        <w:rPr>
          <w:rFonts w:cstheme="minorHAnsi"/>
        </w:rPr>
        <w:t>°</w:t>
      </w:r>
      <w:r w:rsidR="000F16EB">
        <w:t>C].</w:t>
      </w:r>
    </w:p>
    <w:p w14:paraId="0FC0EB7D" w14:textId="5562995F" w:rsidR="000F16EB" w:rsidRDefault="000F16EB" w:rsidP="000F16EB">
      <w:r>
        <w:t xml:space="preserve">The COP of cooling is the opposite of the COP of heating, as shown in Equation </w:t>
      </w:r>
      <w:r>
        <w:fldChar w:fldCharType="begin"/>
      </w:r>
      <w:r>
        <w:instrText xml:space="preserve"> REF _Ref531100768 \h </w:instrText>
      </w:r>
      <w:r>
        <w:fldChar w:fldCharType="separate"/>
      </w:r>
      <w:r w:rsidR="00CB7456">
        <w:rPr>
          <w:noProof/>
        </w:rPr>
        <w:t>2</w:t>
      </w:r>
      <w:r w:rsidR="00CB7456">
        <w:t>.</w:t>
      </w:r>
      <w:r w:rsidR="00CB7456">
        <w:rPr>
          <w:noProof/>
        </w:rPr>
        <w:t>4</w:t>
      </w:r>
      <w:r>
        <w:fldChar w:fldCharType="end"/>
      </w:r>
      <w: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5"/>
        <w:gridCol w:w="543"/>
      </w:tblGrid>
      <w:tr w:rsidR="000F16EB" w14:paraId="6D65AAB0" w14:textId="77777777" w:rsidTr="00A7521D">
        <w:tc>
          <w:tcPr>
            <w:tcW w:w="7655" w:type="dxa"/>
          </w:tcPr>
          <w:p w14:paraId="7716C8CA" w14:textId="3ED3892B" w:rsidR="000F16EB" w:rsidRPr="00AC69E9" w:rsidRDefault="00C73E04" w:rsidP="00A7521D">
            <w:pPr>
              <w:keepNext/>
            </w:pPr>
            <m:oMathPara>
              <m:oMathParaPr>
                <m:jc m:val="left"/>
              </m:oMathParaPr>
              <m:oMath>
                <m:sSub>
                  <m:sSubPr>
                    <m:ctrlPr>
                      <w:rPr>
                        <w:rFonts w:ascii="Cambria Math" w:hAnsi="Cambria Math"/>
                        <w:i/>
                      </w:rPr>
                    </m:ctrlPr>
                  </m:sSubPr>
                  <m:e>
                    <m:r>
                      <m:rPr>
                        <m:nor/>
                      </m:rPr>
                      <m:t>COP</m:t>
                    </m:r>
                  </m:e>
                  <m:sub>
                    <m:r>
                      <m:rPr>
                        <m:nor/>
                      </m:rPr>
                      <w:rPr>
                        <w:rFonts w:ascii="Cambria Math"/>
                      </w:rPr>
                      <m:t>Cooling</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Q</m:t>
                        </m:r>
                      </m:e>
                      <m:sub>
                        <m:r>
                          <w:rPr>
                            <w:rFonts w:ascii="Cambria Math" w:hAnsi="Cambria Math"/>
                          </w:rPr>
                          <m:t>L</m:t>
                        </m:r>
                      </m:sub>
                    </m:sSub>
                  </m:num>
                  <m:den>
                    <m:sSub>
                      <m:sSubPr>
                        <m:ctrlPr>
                          <w:rPr>
                            <w:rFonts w:ascii="Cambria Math" w:hAnsi="Cambria Math"/>
                            <w:i/>
                          </w:rPr>
                        </m:ctrlPr>
                      </m:sSubPr>
                      <m:e>
                        <m:r>
                          <w:rPr>
                            <w:rFonts w:ascii="Cambria Math" w:hAnsi="Cambria Math"/>
                          </w:rPr>
                          <m:t>Q</m:t>
                        </m:r>
                      </m:e>
                      <m:sub>
                        <m:r>
                          <w:rPr>
                            <w:rFonts w:ascii="Cambria Math" w:hAnsi="Cambria Math"/>
                          </w:rPr>
                          <m:t>H</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L</m:t>
                        </m:r>
                      </m:sub>
                    </m:sSub>
                  </m:den>
                </m:f>
                <m:r>
                  <w:rPr>
                    <w:rFonts w:ascii="Cambria Math" w:hAnsi="Cambria Math"/>
                  </w:rPr>
                  <m:t>&lt;</m:t>
                </m:r>
                <m:f>
                  <m:fPr>
                    <m:ctrlPr>
                      <w:rPr>
                        <w:rFonts w:ascii="Cambria Math" w:hAnsi="Cambria Math"/>
                        <w:i/>
                      </w:rPr>
                    </m:ctrlPr>
                  </m:fPr>
                  <m:num>
                    <m:sSub>
                      <m:sSubPr>
                        <m:ctrlPr>
                          <w:rPr>
                            <w:rFonts w:ascii="Cambria Math" w:hAnsi="Cambria Math"/>
                            <w:i/>
                          </w:rPr>
                        </m:ctrlPr>
                      </m:sSubPr>
                      <m:e>
                        <m:r>
                          <w:rPr>
                            <w:rFonts w:ascii="Cambria Math" w:hAnsi="Cambria Math"/>
                          </w:rPr>
                          <m:t>T</m:t>
                        </m:r>
                      </m:e>
                      <m:sub>
                        <m:r>
                          <w:rPr>
                            <w:rFonts w:ascii="Cambria Math" w:hAnsi="Cambria Math"/>
                          </w:rPr>
                          <m:t>L</m:t>
                        </m:r>
                      </m:sub>
                    </m:sSub>
                  </m:num>
                  <m:den>
                    <m:sSub>
                      <m:sSubPr>
                        <m:ctrlPr>
                          <w:rPr>
                            <w:rFonts w:ascii="Cambria Math" w:hAnsi="Cambria Math"/>
                            <w:i/>
                          </w:rPr>
                        </m:ctrlPr>
                      </m:sSubPr>
                      <m:e>
                        <m:r>
                          <w:rPr>
                            <w:rFonts w:ascii="Cambria Math" w:hAnsi="Cambria Math"/>
                          </w:rPr>
                          <m:t>T</m:t>
                        </m:r>
                      </m:e>
                      <m:sub>
                        <m:r>
                          <w:rPr>
                            <w:rFonts w:ascii="Cambria Math" w:hAnsi="Cambria Math"/>
                          </w:rPr>
                          <m:t>H</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L</m:t>
                        </m:r>
                      </m:sub>
                    </m:sSub>
                  </m:den>
                </m:f>
              </m:oMath>
            </m:oMathPara>
          </w:p>
        </w:tc>
        <w:bookmarkStart w:id="150" w:name="_Ref531100768"/>
        <w:tc>
          <w:tcPr>
            <w:tcW w:w="543" w:type="dxa"/>
            <w:vAlign w:val="center"/>
          </w:tcPr>
          <w:p w14:paraId="4021D7EE" w14:textId="2B5A63BE" w:rsidR="000F16EB" w:rsidRDefault="000F16EB" w:rsidP="00A7521D">
            <w:pPr>
              <w:pStyle w:val="Caption"/>
              <w:jc w:val="right"/>
            </w:pPr>
            <w:r>
              <w:fldChar w:fldCharType="begin"/>
            </w:r>
            <w:r>
              <w:instrText xml:space="preserve"> STYLEREF 1 \s </w:instrText>
            </w:r>
            <w:r>
              <w:fldChar w:fldCharType="separate"/>
            </w:r>
            <w:r w:rsidR="00CB7456">
              <w:rPr>
                <w:noProof/>
              </w:rPr>
              <w:t>2</w:t>
            </w:r>
            <w:r>
              <w:fldChar w:fldCharType="end"/>
            </w:r>
            <w:r>
              <w:t>.</w:t>
            </w:r>
            <w:r>
              <w:rPr>
                <w:noProof/>
              </w:rPr>
              <w:fldChar w:fldCharType="begin"/>
            </w:r>
            <w:r>
              <w:rPr>
                <w:noProof/>
              </w:rPr>
              <w:instrText xml:space="preserve"> SEQ Equation \* ARABIC \s 1 </w:instrText>
            </w:r>
            <w:r>
              <w:rPr>
                <w:noProof/>
              </w:rPr>
              <w:fldChar w:fldCharType="separate"/>
            </w:r>
            <w:r w:rsidR="00CB7456">
              <w:rPr>
                <w:noProof/>
              </w:rPr>
              <w:t>4</w:t>
            </w:r>
            <w:r>
              <w:rPr>
                <w:noProof/>
              </w:rPr>
              <w:fldChar w:fldCharType="end"/>
            </w:r>
            <w:bookmarkEnd w:id="150"/>
          </w:p>
        </w:tc>
      </w:tr>
    </w:tbl>
    <w:p w14:paraId="70520AFC" w14:textId="77777777" w:rsidR="000F16EB" w:rsidRDefault="000F16EB" w:rsidP="00196CD6">
      <w:pPr>
        <w:pStyle w:val="NoSpacing"/>
      </w:pPr>
    </w:p>
    <w:p w14:paraId="167C58DD" w14:textId="77777777" w:rsidR="000F16EB" w:rsidRPr="003D7103" w:rsidRDefault="000F16EB" w:rsidP="000F16EB">
      <w:pPr>
        <w:pStyle w:val="Heading4"/>
      </w:pPr>
      <w:bookmarkStart w:id="151" w:name="_Toc522192726"/>
      <w:bookmarkStart w:id="152" w:name="_Toc7187456"/>
      <w:r w:rsidRPr="003D7103">
        <w:t>Organic Rankine Cycles</w:t>
      </w:r>
      <w:bookmarkEnd w:id="151"/>
      <w:bookmarkEnd w:id="152"/>
    </w:p>
    <w:p w14:paraId="3B69DEBE" w14:textId="2033F72C" w:rsidR="000F16EB" w:rsidRPr="003D7103" w:rsidRDefault="000F16EB" w:rsidP="000F16EB">
      <w:r w:rsidRPr="003D7103">
        <w:t xml:space="preserve">Organic Rankine cycles (ORCs) are used to generate electricity from </w:t>
      </w:r>
      <w:r>
        <w:t xml:space="preserve">LGWH </w:t>
      </w:r>
      <w:r w:rsidRPr="003D7103">
        <w:fldChar w:fldCharType="begin" w:fldLock="1"/>
      </w:r>
      <w:r w:rsidR="002A6A73">
        <w:instrText>ADDIN CSL_CITATION {"citationItems":[{"id":"ITEM-1","itemData":{"DOI":"10.1016/j.enconman.2013.07.041","ISBN":"0196-8904","ISSN":"01968904","abstract":"Organic Rankine Cycle (ORC) is a technology with important opportunities in heat recovery from energy intensive industrial processes. This paper represents the first comprehensive estimate of ORC units that can be installed in cement, steel, glass and oil&amp;gas industries in the 27 countries of the European Union based on an accurate methodology related to real plants in operation or under construction. An evaluation of energy savings, depending on the number of operating hours per year and of the consequent decrease in CO2 emission and electricity expenditure, is also provided. The study, carried out in the framework of an European research project on heat recovery in energy intensive industries, found that, in the most convenient considered scenario, up to about 20,000 GW h of thermal energy per year can be recovered and 7.6 M ton of CO2 can be saved by the application of ORC technology to the investigated and most promising industrial sectors. © 2013 Elsevier Ltd. All rights reserved.","author":[{"dropping-particle":"","family":"Campana","given":"Francesco","non-dropping-particle":"","parse-names":false,"suffix":""},{"dropping-particle":"","family":"Bianchi","given":"M.","non-dropping-particle":"","parse-names":false,"suffix":""},{"dropping-particle":"","family":"Branchini","given":"L.","non-dropping-particle":"","parse-names":false,"suffix":""},{"dropping-particle":"","family":"Pascale","given":"A.","non-dropping-particle":"De","parse-names":false,"suffix":""},{"dropping-particle":"","family":"Peretto","given":"A.","non-dropping-particle":"","parse-names":false,"suffix":""},{"dropping-particle":"","family":"Baresi","given":"M.","non-dropping-particle":"","parse-names":false,"suffix":""},{"dropping-particle":"","family":"Fermi","given":"A.","non-dropping-particle":"","parse-names":false,"suffix":""},{"dropping-particle":"","family":"Rossetti","given":"N.","non-dropping-particle":"","parse-names":false,"suffix":""},{"dropping-particle":"","family":"Vescovo","given":"R.","non-dropping-particle":"","parse-names":false,"suffix":""}],"container-title":"Energy Conversion and Management","id":"ITEM-1","issued":{"date-parts":[["2013"]]},"page":"244-252","publisher":"Elsevier Ltd","title":"ORC waste heat recovery in European energy intensive industries: Energy and GHG savings","type":"article-journal","volume":"76"},"uris":["http://www.mendeley.com/documents/?uuid=662dcf60-ccf3-4170-a285-7b802d328cfb"]}],"mendeley":{"formattedCitation":"(Campana &lt;i&gt;et al.&lt;/i&gt;, 2013)","plainTextFormattedCitation":"(Campana et al., 2013)","previouslyFormattedCitation":"(Campana &lt;i&gt;et al.&lt;/i&gt;, 2013)"},"properties":{"noteIndex":0},"schema":"https://github.com/citation-style-language/schema/raw/master/csl-citation.json"}</w:instrText>
      </w:r>
      <w:r w:rsidRPr="003D7103">
        <w:fldChar w:fldCharType="separate"/>
      </w:r>
      <w:r w:rsidR="002A6A73" w:rsidRPr="002A6A73">
        <w:rPr>
          <w:noProof/>
        </w:rPr>
        <w:t xml:space="preserve">(Campana </w:t>
      </w:r>
      <w:r w:rsidR="002A6A73" w:rsidRPr="002A6A73">
        <w:rPr>
          <w:i/>
          <w:noProof/>
        </w:rPr>
        <w:t>et al.</w:t>
      </w:r>
      <w:r w:rsidR="002A6A73" w:rsidRPr="002A6A73">
        <w:rPr>
          <w:noProof/>
        </w:rPr>
        <w:t>, 2013)</w:t>
      </w:r>
      <w:r w:rsidRPr="003D7103">
        <w:fldChar w:fldCharType="end"/>
      </w:r>
      <w:r w:rsidRPr="003D7103">
        <w:t>.</w:t>
      </w:r>
      <w:r>
        <w:t xml:space="preserve"> An ORC</w:t>
      </w:r>
      <w:r w:rsidRPr="003D7103">
        <w:t xml:space="preserve"> differ</w:t>
      </w:r>
      <w:r>
        <w:t>s</w:t>
      </w:r>
      <w:r w:rsidRPr="003D7103">
        <w:t xml:space="preserve"> from a traditional Rankine cycle</w:t>
      </w:r>
      <w:r>
        <w:t xml:space="preserve"> (RC)</w:t>
      </w:r>
      <w:r w:rsidRPr="003D7103">
        <w:t xml:space="preserve"> </w:t>
      </w:r>
      <w:r>
        <w:t xml:space="preserve">through the </w:t>
      </w:r>
      <w:r w:rsidRPr="003D7103">
        <w:t>use</w:t>
      </w:r>
      <w:r>
        <w:t xml:space="preserve"> of</w:t>
      </w:r>
      <w:r w:rsidRPr="003D7103">
        <w:t xml:space="preserve"> organic chemicals as the working fluid, which have lower boiling points and higher molecular masses. A wide variety of working fluids can be used depending on the available conditions. </w:t>
      </w:r>
      <w:r>
        <w:t xml:space="preserve">The efficiency of an ORC tends to be lower than that of a traditional RC; </w:t>
      </w:r>
      <w:r w:rsidR="00EE40D4">
        <w:t xml:space="preserve">the theoretical efficiency of an </w:t>
      </w:r>
      <w:r>
        <w:t xml:space="preserve">ORC </w:t>
      </w:r>
      <w:r w:rsidRPr="003D7103">
        <w:t xml:space="preserve">is </w:t>
      </w:r>
      <w:r>
        <w:t>determined by</w:t>
      </w:r>
      <w:r w:rsidRPr="003D7103">
        <w:t xml:space="preserve"> the Carnot cycle</w:t>
      </w:r>
      <w:r>
        <w:t xml:space="preserve">, as shown in Equation </w:t>
      </w:r>
      <w:r>
        <w:fldChar w:fldCharType="begin"/>
      </w:r>
      <w:r>
        <w:instrText xml:space="preserve"> REF _Ref531100863 \h </w:instrText>
      </w:r>
      <w:r>
        <w:fldChar w:fldCharType="separate"/>
      </w:r>
      <w:r w:rsidR="00CB7456">
        <w:rPr>
          <w:noProof/>
        </w:rPr>
        <w:t>2</w:t>
      </w:r>
      <w:r w:rsidR="00CB7456">
        <w:t>.</w:t>
      </w:r>
      <w:r w:rsidR="00CB7456">
        <w:rPr>
          <w:noProof/>
        </w:rPr>
        <w:t>5</w:t>
      </w:r>
      <w:r>
        <w:fldChar w:fldCharType="end"/>
      </w:r>
      <w:r>
        <w:t xml:space="preserve"> </w:t>
      </w:r>
      <w:r w:rsidRPr="00DF4536">
        <w:fldChar w:fldCharType="begin" w:fldLock="1"/>
      </w:r>
      <w:r w:rsidR="002A6A73">
        <w:instrText>ADDIN CSL_CITATION {"citationItems":[{"id":"ITEM-1","itemData":{"author":[{"dropping-particle":"","family":"US DOE","given":"","non-dropping-particle":"","parse-names":false,"suffix":""}],"id":"ITEM-1","issued":{"date-parts":[["2008"]]},"number-of-pages":"1-112","publisher-place":"Washington, USA","title":"Waste Heat Recovery: Technology Opportunities in U.S. Industry","type":"report"},"uris":["http://www.mendeley.com/documents/?uuid=cd6a7cf3-17c1-496a-a6fc-8311cbaeaa3a"]}],"mendeley":{"formattedCitation":"(US DOE, 2008)","plainTextFormattedCitation":"(US DOE, 2008)","previouslyFormattedCitation":"(US DOE, 2008)"},"properties":{"noteIndex":0},"schema":"https://github.com/citation-style-language/schema/raw/master/csl-citation.json"}</w:instrText>
      </w:r>
      <w:r w:rsidRPr="00DF4536">
        <w:fldChar w:fldCharType="separate"/>
      </w:r>
      <w:r w:rsidR="002A6A73" w:rsidRPr="002A6A73">
        <w:rPr>
          <w:noProof/>
        </w:rPr>
        <w:t>(US DOE, 2008)</w:t>
      </w:r>
      <w:r w:rsidRPr="00DF4536">
        <w:fldChar w:fldCharType="end"/>
      </w:r>
      <w:r>
        <w:t>.</w:t>
      </w:r>
      <w:r w:rsidRPr="003D7103">
        <w:t xml:space="preserve"> Studies have shown ORCs to be the ideal technology for</w:t>
      </w:r>
      <w:r>
        <w:t xml:space="preserve"> use in</w:t>
      </w:r>
      <w:r w:rsidRPr="003D7103">
        <w:t xml:space="preserve"> WHR and power generation at temperatures of 200 – 400 °C.</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5"/>
        <w:gridCol w:w="543"/>
      </w:tblGrid>
      <w:tr w:rsidR="000F16EB" w14:paraId="300F3D2F" w14:textId="77777777" w:rsidTr="00A7521D">
        <w:tc>
          <w:tcPr>
            <w:tcW w:w="7655" w:type="dxa"/>
          </w:tcPr>
          <w:p w14:paraId="6792EB4C" w14:textId="77777777" w:rsidR="000F16EB" w:rsidRPr="00AC69E9" w:rsidRDefault="000F16EB" w:rsidP="00A7521D">
            <w:pPr>
              <w:keepNext/>
            </w:pPr>
            <m:oMathPara>
              <m:oMathParaPr>
                <m:jc m:val="left"/>
              </m:oMathParaPr>
              <m:oMath>
                <m:r>
                  <w:rPr>
                    <w:rFonts w:ascii="Cambria Math" w:hAnsi="Cambria Math"/>
                  </w:rPr>
                  <w:lastRenderedPageBreak/>
                  <m:t>η=1-</m:t>
                </m:r>
                <m:f>
                  <m:fPr>
                    <m:ctrlPr>
                      <w:rPr>
                        <w:rFonts w:ascii="Cambria Math" w:hAnsi="Cambria Math"/>
                        <w:i/>
                      </w:rPr>
                    </m:ctrlPr>
                  </m:fPr>
                  <m:num>
                    <m:sSub>
                      <m:sSubPr>
                        <m:ctrlPr>
                          <w:rPr>
                            <w:rFonts w:ascii="Cambria Math" w:hAnsi="Cambria Math"/>
                            <w:i/>
                          </w:rPr>
                        </m:ctrlPr>
                      </m:sSubPr>
                      <m:e>
                        <m:r>
                          <w:rPr>
                            <w:rFonts w:ascii="Cambria Math" w:hAnsi="Cambria Math"/>
                          </w:rPr>
                          <m:t>T</m:t>
                        </m:r>
                      </m:e>
                      <m:sub>
                        <m:r>
                          <w:rPr>
                            <w:rFonts w:ascii="Cambria Math" w:hAnsi="Cambria Math"/>
                          </w:rPr>
                          <m:t>L</m:t>
                        </m:r>
                      </m:sub>
                    </m:sSub>
                  </m:num>
                  <m:den>
                    <m:sSub>
                      <m:sSubPr>
                        <m:ctrlPr>
                          <w:rPr>
                            <w:rFonts w:ascii="Cambria Math" w:hAnsi="Cambria Math"/>
                            <w:i/>
                          </w:rPr>
                        </m:ctrlPr>
                      </m:sSubPr>
                      <m:e>
                        <m:r>
                          <w:rPr>
                            <w:rFonts w:ascii="Cambria Math" w:hAnsi="Cambria Math"/>
                          </w:rPr>
                          <m:t>T</m:t>
                        </m:r>
                      </m:e>
                      <m:sub>
                        <m:r>
                          <w:rPr>
                            <w:rFonts w:ascii="Cambria Math" w:hAnsi="Cambria Math"/>
                          </w:rPr>
                          <m:t>H</m:t>
                        </m:r>
                      </m:sub>
                    </m:sSub>
                  </m:den>
                </m:f>
              </m:oMath>
            </m:oMathPara>
          </w:p>
        </w:tc>
        <w:bookmarkStart w:id="153" w:name="_Ref531100863"/>
        <w:tc>
          <w:tcPr>
            <w:tcW w:w="543" w:type="dxa"/>
            <w:vAlign w:val="center"/>
          </w:tcPr>
          <w:p w14:paraId="0A59BF5E" w14:textId="1B138127" w:rsidR="000F16EB" w:rsidRDefault="000F16EB" w:rsidP="00A7521D">
            <w:pPr>
              <w:pStyle w:val="Caption"/>
              <w:jc w:val="right"/>
            </w:pPr>
            <w:r>
              <w:fldChar w:fldCharType="begin"/>
            </w:r>
            <w:r>
              <w:instrText xml:space="preserve"> STYLEREF 1 \s </w:instrText>
            </w:r>
            <w:r>
              <w:fldChar w:fldCharType="separate"/>
            </w:r>
            <w:r w:rsidR="00CB7456">
              <w:rPr>
                <w:noProof/>
              </w:rPr>
              <w:t>2</w:t>
            </w:r>
            <w:r>
              <w:fldChar w:fldCharType="end"/>
            </w:r>
            <w:r>
              <w:t>.</w:t>
            </w:r>
            <w:r>
              <w:rPr>
                <w:noProof/>
              </w:rPr>
              <w:fldChar w:fldCharType="begin"/>
            </w:r>
            <w:r>
              <w:rPr>
                <w:noProof/>
              </w:rPr>
              <w:instrText xml:space="preserve"> SEQ Equation \* ARABIC \s 1 </w:instrText>
            </w:r>
            <w:r>
              <w:rPr>
                <w:noProof/>
              </w:rPr>
              <w:fldChar w:fldCharType="separate"/>
            </w:r>
            <w:r w:rsidR="00CB7456">
              <w:rPr>
                <w:noProof/>
              </w:rPr>
              <w:t>5</w:t>
            </w:r>
            <w:r>
              <w:rPr>
                <w:noProof/>
              </w:rPr>
              <w:fldChar w:fldCharType="end"/>
            </w:r>
            <w:bookmarkEnd w:id="153"/>
          </w:p>
        </w:tc>
      </w:tr>
    </w:tbl>
    <w:p w14:paraId="53AB0B37" w14:textId="77777777" w:rsidR="000F16EB" w:rsidRDefault="000F16EB" w:rsidP="00196CD6">
      <w:pPr>
        <w:pStyle w:val="NoSpacing"/>
      </w:pPr>
    </w:p>
    <w:p w14:paraId="63DA2055" w14:textId="77777777" w:rsidR="000F16EB" w:rsidRDefault="000F16EB" w:rsidP="000F16EB">
      <m:oMath>
        <m:r>
          <w:rPr>
            <w:rFonts w:ascii="Cambria Math" w:hAnsi="Cambria Math"/>
          </w:rPr>
          <m:t>η</m:t>
        </m:r>
      </m:oMath>
      <w:r>
        <w:t xml:space="preserve"> is the efficiency of the Carnot cycle [%].</w:t>
      </w:r>
    </w:p>
    <w:p w14:paraId="42175789" w14:textId="77777777" w:rsidR="000F16EB" w:rsidRPr="003D7103" w:rsidRDefault="000F16EB" w:rsidP="000F16EB">
      <w:pPr>
        <w:pStyle w:val="Heading4"/>
      </w:pPr>
      <w:bookmarkStart w:id="154" w:name="_Toc522192727"/>
      <w:bookmarkStart w:id="155" w:name="_Toc7187457"/>
      <w:proofErr w:type="spellStart"/>
      <w:r w:rsidRPr="003D7103">
        <w:t>Kalina</w:t>
      </w:r>
      <w:proofErr w:type="spellEnd"/>
      <w:r w:rsidRPr="003D7103">
        <w:t xml:space="preserve"> Cycles</w:t>
      </w:r>
      <w:bookmarkEnd w:id="154"/>
      <w:bookmarkEnd w:id="155"/>
    </w:p>
    <w:p w14:paraId="148609E0" w14:textId="22A9F916" w:rsidR="000F16EB" w:rsidRPr="003D7103" w:rsidRDefault="000F16EB" w:rsidP="000F16EB">
      <w:proofErr w:type="spellStart"/>
      <w:r w:rsidRPr="003D7103">
        <w:t>Kalina</w:t>
      </w:r>
      <w:proofErr w:type="spellEnd"/>
      <w:r w:rsidRPr="003D7103">
        <w:t xml:space="preserve"> cycles are a type of ORC that use a binary working fluid, a mixture of ammonia and water</w:t>
      </w:r>
      <w:r>
        <w:t xml:space="preserve"> </w:t>
      </w:r>
      <w:r>
        <w:fldChar w:fldCharType="begin" w:fldLock="1"/>
      </w:r>
      <w:r w:rsidR="002A6A73">
        <w:instrText>ADDIN CSL_CITATION {"citationItems":[{"id":"ITEM-1","itemData":{"DOI":"10.1016/j.applthermaleng.2012.02.037","ISSN":"13594311","abstract":"This paper begins with an overview of the current supply and demand characteristics of primary energy for the provision of heat and power in the UK. This is followed by a brief review of a variety of solutions that are being proposed towards the establishment of a sustainable energy landscape, including clean coal, wind and solar energy. The discussion extends to the economics and performance of various renewable energy systems in comparison to fossil fuel equivalents. Placed in this context, the study then focuses specifically on the role of pumped heat, combined heat and power (CHP) schemes, and options for the recovery and conversion of waste heat into useful work, all of which have a potential to contribute towards the creation of a 'high-efficiency sustainable energy future'. It is concluded that although the problem is complex, the relative costs of competing technologies are not prohibitive, but comparable, leading to an inability to make a decisive choice and delaying progress. CHP and pumped heat are found to be similar in terms of overall efficiency, with the load factor (heat-to-power demand ratio) being of critical importance. Various waste heat conversion systems are also found to be similar in terms of the important indicator of power per unit cost.","author":[{"dropping-particle":"","family":"Markides","given":"Christos N.","non-dropping-particle":"","parse-names":false,"suffix":""}],"container-title":"Applied Thermal Engineering","id":"ITEM-1","issue":"2","issued":{"date-parts":[["2013"]]},"page":"197-209","publisher":"Elsevier Ltd","title":"The role of pumped and waste heat technologies in a high-efficiency sustainable energy future for the UK","type":"article-journal","volume":"53"},"uris":["http://www.mendeley.com/documents/?uuid=c28a2b02-bdc5-4c85-bdaf-d0d257f0a075"]}],"mendeley":{"formattedCitation":"(Markides, 2013)","plainTextFormattedCitation":"(Markides, 2013)","previouslyFormattedCitation":"(Markides, 2013)"},"properties":{"noteIndex":0},"schema":"https://github.com/citation-style-language/schema/raw/master/csl-citation.json"}</w:instrText>
      </w:r>
      <w:r>
        <w:fldChar w:fldCharType="separate"/>
      </w:r>
      <w:r w:rsidR="002A6A73" w:rsidRPr="002A6A73">
        <w:rPr>
          <w:noProof/>
        </w:rPr>
        <w:t>(Markides, 2013)</w:t>
      </w:r>
      <w:r>
        <w:fldChar w:fldCharType="end"/>
      </w:r>
      <w:r w:rsidRPr="003D7103">
        <w:t xml:space="preserve">. The binary working fluid has two boiling points, so the temperature rise </w:t>
      </w:r>
      <w:r>
        <w:t>is</w:t>
      </w:r>
      <w:r w:rsidRPr="003D7103">
        <w:t xml:space="preserve"> constant </w:t>
      </w:r>
      <w:r>
        <w:t>when</w:t>
      </w:r>
      <w:r w:rsidRPr="003D7103">
        <w:t xml:space="preserve"> heating</w:t>
      </w:r>
      <w:r>
        <w:t xml:space="preserve"> </w:t>
      </w:r>
      <w:r w:rsidRPr="003D7103">
        <w:fldChar w:fldCharType="begin" w:fldLock="1"/>
      </w:r>
      <w:r w:rsidR="002A6A73">
        <w:instrText>ADDIN CSL_CITATION {"citationItems":[{"id":"ITEM-1","itemData":{"author":[{"dropping-particle":"","family":"US DOE","given":"","non-dropping-particle":"","parse-names":false,"suffix":""}],"id":"ITEM-1","issued":{"date-parts":[["2008"]]},"number-of-pages":"1-112","publisher-place":"Washington, USA","title":"Waste Heat Recovery: Technology Opportunities in U.S. Industry","type":"report"},"uris":["http://www.mendeley.com/documents/?uuid=cd6a7cf3-17c1-496a-a6fc-8311cbaeaa3a"]}],"mendeley":{"formattedCitation":"(US DOE, 2008)","plainTextFormattedCitation":"(US DOE, 2008)","previouslyFormattedCitation":"(US DOE, 2008)"},"properties":{"noteIndex":0},"schema":"https://github.com/citation-style-language/schema/raw/master/csl-citation.json"}</w:instrText>
      </w:r>
      <w:r w:rsidRPr="003D7103">
        <w:fldChar w:fldCharType="separate"/>
      </w:r>
      <w:r w:rsidR="002A6A73" w:rsidRPr="002A6A73">
        <w:rPr>
          <w:noProof/>
        </w:rPr>
        <w:t>(US DOE, 2008)</w:t>
      </w:r>
      <w:r w:rsidRPr="003D7103">
        <w:fldChar w:fldCharType="end"/>
      </w:r>
      <w:r w:rsidRPr="003D7103">
        <w:t>.</w:t>
      </w:r>
      <w:r>
        <w:t xml:space="preserve"> The constant temperature rise</w:t>
      </w:r>
      <w:r w:rsidRPr="003D7103">
        <w:t xml:space="preserve"> allows for better matching between the </w:t>
      </w:r>
      <w:r>
        <w:t>WH</w:t>
      </w:r>
      <w:r w:rsidRPr="003D7103">
        <w:t xml:space="preserve"> source and sink, </w:t>
      </w:r>
      <w:r>
        <w:t>providing</w:t>
      </w:r>
      <w:r w:rsidRPr="003D7103">
        <w:t xml:space="preserve"> a higher efficiency.</w:t>
      </w:r>
    </w:p>
    <w:p w14:paraId="75358773" w14:textId="77777777" w:rsidR="000F16EB" w:rsidRPr="003D7103" w:rsidRDefault="000F16EB" w:rsidP="000F16EB">
      <w:pPr>
        <w:pStyle w:val="Heading4"/>
      </w:pPr>
      <w:bookmarkStart w:id="156" w:name="_Toc522192728"/>
      <w:bookmarkStart w:id="157" w:name="_Toc7187458"/>
      <w:r w:rsidRPr="003D7103">
        <w:t>Thermoelectric Generation</w:t>
      </w:r>
      <w:bookmarkEnd w:id="156"/>
      <w:bookmarkEnd w:id="157"/>
    </w:p>
    <w:p w14:paraId="219A4602" w14:textId="410868CC" w:rsidR="000F16EB" w:rsidRDefault="000F16EB" w:rsidP="000F16EB">
      <w:pPr>
        <w:rPr>
          <w:rFonts w:ascii="Cambria" w:eastAsia="SimSun" w:hAnsi="Cambria" w:cs="Times New Roman"/>
          <w:b/>
          <w:bCs/>
          <w:i/>
          <w:iCs/>
          <w:color w:val="000000"/>
        </w:rPr>
      </w:pPr>
      <w:r>
        <w:t>Thermoelectric</w:t>
      </w:r>
      <w:r w:rsidRPr="003D7103">
        <w:t xml:space="preserve"> devices are semi-conductor solids that use electrons a</w:t>
      </w:r>
      <w:r>
        <w:t xml:space="preserve">s the </w:t>
      </w:r>
      <w:r w:rsidRPr="003D7103">
        <w:t>working fluid</w:t>
      </w:r>
      <w:r>
        <w:t xml:space="preserve">, </w:t>
      </w:r>
      <w:r w:rsidRPr="003D7103">
        <w:t>convert</w:t>
      </w:r>
      <w:r>
        <w:t>ing</w:t>
      </w:r>
      <w:r w:rsidRPr="003D7103">
        <w:t xml:space="preserve"> electricity into </w:t>
      </w:r>
      <w:r>
        <w:t>TE</w:t>
      </w:r>
      <w:r w:rsidRPr="003D7103">
        <w:t xml:space="preserve"> for heating and cooling or vice versa</w:t>
      </w:r>
      <w:r>
        <w:t xml:space="preserve"> </w:t>
      </w:r>
      <w:r w:rsidRPr="003D7103">
        <w:fldChar w:fldCharType="begin" w:fldLock="1"/>
      </w:r>
      <w:r w:rsidR="002A6A73">
        <w:instrText>ADDIN CSL_CITATION {"citationItems":[{"id":"ITEM-1","itemData":{"author":[{"dropping-particle":"","family":"US DOE","given":"","non-dropping-particle":"","parse-names":false,"suffix":""}],"id":"ITEM-1","issued":{"date-parts":[["2008"]]},"number-of-pages":"1-112","publisher-place":"Washington, USA","title":"Waste Heat Recovery: Technology Opportunities in U.S. Industry","type":"report"},"uris":["http://www.mendeley.com/documents/?uuid=cd6a7cf3-17c1-496a-a6fc-8311cbaeaa3a"]}],"mendeley":{"formattedCitation":"(US DOE, 2008)","plainTextFormattedCitation":"(US DOE, 2008)","previouslyFormattedCitation":"(US DOE, 2008)"},"properties":{"noteIndex":0},"schema":"https://github.com/citation-style-language/schema/raw/master/csl-citation.json"}</w:instrText>
      </w:r>
      <w:r w:rsidRPr="003D7103">
        <w:fldChar w:fldCharType="separate"/>
      </w:r>
      <w:r w:rsidR="002A6A73" w:rsidRPr="002A6A73">
        <w:rPr>
          <w:noProof/>
        </w:rPr>
        <w:t>(US DOE, 2008)</w:t>
      </w:r>
      <w:r w:rsidRPr="003D7103">
        <w:fldChar w:fldCharType="end"/>
      </w:r>
      <w:r w:rsidRPr="003D7103">
        <w:t>.</w:t>
      </w:r>
      <w:r>
        <w:t xml:space="preserve"> Thermoelectric</w:t>
      </w:r>
      <w:r w:rsidRPr="003D7103">
        <w:t xml:space="preserve"> </w:t>
      </w:r>
      <w:r>
        <w:t>devices</w:t>
      </w:r>
      <w:r w:rsidRPr="003D7103">
        <w:t xml:space="preserve"> operate via the </w:t>
      </w:r>
      <w:proofErr w:type="spellStart"/>
      <w:r w:rsidRPr="003D7103">
        <w:t>Seebeck</w:t>
      </w:r>
      <w:proofErr w:type="spellEnd"/>
      <w:r w:rsidRPr="003D7103">
        <w:t xml:space="preserve"> effect</w:t>
      </w:r>
      <w:r>
        <w:t>,</w:t>
      </w:r>
      <w:r w:rsidRPr="003D7103">
        <w:t xml:space="preserve"> “when two different semiconductor materials are subject to a heat source and heat sink, a voltage is created between the two semiconductors”</w:t>
      </w:r>
      <w:r>
        <w:t xml:space="preserve"> </w:t>
      </w:r>
      <w:r w:rsidRPr="003D7103">
        <w:fldChar w:fldCharType="begin" w:fldLock="1"/>
      </w:r>
      <w:r w:rsidR="002A6A73">
        <w:instrText>ADDIN CSL_CITATION {"citationItems":[{"id":"ITEM-1","itemData":{"author":[{"dropping-particle":"","family":"Thornley","given":"Patricia","non-dropping-particle":"","parse-names":false,"suffix":""},{"dropping-particle":"","family":"Walsh","given":"Conor","non-dropping-particle":"","parse-names":false,"suffix":""}],"id":"ITEM-1","issued":{"date-parts":[["2010"]]},"publisher-place":"Manchester, England","title":"Addressing the barriers to utilisation of low grade heat from the thermal process industries","type":"report"},"uris":["http://www.mendeley.com/documents/?uuid=dcab237c-b8ef-4e08-91cd-a3aa32e6a613"]}],"mendeley":{"formattedCitation":"(Thornley and Walsh, 2010)","plainTextFormattedCitation":"(Thornley and Walsh, 2010)","previouslyFormattedCitation":"(Thornley and Walsh, 2010)"},"properties":{"noteIndex":0},"schema":"https://github.com/citation-style-language/schema/raw/master/csl-citation.json"}</w:instrText>
      </w:r>
      <w:r w:rsidRPr="003D7103">
        <w:fldChar w:fldCharType="separate"/>
      </w:r>
      <w:r w:rsidR="002A6A73" w:rsidRPr="002A6A73">
        <w:rPr>
          <w:noProof/>
        </w:rPr>
        <w:t>(Thornley and Walsh, 2010)</w:t>
      </w:r>
      <w:r w:rsidRPr="003D7103">
        <w:fldChar w:fldCharType="end"/>
      </w:r>
      <w:r w:rsidRPr="003D7103">
        <w:t>.</w:t>
      </w:r>
      <w:r>
        <w:t xml:space="preserve"> The </w:t>
      </w:r>
      <w:proofErr w:type="spellStart"/>
      <w:r>
        <w:t>Seebeck</w:t>
      </w:r>
      <w:proofErr w:type="spellEnd"/>
      <w:r>
        <w:t xml:space="preserve"> effect</w:t>
      </w:r>
      <w:r w:rsidRPr="003D7103">
        <w:t xml:space="preserve"> means that if electricity is applied across two dissimilar semiconductors, heating or cooling can occur. The material used in a </w:t>
      </w:r>
      <w:r>
        <w:t>thermoelectric</w:t>
      </w:r>
      <w:r w:rsidRPr="003D7103">
        <w:t xml:space="preserve"> device should create a balance between being a good electrical conductor, a poor thermal conductor and allowing for the maximisation of the </w:t>
      </w:r>
      <w:proofErr w:type="spellStart"/>
      <w:r w:rsidRPr="003D7103">
        <w:t>Seebeck</w:t>
      </w:r>
      <w:proofErr w:type="spellEnd"/>
      <w:r w:rsidRPr="003D7103">
        <w:t xml:space="preserve"> effect </w:t>
      </w:r>
      <w:r w:rsidRPr="003D7103">
        <w:fldChar w:fldCharType="begin" w:fldLock="1"/>
      </w:r>
      <w:r w:rsidR="002A6A73">
        <w:instrText>ADDIN CSL_CITATION {"citationItems":[{"id":"ITEM-1","itemData":{"DOI":"10.1126/science.1158899","ISSN":"0036-8075","author":[{"dropping-particle":"","family":"Bell","given":"Lon E.","non-dropping-particle":"","parse-names":false,"suffix":""}],"container-title":"Science","id":"ITEM-1","issued":{"date-parts":[["2008"]]},"page":"1457-1461","title":"Cooling, Heating, Generating Power, and Recovering Waste Heat with Thermoelectric Systems","type":"article-journal","volume":"321"},"uris":["http://www.mendeley.com/documents/?uuid=898abd50-caa7-45dd-9403-f25c27f6aa77"]}],"mendeley":{"formattedCitation":"(Bell, 2008)","plainTextFormattedCitation":"(Bell, 2008)","previouslyFormattedCitation":"(Bell, 2008)"},"properties":{"noteIndex":0},"schema":"https://github.com/citation-style-language/schema/raw/master/csl-citation.json"}</w:instrText>
      </w:r>
      <w:r w:rsidRPr="003D7103">
        <w:fldChar w:fldCharType="separate"/>
      </w:r>
      <w:r w:rsidR="002A6A73" w:rsidRPr="002A6A73">
        <w:rPr>
          <w:noProof/>
        </w:rPr>
        <w:t>(Bell, 2008)</w:t>
      </w:r>
      <w:r w:rsidRPr="003D7103">
        <w:fldChar w:fldCharType="end"/>
      </w:r>
      <w:r w:rsidRPr="003D7103">
        <w:t>.</w:t>
      </w:r>
      <w:r>
        <w:t xml:space="preserve"> Thermoelectric</w:t>
      </w:r>
      <w:r w:rsidRPr="003D7103">
        <w:t xml:space="preserve"> </w:t>
      </w:r>
      <w:r>
        <w:t>devices</w:t>
      </w:r>
      <w:r w:rsidRPr="003D7103">
        <w:t xml:space="preserve"> have low efficiencies</w:t>
      </w:r>
      <w:r>
        <w:t>,</w:t>
      </w:r>
      <w:r w:rsidRPr="003D7103">
        <w:t xml:space="preserve"> 1.5</w:t>
      </w:r>
      <w:r>
        <w:t xml:space="preserve"> – </w:t>
      </w:r>
      <w:r w:rsidRPr="003D7103">
        <w:t>5%</w:t>
      </w:r>
      <w:r>
        <w:t>,</w:t>
      </w:r>
      <w:r w:rsidRPr="003D7103">
        <w:t xml:space="preserve"> and are expensive, but are simple in design, have no moving parts</w:t>
      </w:r>
      <w:r>
        <w:t>,</w:t>
      </w:r>
      <w:r w:rsidRPr="003D7103">
        <w:t xml:space="preserve"> and </w:t>
      </w:r>
      <w:r>
        <w:t xml:space="preserve">have </w:t>
      </w:r>
      <w:r w:rsidRPr="003D7103">
        <w:t>efficienc</w:t>
      </w:r>
      <w:r>
        <w:t>ies that</w:t>
      </w:r>
      <w:r w:rsidRPr="003D7103">
        <w:t xml:space="preserve"> </w:t>
      </w:r>
      <w:r>
        <w:t>are</w:t>
      </w:r>
      <w:r w:rsidRPr="003D7103">
        <w:t xml:space="preserve"> relatively independent of size.</w:t>
      </w:r>
    </w:p>
    <w:p w14:paraId="367C7EB0" w14:textId="77777777" w:rsidR="000F16EB" w:rsidRPr="003D7103" w:rsidRDefault="000F16EB" w:rsidP="000F16EB">
      <w:pPr>
        <w:pStyle w:val="Heading4"/>
      </w:pPr>
      <w:bookmarkStart w:id="158" w:name="_Toc522192729"/>
      <w:bookmarkStart w:id="159" w:name="_Toc7187459"/>
      <w:r w:rsidRPr="003D7103">
        <w:t>Waste Heat Recovery Technology Summary</w:t>
      </w:r>
      <w:bookmarkEnd w:id="158"/>
      <w:bookmarkEnd w:id="159"/>
    </w:p>
    <w:p w14:paraId="6114F61C" w14:textId="1789D85B" w:rsidR="000F16EB" w:rsidRPr="003D7103" w:rsidRDefault="000F16EB" w:rsidP="000F16EB">
      <w:r>
        <w:t xml:space="preserve">For a set temperature of WH, a range of different WHR technologies are best employed, as shown in </w:t>
      </w:r>
      <w:r w:rsidR="00196CD6">
        <w:fldChar w:fldCharType="begin"/>
      </w:r>
      <w:r w:rsidR="00196CD6">
        <w:instrText xml:space="preserve"> REF _Ref535487938 \h </w:instrText>
      </w:r>
      <w:r w:rsidR="00196CD6">
        <w:fldChar w:fldCharType="separate"/>
      </w:r>
      <w:r w:rsidR="00CB7456">
        <w:t xml:space="preserve">Table </w:t>
      </w:r>
      <w:r w:rsidR="00CB7456">
        <w:rPr>
          <w:noProof/>
        </w:rPr>
        <w:t>2</w:t>
      </w:r>
      <w:r w:rsidR="00CB7456">
        <w:t>.</w:t>
      </w:r>
      <w:r w:rsidR="00CB7456">
        <w:rPr>
          <w:noProof/>
        </w:rPr>
        <w:t>1</w:t>
      </w:r>
      <w:r w:rsidR="00196CD6">
        <w:fldChar w:fldCharType="end"/>
      </w:r>
      <w:r>
        <w:t xml:space="preserve"> </w:t>
      </w:r>
      <w:r w:rsidRPr="003D7103">
        <w:fldChar w:fldCharType="begin" w:fldLock="1"/>
      </w:r>
      <w:r w:rsidR="002A6A73">
        <w:instrText>ADDIN CSL_CITATION {"citationItems":[{"id":"ITEM-1","itemData":{"author":[{"dropping-particle":"","family":"US DOE","given":"","non-dropping-particle":"","parse-names":false,"suffix":""}],"id":"ITEM-1","issued":{"date-parts":[["2008"]]},"number-of-pages":"1-112","publisher-place":"Washington, USA","title":"Waste Heat Recovery: Technology Opportunities in U.S. Industry","type":"report"},"uris":["http://www.mendeley.com/documents/?uuid=cd6a7cf3-17c1-496a-a6fc-8311cbaeaa3a"]}],"mendeley":{"formattedCitation":"(US DOE, 2008)","plainTextFormattedCitation":"(US DOE, 2008)","previouslyFormattedCitation":"(US DOE, 2008)"},"properties":{"noteIndex":0},"schema":"https://github.com/citation-style-language/schema/raw/master/csl-citation.json"}</w:instrText>
      </w:r>
      <w:r w:rsidRPr="003D7103">
        <w:fldChar w:fldCharType="separate"/>
      </w:r>
      <w:r w:rsidR="002A6A73" w:rsidRPr="002A6A73">
        <w:rPr>
          <w:noProof/>
        </w:rPr>
        <w:t>(US DOE, 2008)</w:t>
      </w:r>
      <w:r w:rsidRPr="003D7103">
        <w:fldChar w:fldCharType="end"/>
      </w:r>
      <w:r w:rsidRPr="003D7103">
        <w:t xml:space="preserve">. </w:t>
      </w:r>
      <w:bookmarkStart w:id="160" w:name="_Ref467766614"/>
      <w:bookmarkStart w:id="161" w:name="_Ref467770212"/>
    </w:p>
    <w:p w14:paraId="7C3277A5" w14:textId="5DF35A2E" w:rsidR="000F16EB" w:rsidRDefault="000F16EB" w:rsidP="000F16EB">
      <w:bookmarkStart w:id="162" w:name="_Ref525661826"/>
      <w:bookmarkStart w:id="163" w:name="_Toc468265817"/>
      <w:bookmarkStart w:id="164" w:name="_Toc525230113"/>
      <w:bookmarkEnd w:id="160"/>
      <w:bookmarkEnd w:id="161"/>
      <w:r>
        <w:t xml:space="preserve">It is useful to know the operating temperatures for typical industrial processes. </w:t>
      </w:r>
      <w:r>
        <w:fldChar w:fldCharType="begin"/>
      </w:r>
      <w:r>
        <w:instrText xml:space="preserve"> REF _Ref529870234 \h </w:instrText>
      </w:r>
      <w:r>
        <w:fldChar w:fldCharType="separate"/>
      </w:r>
      <w:r w:rsidR="00CB7456">
        <w:t xml:space="preserve">Table </w:t>
      </w:r>
      <w:r w:rsidR="00CB7456">
        <w:rPr>
          <w:noProof/>
        </w:rPr>
        <w:t>2</w:t>
      </w:r>
      <w:r w:rsidR="00CB7456">
        <w:t>.</w:t>
      </w:r>
      <w:r w:rsidR="00CB7456">
        <w:rPr>
          <w:noProof/>
        </w:rPr>
        <w:t>2</w:t>
      </w:r>
      <w:r>
        <w:fldChar w:fldCharType="end"/>
      </w:r>
      <w:r>
        <w:t xml:space="preserve"> provides the standard operating temperatures of standard industrial processes, split into industrial categories. </w:t>
      </w:r>
      <w:r>
        <w:fldChar w:fldCharType="begin"/>
      </w:r>
      <w:r>
        <w:instrText xml:space="preserve"> REF _Ref529874947 \h </w:instrText>
      </w:r>
      <w:r>
        <w:fldChar w:fldCharType="separate"/>
      </w:r>
      <w:r w:rsidR="00CB7456">
        <w:t xml:space="preserve">Table </w:t>
      </w:r>
      <w:r w:rsidR="00CB7456">
        <w:rPr>
          <w:noProof/>
        </w:rPr>
        <w:t>2</w:t>
      </w:r>
      <w:r w:rsidR="00CB7456">
        <w:t>.</w:t>
      </w:r>
      <w:r w:rsidR="00CB7456">
        <w:rPr>
          <w:noProof/>
        </w:rPr>
        <w:t>3</w:t>
      </w:r>
      <w:r>
        <w:fldChar w:fldCharType="end"/>
      </w:r>
      <w:r>
        <w:t xml:space="preserve"> gives the exhaust gas temperatures of standard industrial processes. </w:t>
      </w:r>
      <w:r w:rsidR="00196CD6">
        <w:fldChar w:fldCharType="begin"/>
      </w:r>
      <w:r w:rsidR="00196CD6">
        <w:instrText xml:space="preserve"> REF _Ref535487938 \h </w:instrText>
      </w:r>
      <w:r w:rsidR="00196CD6">
        <w:fldChar w:fldCharType="separate"/>
      </w:r>
      <w:r w:rsidR="00CB7456">
        <w:t xml:space="preserve">Table </w:t>
      </w:r>
      <w:r w:rsidR="00CB7456">
        <w:rPr>
          <w:noProof/>
        </w:rPr>
        <w:t>2</w:t>
      </w:r>
      <w:r w:rsidR="00CB7456">
        <w:t>.</w:t>
      </w:r>
      <w:r w:rsidR="00CB7456">
        <w:rPr>
          <w:noProof/>
        </w:rPr>
        <w:t>1</w:t>
      </w:r>
      <w:r w:rsidR="00196CD6">
        <w:fldChar w:fldCharType="end"/>
      </w:r>
      <w:r w:rsidR="00196CD6">
        <w:t xml:space="preserve"> </w:t>
      </w:r>
      <w:r>
        <w:t xml:space="preserve">to </w:t>
      </w:r>
      <w:r>
        <w:fldChar w:fldCharType="begin"/>
      </w:r>
      <w:r>
        <w:instrText xml:space="preserve"> REF _Ref529874947 \h </w:instrText>
      </w:r>
      <w:r>
        <w:fldChar w:fldCharType="separate"/>
      </w:r>
      <w:r w:rsidR="00CB7456">
        <w:t xml:space="preserve">Table </w:t>
      </w:r>
      <w:r w:rsidR="00CB7456">
        <w:rPr>
          <w:noProof/>
        </w:rPr>
        <w:t>2</w:t>
      </w:r>
      <w:r w:rsidR="00CB7456">
        <w:t>.</w:t>
      </w:r>
      <w:r w:rsidR="00CB7456">
        <w:rPr>
          <w:noProof/>
        </w:rPr>
        <w:t>3</w:t>
      </w:r>
      <w:r>
        <w:fldChar w:fldCharType="end"/>
      </w:r>
      <w:r>
        <w:t xml:space="preserve"> can be combined, showing what temperatures of WH are available at an industrial site and consequently, what WHR technologies can be utilised.</w:t>
      </w:r>
    </w:p>
    <w:p w14:paraId="6241FBB3" w14:textId="77777777" w:rsidR="00196CD6" w:rsidRDefault="00196CD6">
      <w:pPr>
        <w:jc w:val="left"/>
        <w:rPr>
          <w:b/>
          <w:bCs/>
          <w:sz w:val="18"/>
          <w:szCs w:val="18"/>
        </w:rPr>
      </w:pPr>
      <w:bookmarkStart w:id="165" w:name="_Ref530578564"/>
      <w:r>
        <w:br w:type="page"/>
      </w:r>
    </w:p>
    <w:p w14:paraId="1EFA4855" w14:textId="587CC922" w:rsidR="000F16EB" w:rsidRPr="00DF4536" w:rsidRDefault="000F16EB" w:rsidP="000F16EB">
      <w:pPr>
        <w:pStyle w:val="Caption"/>
      </w:pPr>
      <w:bookmarkStart w:id="166" w:name="_Ref535487938"/>
      <w:bookmarkStart w:id="167" w:name="_Toc7187664"/>
      <w:r>
        <w:lastRenderedPageBreak/>
        <w:t xml:space="preserve">Table </w:t>
      </w:r>
      <w:fldSimple w:instr=" STYLEREF 1 \s ">
        <w:r w:rsidR="00CB7456">
          <w:rPr>
            <w:noProof/>
          </w:rPr>
          <w:t>2</w:t>
        </w:r>
      </w:fldSimple>
      <w:r w:rsidR="009E1A67">
        <w:t>.</w:t>
      </w:r>
      <w:fldSimple w:instr=" SEQ Table \* ARABIC \s 1 ">
        <w:r w:rsidR="00CB7456">
          <w:rPr>
            <w:noProof/>
          </w:rPr>
          <w:t>1</w:t>
        </w:r>
      </w:fldSimple>
      <w:bookmarkEnd w:id="162"/>
      <w:bookmarkEnd w:id="165"/>
      <w:bookmarkEnd w:id="166"/>
      <w:r>
        <w:t>:</w:t>
      </w:r>
      <w:r w:rsidRPr="00DF4536">
        <w:t xml:space="preserve"> WHR technology to use for each </w:t>
      </w:r>
      <w:r w:rsidRPr="00C106AF">
        <w:t xml:space="preserve">grade of WH </w:t>
      </w:r>
      <w:r w:rsidRPr="0022640E">
        <w:fldChar w:fldCharType="begin" w:fldLock="1"/>
      </w:r>
      <w:r w:rsidR="002A6A73" w:rsidRPr="0022640E">
        <w:instrText>ADDIN CSL_CITATION {"citationItems":[{"id":"ITEM-1","itemData":{"author":[{"dropping-particle":"","family":"US DOE","given":"","non-dropping-particle":"","parse-names":false,"suffix":""}],"id":"ITEM-1","issued":{"date-parts":[["2008"]]},"number-of-pages":"1-112","publisher-place":"Washington, USA","title":"Waste Heat Recovery: Technology Opportunities in U.S. Industry","type":"report"},"uris":["http://www.mendeley.com/documents/?uuid=cd6a7cf3-17c1-496a-a6fc-8311cbaeaa3a"]}],"mendeley":{"formattedCitation":"(US DOE, 2008)","plainTextFormattedCitation":"(US DOE, 2008)","previouslyFormattedCitation":"(US DOE, 2008)"},"properties":{"noteIndex":0},"schema":"https://github.com/citation-style-language/schema/raw/master/csl-citation.json"}</w:instrText>
      </w:r>
      <w:r w:rsidRPr="0022640E">
        <w:fldChar w:fldCharType="separate"/>
      </w:r>
      <w:r w:rsidR="002A6A73" w:rsidRPr="0022640E">
        <w:rPr>
          <w:noProof/>
        </w:rPr>
        <w:t>(US DOE, 2008)</w:t>
      </w:r>
      <w:r w:rsidRPr="0022640E">
        <w:fldChar w:fldCharType="end"/>
      </w:r>
      <w:r w:rsidRPr="0022640E">
        <w:t>.</w:t>
      </w:r>
      <w:bookmarkEnd w:id="163"/>
      <w:bookmarkEnd w:id="164"/>
      <w:bookmarkEnd w:id="167"/>
    </w:p>
    <w:tbl>
      <w:tblPr>
        <w:tblStyle w:val="TableGrid"/>
        <w:tblW w:w="6379" w:type="dxa"/>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3"/>
        <w:gridCol w:w="1417"/>
        <w:gridCol w:w="3969"/>
      </w:tblGrid>
      <w:tr w:rsidR="000F16EB" w:rsidRPr="003D7103" w14:paraId="3B3185A7" w14:textId="77777777" w:rsidTr="00A7521D">
        <w:trPr>
          <w:jc w:val="center"/>
        </w:trPr>
        <w:tc>
          <w:tcPr>
            <w:tcW w:w="993" w:type="dxa"/>
            <w:tcBorders>
              <w:top w:val="single" w:sz="4" w:space="0" w:color="auto"/>
              <w:left w:val="nil"/>
              <w:bottom w:val="single" w:sz="4" w:space="0" w:color="auto"/>
              <w:right w:val="nil"/>
            </w:tcBorders>
            <w:hideMark/>
          </w:tcPr>
          <w:p w14:paraId="02B5AA91" w14:textId="77777777" w:rsidR="000F16EB" w:rsidRPr="003D7103" w:rsidRDefault="000F16EB" w:rsidP="00A7521D">
            <w:pPr>
              <w:jc w:val="center"/>
            </w:pPr>
            <w:r>
              <w:t>WH</w:t>
            </w:r>
            <w:r w:rsidRPr="003D7103">
              <w:t xml:space="preserve"> quality</w:t>
            </w:r>
          </w:p>
        </w:tc>
        <w:tc>
          <w:tcPr>
            <w:tcW w:w="1417" w:type="dxa"/>
            <w:tcBorders>
              <w:top w:val="single" w:sz="4" w:space="0" w:color="auto"/>
              <w:left w:val="nil"/>
              <w:bottom w:val="single" w:sz="4" w:space="0" w:color="auto"/>
              <w:right w:val="nil"/>
            </w:tcBorders>
            <w:hideMark/>
          </w:tcPr>
          <w:p w14:paraId="0E5D2D4F" w14:textId="77777777" w:rsidR="000F16EB" w:rsidRPr="003D7103" w:rsidRDefault="000F16EB" w:rsidP="00A7521D">
            <w:pPr>
              <w:jc w:val="center"/>
            </w:pPr>
            <w:r w:rsidRPr="003D7103">
              <w:t>Temperature (°C)</w:t>
            </w:r>
          </w:p>
        </w:tc>
        <w:tc>
          <w:tcPr>
            <w:tcW w:w="3969" w:type="dxa"/>
            <w:tcBorders>
              <w:top w:val="single" w:sz="4" w:space="0" w:color="auto"/>
              <w:left w:val="nil"/>
              <w:bottom w:val="single" w:sz="4" w:space="0" w:color="auto"/>
              <w:right w:val="nil"/>
            </w:tcBorders>
            <w:hideMark/>
          </w:tcPr>
          <w:p w14:paraId="279FDEC2" w14:textId="77777777" w:rsidR="000F16EB" w:rsidRPr="003D7103" w:rsidRDefault="000F16EB" w:rsidP="00A7521D">
            <w:pPr>
              <w:jc w:val="center"/>
            </w:pPr>
            <w:r w:rsidRPr="003D7103">
              <w:t>Typical recovery method/ technology</w:t>
            </w:r>
          </w:p>
        </w:tc>
      </w:tr>
      <w:tr w:rsidR="000F16EB" w:rsidRPr="003D7103" w14:paraId="71DBD8D3" w14:textId="77777777" w:rsidTr="00A7521D">
        <w:trPr>
          <w:jc w:val="center"/>
        </w:trPr>
        <w:tc>
          <w:tcPr>
            <w:tcW w:w="993" w:type="dxa"/>
            <w:tcBorders>
              <w:top w:val="single" w:sz="4" w:space="0" w:color="auto"/>
              <w:left w:val="nil"/>
              <w:bottom w:val="single" w:sz="4" w:space="0" w:color="auto"/>
              <w:right w:val="nil"/>
            </w:tcBorders>
            <w:hideMark/>
          </w:tcPr>
          <w:p w14:paraId="75E134F3" w14:textId="77777777" w:rsidR="000F16EB" w:rsidRPr="003D7103" w:rsidRDefault="000F16EB" w:rsidP="00A7521D">
            <w:pPr>
              <w:jc w:val="center"/>
            </w:pPr>
            <w:r w:rsidRPr="003D7103">
              <w:t>High</w:t>
            </w:r>
          </w:p>
        </w:tc>
        <w:tc>
          <w:tcPr>
            <w:tcW w:w="1417" w:type="dxa"/>
            <w:tcBorders>
              <w:top w:val="single" w:sz="4" w:space="0" w:color="auto"/>
              <w:left w:val="nil"/>
              <w:bottom w:val="single" w:sz="4" w:space="0" w:color="auto"/>
              <w:right w:val="nil"/>
            </w:tcBorders>
            <w:hideMark/>
          </w:tcPr>
          <w:p w14:paraId="5BB953F3" w14:textId="77777777" w:rsidR="000F16EB" w:rsidRPr="003D7103" w:rsidRDefault="000F16EB" w:rsidP="00A7521D">
            <w:pPr>
              <w:jc w:val="center"/>
            </w:pPr>
            <w:r w:rsidRPr="003D7103">
              <w:t>&gt; 650</w:t>
            </w:r>
          </w:p>
        </w:tc>
        <w:tc>
          <w:tcPr>
            <w:tcW w:w="3969" w:type="dxa"/>
            <w:tcBorders>
              <w:top w:val="single" w:sz="4" w:space="0" w:color="auto"/>
              <w:left w:val="nil"/>
              <w:bottom w:val="single" w:sz="4" w:space="0" w:color="auto"/>
              <w:right w:val="nil"/>
            </w:tcBorders>
            <w:hideMark/>
          </w:tcPr>
          <w:p w14:paraId="6FD66CE9" w14:textId="77777777" w:rsidR="000F16EB" w:rsidRPr="003D7103" w:rsidRDefault="000F16EB" w:rsidP="00202E44">
            <w:pPr>
              <w:pStyle w:val="ListParagraph"/>
              <w:numPr>
                <w:ilvl w:val="0"/>
                <w:numId w:val="15"/>
              </w:numPr>
              <w:jc w:val="center"/>
            </w:pPr>
            <w:r w:rsidRPr="003D7103">
              <w:t>Combustion air preheat.</w:t>
            </w:r>
          </w:p>
          <w:p w14:paraId="101D2C78" w14:textId="77777777" w:rsidR="000F16EB" w:rsidRPr="003D7103" w:rsidRDefault="000F16EB" w:rsidP="00202E44">
            <w:pPr>
              <w:pStyle w:val="ListParagraph"/>
              <w:numPr>
                <w:ilvl w:val="0"/>
                <w:numId w:val="15"/>
              </w:numPr>
              <w:jc w:val="center"/>
            </w:pPr>
            <w:r w:rsidRPr="003D7103">
              <w:t>Steam generation.</w:t>
            </w:r>
          </w:p>
          <w:p w14:paraId="4A3FBAF4" w14:textId="77777777" w:rsidR="000F16EB" w:rsidRPr="003D7103" w:rsidRDefault="000F16EB" w:rsidP="00202E44">
            <w:pPr>
              <w:pStyle w:val="ListParagraph"/>
              <w:numPr>
                <w:ilvl w:val="0"/>
                <w:numId w:val="15"/>
              </w:numPr>
              <w:jc w:val="center"/>
            </w:pPr>
            <w:r w:rsidRPr="003D7103">
              <w:t>Furnace load preheating.</w:t>
            </w:r>
          </w:p>
          <w:p w14:paraId="09F407CC" w14:textId="77777777" w:rsidR="000F16EB" w:rsidRPr="003D7103" w:rsidRDefault="000F16EB" w:rsidP="00202E44">
            <w:pPr>
              <w:pStyle w:val="ListParagraph"/>
              <w:numPr>
                <w:ilvl w:val="0"/>
                <w:numId w:val="15"/>
              </w:numPr>
              <w:jc w:val="center"/>
            </w:pPr>
            <w:r w:rsidRPr="003D7103">
              <w:t>Transfer to medium or low temperature process.</w:t>
            </w:r>
          </w:p>
        </w:tc>
      </w:tr>
      <w:tr w:rsidR="000F16EB" w:rsidRPr="003D7103" w14:paraId="107CA007" w14:textId="77777777" w:rsidTr="00A7521D">
        <w:trPr>
          <w:jc w:val="center"/>
        </w:trPr>
        <w:tc>
          <w:tcPr>
            <w:tcW w:w="993" w:type="dxa"/>
            <w:tcBorders>
              <w:top w:val="single" w:sz="4" w:space="0" w:color="auto"/>
              <w:left w:val="nil"/>
              <w:bottom w:val="single" w:sz="4" w:space="0" w:color="auto"/>
              <w:right w:val="nil"/>
            </w:tcBorders>
            <w:hideMark/>
          </w:tcPr>
          <w:p w14:paraId="1A1A0DF1" w14:textId="77777777" w:rsidR="000F16EB" w:rsidRPr="003D7103" w:rsidRDefault="000F16EB" w:rsidP="00A7521D">
            <w:pPr>
              <w:jc w:val="center"/>
            </w:pPr>
            <w:r w:rsidRPr="003D7103">
              <w:t>Medium</w:t>
            </w:r>
          </w:p>
        </w:tc>
        <w:tc>
          <w:tcPr>
            <w:tcW w:w="1417" w:type="dxa"/>
            <w:tcBorders>
              <w:top w:val="single" w:sz="4" w:space="0" w:color="auto"/>
              <w:left w:val="nil"/>
              <w:bottom w:val="single" w:sz="4" w:space="0" w:color="auto"/>
              <w:right w:val="nil"/>
            </w:tcBorders>
            <w:hideMark/>
          </w:tcPr>
          <w:p w14:paraId="7495909E" w14:textId="77777777" w:rsidR="000F16EB" w:rsidRPr="003D7103" w:rsidRDefault="000F16EB" w:rsidP="00A7521D">
            <w:pPr>
              <w:jc w:val="center"/>
            </w:pPr>
            <w:r w:rsidRPr="003D7103">
              <w:t>230 – 650</w:t>
            </w:r>
          </w:p>
        </w:tc>
        <w:tc>
          <w:tcPr>
            <w:tcW w:w="3969" w:type="dxa"/>
            <w:tcBorders>
              <w:top w:val="single" w:sz="4" w:space="0" w:color="auto"/>
              <w:left w:val="nil"/>
              <w:bottom w:val="single" w:sz="4" w:space="0" w:color="auto"/>
              <w:right w:val="nil"/>
            </w:tcBorders>
            <w:hideMark/>
          </w:tcPr>
          <w:p w14:paraId="28D9F4D6" w14:textId="77777777" w:rsidR="000F16EB" w:rsidRPr="003D7103" w:rsidRDefault="000F16EB" w:rsidP="00202E44">
            <w:pPr>
              <w:pStyle w:val="ListParagraph"/>
              <w:numPr>
                <w:ilvl w:val="0"/>
                <w:numId w:val="15"/>
              </w:numPr>
              <w:jc w:val="center"/>
            </w:pPr>
            <w:r w:rsidRPr="003D7103">
              <w:t>Combustion air preheat.</w:t>
            </w:r>
          </w:p>
          <w:p w14:paraId="4C927DE6" w14:textId="77777777" w:rsidR="000F16EB" w:rsidRPr="003D7103" w:rsidRDefault="000F16EB" w:rsidP="00202E44">
            <w:pPr>
              <w:pStyle w:val="ListParagraph"/>
              <w:numPr>
                <w:ilvl w:val="0"/>
                <w:numId w:val="15"/>
              </w:numPr>
              <w:jc w:val="center"/>
            </w:pPr>
            <w:r w:rsidRPr="003D7103">
              <w:t>Steam/ power generation.</w:t>
            </w:r>
          </w:p>
          <w:p w14:paraId="2AF4B753" w14:textId="77777777" w:rsidR="000F16EB" w:rsidRPr="003D7103" w:rsidRDefault="000F16EB" w:rsidP="00202E44">
            <w:pPr>
              <w:pStyle w:val="ListParagraph"/>
              <w:numPr>
                <w:ilvl w:val="0"/>
                <w:numId w:val="15"/>
              </w:numPr>
              <w:jc w:val="center"/>
            </w:pPr>
            <w:r w:rsidRPr="003D7103">
              <w:t>ORC for power generation.</w:t>
            </w:r>
          </w:p>
          <w:p w14:paraId="0929ABAB" w14:textId="77777777" w:rsidR="000F16EB" w:rsidRPr="003D7103" w:rsidRDefault="000F16EB" w:rsidP="00202E44">
            <w:pPr>
              <w:pStyle w:val="ListParagraph"/>
              <w:numPr>
                <w:ilvl w:val="0"/>
                <w:numId w:val="15"/>
              </w:numPr>
              <w:jc w:val="center"/>
            </w:pPr>
            <w:r w:rsidRPr="003D7103">
              <w:t>Furnace load preheating.</w:t>
            </w:r>
          </w:p>
          <w:p w14:paraId="1EAB81A9" w14:textId="77777777" w:rsidR="000F16EB" w:rsidRPr="003D7103" w:rsidRDefault="000F16EB" w:rsidP="00202E44">
            <w:pPr>
              <w:pStyle w:val="ListParagraph"/>
              <w:numPr>
                <w:ilvl w:val="0"/>
                <w:numId w:val="15"/>
              </w:numPr>
              <w:jc w:val="center"/>
            </w:pPr>
            <w:r w:rsidRPr="003D7103">
              <w:t>Feedwater preheating.</w:t>
            </w:r>
          </w:p>
          <w:p w14:paraId="3499EF43" w14:textId="77777777" w:rsidR="000F16EB" w:rsidRPr="003D7103" w:rsidRDefault="000F16EB" w:rsidP="00202E44">
            <w:pPr>
              <w:pStyle w:val="ListParagraph"/>
              <w:numPr>
                <w:ilvl w:val="0"/>
                <w:numId w:val="15"/>
              </w:numPr>
              <w:jc w:val="center"/>
            </w:pPr>
            <w:r w:rsidRPr="003D7103">
              <w:t>Transfer to low temperature process.</w:t>
            </w:r>
          </w:p>
        </w:tc>
      </w:tr>
      <w:tr w:rsidR="000F16EB" w:rsidRPr="003D7103" w14:paraId="0BC6ACF2" w14:textId="77777777" w:rsidTr="00A7521D">
        <w:trPr>
          <w:jc w:val="center"/>
        </w:trPr>
        <w:tc>
          <w:tcPr>
            <w:tcW w:w="993" w:type="dxa"/>
            <w:tcBorders>
              <w:top w:val="single" w:sz="4" w:space="0" w:color="auto"/>
              <w:left w:val="nil"/>
              <w:bottom w:val="single" w:sz="4" w:space="0" w:color="auto"/>
              <w:right w:val="nil"/>
            </w:tcBorders>
            <w:hideMark/>
          </w:tcPr>
          <w:p w14:paraId="1813F959" w14:textId="77777777" w:rsidR="000F16EB" w:rsidRPr="003D7103" w:rsidRDefault="000F16EB" w:rsidP="00A7521D">
            <w:pPr>
              <w:jc w:val="center"/>
            </w:pPr>
            <w:r w:rsidRPr="003D7103">
              <w:t>Low</w:t>
            </w:r>
          </w:p>
        </w:tc>
        <w:tc>
          <w:tcPr>
            <w:tcW w:w="1417" w:type="dxa"/>
            <w:tcBorders>
              <w:top w:val="single" w:sz="4" w:space="0" w:color="auto"/>
              <w:left w:val="nil"/>
              <w:bottom w:val="single" w:sz="4" w:space="0" w:color="auto"/>
              <w:right w:val="nil"/>
            </w:tcBorders>
            <w:hideMark/>
          </w:tcPr>
          <w:p w14:paraId="515185C6" w14:textId="77777777" w:rsidR="000F16EB" w:rsidRPr="003D7103" w:rsidRDefault="000F16EB" w:rsidP="00A7521D">
            <w:pPr>
              <w:jc w:val="center"/>
            </w:pPr>
            <w:r w:rsidRPr="003D7103">
              <w:t>&lt; 230</w:t>
            </w:r>
          </w:p>
        </w:tc>
        <w:tc>
          <w:tcPr>
            <w:tcW w:w="3969" w:type="dxa"/>
            <w:tcBorders>
              <w:top w:val="single" w:sz="4" w:space="0" w:color="auto"/>
              <w:left w:val="nil"/>
              <w:bottom w:val="single" w:sz="4" w:space="0" w:color="auto"/>
              <w:right w:val="nil"/>
            </w:tcBorders>
            <w:hideMark/>
          </w:tcPr>
          <w:p w14:paraId="3F85F0D8" w14:textId="77777777" w:rsidR="000F16EB" w:rsidRPr="003D7103" w:rsidRDefault="000F16EB" w:rsidP="00202E44">
            <w:pPr>
              <w:pStyle w:val="ListParagraph"/>
              <w:numPr>
                <w:ilvl w:val="0"/>
                <w:numId w:val="15"/>
              </w:numPr>
              <w:jc w:val="center"/>
            </w:pPr>
            <w:r w:rsidRPr="003D7103">
              <w:t>Space heating.</w:t>
            </w:r>
          </w:p>
          <w:p w14:paraId="1075683C" w14:textId="77777777" w:rsidR="000F16EB" w:rsidRPr="003D7103" w:rsidRDefault="000F16EB" w:rsidP="00202E44">
            <w:pPr>
              <w:pStyle w:val="ListParagraph"/>
              <w:numPr>
                <w:ilvl w:val="0"/>
                <w:numId w:val="15"/>
              </w:numPr>
              <w:jc w:val="center"/>
            </w:pPr>
            <w:r w:rsidRPr="003D7103">
              <w:t>Domestic water heating.</w:t>
            </w:r>
          </w:p>
          <w:p w14:paraId="032C9081" w14:textId="77777777" w:rsidR="000F16EB" w:rsidRPr="003D7103" w:rsidRDefault="000F16EB" w:rsidP="00202E44">
            <w:pPr>
              <w:pStyle w:val="ListParagraph"/>
              <w:numPr>
                <w:ilvl w:val="0"/>
                <w:numId w:val="15"/>
              </w:numPr>
              <w:jc w:val="center"/>
            </w:pPr>
            <w:r w:rsidRPr="003D7103">
              <w:t>Upgrading via a heat pump.</w:t>
            </w:r>
          </w:p>
          <w:p w14:paraId="5FB05C02" w14:textId="77777777" w:rsidR="000F16EB" w:rsidRPr="003D7103" w:rsidRDefault="000F16EB" w:rsidP="00202E44">
            <w:pPr>
              <w:pStyle w:val="ListParagraph"/>
              <w:numPr>
                <w:ilvl w:val="0"/>
                <w:numId w:val="15"/>
              </w:numPr>
              <w:jc w:val="center"/>
            </w:pPr>
            <w:r w:rsidRPr="003D7103">
              <w:t>ORC.</w:t>
            </w:r>
          </w:p>
        </w:tc>
      </w:tr>
    </w:tbl>
    <w:p w14:paraId="5FE57FD4" w14:textId="77777777" w:rsidR="000F16EB" w:rsidRDefault="000F16EB" w:rsidP="00196CD6">
      <w:pPr>
        <w:pStyle w:val="NoSpacing"/>
      </w:pPr>
    </w:p>
    <w:p w14:paraId="0265BF89" w14:textId="4D85C5AE" w:rsidR="000F16EB" w:rsidRDefault="000F16EB" w:rsidP="000F16EB">
      <w:pPr>
        <w:pStyle w:val="Caption"/>
        <w:keepNext/>
      </w:pPr>
      <w:bookmarkStart w:id="168" w:name="_Ref529870234"/>
      <w:bookmarkStart w:id="169" w:name="_Ref529870073"/>
      <w:bookmarkStart w:id="170" w:name="_Toc7187665"/>
      <w:r>
        <w:t xml:space="preserve">Table </w:t>
      </w:r>
      <w:fldSimple w:instr=" STYLEREF 1 \s ">
        <w:r w:rsidR="00CB7456">
          <w:rPr>
            <w:noProof/>
          </w:rPr>
          <w:t>2</w:t>
        </w:r>
      </w:fldSimple>
      <w:r w:rsidR="009E1A67">
        <w:t>.</w:t>
      </w:r>
      <w:fldSimple w:instr=" SEQ Table \* ARABIC \s 1 ">
        <w:r w:rsidR="00CB7456">
          <w:rPr>
            <w:noProof/>
          </w:rPr>
          <w:t>2</w:t>
        </w:r>
      </w:fldSimple>
      <w:bookmarkEnd w:id="168"/>
      <w:r>
        <w:rPr>
          <w:noProof/>
        </w:rPr>
        <w:t>:</w:t>
      </w:r>
      <w:r>
        <w:t xml:space="preserve"> Operating temperatures of standard industrial processes, split into industries </w:t>
      </w:r>
      <w:r w:rsidRPr="0022640E">
        <w:fldChar w:fldCharType="begin" w:fldLock="1"/>
      </w:r>
      <w:r w:rsidR="002A6A73" w:rsidRPr="0022640E">
        <w:instrText>ADDIN CSL_CITATION {"citationItems":[{"id":"ITEM-1","itemData":{"DOI":"10.1016/j.apenergy.2015.01.147","ISBN":"3497300357","ISSN":"03062619","abstract":"In this paper, the potential of industrial waste heat for heating and cooling applications is investigated. Therefore, heat transformation technologies are presented and their technical and economic potential are discussed. First, different industrial processes and their operating temperatures are presented as possible waste heat sources as well as low temperature processes, which can be supplied with waste heat. Then, a general economic analysis is performed for three different cases of waste heat use: an absorption chiller producing cold and heat production with a compression and an absorption heat pump. The maximum acceptable investment cost for each technology is estimated and compared with the current investment cost depending on the operating hours of the system. For this, three different consumer types, Enthusiast, Real Estate and Industry, are defined to represent different expectations in interest rate, payback period and the resulting annuity factor. Instead of judging if a technology is profitable or not, it is calculated how much the system is allowed to cost in order to be competitive for certain operating hours. Combined with present day cost of the technology, this serves as a rough judgment of the market deployment process. Finally, a sensitivity analysis of the initial assumptions for the economic analysis is performed, revealing a strong influence of the annuity factor. For the present day technology cost, absorption chillers were found to be profitable for two of the three consumer types when operated for at least 2500. h per year. Electric heat pumps are profitable for all consumer types when exceeding 4000. operating hours per year while absorption heat pumps start at 3000. h of operation per year to be profitable for all consumer types.","author":[{"dropping-particle":"","family":"Brückner","given":"Sarah","non-dropping-particle":"","parse-names":false,"suffix":""},{"dropping-particle":"","family":"Liu","given":"Selina","non-dropping-particle":"","parse-names":false,"suffix":""},{"dropping-particle":"","family":"Miró","given":"Laia","non-dropping-particle":"","parse-names":false,"suffix":""},{"dropping-particle":"","family":"Radspieler","given":"Michael","non-dropping-particle":"","parse-names":false,"suffix":""},{"dropping-particle":"","family":"Cabeza","given":"Luisa F.","non-dropping-particle":"","parse-names":false,"suffix":""},{"dropping-particle":"","family":"Lävemann","given":"Eberhard","non-dropping-particle":"","parse-names":false,"suffix":""}],"container-title":"Applied Energy","id":"ITEM-1","issued":{"date-parts":[["2015"]]},"page":"157-167","title":"Industrial waste heat recovery technologies: An economic analysis of heat transformation technologies","type":"article-journal","volume":"151"},"uris":["http://www.mendeley.com/documents/?uuid=e0c30b42-0ca5-426a-ae4a-3df72bc9fb36"]}],"mendeley":{"formattedCitation":"(Brückner &lt;i&gt;et al.&lt;/i&gt;, 2015)","plainTextFormattedCitation":"(Brückner et al., 2015)","previouslyFormattedCitation":"(Brückner &lt;i&gt;et al.&lt;/i&gt;, 2015)"},"properties":{"noteIndex":0},"schema":"https://github.com/citation-style-language/schema/raw/master/csl-citation.json"}</w:instrText>
      </w:r>
      <w:r w:rsidRPr="0022640E">
        <w:fldChar w:fldCharType="separate"/>
      </w:r>
      <w:r w:rsidR="002A6A73" w:rsidRPr="0022640E">
        <w:rPr>
          <w:noProof/>
        </w:rPr>
        <w:t xml:space="preserve">(Brückner </w:t>
      </w:r>
      <w:r w:rsidR="002A6A73" w:rsidRPr="0022640E">
        <w:rPr>
          <w:i/>
          <w:noProof/>
        </w:rPr>
        <w:t>et al.</w:t>
      </w:r>
      <w:r w:rsidR="002A6A73" w:rsidRPr="0022640E">
        <w:rPr>
          <w:noProof/>
        </w:rPr>
        <w:t>, 2015)</w:t>
      </w:r>
      <w:r w:rsidRPr="0022640E">
        <w:fldChar w:fldCharType="end"/>
      </w:r>
      <w:r w:rsidRPr="0022640E">
        <w:t>.</w:t>
      </w:r>
      <w:bookmarkEnd w:id="170"/>
    </w:p>
    <w:tbl>
      <w:tblPr>
        <w:tblStyle w:val="TableGrid"/>
        <w:tblW w:w="7366" w:type="dxa"/>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2"/>
        <w:gridCol w:w="2693"/>
        <w:gridCol w:w="2551"/>
      </w:tblGrid>
      <w:tr w:rsidR="000F16EB" w14:paraId="6D3F1359" w14:textId="77777777" w:rsidTr="00A7521D">
        <w:trPr>
          <w:jc w:val="center"/>
        </w:trPr>
        <w:tc>
          <w:tcPr>
            <w:tcW w:w="2122" w:type="dxa"/>
            <w:tcBorders>
              <w:bottom w:val="single" w:sz="4" w:space="0" w:color="auto"/>
            </w:tcBorders>
          </w:tcPr>
          <w:p w14:paraId="1471A43E" w14:textId="77777777" w:rsidR="000F16EB" w:rsidRDefault="000F16EB" w:rsidP="00A7521D">
            <w:pPr>
              <w:jc w:val="center"/>
            </w:pPr>
            <w:r>
              <w:t>Industry</w:t>
            </w:r>
          </w:p>
        </w:tc>
        <w:tc>
          <w:tcPr>
            <w:tcW w:w="2693" w:type="dxa"/>
            <w:tcBorders>
              <w:bottom w:val="single" w:sz="4" w:space="0" w:color="auto"/>
            </w:tcBorders>
          </w:tcPr>
          <w:p w14:paraId="66B69E36" w14:textId="77777777" w:rsidR="000F16EB" w:rsidRDefault="000F16EB" w:rsidP="00A7521D">
            <w:pPr>
              <w:jc w:val="center"/>
            </w:pPr>
            <w:r>
              <w:t>Process</w:t>
            </w:r>
          </w:p>
        </w:tc>
        <w:tc>
          <w:tcPr>
            <w:tcW w:w="2551" w:type="dxa"/>
            <w:tcBorders>
              <w:bottom w:val="single" w:sz="4" w:space="0" w:color="auto"/>
            </w:tcBorders>
          </w:tcPr>
          <w:p w14:paraId="06E07D99" w14:textId="77777777" w:rsidR="000F16EB" w:rsidRDefault="000F16EB" w:rsidP="00A7521D">
            <w:pPr>
              <w:jc w:val="center"/>
            </w:pPr>
            <w:r>
              <w:t>Working temperature (°C)</w:t>
            </w:r>
          </w:p>
        </w:tc>
      </w:tr>
      <w:tr w:rsidR="000F16EB" w14:paraId="71ACB37A" w14:textId="77777777" w:rsidTr="00A7521D">
        <w:trPr>
          <w:jc w:val="center"/>
        </w:trPr>
        <w:tc>
          <w:tcPr>
            <w:tcW w:w="2122" w:type="dxa"/>
            <w:tcBorders>
              <w:top w:val="single" w:sz="4" w:space="0" w:color="auto"/>
              <w:bottom w:val="nil"/>
            </w:tcBorders>
          </w:tcPr>
          <w:p w14:paraId="27D62316" w14:textId="77777777" w:rsidR="000F16EB" w:rsidRDefault="000F16EB" w:rsidP="00A7521D">
            <w:pPr>
              <w:jc w:val="center"/>
            </w:pPr>
            <w:r>
              <w:t>Food and beverages</w:t>
            </w:r>
          </w:p>
        </w:tc>
        <w:tc>
          <w:tcPr>
            <w:tcW w:w="2693" w:type="dxa"/>
            <w:tcBorders>
              <w:top w:val="single" w:sz="4" w:space="0" w:color="auto"/>
              <w:bottom w:val="nil"/>
            </w:tcBorders>
          </w:tcPr>
          <w:p w14:paraId="5D0CD03E" w14:textId="77777777" w:rsidR="000F16EB" w:rsidRDefault="000F16EB" w:rsidP="00A7521D">
            <w:pPr>
              <w:jc w:val="center"/>
            </w:pPr>
            <w:r>
              <w:t>Cleaning</w:t>
            </w:r>
          </w:p>
        </w:tc>
        <w:tc>
          <w:tcPr>
            <w:tcW w:w="2551" w:type="dxa"/>
            <w:tcBorders>
              <w:top w:val="single" w:sz="4" w:space="0" w:color="auto"/>
              <w:bottom w:val="nil"/>
            </w:tcBorders>
          </w:tcPr>
          <w:p w14:paraId="4F9DBEC7" w14:textId="77777777" w:rsidR="000F16EB" w:rsidRDefault="000F16EB" w:rsidP="00A7521D">
            <w:pPr>
              <w:jc w:val="center"/>
            </w:pPr>
            <w:r>
              <w:t>60</w:t>
            </w:r>
          </w:p>
        </w:tc>
      </w:tr>
      <w:tr w:rsidR="000F16EB" w14:paraId="668C8F18" w14:textId="77777777" w:rsidTr="00A7521D">
        <w:trPr>
          <w:jc w:val="center"/>
        </w:trPr>
        <w:tc>
          <w:tcPr>
            <w:tcW w:w="2122" w:type="dxa"/>
            <w:tcBorders>
              <w:top w:val="nil"/>
            </w:tcBorders>
          </w:tcPr>
          <w:p w14:paraId="096E51B3" w14:textId="77777777" w:rsidR="000F16EB" w:rsidRDefault="000F16EB" w:rsidP="00A7521D">
            <w:pPr>
              <w:jc w:val="center"/>
            </w:pPr>
          </w:p>
        </w:tc>
        <w:tc>
          <w:tcPr>
            <w:tcW w:w="2693" w:type="dxa"/>
            <w:tcBorders>
              <w:top w:val="nil"/>
            </w:tcBorders>
          </w:tcPr>
          <w:p w14:paraId="6840F599" w14:textId="77777777" w:rsidR="000F16EB" w:rsidRDefault="000F16EB" w:rsidP="00A7521D">
            <w:pPr>
              <w:jc w:val="center"/>
            </w:pPr>
            <w:r>
              <w:t>Cooking</w:t>
            </w:r>
          </w:p>
        </w:tc>
        <w:tc>
          <w:tcPr>
            <w:tcW w:w="2551" w:type="dxa"/>
            <w:tcBorders>
              <w:top w:val="nil"/>
            </w:tcBorders>
          </w:tcPr>
          <w:p w14:paraId="1F1AE9EB" w14:textId="77777777" w:rsidR="000F16EB" w:rsidRDefault="000F16EB" w:rsidP="00A7521D">
            <w:pPr>
              <w:jc w:val="center"/>
            </w:pPr>
            <w:r>
              <w:t>110 – 150</w:t>
            </w:r>
          </w:p>
        </w:tc>
      </w:tr>
      <w:tr w:rsidR="000F16EB" w14:paraId="644DA42B" w14:textId="77777777" w:rsidTr="00A7521D">
        <w:trPr>
          <w:jc w:val="center"/>
        </w:trPr>
        <w:tc>
          <w:tcPr>
            <w:tcW w:w="2122" w:type="dxa"/>
          </w:tcPr>
          <w:p w14:paraId="395A8ACC" w14:textId="77777777" w:rsidR="000F16EB" w:rsidRDefault="000F16EB" w:rsidP="00A7521D">
            <w:pPr>
              <w:jc w:val="center"/>
            </w:pPr>
          </w:p>
        </w:tc>
        <w:tc>
          <w:tcPr>
            <w:tcW w:w="2693" w:type="dxa"/>
          </w:tcPr>
          <w:p w14:paraId="618B9058" w14:textId="77777777" w:rsidR="000F16EB" w:rsidRDefault="000F16EB" w:rsidP="00A7521D">
            <w:pPr>
              <w:jc w:val="center"/>
            </w:pPr>
            <w:r>
              <w:t>Pasteurising</w:t>
            </w:r>
          </w:p>
        </w:tc>
        <w:tc>
          <w:tcPr>
            <w:tcW w:w="2551" w:type="dxa"/>
          </w:tcPr>
          <w:p w14:paraId="422D70D0" w14:textId="77777777" w:rsidR="000F16EB" w:rsidRDefault="000F16EB" w:rsidP="00A7521D">
            <w:pPr>
              <w:jc w:val="center"/>
            </w:pPr>
            <w:r>
              <w:t>65 – 110</w:t>
            </w:r>
          </w:p>
        </w:tc>
      </w:tr>
      <w:tr w:rsidR="000F16EB" w14:paraId="5BA059EB" w14:textId="77777777" w:rsidTr="00A7521D">
        <w:trPr>
          <w:jc w:val="center"/>
        </w:trPr>
        <w:tc>
          <w:tcPr>
            <w:tcW w:w="2122" w:type="dxa"/>
          </w:tcPr>
          <w:p w14:paraId="119FDFD7" w14:textId="77777777" w:rsidR="000F16EB" w:rsidRDefault="000F16EB" w:rsidP="00A7521D">
            <w:pPr>
              <w:jc w:val="center"/>
            </w:pPr>
          </w:p>
        </w:tc>
        <w:tc>
          <w:tcPr>
            <w:tcW w:w="2693" w:type="dxa"/>
          </w:tcPr>
          <w:p w14:paraId="3D5AE2E5" w14:textId="77777777" w:rsidR="000F16EB" w:rsidRDefault="000F16EB" w:rsidP="00A7521D">
            <w:pPr>
              <w:jc w:val="center"/>
            </w:pPr>
            <w:r>
              <w:t>Whitening</w:t>
            </w:r>
          </w:p>
        </w:tc>
        <w:tc>
          <w:tcPr>
            <w:tcW w:w="2551" w:type="dxa"/>
          </w:tcPr>
          <w:p w14:paraId="62BF2FF9" w14:textId="77777777" w:rsidR="000F16EB" w:rsidRDefault="000F16EB" w:rsidP="00A7521D">
            <w:pPr>
              <w:jc w:val="center"/>
            </w:pPr>
            <w:r>
              <w:t>85</w:t>
            </w:r>
          </w:p>
        </w:tc>
      </w:tr>
      <w:tr w:rsidR="000F16EB" w14:paraId="3A514CB4" w14:textId="77777777" w:rsidTr="00A7521D">
        <w:trPr>
          <w:jc w:val="center"/>
        </w:trPr>
        <w:tc>
          <w:tcPr>
            <w:tcW w:w="2122" w:type="dxa"/>
          </w:tcPr>
          <w:p w14:paraId="31A66CE1" w14:textId="77777777" w:rsidR="000F16EB" w:rsidRDefault="000F16EB" w:rsidP="00A7521D">
            <w:pPr>
              <w:jc w:val="center"/>
            </w:pPr>
          </w:p>
        </w:tc>
        <w:tc>
          <w:tcPr>
            <w:tcW w:w="2693" w:type="dxa"/>
          </w:tcPr>
          <w:p w14:paraId="58ABCBC7" w14:textId="77777777" w:rsidR="000F16EB" w:rsidRDefault="000F16EB" w:rsidP="00A7521D">
            <w:pPr>
              <w:jc w:val="center"/>
            </w:pPr>
            <w:r>
              <w:t>Drying</w:t>
            </w:r>
          </w:p>
        </w:tc>
        <w:tc>
          <w:tcPr>
            <w:tcW w:w="2551" w:type="dxa"/>
          </w:tcPr>
          <w:p w14:paraId="51B57B8A" w14:textId="77777777" w:rsidR="000F16EB" w:rsidRDefault="000F16EB" w:rsidP="00A7521D">
            <w:pPr>
              <w:jc w:val="center"/>
            </w:pPr>
            <w:r>
              <w:t>30 – 120</w:t>
            </w:r>
          </w:p>
        </w:tc>
      </w:tr>
      <w:tr w:rsidR="000F16EB" w14:paraId="1F9457FE" w14:textId="77777777" w:rsidTr="00A7521D">
        <w:trPr>
          <w:jc w:val="center"/>
        </w:trPr>
        <w:tc>
          <w:tcPr>
            <w:tcW w:w="2122" w:type="dxa"/>
          </w:tcPr>
          <w:p w14:paraId="5BF85A9F" w14:textId="77777777" w:rsidR="000F16EB" w:rsidRDefault="000F16EB" w:rsidP="00A7521D">
            <w:pPr>
              <w:jc w:val="center"/>
            </w:pPr>
          </w:p>
        </w:tc>
        <w:tc>
          <w:tcPr>
            <w:tcW w:w="2693" w:type="dxa"/>
          </w:tcPr>
          <w:p w14:paraId="61B97FAB" w14:textId="77777777" w:rsidR="000F16EB" w:rsidRDefault="000F16EB" w:rsidP="00A7521D">
            <w:pPr>
              <w:jc w:val="center"/>
            </w:pPr>
            <w:r>
              <w:t>Washing</w:t>
            </w:r>
          </w:p>
        </w:tc>
        <w:tc>
          <w:tcPr>
            <w:tcW w:w="2551" w:type="dxa"/>
          </w:tcPr>
          <w:p w14:paraId="2463B145" w14:textId="77777777" w:rsidR="000F16EB" w:rsidRDefault="000F16EB" w:rsidP="00A7521D">
            <w:pPr>
              <w:jc w:val="center"/>
            </w:pPr>
            <w:r>
              <w:t>40 – 85</w:t>
            </w:r>
          </w:p>
        </w:tc>
      </w:tr>
      <w:tr w:rsidR="000F16EB" w14:paraId="7E4DC064" w14:textId="77777777" w:rsidTr="00A7521D">
        <w:trPr>
          <w:jc w:val="center"/>
        </w:trPr>
        <w:tc>
          <w:tcPr>
            <w:tcW w:w="2122" w:type="dxa"/>
          </w:tcPr>
          <w:p w14:paraId="19008065" w14:textId="77777777" w:rsidR="000F16EB" w:rsidRDefault="000F16EB" w:rsidP="00A7521D">
            <w:pPr>
              <w:jc w:val="center"/>
            </w:pPr>
          </w:p>
        </w:tc>
        <w:tc>
          <w:tcPr>
            <w:tcW w:w="2693" w:type="dxa"/>
          </w:tcPr>
          <w:p w14:paraId="434A635B" w14:textId="77777777" w:rsidR="000F16EB" w:rsidRDefault="000F16EB" w:rsidP="00A7521D">
            <w:pPr>
              <w:jc w:val="center"/>
            </w:pPr>
            <w:r>
              <w:t>Sterilising</w:t>
            </w:r>
          </w:p>
        </w:tc>
        <w:tc>
          <w:tcPr>
            <w:tcW w:w="2551" w:type="dxa"/>
          </w:tcPr>
          <w:p w14:paraId="17D26A89" w14:textId="77777777" w:rsidR="000F16EB" w:rsidRDefault="000F16EB" w:rsidP="00A7521D">
            <w:pPr>
              <w:jc w:val="center"/>
            </w:pPr>
            <w:r>
              <w:t>80 – 150</w:t>
            </w:r>
          </w:p>
        </w:tc>
      </w:tr>
      <w:tr w:rsidR="000F16EB" w14:paraId="4AB37DA1" w14:textId="77777777" w:rsidTr="00A7521D">
        <w:trPr>
          <w:jc w:val="center"/>
        </w:trPr>
        <w:tc>
          <w:tcPr>
            <w:tcW w:w="2122" w:type="dxa"/>
          </w:tcPr>
          <w:p w14:paraId="07DAA621" w14:textId="77777777" w:rsidR="000F16EB" w:rsidRDefault="000F16EB" w:rsidP="00A7521D">
            <w:pPr>
              <w:jc w:val="center"/>
            </w:pPr>
          </w:p>
        </w:tc>
        <w:tc>
          <w:tcPr>
            <w:tcW w:w="2693" w:type="dxa"/>
          </w:tcPr>
          <w:p w14:paraId="6A2405BF" w14:textId="77777777" w:rsidR="000F16EB" w:rsidRDefault="000F16EB" w:rsidP="00A7521D">
            <w:pPr>
              <w:jc w:val="center"/>
            </w:pPr>
            <w:r>
              <w:t>Boiling</w:t>
            </w:r>
          </w:p>
        </w:tc>
        <w:tc>
          <w:tcPr>
            <w:tcW w:w="2551" w:type="dxa"/>
          </w:tcPr>
          <w:p w14:paraId="02FD4E5A" w14:textId="77777777" w:rsidR="000F16EB" w:rsidRDefault="000F16EB" w:rsidP="00A7521D">
            <w:pPr>
              <w:jc w:val="center"/>
            </w:pPr>
            <w:r>
              <w:t>95 – 105</w:t>
            </w:r>
          </w:p>
        </w:tc>
      </w:tr>
      <w:tr w:rsidR="000F16EB" w14:paraId="1E31A0FD" w14:textId="77777777" w:rsidTr="00A7521D">
        <w:trPr>
          <w:jc w:val="center"/>
        </w:trPr>
        <w:tc>
          <w:tcPr>
            <w:tcW w:w="2122" w:type="dxa"/>
          </w:tcPr>
          <w:p w14:paraId="62E76666" w14:textId="77777777" w:rsidR="000F16EB" w:rsidRDefault="000F16EB" w:rsidP="00A7521D">
            <w:pPr>
              <w:jc w:val="center"/>
            </w:pPr>
          </w:p>
        </w:tc>
        <w:tc>
          <w:tcPr>
            <w:tcW w:w="2693" w:type="dxa"/>
          </w:tcPr>
          <w:p w14:paraId="625050E3" w14:textId="77777777" w:rsidR="000F16EB" w:rsidRDefault="000F16EB" w:rsidP="00A7521D">
            <w:pPr>
              <w:jc w:val="center"/>
            </w:pPr>
            <w:r>
              <w:t>Heat treatment</w:t>
            </w:r>
          </w:p>
        </w:tc>
        <w:tc>
          <w:tcPr>
            <w:tcW w:w="2551" w:type="dxa"/>
          </w:tcPr>
          <w:p w14:paraId="3E3BFBA4" w14:textId="77777777" w:rsidR="000F16EB" w:rsidRDefault="000F16EB" w:rsidP="00A7521D">
            <w:pPr>
              <w:jc w:val="center"/>
            </w:pPr>
            <w:r>
              <w:t>40 – 60</w:t>
            </w:r>
          </w:p>
        </w:tc>
      </w:tr>
      <w:tr w:rsidR="000F16EB" w14:paraId="1BFD204E" w14:textId="77777777" w:rsidTr="00A7521D">
        <w:trPr>
          <w:jc w:val="center"/>
        </w:trPr>
        <w:tc>
          <w:tcPr>
            <w:tcW w:w="2122" w:type="dxa"/>
          </w:tcPr>
          <w:p w14:paraId="70F9DEA7" w14:textId="77777777" w:rsidR="000F16EB" w:rsidRDefault="000F16EB" w:rsidP="00A7521D">
            <w:pPr>
              <w:jc w:val="center"/>
            </w:pPr>
          </w:p>
        </w:tc>
        <w:tc>
          <w:tcPr>
            <w:tcW w:w="2693" w:type="dxa"/>
          </w:tcPr>
          <w:p w14:paraId="3CDF9737" w14:textId="77777777" w:rsidR="000F16EB" w:rsidRDefault="000F16EB" w:rsidP="00A7521D">
            <w:pPr>
              <w:jc w:val="center"/>
            </w:pPr>
            <w:r>
              <w:t>Drainage</w:t>
            </w:r>
          </w:p>
        </w:tc>
        <w:tc>
          <w:tcPr>
            <w:tcW w:w="2551" w:type="dxa"/>
          </w:tcPr>
          <w:p w14:paraId="68B8FE35" w14:textId="77777777" w:rsidR="000F16EB" w:rsidRDefault="000F16EB" w:rsidP="00A7521D">
            <w:pPr>
              <w:jc w:val="center"/>
            </w:pPr>
            <w:r>
              <w:t>38 – 104</w:t>
            </w:r>
          </w:p>
        </w:tc>
      </w:tr>
      <w:tr w:rsidR="000F16EB" w14:paraId="7C5AB332" w14:textId="77777777" w:rsidTr="00A7521D">
        <w:trPr>
          <w:jc w:val="center"/>
        </w:trPr>
        <w:tc>
          <w:tcPr>
            <w:tcW w:w="2122" w:type="dxa"/>
          </w:tcPr>
          <w:p w14:paraId="58CD1D23" w14:textId="77777777" w:rsidR="000F16EB" w:rsidRDefault="000F16EB" w:rsidP="00A7521D">
            <w:pPr>
              <w:jc w:val="center"/>
            </w:pPr>
            <w:r>
              <w:t>Textile</w:t>
            </w:r>
          </w:p>
        </w:tc>
        <w:tc>
          <w:tcPr>
            <w:tcW w:w="2693" w:type="dxa"/>
          </w:tcPr>
          <w:p w14:paraId="4FE3A886" w14:textId="77777777" w:rsidR="000F16EB" w:rsidRDefault="000F16EB" w:rsidP="00A7521D">
            <w:pPr>
              <w:jc w:val="center"/>
            </w:pPr>
            <w:r>
              <w:t>Dry heating</w:t>
            </w:r>
          </w:p>
        </w:tc>
        <w:tc>
          <w:tcPr>
            <w:tcW w:w="2551" w:type="dxa"/>
          </w:tcPr>
          <w:p w14:paraId="6BC4EA3A" w14:textId="77777777" w:rsidR="000F16EB" w:rsidRDefault="000F16EB" w:rsidP="00A7521D">
            <w:pPr>
              <w:jc w:val="center"/>
            </w:pPr>
            <w:r>
              <w:t>88</w:t>
            </w:r>
          </w:p>
        </w:tc>
      </w:tr>
      <w:tr w:rsidR="000F16EB" w14:paraId="2E8007C6" w14:textId="77777777" w:rsidTr="00A7521D">
        <w:trPr>
          <w:jc w:val="center"/>
        </w:trPr>
        <w:tc>
          <w:tcPr>
            <w:tcW w:w="2122" w:type="dxa"/>
          </w:tcPr>
          <w:p w14:paraId="3E997662" w14:textId="77777777" w:rsidR="000F16EB" w:rsidRDefault="000F16EB" w:rsidP="00A7521D">
            <w:pPr>
              <w:jc w:val="center"/>
            </w:pPr>
          </w:p>
        </w:tc>
        <w:tc>
          <w:tcPr>
            <w:tcW w:w="2693" w:type="dxa"/>
          </w:tcPr>
          <w:p w14:paraId="205F52C3" w14:textId="77777777" w:rsidR="000F16EB" w:rsidRDefault="000F16EB" w:rsidP="00A7521D">
            <w:pPr>
              <w:jc w:val="center"/>
            </w:pPr>
            <w:r>
              <w:t>Ironing</w:t>
            </w:r>
          </w:p>
        </w:tc>
        <w:tc>
          <w:tcPr>
            <w:tcW w:w="2551" w:type="dxa"/>
          </w:tcPr>
          <w:p w14:paraId="03F6CF6C" w14:textId="77777777" w:rsidR="000F16EB" w:rsidRDefault="000F16EB" w:rsidP="00A7521D">
            <w:pPr>
              <w:jc w:val="center"/>
            </w:pPr>
            <w:r>
              <w:t>100</w:t>
            </w:r>
          </w:p>
        </w:tc>
      </w:tr>
      <w:tr w:rsidR="000F16EB" w14:paraId="7085D326" w14:textId="77777777" w:rsidTr="00A7521D">
        <w:trPr>
          <w:jc w:val="center"/>
        </w:trPr>
        <w:tc>
          <w:tcPr>
            <w:tcW w:w="2122" w:type="dxa"/>
          </w:tcPr>
          <w:p w14:paraId="00B710D9" w14:textId="77777777" w:rsidR="000F16EB" w:rsidRDefault="000F16EB" w:rsidP="00A7521D">
            <w:pPr>
              <w:jc w:val="center"/>
            </w:pPr>
          </w:p>
        </w:tc>
        <w:tc>
          <w:tcPr>
            <w:tcW w:w="2693" w:type="dxa"/>
          </w:tcPr>
          <w:p w14:paraId="0A0E071D" w14:textId="77777777" w:rsidR="000F16EB" w:rsidRDefault="000F16EB" w:rsidP="00A7521D">
            <w:pPr>
              <w:jc w:val="center"/>
            </w:pPr>
            <w:r>
              <w:t>Washing</w:t>
            </w:r>
          </w:p>
        </w:tc>
        <w:tc>
          <w:tcPr>
            <w:tcW w:w="2551" w:type="dxa"/>
          </w:tcPr>
          <w:p w14:paraId="57339271" w14:textId="77777777" w:rsidR="000F16EB" w:rsidRDefault="000F16EB" w:rsidP="00A7521D">
            <w:pPr>
              <w:jc w:val="center"/>
            </w:pPr>
            <w:r>
              <w:t>40 – 80</w:t>
            </w:r>
          </w:p>
        </w:tc>
      </w:tr>
      <w:tr w:rsidR="000F16EB" w14:paraId="5CC850BB" w14:textId="77777777" w:rsidTr="00A7521D">
        <w:trPr>
          <w:jc w:val="center"/>
        </w:trPr>
        <w:tc>
          <w:tcPr>
            <w:tcW w:w="2122" w:type="dxa"/>
          </w:tcPr>
          <w:p w14:paraId="59025615" w14:textId="77777777" w:rsidR="000F16EB" w:rsidRDefault="000F16EB" w:rsidP="00A7521D">
            <w:pPr>
              <w:jc w:val="center"/>
            </w:pPr>
          </w:p>
        </w:tc>
        <w:tc>
          <w:tcPr>
            <w:tcW w:w="2693" w:type="dxa"/>
          </w:tcPr>
          <w:p w14:paraId="49AD5871" w14:textId="77777777" w:rsidR="000F16EB" w:rsidRDefault="000F16EB" w:rsidP="00A7521D">
            <w:pPr>
              <w:jc w:val="center"/>
            </w:pPr>
            <w:r>
              <w:t>Bleaching</w:t>
            </w:r>
          </w:p>
        </w:tc>
        <w:tc>
          <w:tcPr>
            <w:tcW w:w="2551" w:type="dxa"/>
          </w:tcPr>
          <w:p w14:paraId="1A26C7B6" w14:textId="77777777" w:rsidR="000F16EB" w:rsidRDefault="000F16EB" w:rsidP="00A7521D">
            <w:pPr>
              <w:jc w:val="center"/>
            </w:pPr>
            <w:r>
              <w:t>60 – 100</w:t>
            </w:r>
          </w:p>
        </w:tc>
      </w:tr>
      <w:tr w:rsidR="000F16EB" w14:paraId="4435C0B8" w14:textId="77777777" w:rsidTr="00A7521D">
        <w:trPr>
          <w:jc w:val="center"/>
        </w:trPr>
        <w:tc>
          <w:tcPr>
            <w:tcW w:w="2122" w:type="dxa"/>
          </w:tcPr>
          <w:p w14:paraId="0BCDF7F1" w14:textId="77777777" w:rsidR="000F16EB" w:rsidRDefault="000F16EB" w:rsidP="00A7521D">
            <w:pPr>
              <w:jc w:val="center"/>
            </w:pPr>
          </w:p>
        </w:tc>
        <w:tc>
          <w:tcPr>
            <w:tcW w:w="2693" w:type="dxa"/>
          </w:tcPr>
          <w:p w14:paraId="77ADA280" w14:textId="77777777" w:rsidR="000F16EB" w:rsidRDefault="000F16EB" w:rsidP="00A7521D">
            <w:pPr>
              <w:jc w:val="center"/>
            </w:pPr>
            <w:r>
              <w:t>Dying</w:t>
            </w:r>
          </w:p>
        </w:tc>
        <w:tc>
          <w:tcPr>
            <w:tcW w:w="2551" w:type="dxa"/>
          </w:tcPr>
          <w:p w14:paraId="5B40136A" w14:textId="77777777" w:rsidR="000F16EB" w:rsidRDefault="000F16EB" w:rsidP="00A7521D">
            <w:pPr>
              <w:jc w:val="center"/>
            </w:pPr>
            <w:r>
              <w:t>100 – 160</w:t>
            </w:r>
          </w:p>
        </w:tc>
      </w:tr>
      <w:tr w:rsidR="000F16EB" w14:paraId="7AC14200" w14:textId="77777777" w:rsidTr="00A7521D">
        <w:trPr>
          <w:jc w:val="center"/>
        </w:trPr>
        <w:tc>
          <w:tcPr>
            <w:tcW w:w="2122" w:type="dxa"/>
          </w:tcPr>
          <w:p w14:paraId="5D2F2C4F" w14:textId="77777777" w:rsidR="000F16EB" w:rsidRDefault="000F16EB" w:rsidP="00A7521D">
            <w:pPr>
              <w:jc w:val="center"/>
            </w:pPr>
          </w:p>
        </w:tc>
        <w:tc>
          <w:tcPr>
            <w:tcW w:w="2693" w:type="dxa"/>
          </w:tcPr>
          <w:p w14:paraId="75C3A7E4" w14:textId="77777777" w:rsidR="000F16EB" w:rsidRDefault="000F16EB" w:rsidP="00A7521D">
            <w:pPr>
              <w:jc w:val="center"/>
            </w:pPr>
            <w:r>
              <w:t>Drying</w:t>
            </w:r>
          </w:p>
        </w:tc>
        <w:tc>
          <w:tcPr>
            <w:tcW w:w="2551" w:type="dxa"/>
          </w:tcPr>
          <w:p w14:paraId="6E0CC3D2" w14:textId="77777777" w:rsidR="000F16EB" w:rsidRDefault="000F16EB" w:rsidP="00A7521D">
            <w:pPr>
              <w:jc w:val="center"/>
            </w:pPr>
            <w:r>
              <w:t>75 – 250</w:t>
            </w:r>
          </w:p>
        </w:tc>
      </w:tr>
      <w:tr w:rsidR="000F16EB" w14:paraId="665D323D" w14:textId="77777777" w:rsidTr="00A7521D">
        <w:trPr>
          <w:jc w:val="center"/>
        </w:trPr>
        <w:tc>
          <w:tcPr>
            <w:tcW w:w="2122" w:type="dxa"/>
          </w:tcPr>
          <w:p w14:paraId="630DFDCC" w14:textId="77777777" w:rsidR="000F16EB" w:rsidRDefault="000F16EB" w:rsidP="00A7521D">
            <w:pPr>
              <w:jc w:val="center"/>
            </w:pPr>
          </w:p>
        </w:tc>
        <w:tc>
          <w:tcPr>
            <w:tcW w:w="2693" w:type="dxa"/>
          </w:tcPr>
          <w:p w14:paraId="2ACE686E" w14:textId="77777777" w:rsidR="000F16EB" w:rsidRDefault="000F16EB" w:rsidP="00A7521D">
            <w:pPr>
              <w:jc w:val="center"/>
            </w:pPr>
            <w:r>
              <w:t>Steaming</w:t>
            </w:r>
          </w:p>
        </w:tc>
        <w:tc>
          <w:tcPr>
            <w:tcW w:w="2551" w:type="dxa"/>
          </w:tcPr>
          <w:p w14:paraId="4B891E53" w14:textId="77777777" w:rsidR="000F16EB" w:rsidRDefault="000F16EB" w:rsidP="00A7521D">
            <w:pPr>
              <w:jc w:val="center"/>
            </w:pPr>
            <w:r>
              <w:t>100 – 130</w:t>
            </w:r>
          </w:p>
        </w:tc>
      </w:tr>
      <w:tr w:rsidR="000F16EB" w14:paraId="4650EC23" w14:textId="77777777" w:rsidTr="00A7521D">
        <w:trPr>
          <w:jc w:val="center"/>
        </w:trPr>
        <w:tc>
          <w:tcPr>
            <w:tcW w:w="2122" w:type="dxa"/>
          </w:tcPr>
          <w:p w14:paraId="205D3111" w14:textId="77777777" w:rsidR="000F16EB" w:rsidRDefault="000F16EB" w:rsidP="00A7521D">
            <w:pPr>
              <w:jc w:val="center"/>
            </w:pPr>
            <w:r>
              <w:t>Chemical</w:t>
            </w:r>
          </w:p>
        </w:tc>
        <w:tc>
          <w:tcPr>
            <w:tcW w:w="2693" w:type="dxa"/>
          </w:tcPr>
          <w:p w14:paraId="32302A06" w14:textId="77777777" w:rsidR="000F16EB" w:rsidRDefault="000F16EB" w:rsidP="00A7521D">
            <w:pPr>
              <w:jc w:val="center"/>
            </w:pPr>
            <w:r>
              <w:t>Boiling</w:t>
            </w:r>
          </w:p>
        </w:tc>
        <w:tc>
          <w:tcPr>
            <w:tcW w:w="2551" w:type="dxa"/>
          </w:tcPr>
          <w:p w14:paraId="7CC901A4" w14:textId="77777777" w:rsidR="000F16EB" w:rsidRDefault="000F16EB" w:rsidP="00A7521D">
            <w:pPr>
              <w:jc w:val="center"/>
            </w:pPr>
            <w:r>
              <w:t>95 – 105</w:t>
            </w:r>
          </w:p>
        </w:tc>
      </w:tr>
      <w:tr w:rsidR="000F16EB" w14:paraId="3EA1814E" w14:textId="77777777" w:rsidTr="00A7521D">
        <w:trPr>
          <w:jc w:val="center"/>
        </w:trPr>
        <w:tc>
          <w:tcPr>
            <w:tcW w:w="2122" w:type="dxa"/>
          </w:tcPr>
          <w:p w14:paraId="297FC26C" w14:textId="77777777" w:rsidR="000F16EB" w:rsidRDefault="000F16EB" w:rsidP="00A7521D">
            <w:pPr>
              <w:jc w:val="center"/>
            </w:pPr>
          </w:p>
        </w:tc>
        <w:tc>
          <w:tcPr>
            <w:tcW w:w="2693" w:type="dxa"/>
          </w:tcPr>
          <w:p w14:paraId="25527C8E" w14:textId="77777777" w:rsidR="000F16EB" w:rsidRDefault="000F16EB" w:rsidP="00A7521D">
            <w:pPr>
              <w:jc w:val="center"/>
            </w:pPr>
            <w:r>
              <w:t>Distilling</w:t>
            </w:r>
          </w:p>
        </w:tc>
        <w:tc>
          <w:tcPr>
            <w:tcW w:w="2551" w:type="dxa"/>
          </w:tcPr>
          <w:p w14:paraId="68812CD3" w14:textId="77777777" w:rsidR="000F16EB" w:rsidRDefault="000F16EB" w:rsidP="00A7521D">
            <w:pPr>
              <w:jc w:val="center"/>
            </w:pPr>
            <w:r>
              <w:t>90 – 300</w:t>
            </w:r>
          </w:p>
        </w:tc>
      </w:tr>
      <w:tr w:rsidR="000F16EB" w14:paraId="4432F7AA" w14:textId="77777777" w:rsidTr="00A7521D">
        <w:trPr>
          <w:jc w:val="center"/>
        </w:trPr>
        <w:tc>
          <w:tcPr>
            <w:tcW w:w="2122" w:type="dxa"/>
          </w:tcPr>
          <w:p w14:paraId="54EA6154" w14:textId="77777777" w:rsidR="000F16EB" w:rsidRDefault="000F16EB" w:rsidP="00A7521D">
            <w:pPr>
              <w:jc w:val="center"/>
            </w:pPr>
          </w:p>
        </w:tc>
        <w:tc>
          <w:tcPr>
            <w:tcW w:w="2693" w:type="dxa"/>
          </w:tcPr>
          <w:p w14:paraId="3EA4C51B" w14:textId="77777777" w:rsidR="000F16EB" w:rsidRDefault="000F16EB" w:rsidP="00A7521D">
            <w:pPr>
              <w:jc w:val="center"/>
            </w:pPr>
            <w:r>
              <w:t>Various chemical processes</w:t>
            </w:r>
          </w:p>
        </w:tc>
        <w:tc>
          <w:tcPr>
            <w:tcW w:w="2551" w:type="dxa"/>
          </w:tcPr>
          <w:p w14:paraId="522A84BC" w14:textId="77777777" w:rsidR="000F16EB" w:rsidRDefault="000F16EB" w:rsidP="00A7521D">
            <w:pPr>
              <w:jc w:val="center"/>
            </w:pPr>
            <w:r>
              <w:t>120 – 180</w:t>
            </w:r>
          </w:p>
        </w:tc>
      </w:tr>
      <w:tr w:rsidR="000F16EB" w14:paraId="13BAD719" w14:textId="77777777" w:rsidTr="00A7521D">
        <w:trPr>
          <w:jc w:val="center"/>
        </w:trPr>
        <w:tc>
          <w:tcPr>
            <w:tcW w:w="2122" w:type="dxa"/>
          </w:tcPr>
          <w:p w14:paraId="725406A7" w14:textId="77777777" w:rsidR="000F16EB" w:rsidRDefault="000F16EB" w:rsidP="00A7521D">
            <w:pPr>
              <w:jc w:val="center"/>
            </w:pPr>
            <w:r>
              <w:t>Paper industry</w:t>
            </w:r>
          </w:p>
        </w:tc>
        <w:tc>
          <w:tcPr>
            <w:tcW w:w="2693" w:type="dxa"/>
          </w:tcPr>
          <w:p w14:paraId="1C9022F7" w14:textId="77777777" w:rsidR="000F16EB" w:rsidRDefault="000F16EB" w:rsidP="00A7521D">
            <w:pPr>
              <w:jc w:val="center"/>
            </w:pPr>
            <w:r>
              <w:t>Pulp drying</w:t>
            </w:r>
          </w:p>
        </w:tc>
        <w:tc>
          <w:tcPr>
            <w:tcW w:w="2551" w:type="dxa"/>
          </w:tcPr>
          <w:p w14:paraId="609A1F97" w14:textId="77777777" w:rsidR="000F16EB" w:rsidRDefault="000F16EB" w:rsidP="00A7521D">
            <w:pPr>
              <w:jc w:val="center"/>
            </w:pPr>
            <w:r>
              <w:t>95 – 120</w:t>
            </w:r>
          </w:p>
        </w:tc>
      </w:tr>
      <w:tr w:rsidR="000F16EB" w14:paraId="6459141C" w14:textId="77777777" w:rsidTr="00A7521D">
        <w:trPr>
          <w:jc w:val="center"/>
        </w:trPr>
        <w:tc>
          <w:tcPr>
            <w:tcW w:w="2122" w:type="dxa"/>
          </w:tcPr>
          <w:p w14:paraId="01DA9B80" w14:textId="77777777" w:rsidR="000F16EB" w:rsidRDefault="000F16EB" w:rsidP="00A7521D">
            <w:pPr>
              <w:jc w:val="center"/>
            </w:pPr>
          </w:p>
        </w:tc>
        <w:tc>
          <w:tcPr>
            <w:tcW w:w="2693" w:type="dxa"/>
          </w:tcPr>
          <w:p w14:paraId="3A8C2091" w14:textId="77777777" w:rsidR="000F16EB" w:rsidRDefault="000F16EB" w:rsidP="00A7521D">
            <w:pPr>
              <w:jc w:val="center"/>
            </w:pPr>
            <w:r>
              <w:t>Paper drying</w:t>
            </w:r>
          </w:p>
        </w:tc>
        <w:tc>
          <w:tcPr>
            <w:tcW w:w="2551" w:type="dxa"/>
          </w:tcPr>
          <w:p w14:paraId="2CCA34D1" w14:textId="77777777" w:rsidR="000F16EB" w:rsidRDefault="000F16EB" w:rsidP="00A7521D">
            <w:pPr>
              <w:jc w:val="center"/>
            </w:pPr>
            <w:r>
              <w:t>50 – 120</w:t>
            </w:r>
          </w:p>
        </w:tc>
      </w:tr>
      <w:tr w:rsidR="000F16EB" w14:paraId="1D52D544" w14:textId="77777777" w:rsidTr="00A7521D">
        <w:trPr>
          <w:jc w:val="center"/>
        </w:trPr>
        <w:tc>
          <w:tcPr>
            <w:tcW w:w="2122" w:type="dxa"/>
          </w:tcPr>
          <w:p w14:paraId="48655C60" w14:textId="77777777" w:rsidR="000F16EB" w:rsidRDefault="000F16EB" w:rsidP="00A7521D">
            <w:pPr>
              <w:jc w:val="center"/>
            </w:pPr>
            <w:r>
              <w:t>Non-metallic mineral processes</w:t>
            </w:r>
          </w:p>
        </w:tc>
        <w:tc>
          <w:tcPr>
            <w:tcW w:w="2693" w:type="dxa"/>
          </w:tcPr>
          <w:p w14:paraId="73959F6C" w14:textId="77777777" w:rsidR="000F16EB" w:rsidRDefault="000F16EB" w:rsidP="00A7521D">
            <w:pPr>
              <w:jc w:val="center"/>
            </w:pPr>
            <w:r>
              <w:t>Drying of rocks, bricks, sand and other minerals</w:t>
            </w:r>
          </w:p>
        </w:tc>
        <w:tc>
          <w:tcPr>
            <w:tcW w:w="2551" w:type="dxa"/>
          </w:tcPr>
          <w:p w14:paraId="4E11D630" w14:textId="77777777" w:rsidR="000F16EB" w:rsidRDefault="000F16EB" w:rsidP="00A7521D">
            <w:pPr>
              <w:jc w:val="center"/>
            </w:pPr>
            <w:r>
              <w:t>35 – 150</w:t>
            </w:r>
          </w:p>
        </w:tc>
      </w:tr>
      <w:tr w:rsidR="000F16EB" w14:paraId="78CCCDB3" w14:textId="77777777" w:rsidTr="00A7521D">
        <w:trPr>
          <w:jc w:val="center"/>
        </w:trPr>
        <w:tc>
          <w:tcPr>
            <w:tcW w:w="2122" w:type="dxa"/>
          </w:tcPr>
          <w:p w14:paraId="0DCC65C7" w14:textId="77777777" w:rsidR="000F16EB" w:rsidRDefault="000F16EB" w:rsidP="00A7521D">
            <w:pPr>
              <w:jc w:val="center"/>
            </w:pPr>
            <w:r>
              <w:t>Wood</w:t>
            </w:r>
          </w:p>
        </w:tc>
        <w:tc>
          <w:tcPr>
            <w:tcW w:w="2693" w:type="dxa"/>
          </w:tcPr>
          <w:p w14:paraId="75692F20" w14:textId="77777777" w:rsidR="000F16EB" w:rsidRDefault="000F16EB" w:rsidP="00A7521D">
            <w:pPr>
              <w:jc w:val="center"/>
            </w:pPr>
            <w:r>
              <w:t>Drying</w:t>
            </w:r>
          </w:p>
        </w:tc>
        <w:tc>
          <w:tcPr>
            <w:tcW w:w="2551" w:type="dxa"/>
          </w:tcPr>
          <w:p w14:paraId="5F41C26E" w14:textId="77777777" w:rsidR="000F16EB" w:rsidRDefault="000F16EB" w:rsidP="00A7521D">
            <w:pPr>
              <w:jc w:val="center"/>
            </w:pPr>
            <w:r>
              <w:t>70 – 90</w:t>
            </w:r>
          </w:p>
        </w:tc>
      </w:tr>
      <w:tr w:rsidR="000F16EB" w14:paraId="623AB582" w14:textId="77777777" w:rsidTr="00A7521D">
        <w:trPr>
          <w:jc w:val="center"/>
        </w:trPr>
        <w:tc>
          <w:tcPr>
            <w:tcW w:w="2122" w:type="dxa"/>
          </w:tcPr>
          <w:p w14:paraId="63FC40C4" w14:textId="77777777" w:rsidR="000F16EB" w:rsidRDefault="000F16EB" w:rsidP="00A7521D">
            <w:pPr>
              <w:jc w:val="center"/>
            </w:pPr>
            <w:r>
              <w:t>Other</w:t>
            </w:r>
          </w:p>
        </w:tc>
        <w:tc>
          <w:tcPr>
            <w:tcW w:w="2693" w:type="dxa"/>
          </w:tcPr>
          <w:p w14:paraId="5F4D790A" w14:textId="77777777" w:rsidR="000F16EB" w:rsidRDefault="000F16EB" w:rsidP="00A7521D">
            <w:pPr>
              <w:jc w:val="center"/>
            </w:pPr>
            <w:r>
              <w:t>Metal cleaning</w:t>
            </w:r>
          </w:p>
        </w:tc>
        <w:tc>
          <w:tcPr>
            <w:tcW w:w="2551" w:type="dxa"/>
          </w:tcPr>
          <w:p w14:paraId="3A296CAB" w14:textId="77777777" w:rsidR="000F16EB" w:rsidRDefault="000F16EB" w:rsidP="00A7521D">
            <w:pPr>
              <w:jc w:val="center"/>
            </w:pPr>
            <w:r>
              <w:t>60 – 90</w:t>
            </w:r>
          </w:p>
        </w:tc>
      </w:tr>
      <w:tr w:rsidR="000F16EB" w14:paraId="1373D5C9" w14:textId="77777777" w:rsidTr="00A7521D">
        <w:trPr>
          <w:jc w:val="center"/>
        </w:trPr>
        <w:tc>
          <w:tcPr>
            <w:tcW w:w="2122" w:type="dxa"/>
          </w:tcPr>
          <w:p w14:paraId="015230D2" w14:textId="77777777" w:rsidR="000F16EB" w:rsidRDefault="000F16EB" w:rsidP="00A7521D">
            <w:pPr>
              <w:jc w:val="center"/>
            </w:pPr>
          </w:p>
        </w:tc>
        <w:tc>
          <w:tcPr>
            <w:tcW w:w="2693" w:type="dxa"/>
          </w:tcPr>
          <w:p w14:paraId="49278DAE" w14:textId="77777777" w:rsidR="000F16EB" w:rsidRDefault="000F16EB" w:rsidP="00A7521D">
            <w:pPr>
              <w:jc w:val="center"/>
            </w:pPr>
            <w:r>
              <w:t>Painting drying</w:t>
            </w:r>
          </w:p>
        </w:tc>
        <w:tc>
          <w:tcPr>
            <w:tcW w:w="2551" w:type="dxa"/>
          </w:tcPr>
          <w:p w14:paraId="0D731831" w14:textId="77777777" w:rsidR="000F16EB" w:rsidRDefault="000F16EB" w:rsidP="00A7521D">
            <w:pPr>
              <w:jc w:val="center"/>
            </w:pPr>
            <w:r>
              <w:t>80 – 120</w:t>
            </w:r>
          </w:p>
        </w:tc>
      </w:tr>
    </w:tbl>
    <w:p w14:paraId="5DDD4C85" w14:textId="77777777" w:rsidR="000F16EB" w:rsidRDefault="000F16EB" w:rsidP="00196CD6">
      <w:pPr>
        <w:pStyle w:val="NoSpacing"/>
      </w:pPr>
    </w:p>
    <w:p w14:paraId="0DCD759E" w14:textId="2E2E71B3" w:rsidR="000F16EB" w:rsidRDefault="000F16EB" w:rsidP="000F16EB">
      <w:pPr>
        <w:pStyle w:val="Caption"/>
        <w:keepNext/>
      </w:pPr>
      <w:bookmarkStart w:id="171" w:name="_Ref529870335"/>
      <w:bookmarkStart w:id="172" w:name="_Ref529874947"/>
      <w:bookmarkStart w:id="173" w:name="_Ref529870132"/>
      <w:bookmarkStart w:id="174" w:name="_Toc7187666"/>
      <w:r>
        <w:lastRenderedPageBreak/>
        <w:t xml:space="preserve">Table </w:t>
      </w:r>
      <w:fldSimple w:instr=" STYLEREF 1 \s ">
        <w:r w:rsidR="00CB7456">
          <w:rPr>
            <w:noProof/>
          </w:rPr>
          <w:t>2</w:t>
        </w:r>
      </w:fldSimple>
      <w:r w:rsidR="009E1A67">
        <w:t>.</w:t>
      </w:r>
      <w:fldSimple w:instr=" SEQ Table \* ARABIC \s 1 ">
        <w:r w:rsidR="00CB7456">
          <w:rPr>
            <w:noProof/>
          </w:rPr>
          <w:t>3</w:t>
        </w:r>
      </w:fldSimple>
      <w:bookmarkEnd w:id="171"/>
      <w:bookmarkEnd w:id="172"/>
      <w:r>
        <w:rPr>
          <w:noProof/>
        </w:rPr>
        <w:t>:</w:t>
      </w:r>
      <w:r>
        <w:t xml:space="preserve"> Standard exhaust gas temperatures of various industrial processes </w:t>
      </w:r>
      <w:r w:rsidRPr="0022640E">
        <w:fldChar w:fldCharType="begin" w:fldLock="1"/>
      </w:r>
      <w:r w:rsidR="002A6A73" w:rsidRPr="0022640E">
        <w:instrText>ADDIN CSL_CITATION {"citationItems":[{"id":"ITEM-1","itemData":{"DOI":"10.1016/j.apenergy.2015.01.147","ISBN":"3497300357","ISSN":"03062619","abstract":"In this paper, the potential of industrial waste heat for heating and cooling applications is investigated. Therefore, heat transformation technologies are presented and their technical and economic potential are discussed. First, different industrial processes and their operating temperatures are presented as possible waste heat sources as well as low temperature processes, which can be supplied with waste heat. Then, a general economic analysis is performed for three different cases of waste heat use: an absorption chiller producing cold and heat production with a compression and an absorption heat pump. The maximum acceptable investment cost for each technology is estimated and compared with the current investment cost depending on the operating hours of the system. For this, three different consumer types, Enthusiast, Real Estate and Industry, are defined to represent different expectations in interest rate, payback period and the resulting annuity factor. Instead of judging if a technology is profitable or not, it is calculated how much the system is allowed to cost in order to be competitive for certain operating hours. Combined with present day cost of the technology, this serves as a rough judgment of the market deployment process. Finally, a sensitivity analysis of the initial assumptions for the economic analysis is performed, revealing a strong influence of the annuity factor. For the present day technology cost, absorption chillers were found to be profitable for two of the three consumer types when operated for at least 2500. h per year. Electric heat pumps are profitable for all consumer types when exceeding 4000. operating hours per year while absorption heat pumps start at 3000. h of operation per year to be profitable for all consumer types.","author":[{"dropping-particle":"","family":"Brückner","given":"Sarah","non-dropping-particle":"","parse-names":false,"suffix":""},{"dropping-particle":"","family":"Liu","given":"Selina","non-dropping-particle":"","parse-names":false,"suffix":""},{"dropping-particle":"","family":"Miró","given":"Laia","non-dropping-particle":"","parse-names":false,"suffix":""},{"dropping-particle":"","family":"Radspieler","given":"Michael","non-dropping-particle":"","parse-names":false,"suffix":""},{"dropping-particle":"","family":"Cabeza","given":"Luisa F.","non-dropping-particle":"","parse-names":false,"suffix":""},{"dropping-particle":"","family":"Lävemann","given":"Eberhard","non-dropping-particle":"","parse-names":false,"suffix":""}],"container-title":"Applied Energy","id":"ITEM-1","issued":{"date-parts":[["2015"]]},"page":"157-167","title":"Industrial waste heat recovery technologies: An economic analysis of heat transformation technologies","type":"article-journal","volume":"151"},"uris":["http://www.mendeley.com/documents/?uuid=e0c30b42-0ca5-426a-ae4a-3df72bc9fb36"]}],"mendeley":{"formattedCitation":"(Brückner &lt;i&gt;et al.&lt;/i&gt;, 2015)","plainTextFormattedCitation":"(Brückner et al., 2015)","previouslyFormattedCitation":"(Brückner &lt;i&gt;et al.&lt;/i&gt;, 2015)"},"properties":{"noteIndex":0},"schema":"https://github.com/citation-style-language/schema/raw/master/csl-citation.json"}</w:instrText>
      </w:r>
      <w:r w:rsidRPr="0022640E">
        <w:fldChar w:fldCharType="separate"/>
      </w:r>
      <w:r w:rsidR="002A6A73" w:rsidRPr="0022640E">
        <w:rPr>
          <w:noProof/>
        </w:rPr>
        <w:t xml:space="preserve">(Brückner </w:t>
      </w:r>
      <w:r w:rsidR="002A6A73" w:rsidRPr="0022640E">
        <w:rPr>
          <w:i/>
          <w:noProof/>
        </w:rPr>
        <w:t>et al.</w:t>
      </w:r>
      <w:r w:rsidR="002A6A73" w:rsidRPr="0022640E">
        <w:rPr>
          <w:noProof/>
        </w:rPr>
        <w:t>, 2015)</w:t>
      </w:r>
      <w:r w:rsidRPr="0022640E">
        <w:fldChar w:fldCharType="end"/>
      </w:r>
      <w:r w:rsidRPr="0022640E">
        <w:t>.</w:t>
      </w:r>
      <w:bookmarkEnd w:id="174"/>
    </w:p>
    <w:tbl>
      <w:tblPr>
        <w:tblStyle w:val="TableGrid"/>
        <w:tblW w:w="6516" w:type="dxa"/>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4"/>
        <w:gridCol w:w="1772"/>
      </w:tblGrid>
      <w:tr w:rsidR="000F16EB" w14:paraId="7EDC6F9F" w14:textId="77777777" w:rsidTr="00A7521D">
        <w:trPr>
          <w:jc w:val="center"/>
        </w:trPr>
        <w:tc>
          <w:tcPr>
            <w:tcW w:w="4744" w:type="dxa"/>
            <w:tcBorders>
              <w:bottom w:val="single" w:sz="4" w:space="0" w:color="auto"/>
            </w:tcBorders>
          </w:tcPr>
          <w:p w14:paraId="1E25E613" w14:textId="77777777" w:rsidR="000F16EB" w:rsidRDefault="000F16EB" w:rsidP="00A7521D">
            <w:pPr>
              <w:jc w:val="center"/>
            </w:pPr>
            <w:r>
              <w:t>Process</w:t>
            </w:r>
          </w:p>
        </w:tc>
        <w:tc>
          <w:tcPr>
            <w:tcW w:w="1772" w:type="dxa"/>
            <w:tcBorders>
              <w:bottom w:val="single" w:sz="4" w:space="0" w:color="auto"/>
            </w:tcBorders>
          </w:tcPr>
          <w:p w14:paraId="2EF818CE" w14:textId="77777777" w:rsidR="000F16EB" w:rsidRDefault="000F16EB" w:rsidP="00A7521D">
            <w:pPr>
              <w:jc w:val="center"/>
            </w:pPr>
            <w:r>
              <w:t>Exhaust gas temperature (°C)</w:t>
            </w:r>
          </w:p>
        </w:tc>
      </w:tr>
      <w:tr w:rsidR="000F16EB" w14:paraId="54ED3424" w14:textId="77777777" w:rsidTr="00A7521D">
        <w:trPr>
          <w:jc w:val="center"/>
        </w:trPr>
        <w:tc>
          <w:tcPr>
            <w:tcW w:w="4744" w:type="dxa"/>
            <w:tcBorders>
              <w:top w:val="single" w:sz="4" w:space="0" w:color="auto"/>
              <w:bottom w:val="nil"/>
            </w:tcBorders>
          </w:tcPr>
          <w:p w14:paraId="69B33054" w14:textId="77777777" w:rsidR="000F16EB" w:rsidRDefault="000F16EB" w:rsidP="00A7521D">
            <w:pPr>
              <w:jc w:val="center"/>
            </w:pPr>
            <w:r>
              <w:t>Iron- and steelmaking</w:t>
            </w:r>
          </w:p>
        </w:tc>
        <w:tc>
          <w:tcPr>
            <w:tcW w:w="1772" w:type="dxa"/>
            <w:tcBorders>
              <w:top w:val="single" w:sz="4" w:space="0" w:color="auto"/>
              <w:bottom w:val="nil"/>
            </w:tcBorders>
          </w:tcPr>
          <w:p w14:paraId="1A51F33D" w14:textId="77777777" w:rsidR="000F16EB" w:rsidRDefault="000F16EB" w:rsidP="00A7521D">
            <w:pPr>
              <w:jc w:val="center"/>
            </w:pPr>
            <w:r>
              <w:t>1,450 – 1,550</w:t>
            </w:r>
          </w:p>
        </w:tc>
      </w:tr>
      <w:tr w:rsidR="000F16EB" w14:paraId="55A516FA" w14:textId="77777777" w:rsidTr="00A7521D">
        <w:trPr>
          <w:jc w:val="center"/>
        </w:trPr>
        <w:tc>
          <w:tcPr>
            <w:tcW w:w="4744" w:type="dxa"/>
            <w:tcBorders>
              <w:top w:val="nil"/>
            </w:tcBorders>
          </w:tcPr>
          <w:p w14:paraId="2AF61FC6" w14:textId="77777777" w:rsidR="000F16EB" w:rsidRDefault="000F16EB" w:rsidP="00A7521D">
            <w:pPr>
              <w:jc w:val="center"/>
            </w:pPr>
            <w:r>
              <w:t>Nickel refining furnace</w:t>
            </w:r>
          </w:p>
        </w:tc>
        <w:tc>
          <w:tcPr>
            <w:tcW w:w="1772" w:type="dxa"/>
            <w:tcBorders>
              <w:top w:val="nil"/>
            </w:tcBorders>
          </w:tcPr>
          <w:p w14:paraId="3F2DA87A" w14:textId="77777777" w:rsidR="000F16EB" w:rsidRDefault="000F16EB" w:rsidP="00A7521D">
            <w:pPr>
              <w:jc w:val="center"/>
            </w:pPr>
            <w:r>
              <w:t>1,370 – 1,650</w:t>
            </w:r>
          </w:p>
        </w:tc>
      </w:tr>
      <w:tr w:rsidR="000F16EB" w14:paraId="6AD1E27E" w14:textId="77777777" w:rsidTr="00A7521D">
        <w:trPr>
          <w:jc w:val="center"/>
        </w:trPr>
        <w:tc>
          <w:tcPr>
            <w:tcW w:w="4744" w:type="dxa"/>
          </w:tcPr>
          <w:p w14:paraId="396F59AD" w14:textId="77777777" w:rsidR="000F16EB" w:rsidRDefault="000F16EB" w:rsidP="00A7521D">
            <w:pPr>
              <w:jc w:val="center"/>
            </w:pPr>
            <w:r>
              <w:t>Steel electric arc furnace</w:t>
            </w:r>
          </w:p>
        </w:tc>
        <w:tc>
          <w:tcPr>
            <w:tcW w:w="1772" w:type="dxa"/>
          </w:tcPr>
          <w:p w14:paraId="7FD0080D" w14:textId="77777777" w:rsidR="000F16EB" w:rsidRDefault="000F16EB" w:rsidP="00A7521D">
            <w:pPr>
              <w:jc w:val="center"/>
            </w:pPr>
            <w:r>
              <w:t>1,370 – 1,650</w:t>
            </w:r>
          </w:p>
        </w:tc>
      </w:tr>
      <w:tr w:rsidR="000F16EB" w14:paraId="39C52E94" w14:textId="77777777" w:rsidTr="00A7521D">
        <w:trPr>
          <w:jc w:val="center"/>
        </w:trPr>
        <w:tc>
          <w:tcPr>
            <w:tcW w:w="4744" w:type="dxa"/>
          </w:tcPr>
          <w:p w14:paraId="10EADAB6" w14:textId="77777777" w:rsidR="000F16EB" w:rsidRDefault="000F16EB" w:rsidP="00A7521D">
            <w:pPr>
              <w:jc w:val="center"/>
            </w:pPr>
            <w:r>
              <w:t>Glass melting furnace</w:t>
            </w:r>
          </w:p>
        </w:tc>
        <w:tc>
          <w:tcPr>
            <w:tcW w:w="1772" w:type="dxa"/>
          </w:tcPr>
          <w:p w14:paraId="1CD530FE" w14:textId="77777777" w:rsidR="000F16EB" w:rsidRDefault="000F16EB" w:rsidP="00A7521D">
            <w:pPr>
              <w:jc w:val="center"/>
            </w:pPr>
            <w:r>
              <w:t>1,300 – 1,540</w:t>
            </w:r>
          </w:p>
        </w:tc>
      </w:tr>
      <w:tr w:rsidR="000F16EB" w14:paraId="4B23A05C" w14:textId="77777777" w:rsidTr="00A7521D">
        <w:trPr>
          <w:jc w:val="center"/>
        </w:trPr>
        <w:tc>
          <w:tcPr>
            <w:tcW w:w="4744" w:type="dxa"/>
          </w:tcPr>
          <w:p w14:paraId="5C98C758" w14:textId="77777777" w:rsidR="000F16EB" w:rsidRDefault="000F16EB" w:rsidP="00A7521D">
            <w:pPr>
              <w:jc w:val="center"/>
            </w:pPr>
            <w:r>
              <w:t>Basic oxygen furnace</w:t>
            </w:r>
          </w:p>
        </w:tc>
        <w:tc>
          <w:tcPr>
            <w:tcW w:w="1772" w:type="dxa"/>
          </w:tcPr>
          <w:p w14:paraId="6C24642A" w14:textId="77777777" w:rsidR="000F16EB" w:rsidRDefault="000F16EB" w:rsidP="00A7521D">
            <w:pPr>
              <w:jc w:val="center"/>
            </w:pPr>
            <w:r>
              <w:t>1,200</w:t>
            </w:r>
          </w:p>
        </w:tc>
      </w:tr>
      <w:tr w:rsidR="000F16EB" w14:paraId="2E8FB53B" w14:textId="77777777" w:rsidTr="00A7521D">
        <w:trPr>
          <w:jc w:val="center"/>
        </w:trPr>
        <w:tc>
          <w:tcPr>
            <w:tcW w:w="4744" w:type="dxa"/>
          </w:tcPr>
          <w:p w14:paraId="30CBC210" w14:textId="77777777" w:rsidR="000F16EB" w:rsidRDefault="000F16EB" w:rsidP="00A7521D">
            <w:pPr>
              <w:jc w:val="center"/>
            </w:pPr>
            <w:r>
              <w:t>Aluminium reverberatory furnace</w:t>
            </w:r>
          </w:p>
        </w:tc>
        <w:tc>
          <w:tcPr>
            <w:tcW w:w="1772" w:type="dxa"/>
          </w:tcPr>
          <w:p w14:paraId="13E0B515" w14:textId="77777777" w:rsidR="000F16EB" w:rsidRDefault="000F16EB" w:rsidP="00A7521D">
            <w:pPr>
              <w:jc w:val="center"/>
            </w:pPr>
            <w:r>
              <w:t>1,100 – 1,200</w:t>
            </w:r>
          </w:p>
        </w:tc>
      </w:tr>
      <w:tr w:rsidR="000F16EB" w14:paraId="618ABF87" w14:textId="77777777" w:rsidTr="00A7521D">
        <w:trPr>
          <w:jc w:val="center"/>
        </w:trPr>
        <w:tc>
          <w:tcPr>
            <w:tcW w:w="4744" w:type="dxa"/>
          </w:tcPr>
          <w:p w14:paraId="5A2860AA" w14:textId="77777777" w:rsidR="000F16EB" w:rsidRDefault="000F16EB" w:rsidP="00A7521D">
            <w:pPr>
              <w:jc w:val="center"/>
            </w:pPr>
            <w:r>
              <w:t>Steel heating furnace</w:t>
            </w:r>
          </w:p>
        </w:tc>
        <w:tc>
          <w:tcPr>
            <w:tcW w:w="1772" w:type="dxa"/>
          </w:tcPr>
          <w:p w14:paraId="5A11377E" w14:textId="77777777" w:rsidR="000F16EB" w:rsidRDefault="000F16EB" w:rsidP="00A7521D">
            <w:pPr>
              <w:jc w:val="center"/>
            </w:pPr>
            <w:r>
              <w:t>930 – 1,040</w:t>
            </w:r>
          </w:p>
        </w:tc>
      </w:tr>
      <w:tr w:rsidR="000F16EB" w14:paraId="046DBCCD" w14:textId="77777777" w:rsidTr="00A7521D">
        <w:trPr>
          <w:jc w:val="center"/>
        </w:trPr>
        <w:tc>
          <w:tcPr>
            <w:tcW w:w="4744" w:type="dxa"/>
          </w:tcPr>
          <w:p w14:paraId="22E28752" w14:textId="77777777" w:rsidR="000F16EB" w:rsidRDefault="000F16EB" w:rsidP="00A7521D">
            <w:pPr>
              <w:jc w:val="center"/>
            </w:pPr>
            <w:r>
              <w:t>Copper reverberatory furnace</w:t>
            </w:r>
          </w:p>
        </w:tc>
        <w:tc>
          <w:tcPr>
            <w:tcW w:w="1772" w:type="dxa"/>
          </w:tcPr>
          <w:p w14:paraId="676E1021" w14:textId="77777777" w:rsidR="000F16EB" w:rsidRDefault="000F16EB" w:rsidP="00A7521D">
            <w:pPr>
              <w:jc w:val="center"/>
            </w:pPr>
            <w:r>
              <w:t>900 – 1,090</w:t>
            </w:r>
          </w:p>
        </w:tc>
      </w:tr>
      <w:tr w:rsidR="000F16EB" w14:paraId="18F4BFF6" w14:textId="77777777" w:rsidTr="00A7521D">
        <w:trPr>
          <w:jc w:val="center"/>
        </w:trPr>
        <w:tc>
          <w:tcPr>
            <w:tcW w:w="4744" w:type="dxa"/>
          </w:tcPr>
          <w:p w14:paraId="00F0ACCA" w14:textId="77777777" w:rsidR="000F16EB" w:rsidRDefault="000F16EB" w:rsidP="00A7521D">
            <w:pPr>
              <w:jc w:val="center"/>
            </w:pPr>
            <w:r>
              <w:t>Glass oven without regenerator</w:t>
            </w:r>
          </w:p>
        </w:tc>
        <w:tc>
          <w:tcPr>
            <w:tcW w:w="1772" w:type="dxa"/>
          </w:tcPr>
          <w:p w14:paraId="2C216A38" w14:textId="77777777" w:rsidR="000F16EB" w:rsidRDefault="000F16EB" w:rsidP="00A7521D">
            <w:pPr>
              <w:jc w:val="center"/>
            </w:pPr>
            <w:r>
              <w:t>900 – 1,300</w:t>
            </w:r>
          </w:p>
        </w:tc>
      </w:tr>
      <w:tr w:rsidR="000F16EB" w14:paraId="392A4221" w14:textId="77777777" w:rsidTr="00A7521D">
        <w:trPr>
          <w:jc w:val="center"/>
        </w:trPr>
        <w:tc>
          <w:tcPr>
            <w:tcW w:w="4744" w:type="dxa"/>
          </w:tcPr>
          <w:p w14:paraId="007508A4" w14:textId="77777777" w:rsidR="000F16EB" w:rsidRDefault="000F16EB" w:rsidP="00A7521D">
            <w:pPr>
              <w:jc w:val="center"/>
            </w:pPr>
            <w:r>
              <w:t>Iron cupola</w:t>
            </w:r>
          </w:p>
        </w:tc>
        <w:tc>
          <w:tcPr>
            <w:tcW w:w="1772" w:type="dxa"/>
          </w:tcPr>
          <w:p w14:paraId="24D92341" w14:textId="77777777" w:rsidR="000F16EB" w:rsidRDefault="000F16EB" w:rsidP="00A7521D">
            <w:pPr>
              <w:jc w:val="center"/>
            </w:pPr>
            <w:r>
              <w:t>820 – 980</w:t>
            </w:r>
          </w:p>
        </w:tc>
      </w:tr>
      <w:tr w:rsidR="000F16EB" w14:paraId="5B9658BA" w14:textId="77777777" w:rsidTr="00A7521D">
        <w:trPr>
          <w:jc w:val="center"/>
        </w:trPr>
        <w:tc>
          <w:tcPr>
            <w:tcW w:w="4744" w:type="dxa"/>
          </w:tcPr>
          <w:p w14:paraId="2537BA97" w14:textId="77777777" w:rsidR="000F16EB" w:rsidRDefault="000F16EB" w:rsidP="00A7521D">
            <w:pPr>
              <w:jc w:val="center"/>
            </w:pPr>
            <w:r>
              <w:t>Copper refining furnace</w:t>
            </w:r>
          </w:p>
        </w:tc>
        <w:tc>
          <w:tcPr>
            <w:tcW w:w="1772" w:type="dxa"/>
          </w:tcPr>
          <w:p w14:paraId="65FDFB16" w14:textId="77777777" w:rsidR="000F16EB" w:rsidRDefault="000F16EB" w:rsidP="00A7521D">
            <w:pPr>
              <w:jc w:val="center"/>
            </w:pPr>
            <w:r>
              <w:t>760 – 820</w:t>
            </w:r>
          </w:p>
        </w:tc>
      </w:tr>
      <w:tr w:rsidR="000F16EB" w14:paraId="2572964E" w14:textId="77777777" w:rsidTr="00A7521D">
        <w:trPr>
          <w:jc w:val="center"/>
        </w:trPr>
        <w:tc>
          <w:tcPr>
            <w:tcW w:w="4744" w:type="dxa"/>
          </w:tcPr>
          <w:p w14:paraId="31D6BA54" w14:textId="77777777" w:rsidR="000F16EB" w:rsidRDefault="000F16EB" w:rsidP="00A7521D">
            <w:pPr>
              <w:jc w:val="center"/>
            </w:pPr>
            <w:r>
              <w:t>Reheating furnace without regenerator</w:t>
            </w:r>
          </w:p>
        </w:tc>
        <w:tc>
          <w:tcPr>
            <w:tcW w:w="1772" w:type="dxa"/>
          </w:tcPr>
          <w:p w14:paraId="15B6EB6E" w14:textId="77777777" w:rsidR="000F16EB" w:rsidRDefault="000F16EB" w:rsidP="00A7521D">
            <w:pPr>
              <w:jc w:val="center"/>
            </w:pPr>
            <w:r>
              <w:t>700 – 1,200</w:t>
            </w:r>
          </w:p>
        </w:tc>
      </w:tr>
      <w:tr w:rsidR="000F16EB" w14:paraId="114E6915" w14:textId="77777777" w:rsidTr="00A7521D">
        <w:trPr>
          <w:jc w:val="center"/>
        </w:trPr>
        <w:tc>
          <w:tcPr>
            <w:tcW w:w="4744" w:type="dxa"/>
          </w:tcPr>
          <w:p w14:paraId="37FD02C8" w14:textId="77777777" w:rsidR="000F16EB" w:rsidRDefault="000F16EB" w:rsidP="00A7521D">
            <w:pPr>
              <w:jc w:val="center"/>
            </w:pPr>
            <w:r>
              <w:t>Hydrogen plants</w:t>
            </w:r>
          </w:p>
        </w:tc>
        <w:tc>
          <w:tcPr>
            <w:tcW w:w="1772" w:type="dxa"/>
          </w:tcPr>
          <w:p w14:paraId="00608156" w14:textId="77777777" w:rsidR="000F16EB" w:rsidRDefault="000F16EB" w:rsidP="00A7521D">
            <w:pPr>
              <w:jc w:val="center"/>
            </w:pPr>
            <w:r>
              <w:t>650 – 980</w:t>
            </w:r>
          </w:p>
        </w:tc>
      </w:tr>
      <w:tr w:rsidR="000F16EB" w14:paraId="2597F09B" w14:textId="77777777" w:rsidTr="00A7521D">
        <w:trPr>
          <w:jc w:val="center"/>
        </w:trPr>
        <w:tc>
          <w:tcPr>
            <w:tcW w:w="4744" w:type="dxa"/>
          </w:tcPr>
          <w:p w14:paraId="0821FDE3" w14:textId="77777777" w:rsidR="000F16EB" w:rsidRDefault="000F16EB" w:rsidP="00A7521D">
            <w:pPr>
              <w:jc w:val="center"/>
            </w:pPr>
            <w:r>
              <w:t>Fume incinerators</w:t>
            </w:r>
          </w:p>
        </w:tc>
        <w:tc>
          <w:tcPr>
            <w:tcW w:w="1772" w:type="dxa"/>
          </w:tcPr>
          <w:p w14:paraId="1B15923D" w14:textId="77777777" w:rsidR="000F16EB" w:rsidRDefault="000F16EB" w:rsidP="00A7521D">
            <w:pPr>
              <w:jc w:val="center"/>
            </w:pPr>
            <w:r>
              <w:t>650 – 1,430</w:t>
            </w:r>
          </w:p>
        </w:tc>
      </w:tr>
      <w:tr w:rsidR="000F16EB" w14:paraId="66222AC2" w14:textId="77777777" w:rsidTr="00A7521D">
        <w:trPr>
          <w:jc w:val="center"/>
        </w:trPr>
        <w:tc>
          <w:tcPr>
            <w:tcW w:w="4744" w:type="dxa"/>
          </w:tcPr>
          <w:p w14:paraId="50F62A12" w14:textId="77777777" w:rsidR="000F16EB" w:rsidRDefault="000F16EB" w:rsidP="00A7521D">
            <w:pPr>
              <w:jc w:val="center"/>
            </w:pPr>
            <w:r>
              <w:t>Coke oven</w:t>
            </w:r>
          </w:p>
        </w:tc>
        <w:tc>
          <w:tcPr>
            <w:tcW w:w="1772" w:type="dxa"/>
          </w:tcPr>
          <w:p w14:paraId="0EB8E47C" w14:textId="77777777" w:rsidR="000F16EB" w:rsidRDefault="000F16EB" w:rsidP="00A7521D">
            <w:pPr>
              <w:jc w:val="center"/>
            </w:pPr>
            <w:r>
              <w:t>650 – 1,000</w:t>
            </w:r>
          </w:p>
        </w:tc>
      </w:tr>
      <w:tr w:rsidR="000F16EB" w14:paraId="383600BE" w14:textId="77777777" w:rsidTr="00A7521D">
        <w:trPr>
          <w:jc w:val="center"/>
        </w:trPr>
        <w:tc>
          <w:tcPr>
            <w:tcW w:w="4744" w:type="dxa"/>
          </w:tcPr>
          <w:p w14:paraId="47CF39C8" w14:textId="77777777" w:rsidR="000F16EB" w:rsidRDefault="000F16EB" w:rsidP="00A7521D">
            <w:pPr>
              <w:jc w:val="center"/>
            </w:pPr>
            <w:r>
              <w:t>Glass oven with regenerator</w:t>
            </w:r>
          </w:p>
        </w:tc>
        <w:tc>
          <w:tcPr>
            <w:tcW w:w="1772" w:type="dxa"/>
          </w:tcPr>
          <w:p w14:paraId="73E8774F" w14:textId="77777777" w:rsidR="000F16EB" w:rsidRDefault="000F16EB" w:rsidP="00A7521D">
            <w:pPr>
              <w:jc w:val="center"/>
            </w:pPr>
            <w:r>
              <w:t>600 – 800</w:t>
            </w:r>
          </w:p>
        </w:tc>
      </w:tr>
      <w:tr w:rsidR="000F16EB" w14:paraId="2BE62276" w14:textId="77777777" w:rsidTr="00A7521D">
        <w:trPr>
          <w:jc w:val="center"/>
        </w:trPr>
        <w:tc>
          <w:tcPr>
            <w:tcW w:w="4744" w:type="dxa"/>
          </w:tcPr>
          <w:p w14:paraId="0AC75A5C" w14:textId="77777777" w:rsidR="000F16EB" w:rsidRDefault="000F16EB" w:rsidP="00A7521D">
            <w:pPr>
              <w:jc w:val="center"/>
            </w:pPr>
            <w:r>
              <w:t>Cement kiln</w:t>
            </w:r>
          </w:p>
        </w:tc>
        <w:tc>
          <w:tcPr>
            <w:tcW w:w="1772" w:type="dxa"/>
          </w:tcPr>
          <w:p w14:paraId="1CE22D07" w14:textId="77777777" w:rsidR="000F16EB" w:rsidRDefault="000F16EB" w:rsidP="00A7521D">
            <w:pPr>
              <w:jc w:val="center"/>
            </w:pPr>
            <w:r>
              <w:t>450 – 620</w:t>
            </w:r>
          </w:p>
        </w:tc>
      </w:tr>
      <w:tr w:rsidR="000F16EB" w14:paraId="6FE61A3E" w14:textId="77777777" w:rsidTr="00A7521D">
        <w:trPr>
          <w:jc w:val="center"/>
        </w:trPr>
        <w:tc>
          <w:tcPr>
            <w:tcW w:w="4744" w:type="dxa"/>
          </w:tcPr>
          <w:p w14:paraId="36C4D632" w14:textId="77777777" w:rsidR="000F16EB" w:rsidRDefault="000F16EB" w:rsidP="00A7521D">
            <w:pPr>
              <w:jc w:val="center"/>
            </w:pPr>
            <w:r>
              <w:t>Heat treating furnace</w:t>
            </w:r>
          </w:p>
        </w:tc>
        <w:tc>
          <w:tcPr>
            <w:tcW w:w="1772" w:type="dxa"/>
          </w:tcPr>
          <w:p w14:paraId="385A0106" w14:textId="77777777" w:rsidR="000F16EB" w:rsidRDefault="000F16EB" w:rsidP="00A7521D">
            <w:pPr>
              <w:jc w:val="center"/>
            </w:pPr>
            <w:r>
              <w:t>430 – 650</w:t>
            </w:r>
          </w:p>
        </w:tc>
      </w:tr>
      <w:tr w:rsidR="000F16EB" w14:paraId="7971FD10" w14:textId="77777777" w:rsidTr="00A7521D">
        <w:trPr>
          <w:jc w:val="center"/>
        </w:trPr>
        <w:tc>
          <w:tcPr>
            <w:tcW w:w="4744" w:type="dxa"/>
          </w:tcPr>
          <w:p w14:paraId="6989BF45" w14:textId="77777777" w:rsidR="000F16EB" w:rsidRDefault="000F16EB" w:rsidP="00A7521D">
            <w:pPr>
              <w:jc w:val="center"/>
            </w:pPr>
            <w:r>
              <w:t>Melting oven</w:t>
            </w:r>
          </w:p>
        </w:tc>
        <w:tc>
          <w:tcPr>
            <w:tcW w:w="1772" w:type="dxa"/>
          </w:tcPr>
          <w:p w14:paraId="647BB8EB" w14:textId="77777777" w:rsidR="000F16EB" w:rsidRDefault="000F16EB" w:rsidP="00A7521D">
            <w:pPr>
              <w:jc w:val="center"/>
            </w:pPr>
            <w:r>
              <w:t>400 – 700</w:t>
            </w:r>
          </w:p>
        </w:tc>
      </w:tr>
      <w:tr w:rsidR="000F16EB" w14:paraId="5D1CDF42" w14:textId="77777777" w:rsidTr="00A7521D">
        <w:trPr>
          <w:jc w:val="center"/>
        </w:trPr>
        <w:tc>
          <w:tcPr>
            <w:tcW w:w="4744" w:type="dxa"/>
          </w:tcPr>
          <w:p w14:paraId="25064C05" w14:textId="77777777" w:rsidR="000F16EB" w:rsidRDefault="000F16EB" w:rsidP="00A7521D">
            <w:pPr>
              <w:jc w:val="center"/>
            </w:pPr>
            <w:r>
              <w:t>Gas turbine exhaust</w:t>
            </w:r>
          </w:p>
        </w:tc>
        <w:tc>
          <w:tcPr>
            <w:tcW w:w="1772" w:type="dxa"/>
          </w:tcPr>
          <w:p w14:paraId="7D9F235F" w14:textId="77777777" w:rsidR="000F16EB" w:rsidRDefault="000F16EB" w:rsidP="00A7521D">
            <w:pPr>
              <w:jc w:val="center"/>
            </w:pPr>
            <w:r>
              <w:t>370 – 540</w:t>
            </w:r>
          </w:p>
        </w:tc>
      </w:tr>
      <w:tr w:rsidR="000F16EB" w14:paraId="1225429B" w14:textId="77777777" w:rsidTr="00A7521D">
        <w:trPr>
          <w:jc w:val="center"/>
        </w:trPr>
        <w:tc>
          <w:tcPr>
            <w:tcW w:w="4744" w:type="dxa"/>
          </w:tcPr>
          <w:p w14:paraId="37ADC89C" w14:textId="77777777" w:rsidR="000F16EB" w:rsidRDefault="000F16EB" w:rsidP="00A7521D">
            <w:pPr>
              <w:jc w:val="center"/>
            </w:pPr>
            <w:r>
              <w:t>Reciprocating engine exhaust</w:t>
            </w:r>
          </w:p>
        </w:tc>
        <w:tc>
          <w:tcPr>
            <w:tcW w:w="1772" w:type="dxa"/>
          </w:tcPr>
          <w:p w14:paraId="20F5D626" w14:textId="77777777" w:rsidR="000F16EB" w:rsidRDefault="000F16EB" w:rsidP="00A7521D">
            <w:pPr>
              <w:jc w:val="center"/>
            </w:pPr>
            <w:r>
              <w:t>320 – 590</w:t>
            </w:r>
          </w:p>
        </w:tc>
      </w:tr>
      <w:tr w:rsidR="000F16EB" w14:paraId="0B6A20C4" w14:textId="77777777" w:rsidTr="00A7521D">
        <w:trPr>
          <w:jc w:val="center"/>
        </w:trPr>
        <w:tc>
          <w:tcPr>
            <w:tcW w:w="4744" w:type="dxa"/>
          </w:tcPr>
          <w:p w14:paraId="3A78DCC5" w14:textId="77777777" w:rsidR="000F16EB" w:rsidRDefault="000F16EB" w:rsidP="00A7521D">
            <w:pPr>
              <w:jc w:val="center"/>
            </w:pPr>
            <w:r>
              <w:t>Reheating furnace with regenerator</w:t>
            </w:r>
          </w:p>
        </w:tc>
        <w:tc>
          <w:tcPr>
            <w:tcW w:w="1772" w:type="dxa"/>
          </w:tcPr>
          <w:p w14:paraId="49BA4EB4" w14:textId="77777777" w:rsidR="000F16EB" w:rsidRDefault="000F16EB" w:rsidP="00A7521D">
            <w:pPr>
              <w:jc w:val="center"/>
            </w:pPr>
            <w:r>
              <w:t>300 – 600</w:t>
            </w:r>
          </w:p>
        </w:tc>
      </w:tr>
      <w:tr w:rsidR="000F16EB" w14:paraId="4A67BAD7" w14:textId="77777777" w:rsidTr="00A7521D">
        <w:trPr>
          <w:jc w:val="center"/>
        </w:trPr>
        <w:tc>
          <w:tcPr>
            <w:tcW w:w="4744" w:type="dxa"/>
          </w:tcPr>
          <w:p w14:paraId="0177BCB9" w14:textId="77777777" w:rsidR="000F16EB" w:rsidRDefault="000F16EB" w:rsidP="00A7521D">
            <w:pPr>
              <w:jc w:val="center"/>
            </w:pPr>
            <w:r>
              <w:t>Blast furnace stoves</w:t>
            </w:r>
          </w:p>
        </w:tc>
        <w:tc>
          <w:tcPr>
            <w:tcW w:w="1772" w:type="dxa"/>
          </w:tcPr>
          <w:p w14:paraId="698FBD8D" w14:textId="77777777" w:rsidR="000F16EB" w:rsidRDefault="000F16EB" w:rsidP="00A7521D">
            <w:pPr>
              <w:jc w:val="center"/>
            </w:pPr>
            <w:r>
              <w:t>250 – 300</w:t>
            </w:r>
          </w:p>
        </w:tc>
      </w:tr>
      <w:tr w:rsidR="000F16EB" w14:paraId="0E4476D4" w14:textId="77777777" w:rsidTr="00A7521D">
        <w:trPr>
          <w:jc w:val="center"/>
        </w:trPr>
        <w:tc>
          <w:tcPr>
            <w:tcW w:w="4744" w:type="dxa"/>
          </w:tcPr>
          <w:p w14:paraId="0877AFA3" w14:textId="77777777" w:rsidR="000F16EB" w:rsidRDefault="000F16EB" w:rsidP="00A7521D">
            <w:pPr>
              <w:jc w:val="center"/>
            </w:pPr>
            <w:r>
              <w:t>Drying and baking ovens</w:t>
            </w:r>
          </w:p>
        </w:tc>
        <w:tc>
          <w:tcPr>
            <w:tcW w:w="1772" w:type="dxa"/>
          </w:tcPr>
          <w:p w14:paraId="7299B869" w14:textId="77777777" w:rsidR="000F16EB" w:rsidRDefault="000F16EB" w:rsidP="00A7521D">
            <w:pPr>
              <w:jc w:val="center"/>
            </w:pPr>
            <w:r>
              <w:t>230 - 590</w:t>
            </w:r>
          </w:p>
        </w:tc>
      </w:tr>
      <w:tr w:rsidR="000F16EB" w14:paraId="7D97A356" w14:textId="77777777" w:rsidTr="00A7521D">
        <w:trPr>
          <w:jc w:val="center"/>
        </w:trPr>
        <w:tc>
          <w:tcPr>
            <w:tcW w:w="4744" w:type="dxa"/>
          </w:tcPr>
          <w:p w14:paraId="738F5F08" w14:textId="77777777" w:rsidR="000F16EB" w:rsidRDefault="000F16EB" w:rsidP="00A7521D">
            <w:pPr>
              <w:jc w:val="center"/>
            </w:pPr>
            <w:r>
              <w:t>Steam boiler exhaust</w:t>
            </w:r>
          </w:p>
        </w:tc>
        <w:tc>
          <w:tcPr>
            <w:tcW w:w="1772" w:type="dxa"/>
          </w:tcPr>
          <w:p w14:paraId="5E3DA2B3" w14:textId="77777777" w:rsidR="000F16EB" w:rsidRDefault="000F16EB" w:rsidP="00A7521D">
            <w:pPr>
              <w:jc w:val="center"/>
            </w:pPr>
            <w:r>
              <w:t>230 – 480</w:t>
            </w:r>
          </w:p>
        </w:tc>
      </w:tr>
      <w:tr w:rsidR="000F16EB" w14:paraId="21C71ABB" w14:textId="77777777" w:rsidTr="00A7521D">
        <w:trPr>
          <w:jc w:val="center"/>
        </w:trPr>
        <w:tc>
          <w:tcPr>
            <w:tcW w:w="4744" w:type="dxa"/>
          </w:tcPr>
          <w:p w14:paraId="3D62132D" w14:textId="77777777" w:rsidR="000F16EB" w:rsidRDefault="000F16EB" w:rsidP="00A7521D">
            <w:pPr>
              <w:jc w:val="center"/>
            </w:pPr>
            <w:r>
              <w:t>Finishing soaking pit reheat furnace</w:t>
            </w:r>
          </w:p>
        </w:tc>
        <w:tc>
          <w:tcPr>
            <w:tcW w:w="1772" w:type="dxa"/>
          </w:tcPr>
          <w:p w14:paraId="768685C7" w14:textId="77777777" w:rsidR="000F16EB" w:rsidRDefault="000F16EB" w:rsidP="00A7521D">
            <w:pPr>
              <w:jc w:val="center"/>
            </w:pPr>
            <w:r>
              <w:t>200 – 600</w:t>
            </w:r>
          </w:p>
        </w:tc>
      </w:tr>
      <w:tr w:rsidR="000F16EB" w14:paraId="2325514A" w14:textId="77777777" w:rsidTr="00A7521D">
        <w:trPr>
          <w:jc w:val="center"/>
        </w:trPr>
        <w:tc>
          <w:tcPr>
            <w:tcW w:w="4744" w:type="dxa"/>
          </w:tcPr>
          <w:p w14:paraId="6E594016" w14:textId="77777777" w:rsidR="000F16EB" w:rsidRDefault="000F16EB" w:rsidP="00A7521D">
            <w:pPr>
              <w:jc w:val="center"/>
            </w:pPr>
            <w:r>
              <w:t>Steam boiler</w:t>
            </w:r>
          </w:p>
        </w:tc>
        <w:tc>
          <w:tcPr>
            <w:tcW w:w="1772" w:type="dxa"/>
          </w:tcPr>
          <w:p w14:paraId="70FC891F" w14:textId="77777777" w:rsidR="000F16EB" w:rsidRDefault="000F16EB" w:rsidP="00A7521D">
            <w:pPr>
              <w:jc w:val="center"/>
            </w:pPr>
            <w:r>
              <w:t>200 – 300</w:t>
            </w:r>
          </w:p>
        </w:tc>
      </w:tr>
      <w:tr w:rsidR="000F16EB" w14:paraId="61F82CE0" w14:textId="77777777" w:rsidTr="00A7521D">
        <w:trPr>
          <w:jc w:val="center"/>
        </w:trPr>
        <w:tc>
          <w:tcPr>
            <w:tcW w:w="4744" w:type="dxa"/>
          </w:tcPr>
          <w:p w14:paraId="6247BF12" w14:textId="77777777" w:rsidR="000F16EB" w:rsidRDefault="000F16EB" w:rsidP="00A7521D">
            <w:pPr>
              <w:jc w:val="center"/>
            </w:pPr>
            <w:r>
              <w:t>Container glass melting</w:t>
            </w:r>
          </w:p>
        </w:tc>
        <w:tc>
          <w:tcPr>
            <w:tcW w:w="1772" w:type="dxa"/>
          </w:tcPr>
          <w:p w14:paraId="7579EFF9" w14:textId="77777777" w:rsidR="000F16EB" w:rsidRDefault="000F16EB" w:rsidP="00A7521D">
            <w:pPr>
              <w:jc w:val="center"/>
            </w:pPr>
            <w:r>
              <w:t>140 – 200</w:t>
            </w:r>
          </w:p>
        </w:tc>
      </w:tr>
      <w:tr w:rsidR="000F16EB" w14:paraId="5E64529F" w14:textId="77777777" w:rsidTr="00A7521D">
        <w:trPr>
          <w:jc w:val="center"/>
        </w:trPr>
        <w:tc>
          <w:tcPr>
            <w:tcW w:w="4744" w:type="dxa"/>
          </w:tcPr>
          <w:p w14:paraId="08DE6C50" w14:textId="77777777" w:rsidR="000F16EB" w:rsidRDefault="000F16EB" w:rsidP="00A7521D">
            <w:pPr>
              <w:jc w:val="center"/>
            </w:pPr>
            <w:r>
              <w:t>Flat glass melting</w:t>
            </w:r>
          </w:p>
        </w:tc>
        <w:tc>
          <w:tcPr>
            <w:tcW w:w="1772" w:type="dxa"/>
          </w:tcPr>
          <w:p w14:paraId="57EDF1DB" w14:textId="77777777" w:rsidR="000F16EB" w:rsidRDefault="000F16EB" w:rsidP="00A7521D">
            <w:pPr>
              <w:jc w:val="center"/>
            </w:pPr>
            <w:r>
              <w:t>140 – 200</w:t>
            </w:r>
          </w:p>
        </w:tc>
      </w:tr>
      <w:tr w:rsidR="000F16EB" w14:paraId="4099AC90" w14:textId="77777777" w:rsidTr="00A7521D">
        <w:trPr>
          <w:jc w:val="center"/>
        </w:trPr>
        <w:tc>
          <w:tcPr>
            <w:tcW w:w="4744" w:type="dxa"/>
          </w:tcPr>
          <w:p w14:paraId="49C28576" w14:textId="77777777" w:rsidR="000F16EB" w:rsidRDefault="000F16EB" w:rsidP="00A7521D">
            <w:pPr>
              <w:jc w:val="center"/>
            </w:pPr>
            <w:r>
              <w:t>Ceramic kiln</w:t>
            </w:r>
          </w:p>
        </w:tc>
        <w:tc>
          <w:tcPr>
            <w:tcW w:w="1772" w:type="dxa"/>
          </w:tcPr>
          <w:p w14:paraId="4686E8B1" w14:textId="77777777" w:rsidR="000F16EB" w:rsidRDefault="000F16EB" w:rsidP="00A7521D">
            <w:pPr>
              <w:jc w:val="center"/>
            </w:pPr>
            <w:r>
              <w:t>150 – 1,000</w:t>
            </w:r>
          </w:p>
        </w:tc>
      </w:tr>
      <w:tr w:rsidR="000F16EB" w14:paraId="2CCC2045" w14:textId="77777777" w:rsidTr="00A7521D">
        <w:trPr>
          <w:jc w:val="center"/>
        </w:trPr>
        <w:tc>
          <w:tcPr>
            <w:tcW w:w="4744" w:type="dxa"/>
          </w:tcPr>
          <w:p w14:paraId="627DD71E" w14:textId="77777777" w:rsidR="000F16EB" w:rsidRDefault="000F16EB" w:rsidP="00A7521D">
            <w:pPr>
              <w:jc w:val="center"/>
            </w:pPr>
            <w:r>
              <w:t>Drying, baking and curing ovens</w:t>
            </w:r>
          </w:p>
        </w:tc>
        <w:tc>
          <w:tcPr>
            <w:tcW w:w="1772" w:type="dxa"/>
          </w:tcPr>
          <w:p w14:paraId="10B28CB1" w14:textId="77777777" w:rsidR="000F16EB" w:rsidRDefault="000F16EB" w:rsidP="00A7521D">
            <w:pPr>
              <w:jc w:val="center"/>
            </w:pPr>
            <w:r>
              <w:t>90 – 230</w:t>
            </w:r>
          </w:p>
        </w:tc>
      </w:tr>
      <w:tr w:rsidR="000F16EB" w14:paraId="3BEDFCE0" w14:textId="77777777" w:rsidTr="00A7521D">
        <w:trPr>
          <w:jc w:val="center"/>
        </w:trPr>
        <w:tc>
          <w:tcPr>
            <w:tcW w:w="4744" w:type="dxa"/>
          </w:tcPr>
          <w:p w14:paraId="2DFEB2DC" w14:textId="77777777" w:rsidR="000F16EB" w:rsidRDefault="000F16EB" w:rsidP="00A7521D">
            <w:pPr>
              <w:jc w:val="center"/>
            </w:pPr>
            <w:r>
              <w:t>Cooling water from annealing furnaces</w:t>
            </w:r>
          </w:p>
        </w:tc>
        <w:tc>
          <w:tcPr>
            <w:tcW w:w="1772" w:type="dxa"/>
          </w:tcPr>
          <w:p w14:paraId="1F2079D1" w14:textId="77777777" w:rsidR="000F16EB" w:rsidRDefault="000F16EB" w:rsidP="00A7521D">
            <w:pPr>
              <w:jc w:val="center"/>
            </w:pPr>
            <w:r>
              <w:t>70 – 230</w:t>
            </w:r>
          </w:p>
        </w:tc>
      </w:tr>
      <w:tr w:rsidR="000F16EB" w14:paraId="112EEE4E" w14:textId="77777777" w:rsidTr="00A7521D">
        <w:trPr>
          <w:jc w:val="center"/>
        </w:trPr>
        <w:tc>
          <w:tcPr>
            <w:tcW w:w="4744" w:type="dxa"/>
          </w:tcPr>
          <w:p w14:paraId="340AEED3" w14:textId="77777777" w:rsidR="000F16EB" w:rsidRDefault="000F16EB" w:rsidP="00A7521D">
            <w:pPr>
              <w:jc w:val="center"/>
            </w:pPr>
            <w:r>
              <w:t>Cooling water from internal combustion engines</w:t>
            </w:r>
          </w:p>
        </w:tc>
        <w:tc>
          <w:tcPr>
            <w:tcW w:w="1772" w:type="dxa"/>
          </w:tcPr>
          <w:p w14:paraId="2278D924" w14:textId="77777777" w:rsidR="000F16EB" w:rsidRDefault="000F16EB" w:rsidP="00A7521D">
            <w:pPr>
              <w:jc w:val="center"/>
            </w:pPr>
            <w:r>
              <w:t>70 – 120</w:t>
            </w:r>
          </w:p>
        </w:tc>
      </w:tr>
      <w:tr w:rsidR="000F16EB" w14:paraId="6AB3F166" w14:textId="77777777" w:rsidTr="00A7521D">
        <w:trPr>
          <w:jc w:val="center"/>
        </w:trPr>
        <w:tc>
          <w:tcPr>
            <w:tcW w:w="4744" w:type="dxa"/>
          </w:tcPr>
          <w:p w14:paraId="5078F0F7" w14:textId="77777777" w:rsidR="000F16EB" w:rsidRDefault="000F16EB" w:rsidP="00A7521D">
            <w:pPr>
              <w:jc w:val="center"/>
            </w:pPr>
            <w:r>
              <w:t>Exhaust gases exiting recovery devices in gas-fired boilers, ethylene furnaces etc.</w:t>
            </w:r>
          </w:p>
        </w:tc>
        <w:tc>
          <w:tcPr>
            <w:tcW w:w="1772" w:type="dxa"/>
          </w:tcPr>
          <w:p w14:paraId="4AC10A46" w14:textId="77777777" w:rsidR="000F16EB" w:rsidRDefault="000F16EB" w:rsidP="00A7521D">
            <w:pPr>
              <w:jc w:val="center"/>
            </w:pPr>
            <w:r>
              <w:t>70 – 230</w:t>
            </w:r>
          </w:p>
        </w:tc>
      </w:tr>
      <w:tr w:rsidR="000F16EB" w14:paraId="5C011CA8" w14:textId="77777777" w:rsidTr="00A7521D">
        <w:trPr>
          <w:jc w:val="center"/>
        </w:trPr>
        <w:tc>
          <w:tcPr>
            <w:tcW w:w="4744" w:type="dxa"/>
          </w:tcPr>
          <w:p w14:paraId="1440CB52" w14:textId="77777777" w:rsidR="000F16EB" w:rsidRDefault="000F16EB" w:rsidP="00A7521D">
            <w:pPr>
              <w:jc w:val="center"/>
            </w:pPr>
            <w:r>
              <w:t>Conventional hot water boiler</w:t>
            </w:r>
          </w:p>
        </w:tc>
        <w:tc>
          <w:tcPr>
            <w:tcW w:w="1772" w:type="dxa"/>
          </w:tcPr>
          <w:p w14:paraId="14C4C688" w14:textId="77777777" w:rsidR="000F16EB" w:rsidRDefault="000F16EB" w:rsidP="00A7521D">
            <w:pPr>
              <w:jc w:val="center"/>
            </w:pPr>
            <w:r>
              <w:t>60 – 230</w:t>
            </w:r>
          </w:p>
        </w:tc>
      </w:tr>
      <w:tr w:rsidR="000F16EB" w14:paraId="53449FC4" w14:textId="77777777" w:rsidTr="00A7521D">
        <w:trPr>
          <w:jc w:val="center"/>
        </w:trPr>
        <w:tc>
          <w:tcPr>
            <w:tcW w:w="4744" w:type="dxa"/>
          </w:tcPr>
          <w:p w14:paraId="31B53D49" w14:textId="77777777" w:rsidR="000F16EB" w:rsidRDefault="000F16EB" w:rsidP="00A7521D">
            <w:pPr>
              <w:jc w:val="center"/>
            </w:pPr>
            <w:r>
              <w:t>Process steam condensate</w:t>
            </w:r>
          </w:p>
        </w:tc>
        <w:tc>
          <w:tcPr>
            <w:tcW w:w="1772" w:type="dxa"/>
          </w:tcPr>
          <w:p w14:paraId="10FCF4B6" w14:textId="77777777" w:rsidR="000F16EB" w:rsidRDefault="000F16EB" w:rsidP="00A7521D">
            <w:pPr>
              <w:jc w:val="center"/>
            </w:pPr>
            <w:r>
              <w:t>50 – 90</w:t>
            </w:r>
          </w:p>
        </w:tc>
      </w:tr>
      <w:tr w:rsidR="000F16EB" w14:paraId="75902572" w14:textId="77777777" w:rsidTr="00A7521D">
        <w:trPr>
          <w:jc w:val="center"/>
        </w:trPr>
        <w:tc>
          <w:tcPr>
            <w:tcW w:w="4744" w:type="dxa"/>
          </w:tcPr>
          <w:p w14:paraId="0AB1FE25" w14:textId="77777777" w:rsidR="000F16EB" w:rsidRDefault="000F16EB" w:rsidP="00A7521D">
            <w:pPr>
              <w:jc w:val="center"/>
            </w:pPr>
            <w:r>
              <w:t>Condensing hot water boiler</w:t>
            </w:r>
          </w:p>
        </w:tc>
        <w:tc>
          <w:tcPr>
            <w:tcW w:w="1772" w:type="dxa"/>
          </w:tcPr>
          <w:p w14:paraId="696F800B" w14:textId="77777777" w:rsidR="000F16EB" w:rsidRDefault="000F16EB" w:rsidP="00A7521D">
            <w:pPr>
              <w:jc w:val="center"/>
            </w:pPr>
            <w:r>
              <w:t>40 – 50</w:t>
            </w:r>
          </w:p>
        </w:tc>
      </w:tr>
      <w:tr w:rsidR="000F16EB" w14:paraId="7EE3B091" w14:textId="77777777" w:rsidTr="00A7521D">
        <w:trPr>
          <w:jc w:val="center"/>
        </w:trPr>
        <w:tc>
          <w:tcPr>
            <w:tcW w:w="4744" w:type="dxa"/>
          </w:tcPr>
          <w:p w14:paraId="35F9857E" w14:textId="77777777" w:rsidR="000F16EB" w:rsidRDefault="000F16EB" w:rsidP="00A7521D">
            <w:pPr>
              <w:jc w:val="center"/>
            </w:pPr>
            <w:r>
              <w:t>Hot processed liquids/ solids</w:t>
            </w:r>
          </w:p>
        </w:tc>
        <w:tc>
          <w:tcPr>
            <w:tcW w:w="1772" w:type="dxa"/>
          </w:tcPr>
          <w:p w14:paraId="40830F03" w14:textId="77777777" w:rsidR="000F16EB" w:rsidRDefault="000F16EB" w:rsidP="00A7521D">
            <w:pPr>
              <w:jc w:val="center"/>
            </w:pPr>
            <w:r>
              <w:t>30 – 230</w:t>
            </w:r>
          </w:p>
        </w:tc>
      </w:tr>
      <w:tr w:rsidR="000F16EB" w14:paraId="73A291A0" w14:textId="77777777" w:rsidTr="00A7521D">
        <w:trPr>
          <w:jc w:val="center"/>
        </w:trPr>
        <w:tc>
          <w:tcPr>
            <w:tcW w:w="4744" w:type="dxa"/>
          </w:tcPr>
          <w:p w14:paraId="7FF999A4" w14:textId="77777777" w:rsidR="000F16EB" w:rsidRDefault="000F16EB" w:rsidP="00A7521D">
            <w:pPr>
              <w:jc w:val="center"/>
            </w:pPr>
            <w:r>
              <w:t>Cooling water from air conditioning and refrigeration condensers</w:t>
            </w:r>
          </w:p>
        </w:tc>
        <w:tc>
          <w:tcPr>
            <w:tcW w:w="1772" w:type="dxa"/>
          </w:tcPr>
          <w:p w14:paraId="2588293B" w14:textId="77777777" w:rsidR="000F16EB" w:rsidRDefault="000F16EB" w:rsidP="00A7521D">
            <w:pPr>
              <w:jc w:val="center"/>
            </w:pPr>
            <w:r>
              <w:t>30 – 40</w:t>
            </w:r>
          </w:p>
        </w:tc>
      </w:tr>
      <w:tr w:rsidR="000F16EB" w14:paraId="74F76E65" w14:textId="77777777" w:rsidTr="00A7521D">
        <w:trPr>
          <w:jc w:val="center"/>
        </w:trPr>
        <w:tc>
          <w:tcPr>
            <w:tcW w:w="4744" w:type="dxa"/>
          </w:tcPr>
          <w:p w14:paraId="3EB9951F" w14:textId="77777777" w:rsidR="000F16EB" w:rsidRDefault="000F16EB" w:rsidP="00A7521D">
            <w:pPr>
              <w:jc w:val="center"/>
            </w:pPr>
            <w:r>
              <w:t>Cooling water from air compressors</w:t>
            </w:r>
          </w:p>
        </w:tc>
        <w:tc>
          <w:tcPr>
            <w:tcW w:w="1772" w:type="dxa"/>
          </w:tcPr>
          <w:p w14:paraId="709A929C" w14:textId="77777777" w:rsidR="000F16EB" w:rsidRDefault="000F16EB" w:rsidP="00A7521D">
            <w:pPr>
              <w:jc w:val="center"/>
            </w:pPr>
            <w:r>
              <w:t>30 – 50</w:t>
            </w:r>
          </w:p>
        </w:tc>
      </w:tr>
      <w:tr w:rsidR="000F16EB" w14:paraId="78B3BF27" w14:textId="77777777" w:rsidTr="00A7521D">
        <w:trPr>
          <w:jc w:val="center"/>
        </w:trPr>
        <w:tc>
          <w:tcPr>
            <w:tcW w:w="4744" w:type="dxa"/>
          </w:tcPr>
          <w:p w14:paraId="5352FF1E" w14:textId="77777777" w:rsidR="000F16EB" w:rsidRDefault="000F16EB" w:rsidP="00A7521D">
            <w:pPr>
              <w:jc w:val="center"/>
            </w:pPr>
            <w:r>
              <w:t>Cooling water from furnace doors</w:t>
            </w:r>
          </w:p>
        </w:tc>
        <w:tc>
          <w:tcPr>
            <w:tcW w:w="1772" w:type="dxa"/>
          </w:tcPr>
          <w:p w14:paraId="3212076D" w14:textId="77777777" w:rsidR="000F16EB" w:rsidRDefault="000F16EB" w:rsidP="00A7521D">
            <w:pPr>
              <w:jc w:val="center"/>
            </w:pPr>
            <w:r>
              <w:t>30 – 50</w:t>
            </w:r>
          </w:p>
        </w:tc>
      </w:tr>
    </w:tbl>
    <w:p w14:paraId="22B94437" w14:textId="77777777" w:rsidR="000F16EB" w:rsidRDefault="000F16EB" w:rsidP="000F16EB">
      <w:pPr>
        <w:pStyle w:val="Heading3"/>
      </w:pPr>
      <w:bookmarkStart w:id="175" w:name="_Toc522192730"/>
      <w:bookmarkStart w:id="176" w:name="_Toc525229954"/>
      <w:bookmarkStart w:id="177" w:name="_Toc529888268"/>
      <w:bookmarkStart w:id="178" w:name="_Toc7187460"/>
      <w:bookmarkEnd w:id="169"/>
      <w:bookmarkEnd w:id="173"/>
      <w:r>
        <w:t>Waste Heat Recovery Modelling</w:t>
      </w:r>
      <w:bookmarkEnd w:id="175"/>
      <w:bookmarkEnd w:id="176"/>
      <w:bookmarkEnd w:id="177"/>
      <w:bookmarkEnd w:id="178"/>
    </w:p>
    <w:p w14:paraId="387AAE00" w14:textId="2F7B941A" w:rsidR="000F16EB" w:rsidRPr="00FB12BE" w:rsidRDefault="000F16EB" w:rsidP="000F16EB">
      <w:r>
        <w:t xml:space="preserve">The most common modelling technique used in WHR is pinch analysis. A pinch analysis is used to determine the optimal location for heat recovery as well to match the heat sources </w:t>
      </w:r>
      <w:r>
        <w:lastRenderedPageBreak/>
        <w:t xml:space="preserve">to the heat loads </w:t>
      </w:r>
      <w:r>
        <w:fldChar w:fldCharType="begin" w:fldLock="1"/>
      </w:r>
      <w:r w:rsidR="00FF4B5D">
        <w:instrText>ADDIN CSL_CITATION {"citationItems":[{"id":"ITEM-1","itemData":{"abstract":"A substantial amount of energy used by industry is wasted as heat in the form of exhaust gases, air streams, and liquids leaving industrial facilities. Although it is not technically and economically feasible to recover all waste heat, a gross estimate is that waste-heat recovery could substitute for 9% of total energy used by US industry—or 1.4 quadrillion BTU—which would ultimately help improve the global competitiveness of the US (Energetics and E3M 2004). An increased use of waste-heat recovery technologies by industry would also serve to mitigate greenhouse gas (GHG) emissions. The primary sources of waste heat in industrial facilities include exhaust gases from fossil fuel-fired furnaces, boilers, and process heating equipment. These types of high-grade waste-heat sources can readily be used to preheat combustion air, boiler feedwater, and process loads. Waste-heat recovery from lower temperature sources, such as cooling water from machines and condensers, is generally somewhat more problematic, and typically involves the use of heat pumps to increase the temperature to a suitable temperature for distillation, evaporation, water heating, and space heating. This paper summarizes the results of numerous studies conducted by the authors and/or their associates to identify opportunities for waste-heat recovery in industrial facilities. It also describes recent advancements and applications in waste-heat recovery technology. Typical “energy audits” identify annual energy cost savings of about 5%. However, this paper confirms that systematic waste-heat recovery projects based on sound thermodynamic principles can yield annual energy cost savings of 10% to 20% with paybacks of 6 to 18 months for industrial facilities. Recent advancements in heat recovery technology may increase the energy savings by an additional 5% to 10%. Since only 5% of US manufacturing facilities currently use waste-heat recovery, there is tremendous potential for energy savings in the industrial sector (EIA 2002, Table 8.2). Definition","author":[{"dropping-particle":"","family":"Arzbaecher","given":"Cecilia","non-dropping-particle":"","parse-names":false,"suffix":""},{"dropping-particle":"","family":"Fouche","given":"Ed","non-dropping-particle":"","parse-names":false,"suffix":""},{"dropping-particle":"","family":"Parmenter","given":"Kelly","non-dropping-particle":"","parse-names":false,"suffix":""}],"container-title":"ACEEE Summer Study on Energy Efficiency in Industry","id":"ITEM-1","issued":{"date-parts":[["2007"]]},"publisher":"American Council for an Energy-Efficient Economy","publisher-place":"White Plains, USA","title":"Industrial Waste-Heat Recovery: Benefits and Recent Advancements in Technology and Applications","type":"paper-conference"},"uris":["http://www.mendeley.com/documents/?uuid=460850da-4815-4a90-83ef-8036619e3599"]}],"mendeley":{"formattedCitation":"(Arzbaecher &lt;i&gt;et al.&lt;/i&gt;, 2007)","plainTextFormattedCitation":"(Arzbaecher et al., 2007)","previouslyFormattedCitation":"(Arzbaecher &lt;i&gt;et al.&lt;/i&gt;, 2007)"},"properties":{"noteIndex":0},"schema":"https://github.com/citation-style-language/schema/raw/master/csl-citation.json"}</w:instrText>
      </w:r>
      <w:r>
        <w:fldChar w:fldCharType="separate"/>
      </w:r>
      <w:r w:rsidR="005F544E" w:rsidRPr="005F544E">
        <w:rPr>
          <w:noProof/>
        </w:rPr>
        <w:t xml:space="preserve">(Arzbaecher </w:t>
      </w:r>
      <w:r w:rsidR="005F544E" w:rsidRPr="005F544E">
        <w:rPr>
          <w:i/>
          <w:noProof/>
        </w:rPr>
        <w:t>et al.</w:t>
      </w:r>
      <w:r w:rsidR="005F544E" w:rsidRPr="005F544E">
        <w:rPr>
          <w:noProof/>
        </w:rPr>
        <w:t>, 2007)</w:t>
      </w:r>
      <w:r>
        <w:fldChar w:fldCharType="end"/>
      </w:r>
      <w:r>
        <w:t>. A pinch analysis is comprised of four phases: a site survey, targeting, design, and optimisation. During the site survey, information is collected for each stream and process, aiming to determine the heating, cooling, boiling, and condensation needs of the site. Using the collected information, elemental based mass and energy balances are completed. Targeting is used to identify the minimum heating and cooling needs using constraints such as the handling of the fluid streams. During the design stage the HEXs, or other WHR technologies, are designed using calculations or commercial software. Whilst designing the HEXs, the main driver is to maximise efficiencies and minimise the energy consumption. Finally, the overall network around the WHR technology is simplified and optimised. The optimisation is done on both an economic and an environmental basis.</w:t>
      </w:r>
    </w:p>
    <w:p w14:paraId="5571FC6E" w14:textId="77777777" w:rsidR="000F16EB" w:rsidRDefault="000F16EB" w:rsidP="000F16EB">
      <w:pPr>
        <w:pStyle w:val="Heading3"/>
      </w:pPr>
      <w:bookmarkStart w:id="179" w:name="_Toc522192731"/>
      <w:bookmarkStart w:id="180" w:name="_Toc525229955"/>
      <w:bookmarkStart w:id="181" w:name="_Toc529888269"/>
      <w:bookmarkStart w:id="182" w:name="_Toc7187461"/>
      <w:r>
        <w:t>Waste Heat Recovery and District Heating Examples</w:t>
      </w:r>
      <w:bookmarkEnd w:id="179"/>
      <w:bookmarkEnd w:id="180"/>
      <w:bookmarkEnd w:id="181"/>
      <w:bookmarkEnd w:id="182"/>
    </w:p>
    <w:p w14:paraId="10EDFE47" w14:textId="5393B664" w:rsidR="000F16EB" w:rsidRDefault="000F16EB" w:rsidP="000F16EB">
      <w:r>
        <w:t xml:space="preserve">Numerous examples of DHNs exist that use industrial WHR as the TE source. Sun </w:t>
      </w:r>
      <w:r w:rsidRPr="006A7FED">
        <w:rPr>
          <w:i/>
        </w:rPr>
        <w:t>et al</w:t>
      </w:r>
      <w:r>
        <w:t>. designed a DHN that was supplied using ejector HEXs and absorption heat pumps</w:t>
      </w:r>
      <w:r w:rsidR="005F544E">
        <w:t xml:space="preserve"> </w:t>
      </w:r>
      <w:r w:rsidR="005F544E">
        <w:fldChar w:fldCharType="begin" w:fldLock="1"/>
      </w:r>
      <w:r w:rsidR="005F544E">
        <w:instrText>ADDIN CSL_CITATION {"citationItems":[{"id":"ITEM-1","itemData":{"DOI":"10.1016/j.energy.2014.03.044","ISSN":"03605442","abstract":"A new waste heat district heating system with CHP based on ejector heat exchangers and absorption heat pumps (DH-EHE) is presented to decrease heating energy consumption of existing CHP systems by recovering waste heat of exhausted steam from a steam turbine, which could also increase heat transmission capacity of the primary heating network (PHN) by decreasing temperature of the return water of existing PHN. A new ejector heat exchanger based on ejector refrigeration cycle is invented to decrease temperature of the return water of PHN to 30°C under the designed case. DH-EHE is analyzed in terms of laws of thermodynamics and economics. Compared to conventional district heating systems with CHP (CDH), DH-EHE can decrease consumption of steam extracted from a steam turbine by 41.4% and increase heat transmission capacity of the existing PHN by 66.7% without changing the flow rate of circulating water. The heating cost of DH-EHE is 8.62¥/GJ less than that of CDH. Compared to CDH, the recovery period of additional investment of DH-EHE is about two years. DH-EHE shows better economic and environmental benefits, which is promising for both district heating systems for long-distance heat transmission and waste heat district heating systems. © 2014 Elsevier Ltd.","author":[{"dropping-particle":"","family":"Sun","given":"Fangtian","non-dropping-particle":"","parse-names":false,"suffix":""},{"dropping-particle":"","family":"Fu","given":"Lin","non-dropping-particle":"","parse-names":false,"suffix":""},{"dropping-particle":"","family":"Sun","given":"Jian","non-dropping-particle":"","parse-names":false,"suffix":""},{"dropping-particle":"","family":"Zhang","given":"Shigang","non-dropping-particle":"","parse-names":false,"suffix":""}],"container-title":"Energy","id":"ITEM-1","issued":{"date-parts":[["2014"]]},"page":"516-524","publisher":"Elsevier Ltd","title":"A new waste heat district heating system with combined heat and power (CHP) based on ejector heat exchangers and absorption heat pumps","type":"article-journal","volume":"69"},"uris":["http://www.mendeley.com/documents/?uuid=3036bc0c-8b24-44cd-bce2-1636377b06d0"]}],"mendeley":{"formattedCitation":"(Sun &lt;i&gt;et al.&lt;/i&gt;, 2014)","plainTextFormattedCitation":"(Sun et al., 2014)","previouslyFormattedCitation":"(Sun &lt;i&gt;et al.&lt;/i&gt;, 2014)"},"properties":{"noteIndex":0},"schema":"https://github.com/citation-style-language/schema/raw/master/csl-citation.json"}</w:instrText>
      </w:r>
      <w:r w:rsidR="005F544E">
        <w:fldChar w:fldCharType="separate"/>
      </w:r>
      <w:r w:rsidR="005F544E" w:rsidRPr="002A6A73">
        <w:rPr>
          <w:noProof/>
        </w:rPr>
        <w:t xml:space="preserve">(Sun </w:t>
      </w:r>
      <w:r w:rsidR="005F544E" w:rsidRPr="002A6A73">
        <w:rPr>
          <w:i/>
          <w:noProof/>
        </w:rPr>
        <w:t>et al.</w:t>
      </w:r>
      <w:r w:rsidR="005F544E" w:rsidRPr="002A6A73">
        <w:rPr>
          <w:noProof/>
        </w:rPr>
        <w:t>, 2014)</w:t>
      </w:r>
      <w:r w:rsidR="005F544E">
        <w:fldChar w:fldCharType="end"/>
      </w:r>
      <w:r>
        <w:t>. The design was novel as the ejector HEXs used considerably lower return temperatures from the network than normal HEXs would have allowed. The ej</w:t>
      </w:r>
      <w:r w:rsidRPr="009B2607">
        <w:t>ector HEX</w:t>
      </w:r>
      <w:r>
        <w:t>s</w:t>
      </w:r>
      <w:r w:rsidRPr="009B2607">
        <w:t xml:space="preserve"> allow</w:t>
      </w:r>
      <w:r>
        <w:t>ed</w:t>
      </w:r>
      <w:r w:rsidRPr="009B2607">
        <w:t xml:space="preserve"> the DH</w:t>
      </w:r>
      <w:r>
        <w:t>N</w:t>
      </w:r>
      <w:r w:rsidRPr="009B2607">
        <w:t xml:space="preserve"> operator to reduce the return temperature of the network by 30 °C, decreasing the steam consumption by 41.5% and reducing heating costs by ¥8.62 </w:t>
      </w:r>
      <w:r>
        <w:t>/</w:t>
      </w:r>
      <w:r w:rsidRPr="009B2607">
        <w:t>GJ</w:t>
      </w:r>
      <w:r>
        <w:t xml:space="preserve"> or £0.06 /GJ. </w:t>
      </w:r>
    </w:p>
    <w:p w14:paraId="15409601" w14:textId="3D104CF1" w:rsidR="000F16EB" w:rsidRDefault="000F16EB" w:rsidP="000F16EB">
      <w:r>
        <w:t xml:space="preserve">Dou </w:t>
      </w:r>
      <w:r w:rsidRPr="006A7FED">
        <w:rPr>
          <w:i/>
        </w:rPr>
        <w:t>et al</w:t>
      </w:r>
      <w:r>
        <w:t>. evaluated the potential for DH to be supplied by industrial WHR in Japan</w:t>
      </w:r>
      <w:r w:rsidR="005F544E">
        <w:t xml:space="preserve"> </w:t>
      </w:r>
      <w:r w:rsidR="005F544E">
        <w:fldChar w:fldCharType="begin" w:fldLock="1"/>
      </w:r>
      <w:r w:rsidR="005F544E">
        <w:instrText>ADDIN CSL_CITATION {"citationItems":[{"id":"ITEM-1","itemData":{"DOI":"10.1016/j.resconrec.2016.03.006","ISBN":"0921-3449","ISSN":"18790658","abstract":"Energy shortage and global climate change have created a dilemma in Japan, especially after the great earthquake of 2011 in eastern Japan. District Heating System (DHS) using waste heat is highlighted as an attractive solution. However, because of low heat demand in urban areas and the geographic separation of industries, popularizing this solution is considerably difficult in Japan. Previous studies have focused on technical improvements on existing district heating networks, but these studies lack sufficient discussion on an early-stage integrated land-use planning. Supported by technological assessment and emerging concepts of Industrial-Urban Symbiosis (I-US), this study combines the system development of DHS and land use scenarios into a symbiotic design based on inventory survey and geographic database, and conducts a cost-benefit analysis to scientifically and quantitatively evaluate the effects brought from land-use policies. Results from a case study of Shinchi Town in the Fukushima Prefecture indicate DHS using waste heat can realize significant benefits of energy saving and CO2reduction, provided positive guidance on land use planning is implemented. Moreover, the model framework of this study also supports a quantitative assessment on policy implementation to help in decision making on urban sustainable energy planning.","author":[{"dropping-particle":"","family":"Dou","given":"Yi","non-dropping-particle":"","parse-names":false,"suffix":""},{"dropping-particle":"","family":"Togawa","given":"Takuya","non-dropping-particle":"","parse-names":false,"suffix":""},{"dropping-particle":"","family":"Dong","given":"Liang","non-dropping-particle":"","parse-names":false,"suffix":""},{"dropping-particle":"","family":"Fujii","given":"Minoru","non-dropping-particle":"","parse-names":false,"suffix":""},{"dropping-particle":"","family":"Ohnishi","given":"Satoshi","non-dropping-particle":"","parse-names":false,"suffix":""},{"dropping-particle":"","family":"Tanikawa","given":"Hiroki","non-dropping-particle":"","parse-names":false,"suffix":""},{"dropping-particle":"","family":"Fujita","given":"Tsuyoshi","non-dropping-particle":"","parse-names":false,"suffix":""}],"container-title":"Resources, Conservation and Recycling","id":"ITEM-1","issued":{"date-parts":[["2018"]]},"page":"406-416","publisher":"Elsevier B.V.","title":"Innovative planning and evaluation system for district heating using waste heat considering spatial configuration: A case in Fukushima, Japan","type":"article-journal","volume":"128"},"uris":["http://www.mendeley.com/documents/?uuid=cd7119eb-1a40-4d88-b1cc-70ae124e9967"]}],"mendeley":{"formattedCitation":"(Dou &lt;i&gt;et al.&lt;/i&gt;, 2018)","plainTextFormattedCitation":"(Dou et al., 2018)","previouslyFormattedCitation":"(Dou &lt;i&gt;et al.&lt;/i&gt;, 2018)"},"properties":{"noteIndex":0},"schema":"https://github.com/citation-style-language/schema/raw/master/csl-citation.json"}</w:instrText>
      </w:r>
      <w:r w:rsidR="005F544E">
        <w:fldChar w:fldCharType="separate"/>
      </w:r>
      <w:r w:rsidR="005F544E" w:rsidRPr="002A6A73">
        <w:rPr>
          <w:noProof/>
        </w:rPr>
        <w:t xml:space="preserve">(Dou </w:t>
      </w:r>
      <w:r w:rsidR="005F544E" w:rsidRPr="002A6A73">
        <w:rPr>
          <w:i/>
          <w:noProof/>
        </w:rPr>
        <w:t>et al.</w:t>
      </w:r>
      <w:r w:rsidR="005F544E" w:rsidRPr="002A6A73">
        <w:rPr>
          <w:noProof/>
        </w:rPr>
        <w:t>, 2018)</w:t>
      </w:r>
      <w:r w:rsidR="005F544E">
        <w:fldChar w:fldCharType="end"/>
      </w:r>
      <w:r>
        <w:t>. It was found that DH can be economically and environmentally feasible in Japan, but not for every industrial location. Many of the WH sources were available at a higher temperature than the DHN supply temperature. The most efficient, both environmentally and economically, method for recovering the WH in situations where the WH temperature is higher than necessary was found to be ‘cascading’ it through a series of HEXs. Cascading the WH through HEXs, or other WHR technologies, allowed the WH to be extracted multiple times, creating a more efficient process.</w:t>
      </w:r>
    </w:p>
    <w:p w14:paraId="69C75E48" w14:textId="7EAE1CF4" w:rsidR="000F16EB" w:rsidRDefault="000F16EB" w:rsidP="000F16EB">
      <w:r w:rsidRPr="006B3885">
        <w:rPr>
          <w:noProof/>
        </w:rPr>
        <w:t>Wahlroos</w:t>
      </w:r>
      <w:r>
        <w:t xml:space="preserve"> </w:t>
      </w:r>
      <w:r w:rsidRPr="006A7FED">
        <w:rPr>
          <w:i/>
        </w:rPr>
        <w:t>et al</w:t>
      </w:r>
      <w:r>
        <w:t>. evaluated the potential for WHR using WH from data centres in Nordic countries</w:t>
      </w:r>
      <w:r w:rsidR="005F544E">
        <w:t xml:space="preserve"> </w:t>
      </w:r>
      <w:r w:rsidR="005F544E">
        <w:fldChar w:fldCharType="begin" w:fldLock="1"/>
      </w:r>
      <w:r w:rsidR="005F544E">
        <w:instrText>ADDIN CSL_CITATION {"citationItems":[{"id":"ITEM-1","itemData":{"DOI":"10.1016/j.rser.2017.10.058","ISSN":"18790690","abstract":"In this study the potential for data center waste heat utilization was analyzed in the Nordic countries. An overview of upcoming data center projects where waste heat is utilized is presented. Especially in Finland data center operators are planning to reuse waste heat in district heating. However, business models between the district heating network operator and data center operator are often not transparent. The implications of economics and emissions on waste heat utilization in district heating were analyzed through life cycle assessment. Currently the biggest barriers for utilizing waste heat are the low quality of waste heat (e.g. low temperature or unstable source of heat) and high investment costs. A systematic 8-step change process was suggested to ensure success in changing the priority of waste heat utilization in the data center and district heating market. Relevant energy efficiency metrics were introduced to support rational decision-making in the reuse of waste heat. Economic calculations showed that the investment payback time is under the estimated lifetime of the heat pump equipment, when waste heat was utilized in district heating. However, the environmental impact of waste heat utilization depends on the fuel, which waste heat replaces.","author":[{"dropping-particle":"","family":"Wahlroos","given":"Mikko","non-dropping-particle":"","parse-names":false,"suffix":""},{"dropping-particle":"","family":"Pärssinen","given":"Matti","non-dropping-particle":"","parse-names":false,"suffix":""},{"dropping-particle":"","family":"Rinne","given":"Samuli","non-dropping-particle":"","parse-names":false,"suffix":""},{"dropping-particle":"","family":"Syri","given":"Sanna","non-dropping-particle":"","parse-names":false,"suffix":""},{"dropping-particle":"","family":"Manner","given":"Jukka","non-dropping-particle":"","parse-names":false,"suffix":""}],"container-title":"Renewable and Sustainable Energy Reviews","id":"ITEM-1","issue":"July 2017","issued":{"date-parts":[["2018"]]},"page":"1749-1764","publisher":"Elsevier Ltd","title":"Future views on waste heat utilization – Case of data centers in Northern Europe","type":"article-journal","volume":"82"},"uris":["http://www.mendeley.com/documents/?uuid=6f1c3f65-b59a-4994-b009-1a0d6233ac76"]}],"mendeley":{"formattedCitation":"(Wahlroos &lt;i&gt;et al.&lt;/i&gt;, 2018)","plainTextFormattedCitation":"(Wahlroos et al., 2018)","previouslyFormattedCitation":"(Wahlroos &lt;i&gt;et al.&lt;/i&gt;, 2018)"},"properties":{"noteIndex":0},"schema":"https://github.com/citation-style-language/schema/raw/master/csl-citation.json"}</w:instrText>
      </w:r>
      <w:r w:rsidR="005F544E">
        <w:fldChar w:fldCharType="separate"/>
      </w:r>
      <w:r w:rsidR="005F544E" w:rsidRPr="002A6A73">
        <w:rPr>
          <w:noProof/>
        </w:rPr>
        <w:t xml:space="preserve">(Wahlroos </w:t>
      </w:r>
      <w:r w:rsidR="005F544E" w:rsidRPr="002A6A73">
        <w:rPr>
          <w:i/>
          <w:noProof/>
        </w:rPr>
        <w:t>et al.</w:t>
      </w:r>
      <w:r w:rsidR="005F544E" w:rsidRPr="002A6A73">
        <w:rPr>
          <w:noProof/>
        </w:rPr>
        <w:t>, 2018)</w:t>
      </w:r>
      <w:r w:rsidR="005F544E">
        <w:fldChar w:fldCharType="end"/>
      </w:r>
      <w:r>
        <w:t xml:space="preserve">. It was found that in many cases the available WH was below the DHN supply temperature and had to be upgraded, increasing the temperature, using heat pumps. Fang </w:t>
      </w:r>
      <w:r w:rsidRPr="006A7FED">
        <w:rPr>
          <w:i/>
        </w:rPr>
        <w:t>et al</w:t>
      </w:r>
      <w:r>
        <w:t>. investigated the potential for DH in China supplied by LGWH</w:t>
      </w:r>
      <w:r w:rsidR="005F544E">
        <w:t xml:space="preserve"> </w:t>
      </w:r>
      <w:r w:rsidR="005F544E">
        <w:fldChar w:fldCharType="begin" w:fldLock="1"/>
      </w:r>
      <w:r w:rsidR="005F544E">
        <w:instrText>ADDIN CSL_CITATION {"citationItems":[{"id":"ITEM-1","itemData":{"DOI":"10.1016/j.enpol.2013.06.104","ISBN":"03014215","ISSN":"03014215","abstract":"Large quantities of low grade waste heat are discharged into the environment, mostly via water evaporation, during industrial processes. Putting this industrial waste heat to productive use can reduce fossil fuel usage as well as CO2 emissions and water dissipation. The purpose of this paper is to propose a holistic approach to the integrated and efficient utilization of low-grade industrial waste heat. Recovering industrial waste heat for use in district heating (DH) can increase the efficiency of the industrial sector and the DH system, in a cost-efficient way defined by the index of investment vs. carbon reduction (ICR). Furthermore, low temperature DH network greatly benefits the recovery rate of industrial waste heat. Based on data analysis and in-situ investigations, this paper discusses the potential for the implementation of such an approach in northern China, where conventional heat sources for DH are insufficient. The universal design approach to industrial-waste-heat based DH is proposed. Through a demonstration project, this approach is introduced in detail. This study finds three advantages to this approach: (1) improvement of the thermal energy efficiency of industrial factories; (2) more cost-efficient than the traditional heating mode; and (3) CO2 and pollutant emission reduction as well as water conservation. ?? 2013 Elsevier Ltd.","author":[{"dropping-particle":"","family":"Fang","given":"Hao","non-dropping-particle":"","parse-names":false,"suffix":""},{"dropping-particle":"","family":"Xia","given":"Jianjun","non-dropping-particle":"","parse-names":false,"suffix":""},{"dropping-particle":"","family":"Zhu","given":"Kan","non-dropping-particle":"","parse-names":false,"suffix":""},{"dropping-particle":"","family":"Su","given":"Yingbo","non-dropping-particle":"","parse-names":false,"suffix":""},{"dropping-particle":"","family":"Jiang","given":"Yi","non-dropping-particle":"","parse-names":false,"suffix":""}],"container-title":"Energy Policy","id":"ITEM-1","issued":{"date-parts":[["2013"]]},"page":"236-246","publisher":"Elsevier","title":"Industrial waste heat utilization for low temperature district heating","type":"article-journal","volume":"62"},"uris":["http://www.mendeley.com/documents/?uuid=bbcc19d5-3031-42fb-b087-77d41d5ae560"]}],"mendeley":{"formattedCitation":"(Fang &lt;i&gt;et al.&lt;/i&gt;, 2013)","plainTextFormattedCitation":"(Fang et al., 2013)","previouslyFormattedCitation":"(Fang &lt;i&gt;et al.&lt;/i&gt;, 2013)"},"properties":{"noteIndex":0},"schema":"https://github.com/citation-style-language/schema/raw/master/csl-citation.json"}</w:instrText>
      </w:r>
      <w:r w:rsidR="005F544E">
        <w:fldChar w:fldCharType="separate"/>
      </w:r>
      <w:r w:rsidR="005F544E" w:rsidRPr="002A6A73">
        <w:rPr>
          <w:noProof/>
        </w:rPr>
        <w:t xml:space="preserve">(Fang </w:t>
      </w:r>
      <w:r w:rsidR="005F544E" w:rsidRPr="002A6A73">
        <w:rPr>
          <w:i/>
          <w:noProof/>
        </w:rPr>
        <w:t>et al.</w:t>
      </w:r>
      <w:r w:rsidR="005F544E" w:rsidRPr="002A6A73">
        <w:rPr>
          <w:noProof/>
        </w:rPr>
        <w:t>, 2013)</w:t>
      </w:r>
      <w:r w:rsidR="005F544E">
        <w:fldChar w:fldCharType="end"/>
      </w:r>
      <w:r>
        <w:t>. A case study was found that recovered 122 MW of LGWH from two plants for use in a DHN. The process improved the efficiency of the plants from 62.9 – 74.3% and 30.1 – 74.7% respectively, saving 168,644 tCO</w:t>
      </w:r>
      <w:r>
        <w:rPr>
          <w:vertAlign w:val="subscript"/>
        </w:rPr>
        <w:t>2</w:t>
      </w:r>
      <w:r>
        <w:t xml:space="preserve">e per annum. It was found that the maximum distance between the heat source and population centre for LGWH DHNs was 5 – 10 km for a small town and 20 – 30 km for a city. As the LGWH was available at temperatures of 30 – 100 °C, absorption heat pumps were used to upgrade the WH. </w:t>
      </w:r>
    </w:p>
    <w:p w14:paraId="2078D9A8" w14:textId="178A8054" w:rsidR="000F16EB" w:rsidRPr="009B2607" w:rsidRDefault="000F16EB" w:rsidP="000F16EB">
      <w:r>
        <w:t xml:space="preserve">Kapil </w:t>
      </w:r>
      <w:r w:rsidRPr="006A7FED">
        <w:rPr>
          <w:i/>
        </w:rPr>
        <w:t>et al.</w:t>
      </w:r>
      <w:r>
        <w:t xml:space="preserve"> attempted to calculate the maximum pipe distance possible in DHNs powered by WHR</w:t>
      </w:r>
      <w:r w:rsidR="005F544E">
        <w:t xml:space="preserve"> </w:t>
      </w:r>
      <w:r w:rsidR="005F544E">
        <w:fldChar w:fldCharType="begin" w:fldLock="1"/>
      </w:r>
      <w:r w:rsidR="005F544E">
        <w:instrText>ADDIN CSL_CITATION {"citationItems":[{"id":"ITEM-1","itemData":{"DOI":"10.1016/j.energy.2011.12.015","ISBN":"03605442","ISSN":"03605442","abstract":"A large amount of low grade energy is often wasted without heat recovery in the process industry. Over-the-fence heat integration for district heating (DH) can be suggested to utilize this waste heat and therefore alleviate the carbon footprint of the integrated energy system. The economic performance of over-the-fence process integration depends on the cost of fuel, electricity and distance for the transfer of waste heat to DH network. A new design methodology has been developed to systematically evaluate the economic benefit of integration of low grade heat with local DH networks. A site-wide analysis tool using site composite profiles is incorporated in the developed design method in order to identify the quality and quantity of low grade heat available from the site. The optimization framework developed identifies economically acceptable distance for the over-the-fence heat recovery from the industrial site to local community, subject to economic parameters and engineering constraints. A case study has been carried out to demonstrate the design methodology, and the results from the case study illustrate techno-economic and engineering barriers in practice for the implementation of low grade heat recovery beyond the site. © 2011 Elsevier Ltd.","author":[{"dropping-particle":"","family":"Kapil","given":"Ankur","non-dropping-particle":"","parse-names":false,"suffix":""},{"dropping-particle":"","family":"Bulatov","given":"Igor","non-dropping-particle":"","parse-names":false,"suffix":""},{"dropping-particle":"","family":"Smith","given":"Robin","non-dropping-particle":"","parse-names":false,"suffix":""},{"dropping-particle":"","family":"Kim","given":"Jin Kuk","non-dropping-particle":"","parse-names":false,"suffix":""}],"container-title":"Energy","id":"ITEM-1","issue":"1","issued":{"date-parts":[["2012"]]},"page":"11-19","publisher":"Elsevier","title":"Process integration of low grade heat in process industry with district heating networks","type":"article-journal","volume":"44"},"uris":["http://www.mendeley.com/documents/?uuid=3ec4d1ba-81a1-4833-ab91-39a98840913b"]}],"mendeley":{"formattedCitation":"(Kapil &lt;i&gt;et al.&lt;/i&gt;, 2012)","plainTextFormattedCitation":"(Kapil et al., 2012)","previouslyFormattedCitation":"(Kapil &lt;i&gt;et al.&lt;/i&gt;, 2012)"},"properties":{"noteIndex":0},"schema":"https://github.com/citation-style-language/schema/raw/master/csl-citation.json"}</w:instrText>
      </w:r>
      <w:r w:rsidR="005F544E">
        <w:fldChar w:fldCharType="separate"/>
      </w:r>
      <w:r w:rsidR="005F544E" w:rsidRPr="002A6A73">
        <w:rPr>
          <w:noProof/>
        </w:rPr>
        <w:t xml:space="preserve">(Kapil </w:t>
      </w:r>
      <w:r w:rsidR="005F544E" w:rsidRPr="002A6A73">
        <w:rPr>
          <w:i/>
          <w:noProof/>
        </w:rPr>
        <w:t>et al.</w:t>
      </w:r>
      <w:r w:rsidR="005F544E" w:rsidRPr="002A6A73">
        <w:rPr>
          <w:noProof/>
        </w:rPr>
        <w:t>, 2012)</w:t>
      </w:r>
      <w:r w:rsidR="005F544E">
        <w:fldChar w:fldCharType="end"/>
      </w:r>
      <w:r>
        <w:t xml:space="preserve">. The authors found that there is no calculable ‘standard’ maximum pipe distance, with the answer varying from network to network. In other work, </w:t>
      </w:r>
      <w:r w:rsidRPr="006B3885">
        <w:rPr>
          <w:noProof/>
        </w:rPr>
        <w:t>Wahlroos</w:t>
      </w:r>
      <w:r>
        <w:t xml:space="preserve"> </w:t>
      </w:r>
      <w:r w:rsidRPr="006A7FED">
        <w:rPr>
          <w:i/>
        </w:rPr>
        <w:t>et al</w:t>
      </w:r>
      <w:r>
        <w:t>. assessed the effects of existing WHR using data centre WH</w:t>
      </w:r>
      <w:r w:rsidR="005F544E">
        <w:t xml:space="preserve"> </w:t>
      </w:r>
      <w:r w:rsidR="005F544E">
        <w:fldChar w:fldCharType="begin" w:fldLock="1"/>
      </w:r>
      <w:r w:rsidR="005F544E">
        <w:instrText>ADDIN CSL_CITATION {"citationItems":[{"id":"ITEM-1","itemData":{"DOI":"10.1016/j.energy.2017.08.078","ISSN":"03605442","abstract":"Data centers seek solutions to increase energy efficiency and lower costs by novel methods. Waste heat utilization is considered to be one of the major trends in the near future, especially in the Nordic countries, where heat demand is high. In this paper, waste heat utilization was analyzed from the perspectives of both the data center and district heating network operators. Timing of the data center waste heat production was considered based on an existing data center load profile. For the district heating network operator, the system level effects of increased waste heat utilization were quantified by simulating district heating production in the city of Espoo, Finland, with actual plant and heat demand data for 2013 and 2015. Results showed that with high shares of waste heat in the district heating system, i.e. 20–60 MW, the system level operational cost savings were 0.6–7.3% in the case study. Utilizing waste heat decreased utilization hours of both combined heat and power plants and heat-only boilers. The analysis showed that pricing of the procured waste heat affects the utilization level of waste heat, but operational hours of waste heat utilization were over 95% in all scenarios.","author":[{"dropping-particle":"","family":"Wahlroos","given":"Mikko","non-dropping-particle":"","parse-names":false,"suffix":""},{"dropping-particle":"","family":"Pärssinen","given":"Matti","non-dropping-particle":"","parse-names":false,"suffix":""},{"dropping-particle":"","family":"Manner","given":"Jukka","non-dropping-particle":"","parse-names":false,"suffix":""},{"dropping-particle":"","family":"Syri","given":"Sanna","non-dropping-particle":"","parse-names":false,"suffix":""}],"container-title":"Energy","id":"ITEM-1","issued":{"date-parts":[["2017"]]},"page":"1228-1238","title":"Utilizing data center waste heat in district heating – Impacts on energy efficiency and prospects for low-temperature district heating networks","type":"article-journal","volume":"140"},"uris":["http://www.mendeley.com/documents/?uuid=3352cc50-d8dc-47eb-ac4f-162be80f1b2a"]}],"mendeley":{"formattedCitation":"(Wahlroos &lt;i&gt;et al.&lt;/i&gt;, 2017)","plainTextFormattedCitation":"(Wahlroos et al., 2017)","previouslyFormattedCitation":"(Wahlroos &lt;i&gt;et al.&lt;/i&gt;, 2017)"},"properties":{"noteIndex":0},"schema":"https://github.com/citation-style-language/schema/raw/master/csl-citation.json"}</w:instrText>
      </w:r>
      <w:r w:rsidR="005F544E">
        <w:fldChar w:fldCharType="separate"/>
      </w:r>
      <w:r w:rsidR="005F544E" w:rsidRPr="002A6A73">
        <w:rPr>
          <w:noProof/>
        </w:rPr>
        <w:t xml:space="preserve">(Wahlroos </w:t>
      </w:r>
      <w:r w:rsidR="005F544E" w:rsidRPr="002A6A73">
        <w:rPr>
          <w:i/>
          <w:noProof/>
        </w:rPr>
        <w:t>et al.</w:t>
      </w:r>
      <w:r w:rsidR="005F544E" w:rsidRPr="002A6A73">
        <w:rPr>
          <w:noProof/>
        </w:rPr>
        <w:t>, 2017)</w:t>
      </w:r>
      <w:r w:rsidR="005F544E">
        <w:fldChar w:fldCharType="end"/>
      </w:r>
      <w:r>
        <w:t xml:space="preserve">. It was found that WHR from data centres was able to reduce the </w:t>
      </w:r>
      <w:r w:rsidR="00C72679">
        <w:t>operating costs (</w:t>
      </w:r>
      <w:r>
        <w:t>OPEX</w:t>
      </w:r>
      <w:r w:rsidR="00C72679">
        <w:t>)</w:t>
      </w:r>
      <w:r>
        <w:t xml:space="preserve"> of DHNs </w:t>
      </w:r>
      <w:r>
        <w:lastRenderedPageBreak/>
        <w:t>by 0.6 – 7.3%, but contractual problems arose from the different lengths of operating scales in the different industries. Data centres typically worked in one- to five-year cycles whereas DHNs had on fifteen- to forty-year lifespans. Issues arose as the data centres were not always able to guarantee a WH supply for the length of the DHN lifespan.</w:t>
      </w:r>
    </w:p>
    <w:p w14:paraId="5742D247" w14:textId="77777777" w:rsidR="000F16EB" w:rsidRDefault="000F16EB" w:rsidP="000F16EB">
      <w:pPr>
        <w:pStyle w:val="Heading3"/>
      </w:pPr>
      <w:bookmarkStart w:id="183" w:name="_Toc522192732"/>
      <w:bookmarkStart w:id="184" w:name="_Toc525229956"/>
      <w:bookmarkStart w:id="185" w:name="_Ref525661292"/>
      <w:bookmarkStart w:id="186" w:name="_Toc529888270"/>
      <w:bookmarkStart w:id="187" w:name="_Toc7187462"/>
      <w:r>
        <w:t>Problems with Waste Heat Recovery</w:t>
      </w:r>
      <w:bookmarkEnd w:id="183"/>
      <w:bookmarkEnd w:id="184"/>
      <w:bookmarkEnd w:id="185"/>
      <w:bookmarkEnd w:id="186"/>
      <w:bookmarkEnd w:id="187"/>
    </w:p>
    <w:p w14:paraId="3989DC3D" w14:textId="11F470C2" w:rsidR="000F16EB" w:rsidRDefault="000F16EB" w:rsidP="000F16EB">
      <w:r>
        <w:t xml:space="preserve">The majority of industrial WH remains unrecovered despite its vast potential due to both technical and institutional barriers </w:t>
      </w:r>
      <w:r>
        <w:fldChar w:fldCharType="begin" w:fldLock="1"/>
      </w:r>
      <w:r w:rsidR="00FF4B5D">
        <w:instrText>ADDIN CSL_CITATION {"citationItems":[{"id":"ITEM-1","itemData":{"DOI":"10.1016/j.apenergy.2016.06.147","ISSN":"03062619","abstract":"Industrial activities have a huge potential for waste heat recovery. In spite of its high potential, industrial waste heat (IWH) is currently underutilized. This may be due, on one hand, to the technical and economic difficulties in applying conventional heat recovery methods and, on the other, the temporary or geographical mismatch between the energy released and its heat demand. Thermal energy storage (TES) is a technology which can solve the existing mismatch by recovering the IWH and storing it for a later use. Moreover, the use of recovered IWH leads to a decrease of CO2emissions and to economic and energy savings. Depending on the distance between the IWH source and the heat demand, TES systems can be placed on-site or the IWH can be transported by means of mobile TES systems, to an off-site heat demand. Around 50 industry case studies, in which both on-site and off-site recovery systems are considered are here reviewed and discussed taking into account the characteristics of the heat source, the heat, the TES system, and the economic, environmental and energy savings. Besides, the trends and the maturity of the cases reviewed have been considered. On-site TES systems in the basic metals manufacturing are the technology and industrial sector which has focused the most attention among the researchers, respectively. Moreover, water (or steam), erythritol and zeolite are the TES materials used in most industries and space comfort and electricity generation are the most recurrent applications.","author":[{"dropping-particle":"","family":"Miró","given":"Laia","non-dropping-particle":"","parse-names":false,"suffix":""},{"dropping-particle":"","family":"Gasia","given":"Jaume","non-dropping-particle":"","parse-names":false,"suffix":""},{"dropping-particle":"","family":"Cabeza","given":"Luisa F.","non-dropping-particle":"","parse-names":false,"suffix":""}],"container-title":"Applied Energy","id":"ITEM-1","issued":{"date-parts":[["2016"]]},"page":"284-301","title":"Thermal energy storage (TES) for industrial waste heat (IWH) recovery: A review","type":"article-journal","volume":"179"},"uris":["http://www.mendeley.com/documents/?uuid=807c086a-115c-4497-8486-53626242a5ad"]}],"mendeley":{"formattedCitation":"(Miró &lt;i&gt;et al.&lt;/i&gt;, 2016)","plainTextFormattedCitation":"(Miró et al., 2016)","previouslyFormattedCitation":"(Miró &lt;i&gt;et al.&lt;/i&gt;, 2016)"},"properties":{"noteIndex":0},"schema":"https://github.com/citation-style-language/schema/raw/master/csl-citation.json"}</w:instrText>
      </w:r>
      <w:r>
        <w:fldChar w:fldCharType="separate"/>
      </w:r>
      <w:r w:rsidR="005F544E" w:rsidRPr="005F544E">
        <w:rPr>
          <w:noProof/>
        </w:rPr>
        <w:t xml:space="preserve">(Miró </w:t>
      </w:r>
      <w:r w:rsidR="005F544E" w:rsidRPr="005F544E">
        <w:rPr>
          <w:i/>
          <w:noProof/>
        </w:rPr>
        <w:t>et al.</w:t>
      </w:r>
      <w:r w:rsidR="005F544E" w:rsidRPr="005F544E">
        <w:rPr>
          <w:noProof/>
        </w:rPr>
        <w:t>, 2016)</w:t>
      </w:r>
      <w:r>
        <w:fldChar w:fldCharType="end"/>
      </w:r>
      <w:r>
        <w:t xml:space="preserve">. WHR requires large investment costs and </w:t>
      </w:r>
      <w:r w:rsidRPr="005F544E">
        <w:t xml:space="preserve">the installation of inconvenient infrastructure; the investment costs mean that WHR can often take longer than the industrial standard of three or four years to achieve economic payback </w:t>
      </w:r>
      <w:r w:rsidRPr="005F544E">
        <w:rPr>
          <w:rStyle w:val="fontstyle01"/>
          <w:sz w:val="22"/>
          <w:szCs w:val="22"/>
        </w:rPr>
        <w:fldChar w:fldCharType="begin" w:fldLock="1"/>
      </w:r>
      <w:r w:rsidR="002A6A73" w:rsidRPr="005F544E">
        <w:rPr>
          <w:rStyle w:val="fontstyle01"/>
          <w:sz w:val="22"/>
          <w:szCs w:val="22"/>
        </w:rPr>
        <w:instrText>ADDIN CSL_CITATION {"citationItems":[{"id":"ITEM-1","itemData":{"author":[{"dropping-particle":"","family":"Awomewe","given":"Alaba Femi","non-dropping-particle":"","parse-names":false,"suffix":""},{"dropping-particle":"","family":"Ogundele","given":"Oludele Olawale","non-dropping-particle":"","parse-names":false,"suffix":""}],"id":"ITEM-1","issued":{"date-parts":[["2008"]]},"publisher":"Blekinge Institute of Technology","title":"The importance of the payback method in capital budgeting decision","type":"thesis"},"uris":["http://www.mendeley.com/documents/?uuid=1f036eb0-dc50-453a-a78c-82552f58b254"]},{"id":"ITEM-2","itemData":{"abstract":"District heating is based on a simple idea: the distribution of heat from one or more sources to a number of buildings via a network of pipes carrying steam or hot water. Complementing this simplicity is the complexity of the sociotech- nical processes which lead to the initiation (or not) of a network and shape its emerging configuration. The UK Government has recently signalled an interest in substantially in- creasing the deployment of district heating in the UK from the meagre 1–2% of heat demand it currently serves. This interest is driven by the potential of dis- trict heating to help achieve three key goals of energy policy: security of supply, tackling fuel poverty, and mitigating climate change. This dissertation explores the likely fortunes of district heating in the current UK context by employing (and adapting) a Technological Innovation Systems framework. A wide variety of factors are found to be important to successfully initiating schemes and dealing with the complex coordination problems asso- ciated with their growth. There are several reasons to be optimistic about the near-term prospects for district heating, though a number of issues remain to be overcome. One of these is the fact that local authorities occupy a crucial position, but their engagement is frequently described as “patchy”. While this may in part be attributed to an information deficit, this dissertation explores some of the structural issues of local governance that impede the ability of local authorities to play their full role. Options for dealing with these difficulties are discussed.","author":[{"dropping-particle":"","family":"Hawkey","given":"David John Christopher Hawkey","non-dropping-particle":"","parse-names":false,"suffix":""}],"id":"ITEM-2","issued":{"date-parts":[["2009"]]},"publisher":"University of Edinburgh","title":"Will “District Heating Come To Town”? Analysis Of Current Opportunities And Challenges In The UK","type":"thesis"},"uris":["http://www.mendeley.com/documents/?uuid=075d1379-dd7e-4f05-9aaa-9a41103a0b14"]}],"mendeley":{"formattedCitation":"(Awomewe and Ogundele, 2008; Hawkey, 2009)","plainTextFormattedCitation":"(Awomewe and Ogundele, 2008; Hawkey, 2009)","previouslyFormattedCitation":"(Awomewe and Ogundele, 2008; Hawkey, 2009)"},"properties":{"noteIndex":0},"schema":"https://github.com/citation-style-language/schema/raw/master/csl-citation.json"}</w:instrText>
      </w:r>
      <w:r w:rsidRPr="005F544E">
        <w:rPr>
          <w:rStyle w:val="fontstyle01"/>
          <w:sz w:val="22"/>
          <w:szCs w:val="22"/>
        </w:rPr>
        <w:fldChar w:fldCharType="separate"/>
      </w:r>
      <w:r w:rsidR="002A6A73" w:rsidRPr="005F544E">
        <w:rPr>
          <w:rStyle w:val="fontstyle01"/>
          <w:noProof/>
          <w:sz w:val="22"/>
          <w:szCs w:val="22"/>
        </w:rPr>
        <w:t>(Awomewe and Ogundele, 2008; Hawkey, 2009)</w:t>
      </w:r>
      <w:r w:rsidRPr="005F544E">
        <w:rPr>
          <w:rStyle w:val="fontstyle01"/>
          <w:sz w:val="22"/>
          <w:szCs w:val="22"/>
        </w:rPr>
        <w:fldChar w:fldCharType="end"/>
      </w:r>
      <w:r w:rsidRPr="005F544E">
        <w:t>. The</w:t>
      </w:r>
      <w:r>
        <w:t xml:space="preserve"> installation process will often require either a partial or a full plant shut down for a significant period of time, presenting an economic loss potentially larger than a plant operator could allow. The industrial site may lack the necessary information about nearby heat sinks, reducing the perceived demand for any captured WH. </w:t>
      </w:r>
    </w:p>
    <w:p w14:paraId="78D2DFF5" w14:textId="48A2775A" w:rsidR="000F16EB" w:rsidRDefault="000F16EB" w:rsidP="000F16EB">
      <w:r>
        <w:t xml:space="preserve">When WHR is to be used as a heat source for a DHN, more barriers are raised. Due to the high costs of land in urban areas most industrial sites with large potential for WHR are built a significant distance away from any urban area. The cost of a DHN drastically increases with the separation, making a potential DHN economically unviable. DH and WHR sources have different ownership models considering drastically different periods of operation making it hard to draw contracts between the two </w:t>
      </w:r>
      <w:r>
        <w:fldChar w:fldCharType="begin" w:fldLock="1"/>
      </w:r>
      <w:r w:rsidR="002A6A73">
        <w:instrText>ADDIN CSL_CITATION {"citationItems":[{"id":"ITEM-1","itemData":{"DOI":"10.1016/j.rser.2017.10.058","ISSN":"18790690","abstract":"In this study the potential for data center waste heat utilization was analyzed in the Nordic countries. An overview of upcoming data center projects where waste heat is utilized is presented. Especially in Finland data center operators are planning to reuse waste heat in district heating. However, business models between the district heating network operator and data center operator are often not transparent. The implications of economics and emissions on waste heat utilization in district heating were analyzed through life cycle assessment. Currently the biggest barriers for utilizing waste heat are the low quality of waste heat (e.g. low temperature or unstable source of heat) and high investment costs. A systematic 8-step change process was suggested to ensure success in changing the priority of waste heat utilization in the data center and district heating market. Relevant energy efficiency metrics were introduced to support rational decision-making in the reuse of waste heat. Economic calculations showed that the investment payback time is under the estimated lifetime of the heat pump equipment, when waste heat was utilized in district heating. However, the environmental impact of waste heat utilization depends on the fuel, which waste heat replaces.","author":[{"dropping-particle":"","family":"Wahlroos","given":"Mikko","non-dropping-particle":"","parse-names":false,"suffix":""},{"dropping-particle":"","family":"Pärssinen","given":"Matti","non-dropping-particle":"","parse-names":false,"suffix":""},{"dropping-particle":"","family":"Rinne","given":"Samuli","non-dropping-particle":"","parse-names":false,"suffix":""},{"dropping-particle":"","family":"Syri","given":"Sanna","non-dropping-particle":"","parse-names":false,"suffix":""},{"dropping-particle":"","family":"Manner","given":"Jukka","non-dropping-particle":"","parse-names":false,"suffix":""}],"container-title":"Renewable and Sustainable Energy Reviews","id":"ITEM-1","issue":"July 2017","issued":{"date-parts":[["2018"]]},"page":"1749-1764","publisher":"Elsevier Ltd","title":"Future views on waste heat utilization – Case of data centers in Northern Europe","type":"article-journal","volume":"82"},"uris":["http://www.mendeley.com/documents/?uuid=6f1c3f65-b59a-4994-b009-1a0d6233ac76"]}],"mendeley":{"formattedCitation":"(Wahlroos &lt;i&gt;et al.&lt;/i&gt;, 2018)","plainTextFormattedCitation":"(Wahlroos et al., 2018)","previouslyFormattedCitation":"(Wahlroos &lt;i&gt;et al.&lt;/i&gt;, 2018)"},"properties":{"noteIndex":0},"schema":"https://github.com/citation-style-language/schema/raw/master/csl-citation.json"}</w:instrText>
      </w:r>
      <w:r>
        <w:fldChar w:fldCharType="separate"/>
      </w:r>
      <w:r w:rsidR="002A6A73" w:rsidRPr="002A6A73">
        <w:rPr>
          <w:noProof/>
        </w:rPr>
        <w:t xml:space="preserve">(Wahlroos </w:t>
      </w:r>
      <w:r w:rsidR="002A6A73" w:rsidRPr="002A6A73">
        <w:rPr>
          <w:i/>
          <w:noProof/>
        </w:rPr>
        <w:t>et al.</w:t>
      </w:r>
      <w:r w:rsidR="002A6A73" w:rsidRPr="002A6A73">
        <w:rPr>
          <w:noProof/>
        </w:rPr>
        <w:t>, 2018)</w:t>
      </w:r>
      <w:r>
        <w:fldChar w:fldCharType="end"/>
      </w:r>
      <w:r>
        <w:t>.</w:t>
      </w:r>
    </w:p>
    <w:p w14:paraId="4CE6A500" w14:textId="5ECBE8DA" w:rsidR="000F16EB" w:rsidRDefault="000F16EB" w:rsidP="000F16EB">
      <w:r>
        <w:t xml:space="preserve">Greater barriers are found when considering the WHR potential of LGWH </w:t>
      </w:r>
      <w:r>
        <w:fldChar w:fldCharType="begin" w:fldLock="1"/>
      </w:r>
      <w:r w:rsidR="002A6A73">
        <w:instrText>ADDIN CSL_CITATION {"citationItems":[{"id":"ITEM-1","itemData":{"author":[{"dropping-particle":"","family":"O'Rielly","given":"Kristine","non-dropping-particle":"","parse-names":false,"suffix":""},{"dropping-particle":"","family":"Jeswiet","given":"Jack","non-dropping-particle":"","parse-names":false,"suffix":""}],"container-title":"Transactions of the Canadian Society for Mechanical Engineering","id":"ITEM-1","issue":"1","issued":{"date-parts":[["2015"]]},"page":"125-136","title":"Improving Industrial Energy Efficiency through the Implementation of Waste Heat Recovery Systems","type":"article-journal","volume":"39"},"uris":["http://www.mendeley.com/documents/?uuid=dc9eeaf4-2c68-4ab9-8db2-d9625a7b1433"]}],"mendeley":{"formattedCitation":"(O’Rielly and Jeswiet, 2015)","plainTextFormattedCitation":"(O’Rielly and Jeswiet, 2015)","previouslyFormattedCitation":"(O’Rielly and Jeswiet, 2015)"},"properties":{"noteIndex":0},"schema":"https://github.com/citation-style-language/schema/raw/master/csl-citation.json"}</w:instrText>
      </w:r>
      <w:r>
        <w:fldChar w:fldCharType="separate"/>
      </w:r>
      <w:r w:rsidR="002A6A73" w:rsidRPr="002A6A73">
        <w:rPr>
          <w:noProof/>
        </w:rPr>
        <w:t>(O’Rielly and Jeswiet, 2015)</w:t>
      </w:r>
      <w:r>
        <w:fldChar w:fldCharType="end"/>
      </w:r>
      <w:r>
        <w:t xml:space="preserve">. LGWH represents approximately 50% of total heat production, so solving the technical and institutional barriers to the WHR of LGWH should be of key importance. Three major barriers exist for the implementation of LGWH: the corrosion of the HT SA of the WHR equipment, the need for large HT SAs on the WHR equipment, and the difficulties in finding a use for the LGWH. The corrosion occurs when the WH temperature is below the dew point of the WH stream, </w:t>
      </w:r>
      <w:r w:rsidRPr="005429FD">
        <w:t>causing particulates in</w:t>
      </w:r>
      <w:r>
        <w:t xml:space="preserve"> </w:t>
      </w:r>
      <w:r w:rsidRPr="005429FD">
        <w:t xml:space="preserve">the stream </w:t>
      </w:r>
      <w:r>
        <w:t xml:space="preserve">to </w:t>
      </w:r>
      <w:r w:rsidRPr="005429FD">
        <w:t xml:space="preserve">condense and form as droplets on the </w:t>
      </w:r>
      <w:r>
        <w:t>HT</w:t>
      </w:r>
      <w:r w:rsidRPr="005429FD">
        <w:t xml:space="preserve"> </w:t>
      </w:r>
      <w:r>
        <w:t xml:space="preserve">SA. The risk of corrosion with LGWH requires the use of expensive, corrosion resistant materials or large-scale monitoring and maintenance. Large HT SAs are needed as the HT rate is proportional to the sum of the HT SA and the temperature difference between the two streams, as shown in Equation </w:t>
      </w:r>
      <w:r>
        <w:fldChar w:fldCharType="begin"/>
      </w:r>
      <w:r>
        <w:instrText xml:space="preserve"> REF _Ref531100532 \h </w:instrText>
      </w:r>
      <w:r>
        <w:fldChar w:fldCharType="separate"/>
      </w:r>
      <w:r w:rsidR="00CB7456">
        <w:rPr>
          <w:noProof/>
        </w:rPr>
        <w:t>2</w:t>
      </w:r>
      <w:r w:rsidR="00CB7456">
        <w:t>.</w:t>
      </w:r>
      <w:r w:rsidR="00CB7456">
        <w:rPr>
          <w:noProof/>
        </w:rPr>
        <w:t>2</w:t>
      </w:r>
      <w:r>
        <w:fldChar w:fldCharType="end"/>
      </w:r>
      <w:r>
        <w:t xml:space="preserve">. LGWH is hard to find a use for, as most WH uses are at higher temperatures. Consequently, the LGWH must be upgraded using a heat pump. </w:t>
      </w:r>
    </w:p>
    <w:p w14:paraId="4754D986" w14:textId="487294A4" w:rsidR="000F16EB" w:rsidRDefault="000F16EB" w:rsidP="000F16EB">
      <w:r>
        <w:t xml:space="preserve">The WHR potential of LGWH is severely limited by the Carnot cycle </w:t>
      </w:r>
      <w:r>
        <w:fldChar w:fldCharType="begin" w:fldLock="1"/>
      </w:r>
      <w:r w:rsidR="002A6A73">
        <w:instrText>ADDIN CSL_CITATION {"citationItems":[{"id":"ITEM-1","itemData":{"author":[{"dropping-particle":"","family":"Thornley","given":"Patricia","non-dropping-particle":"","parse-names":false,"suffix":""},{"dropping-particle":"","family":"Walsh","given":"Conor","non-dropping-particle":"","parse-names":false,"suffix":""}],"id":"ITEM-1","issued":{"date-parts":[["2010"]]},"publisher-place":"Manchester, England","title":"Addressing the barriers to utilisation of low grade heat from the thermal process industries","type":"report"},"uris":["http://www.mendeley.com/documents/?uuid=dcab237c-b8ef-4e08-91cd-a3aa32e6a613"]}],"mendeley":{"formattedCitation":"(Thornley and Walsh, 2010)","plainTextFormattedCitation":"(Thornley and Walsh, 2010)","previouslyFormattedCitation":"(Thornley and Walsh, 2010)"},"properties":{"noteIndex":0},"schema":"https://github.com/citation-style-language/schema/raw/master/csl-citation.json"}</w:instrText>
      </w:r>
      <w:r>
        <w:fldChar w:fldCharType="separate"/>
      </w:r>
      <w:r w:rsidR="002A6A73" w:rsidRPr="002A6A73">
        <w:rPr>
          <w:noProof/>
        </w:rPr>
        <w:t>(Thornley and Walsh, 2010)</w:t>
      </w:r>
      <w:r>
        <w:fldChar w:fldCharType="end"/>
      </w:r>
      <w:r>
        <w:t xml:space="preserve">. </w:t>
      </w:r>
      <w:r w:rsidRPr="00BA0212">
        <w:t xml:space="preserve">Issues can arise when using </w:t>
      </w:r>
      <w:r>
        <w:t>LGWH</w:t>
      </w:r>
      <w:r w:rsidRPr="00BA0212">
        <w:t xml:space="preserve"> as</w:t>
      </w:r>
      <w:r>
        <w:t xml:space="preserve"> </w:t>
      </w:r>
      <w:r w:rsidRPr="00BA0212">
        <w:t xml:space="preserve">a </w:t>
      </w:r>
      <w:r>
        <w:t>heat</w:t>
      </w:r>
      <w:r w:rsidRPr="00BA0212">
        <w:t xml:space="preserve"> source in DH it can be </w:t>
      </w:r>
      <w:r>
        <w:t>difficult</w:t>
      </w:r>
      <w:r w:rsidRPr="00BA0212">
        <w:t xml:space="preserve"> to combine heat sources</w:t>
      </w:r>
      <w:r>
        <w:t xml:space="preserve"> at different temperatures</w:t>
      </w:r>
      <w:r w:rsidRPr="00BA0212">
        <w:t>,</w:t>
      </w:r>
      <w:r>
        <w:t xml:space="preserve"> to </w:t>
      </w:r>
      <w:r w:rsidRPr="00BA0212">
        <w:t>transport the heat</w:t>
      </w:r>
      <w:r>
        <w:t>,</w:t>
      </w:r>
      <w:r w:rsidRPr="00BA0212">
        <w:t xml:space="preserve"> and</w:t>
      </w:r>
      <w:r>
        <w:t xml:space="preserve"> to</w:t>
      </w:r>
      <w:r w:rsidRPr="00BA0212">
        <w:t xml:space="preserve"> match the energy supply </w:t>
      </w:r>
      <w:r>
        <w:t>to the</w:t>
      </w:r>
      <w:r w:rsidRPr="00BA0212">
        <w:t xml:space="preserve"> demand </w:t>
      </w:r>
      <w:r>
        <w:fldChar w:fldCharType="begin" w:fldLock="1"/>
      </w:r>
      <w:r w:rsidR="00FF4B5D">
        <w:instrText>ADDIN CSL_CITATION {"citationItems":[{"id":"ITEM-1","itemData":{"DOI":"10.1016/j.energy.2015.04.052","ISSN":"03605442","author":[{"dropping-particle":"","family":"Fang","given":"Hao","non-dropping-particle":"","parse-names":false,"suffix":""},{"dropping-particle":"","family":"Xia","given":"Jianjun","non-dropping-particle":"","parse-names":false,"suffix":""},{"dropping-particle":"","family":"Jiang","given":"Yi","non-dropping-particle":"","parse-names":false,"suffix":""}],"container-title":"Energy","id":"ITEM-1","issued":{"date-parts":[["2015"]]},"page":"589-602","publisher":"Elsevier Ltd","title":"Key issues and solutions in a district heating system using low-grade industrial waste heat","type":"article-journal","volume":"86"},"uris":["http://www.mendeley.com/documents/?uuid=089e3245-272e-43a3-8c3b-3813a6c1a70a"]}],"mendeley":{"formattedCitation":"(Fang &lt;i&gt;et al.&lt;/i&gt;, 2015)","plainTextFormattedCitation":"(Fang et al., 2015)","previouslyFormattedCitation":"(Fang &lt;i&gt;et al.&lt;/i&gt;, 2015)"},"properties":{"noteIndex":0},"schema":"https://github.com/citation-style-language/schema/raw/master/csl-citation.json"}</w:instrText>
      </w:r>
      <w:r>
        <w:fldChar w:fldCharType="separate"/>
      </w:r>
      <w:r w:rsidR="005F544E" w:rsidRPr="005F544E">
        <w:rPr>
          <w:noProof/>
        </w:rPr>
        <w:t xml:space="preserve">(Fang </w:t>
      </w:r>
      <w:r w:rsidR="005F544E" w:rsidRPr="005F544E">
        <w:rPr>
          <w:i/>
          <w:noProof/>
        </w:rPr>
        <w:t>et al.</w:t>
      </w:r>
      <w:r w:rsidR="005F544E" w:rsidRPr="005F544E">
        <w:rPr>
          <w:noProof/>
        </w:rPr>
        <w:t>, 2015)</w:t>
      </w:r>
      <w:r>
        <w:fldChar w:fldCharType="end"/>
      </w:r>
      <w:r>
        <w:t>.</w:t>
      </w:r>
    </w:p>
    <w:p w14:paraId="1D29D26F" w14:textId="6B2CF054" w:rsidR="000F16EB" w:rsidRDefault="000F16EB" w:rsidP="000F16EB">
      <w:r>
        <w:t xml:space="preserve">Solutions exist to many of the technical and institutional barriers to the WHR of LGWH, including solutions tailored to the use of DH </w:t>
      </w:r>
      <w:r>
        <w:fldChar w:fldCharType="begin" w:fldLock="1"/>
      </w:r>
      <w:r w:rsidR="00FF4B5D">
        <w:instrText>ADDIN CSL_CITATION {"citationItems":[{"id":"ITEM-1","itemData":{"DOI":"10.1016/j.energy.2015.04.052","ISSN":"03605442","author":[{"dropping-particle":"","family":"Fang","given":"Hao","non-dropping-particle":"","parse-names":false,"suffix":""},{"dropping-particle":"","family":"Xia","given":"Jianjun","non-dropping-particle":"","parse-names":false,"suffix":""},{"dropping-particle":"","family":"Jiang","given":"Yi","non-dropping-particle":"","parse-names":false,"suffix":""}],"container-title":"Energy","id":"ITEM-1","issued":{"date-parts":[["2015"]]},"page":"589-602","publisher":"Elsevier Ltd","title":"Key issues and solutions in a district heating system using low-grade industrial waste heat","type":"article-journal","volume":"86"},"uris":["http://www.mendeley.com/documents/?uuid=089e3245-272e-43a3-8c3b-3813a6c1a70a"]}],"mendeley":{"formattedCitation":"(Fang &lt;i&gt;et al.&lt;/i&gt;, 2015)","plainTextFormattedCitation":"(Fang et al., 2015)","previouslyFormattedCitation":"(Fang &lt;i&gt;et al.&lt;/i&gt;, 2015)"},"properties":{"noteIndex":0},"schema":"https://github.com/citation-style-language/schema/raw/master/csl-citation.json"}</w:instrText>
      </w:r>
      <w:r>
        <w:fldChar w:fldCharType="separate"/>
      </w:r>
      <w:r w:rsidR="005F544E" w:rsidRPr="005F544E">
        <w:rPr>
          <w:noProof/>
        </w:rPr>
        <w:t xml:space="preserve">(Fang </w:t>
      </w:r>
      <w:r w:rsidR="005F544E" w:rsidRPr="005F544E">
        <w:rPr>
          <w:i/>
          <w:noProof/>
        </w:rPr>
        <w:t>et al.</w:t>
      </w:r>
      <w:r w:rsidR="005F544E" w:rsidRPr="005F544E">
        <w:rPr>
          <w:noProof/>
        </w:rPr>
        <w:t>, 2015)</w:t>
      </w:r>
      <w:r>
        <w:fldChar w:fldCharType="end"/>
      </w:r>
      <w:r>
        <w:t xml:space="preserve">. </w:t>
      </w:r>
      <w:r w:rsidRPr="00BA0212">
        <w:t xml:space="preserve">If multiple different </w:t>
      </w:r>
      <w:r>
        <w:t>WH</w:t>
      </w:r>
      <w:r w:rsidRPr="00BA0212">
        <w:t xml:space="preserve"> sources are used</w:t>
      </w:r>
      <w:r>
        <w:t xml:space="preserve"> at multiple temperatures,</w:t>
      </w:r>
      <w:r w:rsidRPr="00BA0212">
        <w:t xml:space="preserve"> it is unlikely that</w:t>
      </w:r>
      <w:r>
        <w:t xml:space="preserve"> the sources</w:t>
      </w:r>
      <w:r w:rsidRPr="00BA0212">
        <w:t xml:space="preserve"> will be</w:t>
      </w:r>
      <w:r>
        <w:t xml:space="preserve"> </w:t>
      </w:r>
      <w:r w:rsidRPr="00BA0212">
        <w:t>heterogeneous</w:t>
      </w:r>
      <w:r>
        <w:t>, but pinch analysis can be used to match the different temperature WH sources.</w:t>
      </w:r>
      <w:r w:rsidRPr="00BA0212">
        <w:t xml:space="preserve"> Transporting the heat across large</w:t>
      </w:r>
      <w:r>
        <w:t xml:space="preserve"> </w:t>
      </w:r>
      <w:r w:rsidRPr="00BA0212">
        <w:t>distance</w:t>
      </w:r>
      <w:r>
        <w:t>s</w:t>
      </w:r>
      <w:r w:rsidRPr="00BA0212">
        <w:t xml:space="preserve"> requires large pumping power</w:t>
      </w:r>
      <w:r>
        <w:t xml:space="preserve">, which </w:t>
      </w:r>
      <w:r>
        <w:lastRenderedPageBreak/>
        <w:t>can be reduced by</w:t>
      </w:r>
      <w:r w:rsidRPr="00BA0212">
        <w:t xml:space="preserve"> reducing the system flow rate. The flow rate can be reduced by</w:t>
      </w:r>
      <w:r>
        <w:t xml:space="preserve"> </w:t>
      </w:r>
      <w:r w:rsidRPr="00BA0212">
        <w:t>increasing the</w:t>
      </w:r>
      <w:r>
        <w:t xml:space="preserve"> </w:t>
      </w:r>
      <w:r w:rsidRPr="00BA0212">
        <w:t>temperature difference between the pipes</w:t>
      </w:r>
      <w:r>
        <w:t>,</w:t>
      </w:r>
      <w:r w:rsidRPr="00BA0212">
        <w:t xml:space="preserve"> reducing the return temperature. The </w:t>
      </w:r>
      <w:r>
        <w:t>WH</w:t>
      </w:r>
      <w:r w:rsidRPr="00BA0212">
        <w:t xml:space="preserve"> supply varies with industrial</w:t>
      </w:r>
      <w:r>
        <w:t xml:space="preserve"> </w:t>
      </w:r>
      <w:r w:rsidRPr="00BA0212">
        <w:t>scheduling</w:t>
      </w:r>
      <w:r>
        <w:t>,</w:t>
      </w:r>
      <w:r w:rsidRPr="00BA0212">
        <w:t xml:space="preserve"> whereas </w:t>
      </w:r>
      <w:r>
        <w:t>HD</w:t>
      </w:r>
      <w:r w:rsidRPr="00BA0212">
        <w:t xml:space="preserve"> varies with the weather and social factors</w:t>
      </w:r>
      <w:r>
        <w:t>; the</w:t>
      </w:r>
      <w:r w:rsidRPr="00BA0212">
        <w:t xml:space="preserve"> two different</w:t>
      </w:r>
      <w:r>
        <w:t xml:space="preserve"> supply and </w:t>
      </w:r>
      <w:r w:rsidRPr="00BA0212">
        <w:t>demand profiles can be hard to match. It is advised to use WHR to provide the base load</w:t>
      </w:r>
      <w:r>
        <w:t xml:space="preserve"> HD</w:t>
      </w:r>
      <w:r w:rsidRPr="00BA0212">
        <w:t xml:space="preserve"> and use peak shaving equipment</w:t>
      </w:r>
      <w:r>
        <w:t>,</w:t>
      </w:r>
      <w:r w:rsidRPr="00BA0212">
        <w:t xml:space="preserve"> such as fossil fuel powered boiler</w:t>
      </w:r>
      <w:r>
        <w:t>s,</w:t>
      </w:r>
      <w:r w:rsidRPr="00BA0212">
        <w:t xml:space="preserve"> to meet</w:t>
      </w:r>
      <w:r>
        <w:t xml:space="preserve"> </w:t>
      </w:r>
      <w:r w:rsidRPr="00BA0212">
        <w:t>peak demands</w:t>
      </w:r>
      <w:r>
        <w:t xml:space="preserve">. </w:t>
      </w:r>
      <w:r w:rsidRPr="00BA0212">
        <w:t>A suggestion of how WHR, peak shaving and other heating</w:t>
      </w:r>
      <w:r>
        <w:t xml:space="preserve"> </w:t>
      </w:r>
      <w:r w:rsidRPr="00BA0212">
        <w:t xml:space="preserve">equipment could be used is </w:t>
      </w:r>
      <w:r>
        <w:t xml:space="preserve">shown in </w:t>
      </w:r>
      <w:r>
        <w:fldChar w:fldCharType="begin"/>
      </w:r>
      <w:r>
        <w:instrText xml:space="preserve"> REF _Ref522006610 \h </w:instrText>
      </w:r>
      <w:r>
        <w:fldChar w:fldCharType="separate"/>
      </w:r>
      <w:r w:rsidR="00CB7456" w:rsidRPr="005F544E">
        <w:t xml:space="preserve">Figure </w:t>
      </w:r>
      <w:r w:rsidR="00CB7456">
        <w:rPr>
          <w:noProof/>
        </w:rPr>
        <w:t>2</w:t>
      </w:r>
      <w:r w:rsidR="00CB7456">
        <w:t>.</w:t>
      </w:r>
      <w:r w:rsidR="00CB7456">
        <w:rPr>
          <w:noProof/>
        </w:rPr>
        <w:t>5</w:t>
      </w:r>
      <w:r>
        <w:fldChar w:fldCharType="end"/>
      </w:r>
      <w:r>
        <w:t>.</w:t>
      </w:r>
    </w:p>
    <w:p w14:paraId="687A9D40" w14:textId="77777777" w:rsidR="000F16EB" w:rsidRDefault="000F16EB" w:rsidP="000F16EB">
      <w:pPr>
        <w:keepNext/>
        <w:jc w:val="center"/>
      </w:pPr>
      <w:r>
        <w:rPr>
          <w:noProof/>
          <w:sz w:val="20"/>
        </w:rPr>
        <w:drawing>
          <wp:inline distT="0" distB="0" distL="0" distR="0" wp14:anchorId="21D8EBEA" wp14:editId="19DF3A7D">
            <wp:extent cx="3168000" cy="3193917"/>
            <wp:effectExtent l="19050" t="19050" r="13970" b="260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s2.0-S0360544215005071-gr12.jpg"/>
                    <pic:cNvPicPr/>
                  </pic:nvPicPr>
                  <pic:blipFill rotWithShape="1">
                    <a:blip r:embed="rId16">
                      <a:extLst>
                        <a:ext uri="{28A0092B-C50C-407E-A947-70E740481C1C}">
                          <a14:useLocalDpi xmlns:a14="http://schemas.microsoft.com/office/drawing/2010/main" val="0"/>
                        </a:ext>
                      </a:extLst>
                    </a:blip>
                    <a:srcRect l="-1342" t="-812" r="-1346" b="-877"/>
                    <a:stretch/>
                  </pic:blipFill>
                  <pic:spPr bwMode="auto">
                    <a:xfrm>
                      <a:off x="0" y="0"/>
                      <a:ext cx="3168000" cy="3193917"/>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2EF918B" w14:textId="6CADDCD0" w:rsidR="000F16EB" w:rsidRPr="005F544E" w:rsidRDefault="000F16EB" w:rsidP="000F16EB">
      <w:pPr>
        <w:pStyle w:val="Caption"/>
      </w:pPr>
      <w:bookmarkStart w:id="188" w:name="_Ref522006610"/>
      <w:bookmarkStart w:id="189" w:name="_Toc525230071"/>
      <w:bookmarkStart w:id="190" w:name="_Toc7187619"/>
      <w:r w:rsidRPr="005F544E">
        <w:t xml:space="preserve">Figure </w:t>
      </w:r>
      <w:fldSimple w:instr=" STYLEREF 1 \s ">
        <w:r w:rsidR="00CB7456">
          <w:rPr>
            <w:noProof/>
          </w:rPr>
          <w:t>2</w:t>
        </w:r>
      </w:fldSimple>
      <w:r w:rsidR="007B29C3">
        <w:t>.</w:t>
      </w:r>
      <w:fldSimple w:instr=" SEQ Figure \* ARABIC \s 1 ">
        <w:r w:rsidR="00CB7456">
          <w:rPr>
            <w:noProof/>
          </w:rPr>
          <w:t>5</w:t>
        </w:r>
      </w:fldSimple>
      <w:bookmarkEnd w:id="188"/>
      <w:r w:rsidRPr="005F544E">
        <w:rPr>
          <w:noProof/>
        </w:rPr>
        <w:t>:</w:t>
      </w:r>
      <w:r w:rsidRPr="005F544E">
        <w:t xml:space="preserve"> Suggested operating schedule of a DHN supplied by industrial WHR and other heat sources </w:t>
      </w:r>
      <w:r w:rsidRPr="005F544E">
        <w:fldChar w:fldCharType="begin" w:fldLock="1"/>
      </w:r>
      <w:r w:rsidR="00FF4B5D">
        <w:instrText>ADDIN CSL_CITATION {"citationItems":[{"id":"ITEM-1","itemData":{"DOI":"10.1016/j.energy.2015.04.052","ISSN":"03605442","author":[{"dropping-particle":"","family":"Fang","given":"Hao","non-dropping-particle":"","parse-names":false,"suffix":""},{"dropping-particle":"","family":"Xia","given":"Jianjun","non-dropping-particle":"","parse-names":false,"suffix":""},{"dropping-particle":"","family":"Jiang","given":"Yi","non-dropping-particle":"","parse-names":false,"suffix":""}],"container-title":"Energy","id":"ITEM-1","issued":{"date-parts":[["2015"]]},"page":"589-602","publisher":"Elsevier Ltd","title":"Key issues and solutions in a district heating system using low-grade industrial waste heat","type":"article-journal","volume":"86"},"uris":["http://www.mendeley.com/documents/?uuid=089e3245-272e-43a3-8c3b-3813a6c1a70a"]}],"mendeley":{"formattedCitation":"(Fang &lt;i&gt;et al.&lt;/i&gt;, 2015)","plainTextFormattedCitation":"(Fang et al., 2015)","previouslyFormattedCitation":"(Fang &lt;i&gt;et al.&lt;/i&gt;, 2015)"},"properties":{"noteIndex":0},"schema":"https://github.com/citation-style-language/schema/raw/master/csl-citation.json"}</w:instrText>
      </w:r>
      <w:r w:rsidRPr="005F544E">
        <w:fldChar w:fldCharType="separate"/>
      </w:r>
      <w:r w:rsidR="005F544E" w:rsidRPr="005F544E">
        <w:rPr>
          <w:noProof/>
        </w:rPr>
        <w:t xml:space="preserve">(Fang </w:t>
      </w:r>
      <w:r w:rsidR="005F544E" w:rsidRPr="005F544E">
        <w:rPr>
          <w:i/>
          <w:noProof/>
        </w:rPr>
        <w:t>et al.</w:t>
      </w:r>
      <w:r w:rsidR="005F544E" w:rsidRPr="005F544E">
        <w:rPr>
          <w:noProof/>
        </w:rPr>
        <w:t>, 2015)</w:t>
      </w:r>
      <w:r w:rsidRPr="005F544E">
        <w:fldChar w:fldCharType="end"/>
      </w:r>
      <w:r w:rsidRPr="005F544E">
        <w:t>.</w:t>
      </w:r>
      <w:bookmarkEnd w:id="189"/>
      <w:bookmarkEnd w:id="190"/>
    </w:p>
    <w:p w14:paraId="7BAF4D8C" w14:textId="02D650D7" w:rsidR="000F16EB" w:rsidRPr="00235D85" w:rsidRDefault="000F16EB" w:rsidP="000F16EB">
      <w:pPr>
        <w:rPr>
          <w:color w:val="FF0000"/>
        </w:rPr>
      </w:pPr>
      <w:r>
        <w:t xml:space="preserve">Reducing the return temperature of the DHN increases the potential for WHR, particularly for LGWH </w:t>
      </w:r>
      <w:r>
        <w:fldChar w:fldCharType="begin" w:fldLock="1"/>
      </w:r>
      <w:r w:rsidR="002A6A73">
        <w:instrText>ADDIN CSL_CITATION {"citationItems":[{"id":"ITEM-1","itemData":{"DOI":"10.1016/j.energy.2016.02.105","ISSN":"03605442","abstract":"In China, district heating systems are facing a dilemma between rapid growth in demand owing to urbanization and environmental problems related to coal-fired boilers. The utilization of industrial surplus heat has great potential on improving the power of heating systems and reducing coal consumption of boilers. However, few industrial systems are constructed under the consideration of district heating. Some features of the surplus heat, such as the position, grade, and production schedule, are significantly different to traditional heat sources. To recover the surplus heat, retrofits of district heating systems are necessary. In this paper, according to the current situations and the future developments, a scheme is proposed to integrate the surplus heat of two steel plants into a large-scale district heating network. Three sources of surplus heat are involved: slag-flushing water, cooling water, and low-pressure steam. The scheme has been partly applied in a corresponding demonstration project. The actual performance proves the feasibility of the integrated system and implies significant benefits in terms of economic cost, CO2emission and pollutant emissions. Furthermore, the potential to extend the scheme in Northern China is also evaluated.","author":[{"dropping-particle":"","family":"Li","given":"Yemao","non-dropping-particle":"","parse-names":false,"suffix":""},{"dropping-particle":"","family":"Xia","given":"Jianjun","non-dropping-particle":"","parse-names":false,"suffix":""},{"dropping-particle":"","family":"Fang","given":"Hao","non-dropping-particle":"","parse-names":false,"suffix":""},{"dropping-particle":"","family":"Su","given":"Yingbo","non-dropping-particle":"","parse-names":false,"suffix":""},{"dropping-particle":"","family":"Jiang","given":"Yi","non-dropping-particle":"","parse-names":false,"suffix":""}],"container-title":"Energy","id":"ITEM-1","issued":{"date-parts":[["2016"]]},"page":"397-405","publisher":"Elsevier Ltd","title":"Case study on industrial surplus heat of steel plants for district heating in Northern China","type":"article-journal","volume":"102"},"uris":["http://www.mendeley.com/documents/?uuid=b289802d-bba4-4292-9e15-8be8eb6c4fdf"]}],"mendeley":{"formattedCitation":"(Y. Li &lt;i&gt;et al.&lt;/i&gt;, 2016)","plainTextFormattedCitation":"(Y. Li et al., 2016)","previouslyFormattedCitation":"(Y. Li &lt;i&gt;et al.&lt;/i&gt;, 2016)"},"properties":{"noteIndex":0},"schema":"https://github.com/citation-style-language/schema/raw/master/csl-citation.json"}</w:instrText>
      </w:r>
      <w:r>
        <w:fldChar w:fldCharType="separate"/>
      </w:r>
      <w:r w:rsidR="002A6A73" w:rsidRPr="002A6A73">
        <w:rPr>
          <w:noProof/>
        </w:rPr>
        <w:t xml:space="preserve">(Y. Li </w:t>
      </w:r>
      <w:r w:rsidR="002A6A73" w:rsidRPr="002A6A73">
        <w:rPr>
          <w:i/>
          <w:noProof/>
        </w:rPr>
        <w:t>et al.</w:t>
      </w:r>
      <w:r w:rsidR="002A6A73" w:rsidRPr="002A6A73">
        <w:rPr>
          <w:noProof/>
        </w:rPr>
        <w:t>, 2016)</w:t>
      </w:r>
      <w:r>
        <w:fldChar w:fldCharType="end"/>
      </w:r>
      <w:r>
        <w:t xml:space="preserve">. The reduction in return temperature can be achieved using absorption HEXs, allowing for more energy transfer to occur in the same mass flow rate of HTF. Increasing the energy transfer allows for a reduced flowrate of the HTF, reducing the pumping needs, and consequently both the CAPEX and OPEX of the DHN. </w:t>
      </w:r>
    </w:p>
    <w:p w14:paraId="0F3EDBB7" w14:textId="77777777" w:rsidR="000F16EB" w:rsidRDefault="000F16EB" w:rsidP="000F16EB">
      <w:pPr>
        <w:pStyle w:val="Heading2"/>
      </w:pPr>
      <w:bookmarkStart w:id="191" w:name="_Toc522192734"/>
      <w:bookmarkStart w:id="192" w:name="_Toc525229957"/>
      <w:bookmarkStart w:id="193" w:name="_Toc529888271"/>
      <w:bookmarkStart w:id="194" w:name="_Toc7187463"/>
      <w:r>
        <w:t>Heat Mapping</w:t>
      </w:r>
      <w:bookmarkEnd w:id="191"/>
      <w:bookmarkEnd w:id="192"/>
      <w:bookmarkEnd w:id="193"/>
      <w:bookmarkEnd w:id="194"/>
    </w:p>
    <w:p w14:paraId="797FA5A9" w14:textId="0AC1D45E" w:rsidR="000F16EB" w:rsidRPr="00E65BCA" w:rsidRDefault="000F16EB" w:rsidP="000F16EB">
      <w:pPr>
        <w:rPr>
          <w:rStyle w:val="fontstyle01"/>
          <w:sz w:val="22"/>
          <w:szCs w:val="22"/>
        </w:rPr>
      </w:pPr>
      <w:r w:rsidRPr="00E65BCA">
        <w:rPr>
          <w:rStyle w:val="fontstyle01"/>
          <w:sz w:val="22"/>
          <w:szCs w:val="22"/>
        </w:rPr>
        <w:t xml:space="preserve">Heat mapping is used to estimate the </w:t>
      </w:r>
      <w:r>
        <w:rPr>
          <w:rStyle w:val="fontstyle01"/>
          <w:sz w:val="22"/>
          <w:szCs w:val="22"/>
        </w:rPr>
        <w:t>HD</w:t>
      </w:r>
      <w:r w:rsidRPr="00E65BCA">
        <w:rPr>
          <w:rStyle w:val="fontstyle01"/>
          <w:sz w:val="22"/>
          <w:szCs w:val="22"/>
        </w:rPr>
        <w:t xml:space="preserve"> in an area, show a possible route for the DHN and identify possible anchor loads. Anchor loads are customers with large, reliable and long-term </w:t>
      </w:r>
      <w:r>
        <w:rPr>
          <w:rStyle w:val="fontstyle01"/>
          <w:sz w:val="22"/>
          <w:szCs w:val="22"/>
        </w:rPr>
        <w:t>HD</w:t>
      </w:r>
      <w:r w:rsidRPr="00E65BCA">
        <w:rPr>
          <w:rStyle w:val="fontstyle01"/>
          <w:sz w:val="22"/>
          <w:szCs w:val="22"/>
        </w:rPr>
        <w:t xml:space="preserve">s that are vital to proving the economic case for any new network </w:t>
      </w:r>
      <w:r w:rsidRPr="00E65BCA">
        <w:rPr>
          <w:rStyle w:val="fontstyle01"/>
          <w:sz w:val="22"/>
          <w:szCs w:val="22"/>
        </w:rPr>
        <w:fldChar w:fldCharType="begin" w:fldLock="1"/>
      </w:r>
      <w:r w:rsidR="002A6A73">
        <w:rPr>
          <w:rStyle w:val="fontstyle01"/>
          <w:sz w:val="22"/>
          <w:szCs w:val="22"/>
        </w:rPr>
        <w:instrText>ADDIN CSL_CITATION {"citationItems":[{"id":"ITEM-1","itemData":{"abstract":"District heating is based on a simple idea: the distribution of heat from one or more sources to a number of buildings via a network of pipes carrying steam or hot water. Complementing this simplicity is the complexity of the sociotech- nical processes which lead to the initiation (or not) of a network and shape its emerging configuration. The UK Government has recently signalled an interest in substantially in- creasing the deployment of district heating in the UK from the meagre 1–2% of heat demand it currently serves. This interest is driven by the potential of dis- trict heating to help achieve three key goals of energy policy: security of supply, tackling fuel poverty, and mitigating climate change. This dissertation explores the likely fortunes of district heating in the current UK context by employing (and adapting) a Technological Innovation Systems framework. A wide variety of factors are found to be important to successfully initiating schemes and dealing with the complex coordination problems asso- ciated with their growth. There are several reasons to be optimistic about the near-term prospects for district heating, though a number of issues remain to be overcome. One of these is the fact that local authorities occupy a crucial position, but their engagement is frequently described as “patchy”. While this may in part be attributed to an information deficit, this dissertation explores some of the structural issues of local governance that impede the ability of local authorities to play their full role. Options for dealing with these difficulties are discussed.","author":[{"dropping-particle":"","family":"Hawkey","given":"David John Christopher Hawkey","non-dropping-particle":"","parse-names":false,"suffix":""}],"id":"ITEM-1","issued":{"date-parts":[["2009"]]},"publisher":"University of Edinburgh","title":"Will “District Heating Come To Town”? Analysis Of Current Opportunities And Challenges In The UK","type":"thesis"},"uris":["http://www.mendeley.com/documents/?uuid=075d1379-dd7e-4f05-9aaa-9a41103a0b14"]}],"mendeley":{"formattedCitation":"(Hawkey, 2009)","plainTextFormattedCitation":"(Hawkey, 2009)","previouslyFormattedCitation":"(Hawkey, 2009)"},"properties":{"noteIndex":0},"schema":"https://github.com/citation-style-language/schema/raw/master/csl-citation.json"}</w:instrText>
      </w:r>
      <w:r w:rsidRPr="00E65BCA">
        <w:rPr>
          <w:rStyle w:val="fontstyle01"/>
          <w:sz w:val="22"/>
          <w:szCs w:val="22"/>
        </w:rPr>
        <w:fldChar w:fldCharType="separate"/>
      </w:r>
      <w:r w:rsidR="002A6A73" w:rsidRPr="002A6A73">
        <w:rPr>
          <w:rStyle w:val="fontstyle01"/>
          <w:noProof/>
          <w:sz w:val="22"/>
          <w:szCs w:val="22"/>
        </w:rPr>
        <w:t>(Hawkey, 2009)</w:t>
      </w:r>
      <w:r w:rsidRPr="00E65BCA">
        <w:rPr>
          <w:rStyle w:val="fontstyle01"/>
          <w:sz w:val="22"/>
          <w:szCs w:val="22"/>
        </w:rPr>
        <w:fldChar w:fldCharType="end"/>
      </w:r>
      <w:r w:rsidRPr="00E65BCA">
        <w:rPr>
          <w:rStyle w:val="fontstyle01"/>
          <w:sz w:val="22"/>
          <w:szCs w:val="22"/>
        </w:rPr>
        <w:t>.</w:t>
      </w:r>
    </w:p>
    <w:p w14:paraId="31034EB7" w14:textId="77777777" w:rsidR="000F16EB" w:rsidRDefault="000F16EB" w:rsidP="000F16EB">
      <w:pPr>
        <w:pStyle w:val="Heading3"/>
      </w:pPr>
      <w:bookmarkStart w:id="195" w:name="_Toc522192735"/>
      <w:bookmarkStart w:id="196" w:name="_Toc525229958"/>
      <w:bookmarkStart w:id="197" w:name="_Toc529888272"/>
      <w:bookmarkStart w:id="198" w:name="_Toc7187464"/>
      <w:r>
        <w:t>Heat Mapping Methodologies</w:t>
      </w:r>
      <w:bookmarkEnd w:id="195"/>
      <w:bookmarkEnd w:id="196"/>
      <w:bookmarkEnd w:id="197"/>
      <w:bookmarkEnd w:id="198"/>
    </w:p>
    <w:p w14:paraId="66EF81F1" w14:textId="5C811A15" w:rsidR="000F16EB" w:rsidRDefault="000F16EB" w:rsidP="000F16EB">
      <w:r>
        <w:t xml:space="preserve">Heat mapping can be performed using one of a variety of techniques including questionnaires, thermal imaging, remote sensing, and/or estimation calculations </w:t>
      </w:r>
      <w:r>
        <w:fldChar w:fldCharType="begin" w:fldLock="1"/>
      </w:r>
      <w:r w:rsidR="002A6A73">
        <w:instrText xml:space="preserve">ADDIN CSL_CITATION {"citationItems":[{"id":"ITEM-1","itemData":{"DOI":"10.1016/j.enconman.2012.03.006","ISBN":"01968904","ISSN":"01968904","abstract":"District heating can provide cost-effective and low-carbon energy to local populations, such as space heating in winter and year-round hot/cold water; this is also associated with electricity generation in combined-heat-and-power systems. Although this is currently rare in the UK, many legislative policies, including the Renewable Heat Incentive, aim to increase the amount of energy from such sources; including new installations, as well as extending/upgrading existing distributed energy schemes. Sheffield already has an award-winning district energy network, incorporating city-wide heat distribution. This paper aimed to demonstrate the opportunities for expansions to this through geographical information systems software modelling for an in-depth analysis of the heat demands in the city. ‘Heat maps’ were produced, locating existing and emerging heat sources and sinks. Heat loads (industrial, commercial, educational, health care, council and leisure facilities/complex) total 53MW, with existing residential areas accounting for </w:instrText>
      </w:r>
      <w:r w:rsidR="002A6A73">
        <w:rPr>
          <w:rFonts w:ascii="Cambria Math" w:hAnsi="Cambria Math" w:cs="Cambria Math"/>
        </w:rPr>
        <w:instrText>∼</w:instrText>
      </w:r>
      <w:r w:rsidR="002A6A73">
        <w:instrText>1500MW and new housing developments potentially adding a further 35MW in the future. A number of current and emerging heat sources were also discovered – potential suppliers of thermal energy to the above-defined heat sinks. From these, six ‘heat zones’ where an expansion to the existing network could be possible were identified and the infrastructure planned for each development.","author":[{"dropping-particle":"","family":"Finney","given":"Karen N.","non-dropping-particle":"","parse-names":false,"suffix":""},{"dropping-particle":"","family":"Sharifi","given":"Vida N.","non-dropping-particle":"","parse-names":false,"suffix":""},{"dropping-particle":"","family":"Swithenbank","given":"Jim","non-dropping-particle":"","parse-names":false,"suffix":""},{"dropping-particle":"","family":"Nolan","given":"Andy","non-dropping-particle":"","parse-names":false,"suffix":""},{"dropping-particle":"","family":"White","given":"Simon","non-dropping-particle":"","parse-names":false,"suffix":""},{"dropping-particle":"","family":"Ogden","given":"Simon","non-dropping-particle":"","parse-names":false,"suffix":""}],"container-title":"Energy Conversion and Management","id":"ITEM-1","issued":{"date-parts":[["2012"]]},"page":"165-175","publisher":"Elsevier Ltd","title":"Developments to an existing city-wide district energy network – Part I: Identification of potential expansions using heat mapping","type":"article-journal","volume":"62"},"uris":["http://www.mendeley.com/documents/?uuid=cff41c61-20f7-4b1e-ba33-764fb84901d7"]}],"mendeley":{"formattedCitation":"(Finney &lt;i&gt;et al.&lt;/i&gt;, 2012)","plainTextFormattedCitation":"(Finney et al., 2012)","previouslyFormattedCitation":"(Finney &lt;i&gt;et al.&lt;/i&gt;, 2012)"},"properties":{"noteIndex":0},"schema":"https://github.com/citation-style-language/schema/raw/master/csl-citation.json"}</w:instrText>
      </w:r>
      <w:r>
        <w:fldChar w:fldCharType="separate"/>
      </w:r>
      <w:r w:rsidR="002A6A73" w:rsidRPr="002A6A73">
        <w:rPr>
          <w:noProof/>
        </w:rPr>
        <w:t xml:space="preserve">(Finney </w:t>
      </w:r>
      <w:r w:rsidR="002A6A73" w:rsidRPr="002A6A73">
        <w:rPr>
          <w:i/>
          <w:noProof/>
        </w:rPr>
        <w:t>et al.</w:t>
      </w:r>
      <w:r w:rsidR="002A6A73" w:rsidRPr="002A6A73">
        <w:rPr>
          <w:noProof/>
        </w:rPr>
        <w:t>, 2012)</w:t>
      </w:r>
      <w:r>
        <w:fldChar w:fldCharType="end"/>
      </w:r>
      <w:r>
        <w:t xml:space="preserve">. Collecting questionnaires is a highly accurate way of obtaining HD information for individual buildings. However, collecting questionnaires for an entire city district is time consuming and the process is only accurate with a high response rate. </w:t>
      </w:r>
      <w:r w:rsidRPr="00417E36">
        <w:rPr>
          <w:noProof/>
        </w:rPr>
        <w:t>López</w:t>
      </w:r>
      <w:r>
        <w:t xml:space="preserve">-Aparicio </w:t>
      </w:r>
      <w:r w:rsidRPr="006A7FED">
        <w:rPr>
          <w:i/>
        </w:rPr>
        <w:t>et al</w:t>
      </w:r>
      <w:r>
        <w:t xml:space="preserve">. ran a questionnaire based mapping process to improve on public knowledge of the emissions </w:t>
      </w:r>
      <w:r>
        <w:lastRenderedPageBreak/>
        <w:t>produced by domestic, wood burning heating systems</w:t>
      </w:r>
      <w:r w:rsidR="005F544E">
        <w:t xml:space="preserve"> </w:t>
      </w:r>
      <w:r w:rsidR="005F544E">
        <w:fldChar w:fldCharType="begin" w:fldLock="1"/>
      </w:r>
      <w:r w:rsidR="005F544E">
        <w:instrText>ADDIN CSL_CITATION {"citationItems":[{"id":"ITEM-1","itemData":{"DOI":"10.1016/j.jenvman.2017.01.018","ISBN":"0301-4797","ISSN":"10958630","PMID":"28092754","abstract":"A crowdsourcing study supported by a public participation GIS tool was designed and carried out in two Norwegian regions. The aim was to improve the knowledge about emissions from wood burning for residential heating in urban areas based on the collection of citizens’ localized insights. We focus on three main issues: 1) type of dwelling and residential heating source; 2) wood consumption and type of wood appliances; and 3) citizens’ perception of the urban environment. Our study shows the importance of wood burning for residential heating, and of the resulted particle emissions, in Norwegian urban areas. Citizens’ localized insights on environmental perception highlight the areas in the city that require particular attention as part of clean air strategies. Information about environmental perception is combined with existing environmental data showing certain correlation. The results support the urban environmental management based on co-benefit approaches, achieving several outcomes from a single policy measure. Measures to reduce urban air pollution will have a positive impact on the citizens’ environmental perception, and therefore on their quality of life, in addition to reducing the negative consequences of air pollution on human health. The characterization of residential heating by fuelwood is still a challenging activity. Our study shows the potential of a crowdsourcing method as means for bottom-up approaches designed to increase our knowledge on human activities at urban scale that result on emissions.","author":[{"dropping-particle":"","family":"López-Aparicio","given":"Susana","non-dropping-particle":"","parse-names":false,"suffix":""},{"dropping-particle":"","family":"Vogt","given":"Matthias","non-dropping-particle":"","parse-names":false,"suffix":""},{"dropping-particle":"","family":"Schneider","given":"Philipp","non-dropping-particle":"","parse-names":false,"suffix":""},{"dropping-particle":"","family":"Kahila-Tani","given":"Maarit","non-dropping-particle":"","parse-names":false,"suffix":""},{"dropping-particle":"","family":"Broberg","given":"Anna","non-dropping-particle":"","parse-names":false,"suffix":""}],"container-title":"Journal of Environmental Management","id":"ITEM-1","issued":{"date-parts":[["2017"]]},"page":"179-188","title":"Public participation GIS for improving wood burning emissions from residential heating and urban environmental management","type":"article-journal","volume":"191"},"uris":["http://www.mendeley.com/documents/?uuid=8c4d9e56-8226-4663-94de-c78f1d31163e"]}],"mendeley":{"formattedCitation":"(López-Aparicio &lt;i&gt;et al.&lt;/i&gt;, 2017)","plainTextFormattedCitation":"(López-Aparicio et al., 2017)","previouslyFormattedCitation":"(López-Aparicio &lt;i&gt;et al.&lt;/i&gt;, 2017)"},"properties":{"noteIndex":0},"schema":"https://github.com/citation-style-language/schema/raw/master/csl-citation.json"}</w:instrText>
      </w:r>
      <w:r w:rsidR="005F544E">
        <w:fldChar w:fldCharType="separate"/>
      </w:r>
      <w:r w:rsidR="005F544E" w:rsidRPr="002A6A73">
        <w:rPr>
          <w:noProof/>
        </w:rPr>
        <w:t xml:space="preserve">(López-Aparicio </w:t>
      </w:r>
      <w:r w:rsidR="005F544E" w:rsidRPr="002A6A73">
        <w:rPr>
          <w:i/>
          <w:noProof/>
        </w:rPr>
        <w:t>et al.</w:t>
      </w:r>
      <w:r w:rsidR="005F544E" w:rsidRPr="002A6A73">
        <w:rPr>
          <w:noProof/>
        </w:rPr>
        <w:t>, 2017)</w:t>
      </w:r>
      <w:r w:rsidR="005F544E">
        <w:fldChar w:fldCharType="end"/>
      </w:r>
      <w:r>
        <w:t xml:space="preserve">. The study asked questions on three themes: place and type of residence, characteristics of the wood burning system, and the users’ perception of the environmental effects of wood burning. The authors concluded that the public participation process was an accurate method of mapping the local area, but it required careful consideration of the participatory process. </w:t>
      </w:r>
    </w:p>
    <w:p w14:paraId="0D58F4FD" w14:textId="2241518B" w:rsidR="000F16EB" w:rsidRDefault="000F16EB" w:rsidP="000F16EB">
      <w:r>
        <w:t xml:space="preserve">Thermal imaging and remote sensing are both highly accurate, but are expensive and cannot account for seasonality of data </w:t>
      </w:r>
      <w:r>
        <w:fldChar w:fldCharType="begin" w:fldLock="1"/>
      </w:r>
      <w:r w:rsidR="002A6A73">
        <w:instrText xml:space="preserve">ADDIN CSL_CITATION {"citationItems":[{"id":"ITEM-1","itemData":{"DOI":"10.1016/j.enconman.2012.03.006","ISBN":"01968904","ISSN":"01968904","abstract":"District heating can provide cost-effective and low-carbon energy to local populations, such as space heating in winter and year-round hot/cold water; this is also associated with electricity generation in combined-heat-and-power systems. Although this is currently rare in the UK, many legislative policies, including the Renewable Heat Incentive, aim to increase the amount of energy from such sources; including new installations, as well as extending/upgrading existing distributed energy schemes. Sheffield already has an award-winning district energy network, incorporating city-wide heat distribution. This paper aimed to demonstrate the opportunities for expansions to this through geographical information systems software modelling for an in-depth analysis of the heat demands in the city. ‘Heat maps’ were produced, locating existing and emerging heat sources and sinks. Heat loads (industrial, commercial, educational, health care, council and leisure facilities/complex) total 53MW, with existing residential areas accounting for </w:instrText>
      </w:r>
      <w:r w:rsidR="002A6A73">
        <w:rPr>
          <w:rFonts w:ascii="Cambria Math" w:hAnsi="Cambria Math" w:cs="Cambria Math"/>
        </w:rPr>
        <w:instrText>∼</w:instrText>
      </w:r>
      <w:r w:rsidR="002A6A73">
        <w:instrText xml:space="preserve">1500MW and new housing developments potentially adding a further 35MW in the future. A number of current and emerging heat sources were also discovered </w:instrText>
      </w:r>
      <w:r w:rsidR="002A6A73">
        <w:rPr>
          <w:rFonts w:ascii="Calibri" w:hAnsi="Calibri" w:cs="Calibri"/>
        </w:rPr>
        <w:instrText>–</w:instrText>
      </w:r>
      <w:r w:rsidR="002A6A73">
        <w:instrText xml:space="preserve"> potential suppliers of thermal energy to the above-defined heat sinks. From these, six ‘heat zones’ where an expansion to the existing network could be possible were identified and the infrastructure planned for each development.","author":[{"dropping-particle":"","family":"Finney","given":"Karen N.","non-dropping-particle":"","parse-names":false,"suffix":""},{"dropping-particle":"","family":"Sharifi","given":"Vida N.","non-dropping-particle":"","parse-names":false,"suffix":""},{"dropping-particle":"","family":"Swithenbank","given":"Jim","non-dropping-particle":"","parse-names":false,"suffix":""},{"dropping-particle":"","family":"Nolan","given":"Andy","non-dropping-particle":"","parse-names":false,"suffix":""},{"dropping-particle":"","family":"White","given":"Simon","non-dropping-particle":"","parse-names":false,"suffix":""},{"dropping-particle":"","family":"Ogden","given":"Simon","non-dropping-particle":"","parse-names":false,"suffix":""}],"container-title":"Energy Conversion and Management","id":"ITEM-1","issued":{"date-parts":[["2012"]]},"page":"165-175","publisher":"Elsevier Ltd","title":"Developments to an existing city-wide district energy network – Part I: Identification of potential expansions using heat mapping","type":"article-journal","volume":"62"},"uris":["http://www.mendeley.com/documents/?uuid=cff41c61-20f7-4b1e-ba33-764fb84901d7"]}],"mendeley":{"formattedCitation":"(Finney &lt;i&gt;et al.&lt;/i&gt;, 2012)","plainTextFormattedCitation":"(Finney et al., 2012)","previouslyFormattedCitation":"(Finney &lt;i&gt;et al.&lt;/i&gt;, 2012)"},"properties":{"noteIndex":0},"schema":"https://github.com/citation-style-language/schema/raw/master/csl-citation.json"}</w:instrText>
      </w:r>
      <w:r>
        <w:fldChar w:fldCharType="separate"/>
      </w:r>
      <w:r w:rsidR="002A6A73" w:rsidRPr="002A6A73">
        <w:rPr>
          <w:noProof/>
        </w:rPr>
        <w:t xml:space="preserve">(Finney </w:t>
      </w:r>
      <w:r w:rsidR="002A6A73" w:rsidRPr="002A6A73">
        <w:rPr>
          <w:i/>
          <w:noProof/>
        </w:rPr>
        <w:t>et al.</w:t>
      </w:r>
      <w:r w:rsidR="002A6A73" w:rsidRPr="002A6A73">
        <w:rPr>
          <w:noProof/>
        </w:rPr>
        <w:t>, 2012)</w:t>
      </w:r>
      <w:r>
        <w:fldChar w:fldCharType="end"/>
      </w:r>
      <w:r>
        <w:t>. Curran and Hobson  mapped the HD density of Sheffield using remotely sensed data from the Landsat M</w:t>
      </w:r>
      <w:r w:rsidRPr="00FF55AF">
        <w:t>ultispectral Scanning System</w:t>
      </w:r>
      <w:r w:rsidR="005F544E">
        <w:t xml:space="preserve"> </w:t>
      </w:r>
      <w:r w:rsidR="005F544E">
        <w:fldChar w:fldCharType="begin" w:fldLock="1"/>
      </w:r>
      <w:r w:rsidR="005F544E">
        <w:instrText>ADDIN CSL_CITATION {"citationItems":[{"id":"ITEM-1","itemData":{"ISBN":"0308-518X","author":[{"dropping-particle":"","family":"Curran","given":"P J","non-dropping-particle":"","parse-names":false,"suffix":""},{"dropping-particle":"","family":"Hobson","given":"T A","non-dropping-particle":"","parse-names":false,"suffix":""}],"container-title":"Environment and Planning A: Economy and Space","id":"ITEM-1","issue":"12","issued":{"date-parts":[["1987"]]},"page":"1597-1610","title":"Landsat MSS imagery to estimate residential heat-load density","type":"article-journal","volume":"19"},"uris":["http://www.mendeley.com/documents/?uuid=2766e20d-e005-4b0d-b987-9a0dee917bfd"]}],"mendeley":{"formattedCitation":"(Curran and Hobson, 1987)","plainTextFormattedCitation":"(Curran and Hobson, 1987)","previouslyFormattedCitation":"(Curran and Hobson, 1987)"},"properties":{"noteIndex":0},"schema":"https://github.com/citation-style-language/schema/raw/master/csl-citation.json"}</w:instrText>
      </w:r>
      <w:r w:rsidR="005F544E">
        <w:fldChar w:fldCharType="separate"/>
      </w:r>
      <w:r w:rsidR="005F544E" w:rsidRPr="002A6A73">
        <w:rPr>
          <w:noProof/>
        </w:rPr>
        <w:t>(Curran and Hobson, 1987)</w:t>
      </w:r>
      <w:r w:rsidR="005F544E">
        <w:fldChar w:fldCharType="end"/>
      </w:r>
      <w:r>
        <w:t xml:space="preserve">. The system took photos of the area, recording the radiance of different colours and the corresponding wavelengths: </w:t>
      </w:r>
      <w:r w:rsidRPr="00FF55AF">
        <w:t xml:space="preserve">green </w:t>
      </w:r>
      <w:r>
        <w:t>(</w:t>
      </w:r>
      <w:r w:rsidRPr="00FF55AF">
        <w:t>0.5</w:t>
      </w:r>
      <w:r>
        <w:t xml:space="preserve"> – </w:t>
      </w:r>
      <w:r w:rsidRPr="00FF55AF">
        <w:t xml:space="preserve">0.6 </w:t>
      </w:r>
      <w:proofErr w:type="spellStart"/>
      <w:r>
        <w:t>μ</w:t>
      </w:r>
      <w:r w:rsidRPr="00FF55AF">
        <w:t>m</w:t>
      </w:r>
      <w:proofErr w:type="spellEnd"/>
      <w:r>
        <w:t>)</w:t>
      </w:r>
      <w:r w:rsidRPr="00FF55AF">
        <w:t xml:space="preserve">, red </w:t>
      </w:r>
      <w:r>
        <w:t>(</w:t>
      </w:r>
      <w:r w:rsidRPr="00FF55AF">
        <w:t>0.6</w:t>
      </w:r>
      <w:r>
        <w:t> – </w:t>
      </w:r>
      <w:r w:rsidRPr="00FF55AF">
        <w:t>0.7</w:t>
      </w:r>
      <w:r>
        <w:t> </w:t>
      </w:r>
      <w:proofErr w:type="spellStart"/>
      <w:r>
        <w:t>μ</w:t>
      </w:r>
      <w:r w:rsidRPr="00FF55AF">
        <w:t>m</w:t>
      </w:r>
      <w:proofErr w:type="spellEnd"/>
      <w:r>
        <w:t>)</w:t>
      </w:r>
      <w:r w:rsidRPr="00FF55AF">
        <w:t xml:space="preserve">, and near infrared </w:t>
      </w:r>
      <w:r>
        <w:t>(</w:t>
      </w:r>
      <w:r w:rsidRPr="00FF55AF">
        <w:t>0.7</w:t>
      </w:r>
      <w:r>
        <w:t xml:space="preserve"> – </w:t>
      </w:r>
      <w:r w:rsidRPr="00FF55AF">
        <w:t xml:space="preserve">1.0 </w:t>
      </w:r>
      <w:proofErr w:type="spellStart"/>
      <w:r>
        <w:t>μ</w:t>
      </w:r>
      <w:r w:rsidRPr="00FF55AF">
        <w:t>m</w:t>
      </w:r>
      <w:proofErr w:type="spellEnd"/>
      <w:r>
        <w:t xml:space="preserve">). The dataset was producer faster than and shown to be as accurate as other geographical information system (GIS) techniques but, it was unable to distinguish between more than four classes of HD density. </w:t>
      </w:r>
    </w:p>
    <w:p w14:paraId="28BB39BF" w14:textId="14847B2E" w:rsidR="000F16EB" w:rsidRDefault="000F16EB" w:rsidP="000F16EB">
      <w:r>
        <w:t xml:space="preserve">Estimation calculations can be accurate, depending on the accuracy of the calculations and the assumptions used </w:t>
      </w:r>
      <w:r>
        <w:fldChar w:fldCharType="begin" w:fldLock="1"/>
      </w:r>
      <w:r w:rsidR="002A6A73">
        <w:instrText xml:space="preserve">ADDIN CSL_CITATION {"citationItems":[{"id":"ITEM-1","itemData":{"DOI":"10.1016/j.enconman.2012.03.006","ISBN":"01968904","ISSN":"01968904","abstract":"District heating can provide cost-effective and low-carbon energy to local populations, such as space heating in winter and year-round hot/cold water; this is also associated with electricity generation in combined-heat-and-power systems. Although this is currently rare in the UK, many legislative policies, including the Renewable Heat Incentive, aim to increase the amount of energy from such sources; including new installations, as well as extending/upgrading existing distributed energy schemes. Sheffield already has an award-winning district energy network, incorporating city-wide heat distribution. This paper aimed to demonstrate the opportunities for expansions to this through geographical information systems software modelling for an in-depth analysis of the heat demands in the city. ‘Heat maps’ were produced, locating existing and emerging heat sources and sinks. Heat loads (industrial, commercial, educational, health care, council and leisure facilities/complex) total 53MW, with existing residential areas accounting for </w:instrText>
      </w:r>
      <w:r w:rsidR="002A6A73">
        <w:rPr>
          <w:rFonts w:ascii="Cambria Math" w:hAnsi="Cambria Math" w:cs="Cambria Math"/>
        </w:rPr>
        <w:instrText>∼</w:instrText>
      </w:r>
      <w:r w:rsidR="002A6A73">
        <w:instrText>1500MW and new housing developments potentially adding a further 35MW in the future. A number of current and emerging heat sources were also discovered – potential suppliers of thermal energy to the above-defined heat sinks. From these, six ‘heat zones’ where an expansion to the existing network could be possible were identified and the infrastructure planned for each development.","author":[{"dropping-particle":"","family":"Finney","given":"Karen N.","non-dropping-particle":"","parse-names":false,"suffix":""},{"dropping-particle":"","family":"Sharifi","given":"Vida N.","non-dropping-particle":"","parse-names":false,"suffix":""},{"dropping-particle":"","family":"Swithenbank","given":"Jim","non-dropping-particle":"","parse-names":false,"suffix":""},{"dropping-particle":"","family":"Nolan","given":"Andy","non-dropping-particle":"","parse-names":false,"suffix":""},{"dropping-particle":"","family":"White","given":"Simon","non-dropping-particle":"","parse-names":false,"suffix":""},{"dropping-particle":"","family":"Ogden","given":"Simon","non-dropping-particle":"","parse-names":false,"suffix":""}],"container-title":"Energy Conversion and Management","id":"ITEM-1","issued":{"date-parts":[["2012"]]},"page":"165-175","publisher":"Elsevier Ltd","title":"Developments to an existing city-wide district energy network – Part I: Identification of potential expansions using heat mapping","type":"article-journal","volume":"62"},"uris":["http://www.mendeley.com/documents/?uuid=cff41c61-20f7-4b1e-ba33-764fb84901d7"]}],"mendeley":{"formattedCitation":"(Finney &lt;i&gt;et al.&lt;/i&gt;, 2012)","plainTextFormattedCitation":"(Finney et al., 2012)","previouslyFormattedCitation":"(Finney &lt;i&gt;et al.&lt;/i&gt;, 2012)"},"properties":{"noteIndex":0},"schema":"https://github.com/citation-style-language/schema/raw/master/csl-citation.json"}</w:instrText>
      </w:r>
      <w:r>
        <w:fldChar w:fldCharType="separate"/>
      </w:r>
      <w:r w:rsidR="002A6A73" w:rsidRPr="002A6A73">
        <w:rPr>
          <w:noProof/>
        </w:rPr>
        <w:t xml:space="preserve">(Finney </w:t>
      </w:r>
      <w:r w:rsidR="002A6A73" w:rsidRPr="002A6A73">
        <w:rPr>
          <w:i/>
          <w:noProof/>
        </w:rPr>
        <w:t>et al.</w:t>
      </w:r>
      <w:r w:rsidR="002A6A73" w:rsidRPr="002A6A73">
        <w:rPr>
          <w:noProof/>
        </w:rPr>
        <w:t>, 2012)</w:t>
      </w:r>
      <w:r>
        <w:fldChar w:fldCharType="end"/>
      </w:r>
      <w:r>
        <w:t xml:space="preserve">. </w:t>
      </w:r>
      <w:r w:rsidRPr="0027420B">
        <w:rPr>
          <w:noProof/>
        </w:rPr>
        <w:t xml:space="preserve">Schweiger </w:t>
      </w:r>
      <w:r w:rsidRPr="006A7FED">
        <w:rPr>
          <w:i/>
        </w:rPr>
        <w:t>et al</w:t>
      </w:r>
      <w:r>
        <w:t>. used GIS techniques to map the hourly variation in HD using a piecewise linear correlation between the outdoor temperature and the HD</w:t>
      </w:r>
      <w:r w:rsidR="005F544E">
        <w:t xml:space="preserve"> </w:t>
      </w:r>
      <w:r w:rsidR="005F544E">
        <w:fldChar w:fldCharType="begin" w:fldLock="1"/>
      </w:r>
      <w:r w:rsidR="005F544E">
        <w:instrText>ADDIN CSL_CITATION {"citationItems":[{"id":"ITEM-1","itemData":{"DOI":"10.1016/j.energy.2017.02.075","ISSN":"03605442","abstract":"The main challenge for future electricity systems is to match the available electricity from variable renewable resources with the electricity demand in place, time and quantity. One option for increasing electricity system flexibility is to integrate the electricity system with the district heating systems via the use of power-to-heat technologies such as electric boilers. The overarching objective of this paper is to increase the understanding of what role power-to-heat could have in Sweden and to contribute to the development of methods and tools that can be applied when analysing the potential of power-to-heat. For that purpose we estimate the technical potential of power-to-heat for different power scenarios and assumptions and identify key parameters which have significant impact on the potential. The calculations are based on hourly simulations of electricity production, electricity consumption and district heat load. The power-to-heat potential was estimated to 0.2–8.6 TWh, where the potentials at the higher end pertain to scenarios with high amounts of wind and solar power production (corresponding to 54–64% of electricity consumption). Access to thermal storage increases the potential of power-to-heat while the use of industrial waste heat and heat from waste incineration in the district heat load reduces the potential.","author":[{"dropping-particle":"","family":"Schweiger","given":"Gerald","non-dropping-particle":"","parse-names":false,"suffix":""},{"dropping-particle":"","family":"Rantzer","given":"Jonatan","non-dropping-particle":"","parse-names":false,"suffix":""},{"dropping-particle":"","family":"Ericsson","given":"Karin","non-dropping-particle":"","parse-names":false,"suffix":""},{"dropping-particle":"","family":"Lauenburg","given":"Patrick","non-dropping-particle":"","parse-names":false,"suffix":""}],"container-title":"Energy","id":"ITEM-1","issued":{"date-parts":[["2017"]]},"page":"661-669","publisher":"Elsevier Ltd","title":"The potential of power-to-heat in Swedish district heating systems","type":"article-journal","volume":"137"},"uris":["http://www.mendeley.com/documents/?uuid=29def676-8277-419e-b619-fae3cb29d3b5"]}],"mendeley":{"formattedCitation":"(Schweiger &lt;i&gt;et al.&lt;/i&gt;, 2017)","plainTextFormattedCitation":"(Schweiger et al., 2017)","previouslyFormattedCitation":"(Schweiger &lt;i&gt;et al.&lt;/i&gt;, 2017)"},"properties":{"noteIndex":0},"schema":"https://github.com/citation-style-language/schema/raw/master/csl-citation.json"}</w:instrText>
      </w:r>
      <w:r w:rsidR="005F544E">
        <w:fldChar w:fldCharType="separate"/>
      </w:r>
      <w:r w:rsidR="005F544E" w:rsidRPr="002A6A73">
        <w:rPr>
          <w:noProof/>
        </w:rPr>
        <w:t xml:space="preserve">(Schweiger </w:t>
      </w:r>
      <w:r w:rsidR="005F544E" w:rsidRPr="002A6A73">
        <w:rPr>
          <w:i/>
          <w:noProof/>
        </w:rPr>
        <w:t>et al.</w:t>
      </w:r>
      <w:r w:rsidR="005F544E" w:rsidRPr="002A6A73">
        <w:rPr>
          <w:noProof/>
        </w:rPr>
        <w:t>, 2017)</w:t>
      </w:r>
      <w:r w:rsidR="005F544E">
        <w:fldChar w:fldCharType="end"/>
      </w:r>
      <w:r>
        <w:t xml:space="preserve">. The authors noted that the methodology used was an over simplification of the hourly HD variation, that should only be used for estimation purposes. </w:t>
      </w:r>
      <w:r w:rsidRPr="00FA6B05">
        <w:rPr>
          <w:noProof/>
        </w:rPr>
        <w:t xml:space="preserve">Delmastro </w:t>
      </w:r>
      <w:r w:rsidRPr="006A7FED">
        <w:rPr>
          <w:i/>
        </w:rPr>
        <w:t>et al</w:t>
      </w:r>
      <w:r>
        <w:t>. assessed the TE consumption of buildings, particularly focusing on the space heating (SH) demand</w:t>
      </w:r>
      <w:r w:rsidR="005F544E">
        <w:t xml:space="preserve"> </w:t>
      </w:r>
      <w:r w:rsidR="005F544E">
        <w:fldChar w:fldCharType="begin" w:fldLock="1"/>
      </w:r>
      <w:r w:rsidR="00FF4B5D">
        <w:instrText>ADDIN CSL_CITATION {"citationItems":[{"id":"ITEM-1","itemData":{"DOI":"10.1007/s40095-015-0161-5","ISSN":"22516832","abstract":"Abstract The European buildings occupy a key place among the major energy consumer sectors, with high sav- ings potential. The development of urban planning tools helpful to understand the right policy strategies turning the settled sustainable targets into real energy consumption savings is now a real challenge. Into this paper is described a methodology, for the mid-long term scenarios analysis, able to asses the buildings energy consumption of a municipality by means of a simulation approach and of a geo-referenced characterization of the stock. A thermal model, based on real consumption data, has been used to evaluate space heating energy demand; different savings opportunities have been simulated. Moreover, from the geo-referenced representation of the district heating network, through the integrated procedure, it is possible to perform the optimi- zation of the network layout. A case study application in Turin is presented. Main results are the evaluation of energy consumptions, total costs of the interventions and the release of policy suggestions. Thanks to geo-referenced maps is allowed to put in evidence criticalities and policy effects through thematic maps. The methodology highlights the advantages of coupling a geographical information system application and energy demand forecasting model to build up a tool aimed at supporting decision-making.","author":[{"dropping-particle":"","family":"Delmastro","given":"Chiara","non-dropping-particle":"","parse-names":false,"suffix":""},{"dropping-particle":"","family":"Mutani","given":"Guglielmina","non-dropping-particle":"","parse-names":false,"suffix":""},{"dropping-particle":"","family":"Schranz","given":"Laura","non-dropping-particle":"","parse-names":false,"suffix":""}],"container-title":"International Journal of Energy and Environmental Engineering","id":"ITEM-1","issue":"3","issued":{"date-parts":[["2016"]]},"page":"343-351","publisher":"Springer Berlin Heidelberg","title":"The evaluation of buildings energy consumption and the optimization of district heating networks: a GIS-based model","type":"article-journal","volume":"7"},"uris":["http://www.mendeley.com/documents/?uuid=0069c46d-6c8b-4fd9-a566-6db551dd6693"]}],"mendeley":{"formattedCitation":"(Delmastro &lt;i&gt;et al.&lt;/i&gt;, 2016)","plainTextFormattedCitation":"(Delmastro et al., 2016)","previouslyFormattedCitation":"(Delmastro &lt;i&gt;et al.&lt;/i&gt;, 2016)"},"properties":{"noteIndex":0},"schema":"https://github.com/citation-style-language/schema/raw/master/csl-citation.json"}</w:instrText>
      </w:r>
      <w:r w:rsidR="005F544E">
        <w:fldChar w:fldCharType="separate"/>
      </w:r>
      <w:r w:rsidR="005F544E" w:rsidRPr="005F544E">
        <w:rPr>
          <w:noProof/>
        </w:rPr>
        <w:t xml:space="preserve">(Delmastro </w:t>
      </w:r>
      <w:r w:rsidR="005F544E" w:rsidRPr="005F544E">
        <w:rPr>
          <w:i/>
          <w:noProof/>
        </w:rPr>
        <w:t>et al.</w:t>
      </w:r>
      <w:r w:rsidR="005F544E" w:rsidRPr="005F544E">
        <w:rPr>
          <w:noProof/>
        </w:rPr>
        <w:t>, 2016)</w:t>
      </w:r>
      <w:r w:rsidR="005F544E">
        <w:fldChar w:fldCharType="end"/>
      </w:r>
      <w:r>
        <w:t>. The SH demand was calculated using heating degree day (HDD) calculations and geo</w:t>
      </w:r>
      <w:r>
        <w:noBreakHyphen/>
        <w:t>tagged information of the building stock.</w:t>
      </w:r>
    </w:p>
    <w:p w14:paraId="31A311D4" w14:textId="647BD69A" w:rsidR="000F16EB" w:rsidRDefault="000F16EB" w:rsidP="000F16EB">
      <w:r>
        <w:t xml:space="preserve">Most of the heat mapping techniques mentioned so far focus on mapping domestic information; in some </w:t>
      </w:r>
      <w:r w:rsidR="00E51595">
        <w:t>cases,</w:t>
      </w:r>
      <w:r>
        <w:t xml:space="preserve"> heat mapping requires industrial input as well. </w:t>
      </w:r>
      <w:r w:rsidRPr="000526BE">
        <w:rPr>
          <w:noProof/>
        </w:rPr>
        <w:t xml:space="preserve">Bühler </w:t>
      </w:r>
      <w:r w:rsidRPr="005F544E">
        <w:rPr>
          <w:i/>
        </w:rPr>
        <w:t>et al</w:t>
      </w:r>
      <w:r>
        <w:t>. used a heat mapping methodology to analyse the potential for industrial WHR to be used as a heat source for DHNs in Denmark</w:t>
      </w:r>
      <w:r w:rsidR="005F544E">
        <w:t xml:space="preserve"> </w:t>
      </w:r>
      <w:r w:rsidR="005F544E">
        <w:fldChar w:fldCharType="begin" w:fldLock="1"/>
      </w:r>
      <w:r w:rsidR="005F544E">
        <w:instrText>ADDIN CSL_CITATION {"citationItems":[{"id":"ITEM-1","itemData":{"DOI":"10.1016/j.apenergy.2017.08.032","ISSN":"03062619","abstract":"Excess heat is available from various sources and its utilisation could reduce the primary energy use. The accessibility of this heat is however dependent amongst others on the source and sink temperature, amount and potential users in its vicinity. In this work a new method is developed which analyses excess heat sources from the industrial sector and how they could be used for district heating. This method first allocates excess heat to single production units by introducing and validating a new approach. Spatial analysis of the heat sources and consumers are then performed to evaluate the potential for using them for district heating. In this way the theoretical potential of using the excess heat for covering the heating demand of buildings is determined. Through the use of industry specific temperature profiles the heat usable directly or via heat pumps is further found. A sensitivity analysis investigates the impact of future energy efficiency measures in the industry, buildings and the district heating grid on the national potential. The results show that for the case study of Denmark, 1.36 TWh of district heat could be provided annually with industrial excess heat from thermal processes which equals 5.1% of the current demand. More than half of this heat was found to be usable directly, without the need for a heat pump.","author":[{"dropping-particle":"","family":"Bühler","given":"Fabian","non-dropping-particle":"","parse-names":false,"suffix":""},{"dropping-particle":"","family":"Petrović","given":"Stefan","non-dropping-particle":"","parse-names":false,"suffix":""},{"dropping-particle":"","family":"Karlsson","given":"Kenneth","non-dropping-particle":"","parse-names":false,"suffix":""},{"dropping-particle":"","family":"Elmegaard","given":"Brian","non-dropping-particle":"","parse-names":false,"suffix":""}],"container-title":"Applied Energy","id":"ITEM-1","issued":{"date-parts":[["2017"]]},"page":"991-1001","title":"Industrial excess heat for district heating in Denmark","type":"article-journal","volume":"205"},"uris":["http://www.mendeley.com/documents/?uuid=d83f5ea8-448a-4aec-963e-28a5fcf83247"]}],"mendeley":{"formattedCitation":"(Bühler &lt;i&gt;et al.&lt;/i&gt;, 2017)","plainTextFormattedCitation":"(Bühler et al., 2017)","previouslyFormattedCitation":"(Bühler &lt;i&gt;et al.&lt;/i&gt;, 2017)"},"properties":{"noteIndex":0},"schema":"https://github.com/citation-style-language/schema/raw/master/csl-citation.json"}</w:instrText>
      </w:r>
      <w:r w:rsidR="005F544E">
        <w:fldChar w:fldCharType="separate"/>
      </w:r>
      <w:r w:rsidR="005F544E" w:rsidRPr="002A6A73">
        <w:rPr>
          <w:noProof/>
        </w:rPr>
        <w:t xml:space="preserve">(Bühler </w:t>
      </w:r>
      <w:r w:rsidR="005F544E" w:rsidRPr="002A6A73">
        <w:rPr>
          <w:i/>
          <w:noProof/>
        </w:rPr>
        <w:t>et al.</w:t>
      </w:r>
      <w:r w:rsidR="005F544E" w:rsidRPr="002A6A73">
        <w:rPr>
          <w:noProof/>
        </w:rPr>
        <w:t>, 2017)</w:t>
      </w:r>
      <w:r w:rsidR="005F544E">
        <w:fldChar w:fldCharType="end"/>
      </w:r>
      <w:r>
        <w:t>. The industrial information came from a country wide register representing 80% of the Danish industry.</w:t>
      </w:r>
    </w:p>
    <w:p w14:paraId="57EFC9C1" w14:textId="77777777" w:rsidR="000F16EB" w:rsidRDefault="000F16EB" w:rsidP="000F16EB">
      <w:pPr>
        <w:pStyle w:val="Heading3"/>
      </w:pPr>
      <w:bookmarkStart w:id="199" w:name="_Toc522192736"/>
      <w:bookmarkStart w:id="200" w:name="_Toc525229959"/>
      <w:bookmarkStart w:id="201" w:name="_Toc529888273"/>
      <w:bookmarkStart w:id="202" w:name="_Ref5365457"/>
      <w:bookmarkStart w:id="203" w:name="_Toc7187465"/>
      <w:r>
        <w:t>Heat Demand Calculation Methodologies</w:t>
      </w:r>
      <w:bookmarkEnd w:id="199"/>
      <w:bookmarkEnd w:id="200"/>
      <w:bookmarkEnd w:id="201"/>
      <w:bookmarkEnd w:id="202"/>
      <w:bookmarkEnd w:id="203"/>
      <w:r>
        <w:t xml:space="preserve"> </w:t>
      </w:r>
    </w:p>
    <w:p w14:paraId="251BE5DB" w14:textId="77777777" w:rsidR="000F16EB" w:rsidRDefault="000F16EB" w:rsidP="000F16EB">
      <w:r>
        <w:t>HD estimation calculations can be completed using a variety of different techniques. In some cases, the techniques do not need to find the hourly variation in the TE demand of the local area and instead can estimate a total yearly TE use.</w:t>
      </w:r>
    </w:p>
    <w:p w14:paraId="3A4DB5E3" w14:textId="77777777" w:rsidR="000F16EB" w:rsidRDefault="000F16EB" w:rsidP="000F16EB">
      <w:pPr>
        <w:pStyle w:val="Heading6"/>
      </w:pPr>
      <w:r>
        <w:t>Multiple Linear Regression Modelling</w:t>
      </w:r>
    </w:p>
    <w:p w14:paraId="52478933" w14:textId="4E669864" w:rsidR="000F16EB" w:rsidRDefault="000F16EB" w:rsidP="000F16EB">
      <w:r>
        <w:t>Multiple linear regression modelling can be used to estimate the HD in an area for heat mapping purposes by fitting a line (or curve) to a series of data points.</w:t>
      </w:r>
      <w:r w:rsidRPr="00122CD1">
        <w:t xml:space="preserve"> </w:t>
      </w:r>
      <w:r w:rsidRPr="0080235D">
        <w:rPr>
          <w:noProof/>
        </w:rPr>
        <w:t>Mastrucci</w:t>
      </w:r>
      <w:r>
        <w:t xml:space="preserve"> </w:t>
      </w:r>
      <w:r w:rsidRPr="00F66C0D">
        <w:rPr>
          <w:i/>
        </w:rPr>
        <w:t>et al.</w:t>
      </w:r>
      <w:r>
        <w:t xml:space="preserve"> estimated the energy consumption profile of urban domestic buildings in Rotterdam, Netherlands using a multiple linear regression model</w:t>
      </w:r>
      <w:r w:rsidR="00F66C0D">
        <w:t xml:space="preserve"> </w:t>
      </w:r>
      <w:r w:rsidR="00F66C0D">
        <w:fldChar w:fldCharType="begin" w:fldLock="1"/>
      </w:r>
      <w:r w:rsidR="00F66C0D">
        <w:instrText>ADDIN CSL_CITATION {"citationItems":[{"id":"ITEM-1","itemData":{"abstract":"Cities are responsible for about 70% of the overall primary energy consumption in Europe and play a major role in addressing carbon mitigation. In this respect, the housing sector has been identified as a key sector for its high energy savings potential achievable by implementing retrofit measures. However, a detailed characterization of the housing energy consumption profile and spatial distribution is needed to properly assess the energy saving potential at the urban scale and further support sustainable urban planning and energy policies. This study focused on a statistical approach based on Geographical Information Systems (GIS) developed to identify the energy consumption profile of urban housing stocks, the energy savings potential achievable by implementing retrofit measures and their respective spatial distribution across one entire city. The final energy consumption of individual dwellings is predicted by running a multiple linear regression model based on measured energy consumption available at aggregated level (post-code area level) and GIS data about characteristics of buildings and household. Energy savings potential and cost- effectiveness of standard retrofit measures are subsequently calculated and results are finally displayed as maps for decision support in sustainable urban planning. The methodology was applied to the exemplary housing stock of Rotterdam city, consisting of almost 300,000 units. Relevant results are provided to prioritize retrofit measures implementation according to energy savings potential and cost- effectiveness. Different types of maps can be produced to show energy consumption and energy saving potential patterns across the city. The methodology is generically applicable to other contexts and provides an effective tool for decision support in carbon mitigation policies of housing stocks at the urban scale.","author":[{"dropping-particle":"","family":"Mastrucci","given":"Alessio","non-dropping-particle":"","parse-names":false,"suffix":""},{"dropping-particle":"","family":"Baume","given":"Olivier","non-dropping-particle":"","parse-names":false,"suffix":""},{"dropping-particle":"","family":"Stazi","given":"Francesca","non-dropping-particle":"","parse-names":false,"suffix":""},{"dropping-particle":"","family":"Leopold","given":"Ulrich","non-dropping-particle":"","parse-names":false,"suffix":""}],"container-title":"Journal of Energy Challenges &amp; Mechanics","id":"ITEM-1","issue":"4","issued":{"date-parts":[["2015"]]},"page":"1-5","title":"A GIS-based statistical approach to prioritize the retrofit of housing stocks at the urban scale","type":"article-journal","volume":"3"},"uris":["http://www.mendeley.com/documents/?uuid=79f61f39-8037-4dff-92f1-f9df70a16b81"]}],"mendeley":{"formattedCitation":"(Mastrucci &lt;i&gt;et al.&lt;/i&gt;, 2015)","plainTextFormattedCitation":"(Mastrucci et al., 2015)","previouslyFormattedCitation":"(Mastrucci &lt;i&gt;et al.&lt;/i&gt;, 2015)"},"properties":{"noteIndex":0},"schema":"https://github.com/citation-style-language/schema/raw/master/csl-citation.json"}</w:instrText>
      </w:r>
      <w:r w:rsidR="00F66C0D">
        <w:fldChar w:fldCharType="separate"/>
      </w:r>
      <w:r w:rsidR="00F66C0D" w:rsidRPr="002A6A73">
        <w:rPr>
          <w:noProof/>
        </w:rPr>
        <w:t xml:space="preserve">(Mastrucci </w:t>
      </w:r>
      <w:r w:rsidR="00F66C0D" w:rsidRPr="002A6A73">
        <w:rPr>
          <w:i/>
          <w:noProof/>
        </w:rPr>
        <w:t>et al.</w:t>
      </w:r>
      <w:r w:rsidR="00F66C0D" w:rsidRPr="002A6A73">
        <w:rPr>
          <w:noProof/>
        </w:rPr>
        <w:t>, 2015)</w:t>
      </w:r>
      <w:r w:rsidR="00F66C0D">
        <w:fldChar w:fldCharType="end"/>
      </w:r>
      <w:r>
        <w:t xml:space="preserve">. The regression model was used to split post code wide data on natural gas consumption into an estimated consumption for each individual building. Regression coefficients were used that needed to be estimated using an ordinary least squares technique. Building retrofits were counted and used to split the post code wide natural gas demand data into individual building’s HD. </w:t>
      </w:r>
    </w:p>
    <w:p w14:paraId="1D674B29" w14:textId="6C75D385" w:rsidR="000F16EB" w:rsidRDefault="000F16EB" w:rsidP="000F16EB">
      <w:r w:rsidRPr="0080235D">
        <w:rPr>
          <w:noProof/>
        </w:rPr>
        <w:lastRenderedPageBreak/>
        <w:t>Nouvel</w:t>
      </w:r>
      <w:r>
        <w:t xml:space="preserve"> </w:t>
      </w:r>
      <w:r w:rsidRPr="00F66C0D">
        <w:rPr>
          <w:i/>
        </w:rPr>
        <w:t>et al</w:t>
      </w:r>
      <w:r>
        <w:t>. used a multiple linear regression model to predict the potential of HD and energy saving measures at a city</w:t>
      </w:r>
      <w:r>
        <w:noBreakHyphen/>
        <w:t>wide level</w:t>
      </w:r>
      <w:r w:rsidR="00F66C0D">
        <w:t xml:space="preserve"> </w:t>
      </w:r>
      <w:r w:rsidR="00F66C0D">
        <w:fldChar w:fldCharType="begin" w:fldLock="1"/>
      </w:r>
      <w:r w:rsidR="00F66C0D">
        <w:instrText>ADDIN CSL_CITATION {"citationItems":[{"id":"ITEM-1","itemData":{"DOI":"10.1016/j.enbuild.2015.08.021","ISBN":"0378-7788","ISSN":"03787788","abstract":"Diagnosing and modelling precisely the actual energy consumption at the urban scale is the indispensable starting point of any low-carbon urban energy policy. This paper compares two building heat consumption models for urban scale applications: a statistical model based on 2D-GIS and multiple linear regression, and an engineering model making use of 3D city models and monthly energy balance of standard EN ISO 13790. Both methods are combined in a new multi-scale framework for improved prediction of heat demand and energy savings potential of building stock at the several scales within the city. This multi-scale framework was tested for the case study of Bospolder - Rotterdam (Netherlands) including around 1000 buildings. Firstly, the statistical model predicts the energy consumption of buildings at the city scale, then relevant neighbourhoods for retrofitting plans are selected and precisely modelled using the engineering model, finally individualized energy savings potentials are predicted building by building. The prediction provided by the two models demonstrated a good agreement with measured gas consumption data at the neighbourhood level (5-25% deviation), while errors become higher at disaggregated level. Major differences result from the ability of each model to cope with the lack of information concerning subsequently refurbished buildings, occupants' profile and behaviour, and unoccupied buildings. The study showed the ability and effectiveness of the multi-scale framework to support decision about retrofitting plans at different levels and scales.","author":[{"dropping-particle":"","family":"Nouvel","given":"Romain","non-dropping-particle":"","parse-names":false,"suffix":""},{"dropping-particle":"","family":"Mastrucci","given":"Alessio","non-dropping-particle":"","parse-names":false,"suffix":""},{"dropping-particle":"","family":"Leopold","given":"Ulrich","non-dropping-particle":"","parse-names":false,"suffix":""},{"dropping-particle":"","family":"Baume","given":"Olivier","non-dropping-particle":"","parse-names":false,"suffix":""},{"dropping-particle":"","family":"Coors","given":"Volker","non-dropping-particle":"","parse-names":false,"suffix":""},{"dropping-particle":"","family":"Eicker","given":"Ursula","non-dropping-particle":"","parse-names":false,"suffix":""}],"container-title":"Energy and Buildings","id":"ITEM-1","issued":{"date-parts":[["2015"]]},"page":"204-212","publisher":"Elsevier B.V.","title":"Combining GIS-based statistical and engineering urban heat consumption models: Towards a new framework for multi-scale policy support","type":"article-journal","volume":"107"},"uris":["http://www.mendeley.com/documents/?uuid=654f09e4-7df4-4ed8-807a-c99e64644862"]}],"mendeley":{"formattedCitation":"(Nouvel &lt;i&gt;et al.&lt;/i&gt;, 2015)","plainTextFormattedCitation":"(Nouvel et al., 2015)","previouslyFormattedCitation":"(Nouvel &lt;i&gt;et al.&lt;/i&gt;, 2015)"},"properties":{"noteIndex":0},"schema":"https://github.com/citation-style-language/schema/raw/master/csl-citation.json"}</w:instrText>
      </w:r>
      <w:r w:rsidR="00F66C0D">
        <w:fldChar w:fldCharType="separate"/>
      </w:r>
      <w:r w:rsidR="00F66C0D" w:rsidRPr="002A6A73">
        <w:rPr>
          <w:noProof/>
        </w:rPr>
        <w:t xml:space="preserve">(Nouvel </w:t>
      </w:r>
      <w:r w:rsidR="00F66C0D" w:rsidRPr="002A6A73">
        <w:rPr>
          <w:i/>
          <w:noProof/>
        </w:rPr>
        <w:t>et al.</w:t>
      </w:r>
      <w:r w:rsidR="00F66C0D" w:rsidRPr="002A6A73">
        <w:rPr>
          <w:noProof/>
        </w:rPr>
        <w:t>, 2015)</w:t>
      </w:r>
      <w:r w:rsidR="00F66C0D">
        <w:fldChar w:fldCharType="end"/>
      </w:r>
      <w:r>
        <w:t xml:space="preserve">. </w:t>
      </w:r>
      <w:proofErr w:type="gramStart"/>
      <w:r>
        <w:t>Similarly</w:t>
      </w:r>
      <w:proofErr w:type="gramEnd"/>
      <w:r>
        <w:t xml:space="preserve"> to </w:t>
      </w:r>
      <w:r w:rsidRPr="0080235D">
        <w:rPr>
          <w:noProof/>
        </w:rPr>
        <w:t>Mastrucci</w:t>
      </w:r>
      <w:r>
        <w:t xml:space="preserve"> </w:t>
      </w:r>
      <w:r w:rsidRPr="00F66C0D">
        <w:rPr>
          <w:i/>
        </w:rPr>
        <w:t>et al.</w:t>
      </w:r>
      <w:r>
        <w:t>, a regression model was used to calculate the natural gas demand of individual buildings based on the natural gas consumption of a collective of houses. The work required geo</w:t>
      </w:r>
      <w:r w:rsidR="00F66C0D">
        <w:noBreakHyphen/>
      </w:r>
      <w:r>
        <w:t>referenced data of the housing stock and yearly consumption records as model inputs.</w:t>
      </w:r>
    </w:p>
    <w:p w14:paraId="1EBB315F" w14:textId="77777777" w:rsidR="000F16EB" w:rsidRDefault="000F16EB" w:rsidP="000F16EB">
      <w:pPr>
        <w:pStyle w:val="Heading6"/>
      </w:pPr>
      <w:r>
        <w:t>Archetype Building Modelling</w:t>
      </w:r>
    </w:p>
    <w:p w14:paraId="0E61DC50" w14:textId="05CE02A7" w:rsidR="000F16EB" w:rsidRDefault="000F16EB" w:rsidP="000F16EB">
      <w:pPr>
        <w:rPr>
          <w:b/>
          <w:bCs/>
          <w:sz w:val="18"/>
          <w:szCs w:val="18"/>
        </w:rPr>
      </w:pPr>
      <w:r>
        <w:t xml:space="preserve">Archetype building modelling, as discussed in section </w:t>
      </w:r>
      <w:r>
        <w:fldChar w:fldCharType="begin"/>
      </w:r>
      <w:r>
        <w:instrText xml:space="preserve"> REF _Ref531267045 \n \h </w:instrText>
      </w:r>
      <w:r>
        <w:fldChar w:fldCharType="separate"/>
      </w:r>
      <w:r w:rsidR="00CB7456">
        <w:t>2.5.1.1</w:t>
      </w:r>
      <w:r>
        <w:fldChar w:fldCharType="end"/>
      </w:r>
      <w:r>
        <w:t xml:space="preserve"> can also be done for heat mapping purposes. A number of researchers have used archetype building models to generate heat maps. A summary of the results is given in</w:t>
      </w:r>
      <w:bookmarkStart w:id="204" w:name="_Ref522013949"/>
      <w:bookmarkStart w:id="205" w:name="_Toc525230114"/>
      <w:r>
        <w:t xml:space="preserve"> </w:t>
      </w:r>
      <w:r>
        <w:fldChar w:fldCharType="begin"/>
      </w:r>
      <w:r>
        <w:instrText xml:space="preserve"> REF _Ref526087143 \h </w:instrText>
      </w:r>
      <w:r>
        <w:fldChar w:fldCharType="separate"/>
      </w:r>
      <w:r w:rsidR="00CB7456">
        <w:t xml:space="preserve">Table </w:t>
      </w:r>
      <w:r w:rsidR="00CB7456">
        <w:rPr>
          <w:noProof/>
        </w:rPr>
        <w:t>2</w:t>
      </w:r>
      <w:r w:rsidR="00CB7456">
        <w:t>.</w:t>
      </w:r>
      <w:r w:rsidR="00CB7456">
        <w:rPr>
          <w:noProof/>
        </w:rPr>
        <w:t>4</w:t>
      </w:r>
      <w:r>
        <w:fldChar w:fldCharType="end"/>
      </w:r>
      <w:r>
        <w:t>.</w:t>
      </w:r>
    </w:p>
    <w:p w14:paraId="5B4D9186" w14:textId="288D4592" w:rsidR="000F16EB" w:rsidRDefault="000F16EB" w:rsidP="000F16EB">
      <w:pPr>
        <w:pStyle w:val="Caption"/>
        <w:keepNext/>
      </w:pPr>
      <w:bookmarkStart w:id="206" w:name="_Ref526083258"/>
      <w:bookmarkStart w:id="207" w:name="_Ref526087143"/>
      <w:bookmarkStart w:id="208" w:name="_Toc7187667"/>
      <w:r>
        <w:t xml:space="preserve">Table </w:t>
      </w:r>
      <w:fldSimple w:instr=" STYLEREF 1 \s ">
        <w:r w:rsidR="00CB7456">
          <w:rPr>
            <w:noProof/>
          </w:rPr>
          <w:t>2</w:t>
        </w:r>
      </w:fldSimple>
      <w:r w:rsidR="009E1A67">
        <w:t>.</w:t>
      </w:r>
      <w:fldSimple w:instr=" SEQ Table \* ARABIC \s 1 ">
        <w:r w:rsidR="00CB7456">
          <w:rPr>
            <w:noProof/>
          </w:rPr>
          <w:t>4</w:t>
        </w:r>
      </w:fldSimple>
      <w:bookmarkEnd w:id="204"/>
      <w:bookmarkEnd w:id="206"/>
      <w:bookmarkEnd w:id="207"/>
      <w:r>
        <w:t>: Summary of archetype building models found in literature.</w:t>
      </w:r>
      <w:bookmarkEnd w:id="205"/>
      <w:bookmarkEnd w:id="208"/>
      <w:r>
        <w:t xml:space="preserve"> </w:t>
      </w:r>
    </w:p>
    <w:tbl>
      <w:tblPr>
        <w:tblStyle w:val="TableGrid"/>
        <w:tblW w:w="8080" w:type="dxa"/>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59"/>
        <w:gridCol w:w="1649"/>
        <w:gridCol w:w="1203"/>
        <w:gridCol w:w="1985"/>
        <w:gridCol w:w="1984"/>
      </w:tblGrid>
      <w:tr w:rsidR="000F16EB" w14:paraId="32A584E9" w14:textId="77777777" w:rsidTr="00A7521D">
        <w:trPr>
          <w:jc w:val="center"/>
        </w:trPr>
        <w:tc>
          <w:tcPr>
            <w:tcW w:w="1259" w:type="dxa"/>
            <w:tcBorders>
              <w:bottom w:val="single" w:sz="4" w:space="0" w:color="auto"/>
            </w:tcBorders>
          </w:tcPr>
          <w:p w14:paraId="49D49ED1" w14:textId="77777777" w:rsidR="000F16EB" w:rsidRDefault="000F16EB" w:rsidP="00A7521D">
            <w:pPr>
              <w:jc w:val="center"/>
            </w:pPr>
            <w:r>
              <w:t>Location</w:t>
            </w:r>
          </w:p>
        </w:tc>
        <w:tc>
          <w:tcPr>
            <w:tcW w:w="1649" w:type="dxa"/>
            <w:tcBorders>
              <w:bottom w:val="single" w:sz="4" w:space="0" w:color="auto"/>
            </w:tcBorders>
          </w:tcPr>
          <w:p w14:paraId="7CDD894B" w14:textId="77777777" w:rsidR="000F16EB" w:rsidRDefault="000F16EB" w:rsidP="00A7521D">
            <w:pPr>
              <w:jc w:val="center"/>
            </w:pPr>
            <w:r>
              <w:t>Number of building classes</w:t>
            </w:r>
          </w:p>
        </w:tc>
        <w:tc>
          <w:tcPr>
            <w:tcW w:w="1203" w:type="dxa"/>
            <w:tcBorders>
              <w:bottom w:val="single" w:sz="4" w:space="0" w:color="auto"/>
            </w:tcBorders>
          </w:tcPr>
          <w:p w14:paraId="59E90C7D" w14:textId="77777777" w:rsidR="000F16EB" w:rsidRDefault="000F16EB" w:rsidP="00A7521D">
            <w:pPr>
              <w:jc w:val="center"/>
            </w:pPr>
            <w:r>
              <w:t>Number of age classes</w:t>
            </w:r>
          </w:p>
        </w:tc>
        <w:tc>
          <w:tcPr>
            <w:tcW w:w="1985" w:type="dxa"/>
            <w:tcBorders>
              <w:bottom w:val="single" w:sz="4" w:space="0" w:color="auto"/>
            </w:tcBorders>
          </w:tcPr>
          <w:p w14:paraId="5C90F631" w14:textId="77777777" w:rsidR="000F16EB" w:rsidRDefault="000F16EB" w:rsidP="00A7521D">
            <w:pPr>
              <w:jc w:val="center"/>
            </w:pPr>
            <w:r>
              <w:t>Model output</w:t>
            </w:r>
          </w:p>
        </w:tc>
        <w:tc>
          <w:tcPr>
            <w:tcW w:w="1984" w:type="dxa"/>
            <w:tcBorders>
              <w:bottom w:val="single" w:sz="4" w:space="0" w:color="auto"/>
            </w:tcBorders>
          </w:tcPr>
          <w:p w14:paraId="4041AD63" w14:textId="77777777" w:rsidR="000F16EB" w:rsidRDefault="000F16EB" w:rsidP="00A7521D">
            <w:pPr>
              <w:jc w:val="center"/>
            </w:pPr>
            <w:r>
              <w:t>Reference</w:t>
            </w:r>
          </w:p>
        </w:tc>
      </w:tr>
      <w:tr w:rsidR="000F16EB" w14:paraId="59AB888B" w14:textId="77777777" w:rsidTr="00A7521D">
        <w:trPr>
          <w:jc w:val="center"/>
        </w:trPr>
        <w:tc>
          <w:tcPr>
            <w:tcW w:w="1259" w:type="dxa"/>
            <w:tcBorders>
              <w:top w:val="single" w:sz="4" w:space="0" w:color="auto"/>
              <w:bottom w:val="nil"/>
            </w:tcBorders>
          </w:tcPr>
          <w:p w14:paraId="12E89F3C" w14:textId="77777777" w:rsidR="000F16EB" w:rsidRDefault="000F16EB" w:rsidP="00A7521D">
            <w:pPr>
              <w:jc w:val="center"/>
            </w:pPr>
            <w:r>
              <w:t>Germany</w:t>
            </w:r>
          </w:p>
        </w:tc>
        <w:tc>
          <w:tcPr>
            <w:tcW w:w="1649" w:type="dxa"/>
            <w:tcBorders>
              <w:top w:val="single" w:sz="4" w:space="0" w:color="auto"/>
              <w:bottom w:val="nil"/>
            </w:tcBorders>
          </w:tcPr>
          <w:p w14:paraId="01318A4E" w14:textId="77777777" w:rsidR="000F16EB" w:rsidRDefault="000F16EB" w:rsidP="00A7521D">
            <w:pPr>
              <w:jc w:val="center"/>
            </w:pPr>
            <w:r>
              <w:t>4</w:t>
            </w:r>
          </w:p>
        </w:tc>
        <w:tc>
          <w:tcPr>
            <w:tcW w:w="1203" w:type="dxa"/>
            <w:tcBorders>
              <w:top w:val="single" w:sz="4" w:space="0" w:color="auto"/>
              <w:bottom w:val="nil"/>
            </w:tcBorders>
          </w:tcPr>
          <w:p w14:paraId="64938D14" w14:textId="77777777" w:rsidR="000F16EB" w:rsidRDefault="000F16EB" w:rsidP="00A7521D">
            <w:pPr>
              <w:jc w:val="center"/>
            </w:pPr>
            <w:r>
              <w:t>3</w:t>
            </w:r>
          </w:p>
        </w:tc>
        <w:tc>
          <w:tcPr>
            <w:tcW w:w="1985" w:type="dxa"/>
            <w:tcBorders>
              <w:top w:val="single" w:sz="4" w:space="0" w:color="auto"/>
              <w:bottom w:val="nil"/>
            </w:tcBorders>
          </w:tcPr>
          <w:p w14:paraId="0B9821B2" w14:textId="77777777" w:rsidR="000F16EB" w:rsidRDefault="000F16EB" w:rsidP="00A7521D">
            <w:pPr>
              <w:jc w:val="center"/>
            </w:pPr>
            <w:r>
              <w:t>Yearly TE demand (kWh/m</w:t>
            </w:r>
            <w:r>
              <w:rPr>
                <w:vertAlign w:val="superscript"/>
              </w:rPr>
              <w:t>2</w:t>
            </w:r>
            <w:r>
              <w:t>)</w:t>
            </w:r>
          </w:p>
        </w:tc>
        <w:tc>
          <w:tcPr>
            <w:tcW w:w="1984" w:type="dxa"/>
            <w:tcBorders>
              <w:top w:val="single" w:sz="4" w:space="0" w:color="auto"/>
              <w:bottom w:val="nil"/>
            </w:tcBorders>
          </w:tcPr>
          <w:p w14:paraId="6651580B" w14:textId="37EDA5E7" w:rsidR="000F16EB" w:rsidRDefault="000F16EB" w:rsidP="00A7521D">
            <w:pPr>
              <w:jc w:val="center"/>
            </w:pPr>
            <w:r>
              <w:fldChar w:fldCharType="begin" w:fldLock="1"/>
            </w:r>
            <w:r w:rsidR="002A6A73">
              <w:instrText>ADDIN CSL_CITATION {"citationItems":[{"id":"ITEM-1","itemData":{"DOI":"10.1007/978-94-007-0458-9","ISBN":"9789400704589","abstract":"The German government intends to cover the demand of primary energy by 16% of renewable energy in Germany in the year 2020, and to reduce CO2-emissions by 40% as opposed to the year 1990. One relevant CO2 emitter is the energy sector which has a big potential to achieve this target. On the other hand, the demographic change will strongly influence the heat supply system, a part of the heat sector. The following chapter analyses the challenges that arise by the decreasing heat demand due demographic change and the need of a modified heat supply system based on renewable energies to attain the given target. This is done by a spatial analysis using Geographical Information System taking into account the actual and future heat demand, the existing infrastructure stock and the potential of renewable energy mainly solar, biomass and geothermal. The analysis shows that the decreasing heat demand in general is a critical precondition for network-bound heat supply infrastructure and that renewable energies can help in selected regions to provide CO2-neutral heat using existing or new district heat systems.","author":[{"dropping-particle":"","family":"Schillings","given":"Christoph","non-dropping-particle":"","parse-names":false,"suffix":""},{"dropping-particle":"","family":"Simon","given":"Sonja","non-dropping-particle":"","parse-names":false,"suffix":""}],"chapter-number":"8","container-title":"Demography and Infrastructure - National and Regional Aspects of Demographic Change","editor":[{"dropping-particle":"","family":"Kronenberg","given":"Tobius","non-dropping-particle":"","parse-names":false,"suffix":""},{"dropping-particle":"","family":"Kuckshinrichs","given":"Wilhelm","non-dropping-particle":"","parse-names":false,"suffix":""}],"id":"ITEM-1","issued":{"date-parts":[["2011"]]},"page":"147-164","publisher":"Springer","title":"The Potential for District Heating Based on Renewable Energy – A Spatial Analysis","type":"chapter"},"uris":["http://www.mendeley.com/documents/?uuid=5bde56e3-cb98-4288-8ac3-f4f21fd3351d"]}],"mendeley":{"formattedCitation":"(Schillings and Simon, 2011)","plainTextFormattedCitation":"(Schillings and Simon, 2011)","previouslyFormattedCitation":"(Schillings and Simon, 2011)"},"properties":{"noteIndex":0},"schema":"https://github.com/citation-style-language/schema/raw/master/csl-citation.json"}</w:instrText>
            </w:r>
            <w:r>
              <w:fldChar w:fldCharType="separate"/>
            </w:r>
            <w:r w:rsidR="002A6A73" w:rsidRPr="002A6A73">
              <w:rPr>
                <w:noProof/>
              </w:rPr>
              <w:t>(Schillings and Simon, 2011)</w:t>
            </w:r>
            <w:r>
              <w:fldChar w:fldCharType="end"/>
            </w:r>
          </w:p>
        </w:tc>
      </w:tr>
      <w:tr w:rsidR="000F16EB" w14:paraId="2E77687B" w14:textId="77777777" w:rsidTr="00A7521D">
        <w:trPr>
          <w:jc w:val="center"/>
        </w:trPr>
        <w:tc>
          <w:tcPr>
            <w:tcW w:w="1259" w:type="dxa"/>
            <w:tcBorders>
              <w:top w:val="nil"/>
            </w:tcBorders>
          </w:tcPr>
          <w:p w14:paraId="24A22194" w14:textId="77777777" w:rsidR="000F16EB" w:rsidRDefault="000F16EB" w:rsidP="00A7521D">
            <w:pPr>
              <w:jc w:val="center"/>
            </w:pPr>
            <w:r>
              <w:t>Denmark</w:t>
            </w:r>
          </w:p>
        </w:tc>
        <w:tc>
          <w:tcPr>
            <w:tcW w:w="1649" w:type="dxa"/>
            <w:tcBorders>
              <w:top w:val="nil"/>
            </w:tcBorders>
          </w:tcPr>
          <w:p w14:paraId="7AEEDF83" w14:textId="77777777" w:rsidR="000F16EB" w:rsidRDefault="000F16EB" w:rsidP="00A7521D">
            <w:pPr>
              <w:jc w:val="center"/>
            </w:pPr>
            <w:r>
              <w:t>4</w:t>
            </w:r>
          </w:p>
        </w:tc>
        <w:tc>
          <w:tcPr>
            <w:tcW w:w="1203" w:type="dxa"/>
            <w:tcBorders>
              <w:top w:val="nil"/>
            </w:tcBorders>
          </w:tcPr>
          <w:p w14:paraId="39019FFF" w14:textId="77777777" w:rsidR="000F16EB" w:rsidRDefault="000F16EB" w:rsidP="00A7521D">
            <w:pPr>
              <w:jc w:val="center"/>
            </w:pPr>
            <w:r>
              <w:t>7</w:t>
            </w:r>
          </w:p>
        </w:tc>
        <w:tc>
          <w:tcPr>
            <w:tcW w:w="1985" w:type="dxa"/>
            <w:tcBorders>
              <w:top w:val="nil"/>
            </w:tcBorders>
          </w:tcPr>
          <w:p w14:paraId="0E63D9C6" w14:textId="77777777" w:rsidR="000F16EB" w:rsidRDefault="000F16EB" w:rsidP="00A7521D">
            <w:pPr>
              <w:jc w:val="center"/>
            </w:pPr>
            <w:r>
              <w:t>Yearly TE demand (kWh/m</w:t>
            </w:r>
            <w:r>
              <w:rPr>
                <w:vertAlign w:val="superscript"/>
              </w:rPr>
              <w:t>2</w:t>
            </w:r>
            <w:r>
              <w:t>)</w:t>
            </w:r>
          </w:p>
        </w:tc>
        <w:tc>
          <w:tcPr>
            <w:tcW w:w="1984" w:type="dxa"/>
            <w:tcBorders>
              <w:top w:val="nil"/>
            </w:tcBorders>
          </w:tcPr>
          <w:p w14:paraId="27A63621" w14:textId="4D618523" w:rsidR="000F16EB" w:rsidRDefault="000F16EB" w:rsidP="00A7521D">
            <w:pPr>
              <w:jc w:val="center"/>
            </w:pPr>
            <w:r>
              <w:fldChar w:fldCharType="begin" w:fldLock="1"/>
            </w:r>
            <w:r w:rsidR="002A6A73">
              <w:rPr>
                <w:rFonts w:hint="eastAsia"/>
              </w:rPr>
              <w:instrText xml:space="preserve">ADDIN CSL_CITATION {"citationItems":[{"id":"ITEM-1","itemData":{"DOI":"10.1108/14777830810878650","ISBN":"1477-7835","ISSN":"1477-7835","abstract":"Purpose </w:instrText>
            </w:r>
            <w:r w:rsidR="002A6A73">
              <w:rPr>
                <w:rFonts w:hint="eastAsia"/>
              </w:rPr>
              <w:instrText>–</w:instrText>
            </w:r>
            <w:r w:rsidR="002A6A73">
              <w:rPr>
                <w:rFonts w:hint="eastAsia"/>
              </w:rPr>
              <w:instrText xml:space="preserve"> The objective is to describe and evaluate the development of a novel planning tool for end</w:instrText>
            </w:r>
            <w:r w:rsidR="002A6A73">
              <w:rPr>
                <w:rFonts w:hint="eastAsia"/>
              </w:rPr>
              <w:instrText>‐</w:instrText>
            </w:r>
            <w:r w:rsidR="002A6A73">
              <w:rPr>
                <w:rFonts w:hint="eastAsia"/>
              </w:rPr>
              <w:instrText>use ef</w:instrText>
            </w:r>
            <w:r w:rsidR="002A6A73">
              <w:instrText>ficiency in the built environment and for infrastructural changes in the energy system.Design/methodology/approach – After describing problems related to further reduce heat demand in the Danish built environment, the geographical nature of the planning task is discussed. The requirements are then translated into concepts for the development of a general method, which is implemented in a practical design of a heat atlas. Typical applications are described and discussed.Findings – It was found that the availability of the extensive public databases in Denmark make feasible the development and application of a highly detailed geographical information base for end use and infrastructure planning and analysis. It was also realised that the development has much higher potentials than explored in this paper. On the other hand, the complex geography of the urban/rural boundaries of cities requires extra car...","author":[{"dropping-particle":"","family":"Möller","given":"Bernd","non-dropping-particle":"","parse-names":false,"suffix":""}],"container-title":"Management of Environmental Quality: An International Journal","id":"ITEM-1","issue":"4","issued":{"date-parts":[["2008"]]},"page":"467-479","title":"A heat atlas for demand and supply management in Denmark","type":"article-journal","volume":"19"},"uris":["http://www.mendeley.com/documents/?uuid=a9e6fa52-4c6d-4c46-94e7-1f320938ba7c"]}],"mendeley":{"formattedCitation":"(Möller, 2008)","plainTextFormattedCitation":"(Möller, 2008)","previouslyFormattedCitation":"(Möller, 2008)"},"properties":{"noteIndex":0},"schema":"https://github.com/citation-style-language/schema/raw/master/csl-citation.json"}</w:instrText>
            </w:r>
            <w:r>
              <w:fldChar w:fldCharType="separate"/>
            </w:r>
            <w:r w:rsidR="002A6A73" w:rsidRPr="002A6A73">
              <w:rPr>
                <w:noProof/>
              </w:rPr>
              <w:t>(Möller, 2008)</w:t>
            </w:r>
            <w:r>
              <w:fldChar w:fldCharType="end"/>
            </w:r>
          </w:p>
        </w:tc>
      </w:tr>
      <w:tr w:rsidR="000F16EB" w14:paraId="7F29FB09" w14:textId="77777777" w:rsidTr="00A7521D">
        <w:trPr>
          <w:jc w:val="center"/>
        </w:trPr>
        <w:tc>
          <w:tcPr>
            <w:tcW w:w="1259" w:type="dxa"/>
          </w:tcPr>
          <w:p w14:paraId="35EFFE04" w14:textId="77777777" w:rsidR="000F16EB" w:rsidRDefault="000F16EB" w:rsidP="00A7521D">
            <w:pPr>
              <w:jc w:val="center"/>
            </w:pPr>
            <w:r>
              <w:t>Switzerland</w:t>
            </w:r>
          </w:p>
        </w:tc>
        <w:tc>
          <w:tcPr>
            <w:tcW w:w="1649" w:type="dxa"/>
          </w:tcPr>
          <w:p w14:paraId="52F0B64B" w14:textId="77777777" w:rsidR="000F16EB" w:rsidRDefault="000F16EB" w:rsidP="00A7521D">
            <w:pPr>
              <w:jc w:val="center"/>
            </w:pPr>
            <w:r>
              <w:t>8</w:t>
            </w:r>
          </w:p>
        </w:tc>
        <w:tc>
          <w:tcPr>
            <w:tcW w:w="1203" w:type="dxa"/>
          </w:tcPr>
          <w:p w14:paraId="778E4917" w14:textId="77777777" w:rsidR="000F16EB" w:rsidRDefault="000F16EB" w:rsidP="00A7521D">
            <w:pPr>
              <w:jc w:val="center"/>
            </w:pPr>
            <w:r>
              <w:t>10</w:t>
            </w:r>
          </w:p>
        </w:tc>
        <w:tc>
          <w:tcPr>
            <w:tcW w:w="1985" w:type="dxa"/>
          </w:tcPr>
          <w:p w14:paraId="2896DC23" w14:textId="77777777" w:rsidR="000F16EB" w:rsidRDefault="000F16EB" w:rsidP="00A7521D">
            <w:pPr>
              <w:jc w:val="center"/>
            </w:pPr>
            <w:r>
              <w:t>Yearly TE demand (kWh/m</w:t>
            </w:r>
            <w:r>
              <w:rPr>
                <w:vertAlign w:val="superscript"/>
              </w:rPr>
              <w:t>2</w:t>
            </w:r>
            <w:r>
              <w:t>)</w:t>
            </w:r>
          </w:p>
        </w:tc>
        <w:tc>
          <w:tcPr>
            <w:tcW w:w="1984" w:type="dxa"/>
          </w:tcPr>
          <w:p w14:paraId="3E87EA08" w14:textId="14430329" w:rsidR="000F16EB" w:rsidRDefault="000F16EB" w:rsidP="00A7521D">
            <w:pPr>
              <w:jc w:val="center"/>
            </w:pPr>
            <w:r>
              <w:fldChar w:fldCharType="begin" w:fldLock="1"/>
            </w:r>
            <w:r w:rsidR="002A6A73">
              <w:instrText>ADDIN CSL_CITATION {"citationItems":[{"id":"ITEM-1","itemData":{"DOI":"10.1016/j.energy.2009.08.018","ISBN":"03605442","ISSN":"03605442","abstract":"A geographical information system has been developed to model the energy requirements of an urban area. The purpose of the platform is to model with sufficient detail the energy services requirements of a given geographical area in order to allow the evaluation of the integration of advanced integrated energy conversion systems. This tool is used to study the emergence of more efficient cities that realize energy efficiency measures, integrate energy efficient conversion technologies and promote the use of endogenous renewable energy. The model is illustrated with case studies for the energetic planning of the Geneva district (Switzerland). ?? 2009 Elsevier Ltd. All rights reserved.","author":[{"dropping-particle":"","family":"Girardin","given":"Luc","non-dropping-particle":"","parse-names":false,"suffix":""},{"dropping-particle":"","family":"Marechal","given":"François","non-dropping-particle":"","parse-names":false,"suffix":""},{"dropping-particle":"","family":"Dubuis","given":"Matthias","non-dropping-particle":"","parse-names":false,"suffix":""},{"dropping-particle":"","family":"Calame-Darbellay","given":"Nicole","non-dropping-particle":"","parse-names":false,"suffix":""},{"dropping-particle":"","family":"Favrat","given":"Daniel","non-dropping-particle":"","parse-names":false,"suffix":""}],"container-title":"Energy","id":"ITEM-1","issue":"2","issued":{"date-parts":[["2010"]]},"page":"830-840","title":"EnerGis: A geographical information based system for the evaluation of integrated energy conversion systems in urban areas","type":"article-journal","volume":"35"},"uris":["http://www.mendeley.com/documents/?uuid=fe885bc0-d447-4fa8-b9d8-12080c0941e7"]}],"mendeley":{"formattedCitation":"(Girardin &lt;i&gt;et al.&lt;/i&gt;, 2010)","plainTextFormattedCitation":"(Girardin et al., 2010)","previouslyFormattedCitation":"(Girardin &lt;i&gt;et al.&lt;/i&gt;, 2010)"},"properties":{"noteIndex":0},"schema":"https://github.com/citation-style-language/schema/raw/master/csl-citation.json"}</w:instrText>
            </w:r>
            <w:r>
              <w:fldChar w:fldCharType="separate"/>
            </w:r>
            <w:r w:rsidR="002A6A73" w:rsidRPr="002A6A73">
              <w:rPr>
                <w:noProof/>
              </w:rPr>
              <w:t xml:space="preserve">(Girardin </w:t>
            </w:r>
            <w:r w:rsidR="002A6A73" w:rsidRPr="002A6A73">
              <w:rPr>
                <w:i/>
                <w:noProof/>
              </w:rPr>
              <w:t>et al.</w:t>
            </w:r>
            <w:r w:rsidR="002A6A73" w:rsidRPr="002A6A73">
              <w:rPr>
                <w:noProof/>
              </w:rPr>
              <w:t>, 2010)</w:t>
            </w:r>
            <w:r>
              <w:fldChar w:fldCharType="end"/>
            </w:r>
          </w:p>
        </w:tc>
      </w:tr>
      <w:tr w:rsidR="000F16EB" w14:paraId="347417A5" w14:textId="77777777" w:rsidTr="00A7521D">
        <w:trPr>
          <w:jc w:val="center"/>
        </w:trPr>
        <w:tc>
          <w:tcPr>
            <w:tcW w:w="1259" w:type="dxa"/>
          </w:tcPr>
          <w:p w14:paraId="08908913" w14:textId="77777777" w:rsidR="000F16EB" w:rsidRDefault="000F16EB" w:rsidP="00A7521D">
            <w:pPr>
              <w:jc w:val="center"/>
            </w:pPr>
            <w:r>
              <w:t>Switzerland</w:t>
            </w:r>
          </w:p>
        </w:tc>
        <w:tc>
          <w:tcPr>
            <w:tcW w:w="1649" w:type="dxa"/>
          </w:tcPr>
          <w:p w14:paraId="2BE75AAC" w14:textId="77777777" w:rsidR="000F16EB" w:rsidRDefault="000F16EB" w:rsidP="00A7521D">
            <w:pPr>
              <w:jc w:val="center"/>
            </w:pPr>
            <w:r>
              <w:t>16</w:t>
            </w:r>
          </w:p>
        </w:tc>
        <w:tc>
          <w:tcPr>
            <w:tcW w:w="1203" w:type="dxa"/>
          </w:tcPr>
          <w:p w14:paraId="658E37DF" w14:textId="77777777" w:rsidR="000F16EB" w:rsidRDefault="000F16EB" w:rsidP="00A7521D">
            <w:pPr>
              <w:jc w:val="center"/>
            </w:pPr>
            <w:r>
              <w:t>12</w:t>
            </w:r>
          </w:p>
        </w:tc>
        <w:tc>
          <w:tcPr>
            <w:tcW w:w="1985" w:type="dxa"/>
          </w:tcPr>
          <w:p w14:paraId="1C02597B" w14:textId="77777777" w:rsidR="000F16EB" w:rsidRDefault="000F16EB" w:rsidP="00A7521D">
            <w:pPr>
              <w:jc w:val="center"/>
            </w:pPr>
            <w:r>
              <w:t>Yearly TE demand (kWh/m</w:t>
            </w:r>
            <w:r>
              <w:rPr>
                <w:vertAlign w:val="superscript"/>
              </w:rPr>
              <w:t>2</w:t>
            </w:r>
            <w:r>
              <w:t>)</w:t>
            </w:r>
          </w:p>
        </w:tc>
        <w:tc>
          <w:tcPr>
            <w:tcW w:w="1984" w:type="dxa"/>
          </w:tcPr>
          <w:p w14:paraId="212F73A4" w14:textId="742C5CD1" w:rsidR="000F16EB" w:rsidRDefault="000F16EB" w:rsidP="00A7521D">
            <w:pPr>
              <w:jc w:val="center"/>
            </w:pPr>
            <w:r>
              <w:fldChar w:fldCharType="begin" w:fldLock="1"/>
            </w:r>
            <w:r w:rsidR="002A6A73">
              <w:instrText>ADDIN CSL_CITATION {"citationItems":[{"id":"ITEM-1","itemData":{"DOI":"10.1016/j.apenergy.2014.12.068","ISBN":"0306-2619","ISSN":"03062619","PMID":"24439530","abstract":"We introduce an integrated model for characterization of spatiotemporal building energy consumption patterns in neighborhoods and city districts. The model addresses the need for a comprehensive method to identify present and potential states of building energy consumption in the context of urban transformation. The focus lies on determining the spatiotemporal variability of energy services in both standing and future buildings in the residential, commercial and industrial sectors. This detailed characterization facilitates the assessment of potential energy efficiency measures at the neighborhood and city district scales. In a novel approach we integrated existing methods in urban and energy planning domains such as spatial analysis, dynamic building energy modeling and energy mapping to provide a comprehensive, multi-scale and multi-dimensional model of analysis. The model is part of a geographic information system (GIS), which serves as a platform for the allocation and future dissemination of spatiotemporal data. The model is validated against measured data and a peer model for a city district in Switzerland. In this context, we present practical applications in the analysis of energy efficiency measures in buildings and urban zoning. We furthermore discuss potential applications in educational, urban and energy planning practices.","author":[{"dropping-particle":"","family":"Fonseca","given":"Jimeno A.","non-dropping-particle":"","parse-names":false,"suffix":""},{"dropping-particle":"","family":"Schlueter","given":"Arno","non-dropping-particle":"","parse-names":false,"suffix":""}],"container-title":"Applied Energy","id":"ITEM-1","issued":{"date-parts":[["2015"]]},"page":"247-265","publisher":"Elsevier Ltd","title":"Integrated model for characterization of spatiotemporal building energy consumption patterns in neighborhoods and city districts","type":"article-journal","volume":"142"},"uris":["http://www.mendeley.com/documents/?uuid=78c6e8a4-9311-4495-b38d-abd656a5fb7a"]}],"mendeley":{"formattedCitation":"(Fonseca and Schlueter, 2015)","plainTextFormattedCitation":"(Fonseca and Schlueter, 2015)","previouslyFormattedCitation":"(Fonseca and Schlueter, 2015)"},"properties":{"noteIndex":0},"schema":"https://github.com/citation-style-language/schema/raw/master/csl-citation.json"}</w:instrText>
            </w:r>
            <w:r>
              <w:fldChar w:fldCharType="separate"/>
            </w:r>
            <w:r w:rsidR="002A6A73" w:rsidRPr="002A6A73">
              <w:rPr>
                <w:noProof/>
              </w:rPr>
              <w:t>(Fonseca and Schlueter, 2015)</w:t>
            </w:r>
            <w:r>
              <w:fldChar w:fldCharType="end"/>
            </w:r>
          </w:p>
        </w:tc>
      </w:tr>
      <w:tr w:rsidR="000F16EB" w14:paraId="163CBB42" w14:textId="77777777" w:rsidTr="00A7521D">
        <w:trPr>
          <w:jc w:val="center"/>
        </w:trPr>
        <w:tc>
          <w:tcPr>
            <w:tcW w:w="1259" w:type="dxa"/>
          </w:tcPr>
          <w:p w14:paraId="64BBF034" w14:textId="77777777" w:rsidR="000F16EB" w:rsidRDefault="000F16EB" w:rsidP="00A7521D">
            <w:pPr>
              <w:jc w:val="center"/>
            </w:pPr>
            <w:r>
              <w:t>Italy and Sweden</w:t>
            </w:r>
          </w:p>
        </w:tc>
        <w:tc>
          <w:tcPr>
            <w:tcW w:w="1649" w:type="dxa"/>
          </w:tcPr>
          <w:p w14:paraId="18FADDE0" w14:textId="77777777" w:rsidR="000F16EB" w:rsidRDefault="000F16EB" w:rsidP="00A7521D">
            <w:pPr>
              <w:jc w:val="center"/>
            </w:pPr>
            <w:r>
              <w:t>A continuous number</w:t>
            </w:r>
          </w:p>
        </w:tc>
        <w:tc>
          <w:tcPr>
            <w:tcW w:w="1203" w:type="dxa"/>
          </w:tcPr>
          <w:p w14:paraId="6B1E8BD3" w14:textId="77777777" w:rsidR="000F16EB" w:rsidRDefault="000F16EB" w:rsidP="00A7521D">
            <w:pPr>
              <w:jc w:val="center"/>
            </w:pPr>
            <w:r>
              <w:t>9</w:t>
            </w:r>
          </w:p>
        </w:tc>
        <w:tc>
          <w:tcPr>
            <w:tcW w:w="1985" w:type="dxa"/>
          </w:tcPr>
          <w:p w14:paraId="0DE7195D" w14:textId="77777777" w:rsidR="000F16EB" w:rsidRDefault="000F16EB" w:rsidP="00A7521D">
            <w:pPr>
              <w:jc w:val="center"/>
            </w:pPr>
            <w:r>
              <w:t>Yearly TE demand (kWh/m</w:t>
            </w:r>
            <w:r>
              <w:rPr>
                <w:vertAlign w:val="superscript"/>
              </w:rPr>
              <w:t>3</w:t>
            </w:r>
            <w:r>
              <w:t>)</w:t>
            </w:r>
          </w:p>
        </w:tc>
        <w:tc>
          <w:tcPr>
            <w:tcW w:w="1984" w:type="dxa"/>
          </w:tcPr>
          <w:p w14:paraId="75C4B410" w14:textId="2C488F90" w:rsidR="000F16EB" w:rsidRDefault="000F16EB" w:rsidP="00A7521D">
            <w:pPr>
              <w:jc w:val="center"/>
            </w:pPr>
            <w:r>
              <w:fldChar w:fldCharType="begin" w:fldLock="1"/>
            </w:r>
            <w:r w:rsidR="002A6A73">
              <w:instrText>ADDIN CSL_CITATION {"citationItems":[{"id":"ITEM-1","itemData":{"DOI":"10.1016/j.proeng.2017.07.094","ISBN":"18777058 (ISSN)","ISSN":"18777058","abstract":"Urban energy consumptions growth has become an urgent topic that requires solutions for significantly reduce carbon emission in the next decades. This paper aims in exploring the integration of building performance improvement and low carbon district heat technological choices by considering the upgrade of conversion technologies, efficiency and the exploitation of local resources. The paper is based on a GIS-based model that spatially characterize the space heating demand of urban buildings. Starting from clustering buildings with similar thermo-physical characteristics, the total energy use of buildings can be depicted and compared with the energy balance data of the city in order to scale the bottom-up results for matching the total load. Reasonable energy efficiency measures are further proposed by considering three different scenarios up to 2050. Long-term building scenarios are applied to a district heating simulation model for investigating how the reduction of building heat demand will impact the district heating production and operations. In particular, the combination of the building model and the district heating model aims at exploring the effects of district network expansion or new low carbon investments from an economic and environmental perspective. The model has been successfully applied to the city of Turin, Italy and the city of Stockholm, Sweden. The flexibility of the approach may allow it to be easily adjusted to different urban areas for providing indications on cost-effective strategies for efficient, low-carbon heat solutions in integrated energy systems. Results highlight that finding synergies between the demand and supply sector will lead to environmental and economic benefits, in particular for district-heated cities.","author":[{"dropping-particle":"","family":"Delmastro","given":"Chiara","non-dropping-particle":"","parse-names":false,"suffix":""},{"dropping-particle":"","family":"Martinsson","given":"Fredrik","non-dropping-particle":"","parse-names":false,"suffix":""},{"dropping-particle":"","family":"Mutani","given":"Guglielmina","non-dropping-particle":"","parse-names":false,"suffix":""},{"dropping-particle":"","family":"Corgnati","given":"Stefano P.","non-dropping-particle":"","parse-names":false,"suffix":""}],"container-title":"Procedia Engineering","id":"ITEM-1","issue":"September 2016","issued":{"date-parts":[["2017"]]},"page":"386-397","publisher":"The Author(s)","title":"Modeling Building Energy Demand Profiles and District Heating Networks for Low Carbon Urban Areas","type":"article-journal","volume":"198"},"uris":["http://www.mendeley.com/documents/?uuid=c0a6fe5e-6228-4542-b793-b92f6632e644"]}],"mendeley":{"formattedCitation":"(Delmastro &lt;i&gt;et al.&lt;/i&gt;, 2017)","plainTextFormattedCitation":"(Delmastro et al., 2017)","previouslyFormattedCitation":"(Delmastro &lt;i&gt;et al.&lt;/i&gt;, 2017)"},"properties":{"noteIndex":0},"schema":"https://github.com/citation-style-language/schema/raw/master/csl-citation.json"}</w:instrText>
            </w:r>
            <w:r>
              <w:fldChar w:fldCharType="separate"/>
            </w:r>
            <w:r w:rsidR="002A6A73" w:rsidRPr="002A6A73">
              <w:rPr>
                <w:noProof/>
              </w:rPr>
              <w:t xml:space="preserve">(Delmastro </w:t>
            </w:r>
            <w:r w:rsidR="002A6A73" w:rsidRPr="002A6A73">
              <w:rPr>
                <w:i/>
                <w:noProof/>
              </w:rPr>
              <w:t>et al.</w:t>
            </w:r>
            <w:r w:rsidR="002A6A73" w:rsidRPr="002A6A73">
              <w:rPr>
                <w:noProof/>
              </w:rPr>
              <w:t>, 2017)</w:t>
            </w:r>
            <w:r>
              <w:fldChar w:fldCharType="end"/>
            </w:r>
          </w:p>
        </w:tc>
      </w:tr>
      <w:tr w:rsidR="000F16EB" w14:paraId="39CEAA06" w14:textId="77777777" w:rsidTr="00A7521D">
        <w:trPr>
          <w:jc w:val="center"/>
        </w:trPr>
        <w:tc>
          <w:tcPr>
            <w:tcW w:w="1259" w:type="dxa"/>
          </w:tcPr>
          <w:p w14:paraId="32E886C1" w14:textId="77777777" w:rsidR="000F16EB" w:rsidRDefault="000F16EB" w:rsidP="00A7521D">
            <w:pPr>
              <w:jc w:val="center"/>
            </w:pPr>
            <w:r>
              <w:t>England</w:t>
            </w:r>
          </w:p>
        </w:tc>
        <w:tc>
          <w:tcPr>
            <w:tcW w:w="1649" w:type="dxa"/>
          </w:tcPr>
          <w:p w14:paraId="1D86614C" w14:textId="77777777" w:rsidR="000F16EB" w:rsidRDefault="000F16EB" w:rsidP="00A7521D">
            <w:pPr>
              <w:jc w:val="center"/>
            </w:pPr>
            <w:r>
              <w:t>28</w:t>
            </w:r>
          </w:p>
        </w:tc>
        <w:tc>
          <w:tcPr>
            <w:tcW w:w="1203" w:type="dxa"/>
          </w:tcPr>
          <w:p w14:paraId="474F6984" w14:textId="77777777" w:rsidR="000F16EB" w:rsidRDefault="000F16EB" w:rsidP="00A7521D">
            <w:pPr>
              <w:jc w:val="center"/>
            </w:pPr>
            <w:r>
              <w:t>0</w:t>
            </w:r>
          </w:p>
        </w:tc>
        <w:tc>
          <w:tcPr>
            <w:tcW w:w="1985" w:type="dxa"/>
          </w:tcPr>
          <w:p w14:paraId="4C8FBCAD" w14:textId="77777777" w:rsidR="000F16EB" w:rsidRDefault="000F16EB" w:rsidP="00A7521D">
            <w:pPr>
              <w:jc w:val="center"/>
            </w:pPr>
            <w:r>
              <w:t>Yearly TE demand (kWh/m</w:t>
            </w:r>
            <w:r>
              <w:rPr>
                <w:vertAlign w:val="superscript"/>
              </w:rPr>
              <w:t>2</w:t>
            </w:r>
            <w:r>
              <w:t>)</w:t>
            </w:r>
          </w:p>
        </w:tc>
        <w:tc>
          <w:tcPr>
            <w:tcW w:w="1984" w:type="dxa"/>
          </w:tcPr>
          <w:p w14:paraId="41461CE1" w14:textId="5E5BC6D7" w:rsidR="000F16EB" w:rsidRDefault="000F16EB" w:rsidP="00A7521D">
            <w:pPr>
              <w:jc w:val="center"/>
            </w:pPr>
            <w:r>
              <w:fldChar w:fldCharType="begin" w:fldLock="1"/>
            </w:r>
            <w:r w:rsidR="002A6A73">
              <w:instrText>ADDIN CSL_CITATION {"citationItems":[{"id":"ITEM-1","itemData":{"author":[{"dropping-particle":"","family":"Parsons Brinckerhoff","given":"","non-dropping-particle":"","parse-names":false,"suffix":""}],"id":"ITEM-1","issue":"May","issued":{"date-parts":[["2011"]]},"publisher-place":"London, England","title":"A District Heating Utility for the Tees Valley: Study into the strategic use of waste heat and supply of private sector customers","type":"report"},"uris":["http://www.mendeley.com/documents/?uuid=5e08822c-bb7b-4846-8fd8-71bc94ccfc29"]}],"mendeley":{"formattedCitation":"(Parsons Brinckerhoff, 2011)","plainTextFormattedCitation":"(Parsons Brinckerhoff, 2011)","previouslyFormattedCitation":"(Parsons Brinckerhoff, 2011)"},"properties":{"noteIndex":0},"schema":"https://github.com/citation-style-language/schema/raw/master/csl-citation.json"}</w:instrText>
            </w:r>
            <w:r>
              <w:fldChar w:fldCharType="separate"/>
            </w:r>
            <w:r w:rsidR="002A6A73" w:rsidRPr="002A6A73">
              <w:rPr>
                <w:noProof/>
              </w:rPr>
              <w:t>(Parsons Brinckerhoff, 2011)</w:t>
            </w:r>
            <w:r>
              <w:fldChar w:fldCharType="end"/>
            </w:r>
          </w:p>
        </w:tc>
      </w:tr>
    </w:tbl>
    <w:p w14:paraId="485D6A31" w14:textId="77777777" w:rsidR="000F16EB" w:rsidRPr="00006B25" w:rsidRDefault="000F16EB" w:rsidP="00196CD6">
      <w:pPr>
        <w:pStyle w:val="NoSpacing"/>
      </w:pPr>
    </w:p>
    <w:p w14:paraId="42BFB49D" w14:textId="77777777" w:rsidR="000F16EB" w:rsidRDefault="000F16EB" w:rsidP="000F16EB">
      <w:pPr>
        <w:pStyle w:val="Heading6"/>
      </w:pPr>
      <w:r>
        <w:t>Calculating the Potential of Connecting New Customers to a District Heating Network</w:t>
      </w:r>
    </w:p>
    <w:p w14:paraId="4F80CA91" w14:textId="39BFC60F" w:rsidR="000F16EB" w:rsidRDefault="000F16EB" w:rsidP="000F16EB">
      <w:r>
        <w:t xml:space="preserve">One use of heat mapping is to estimate the potential of connecting new buildings and areas to an existing DHN. </w:t>
      </w:r>
      <w:r w:rsidRPr="0080235D">
        <w:rPr>
          <w:noProof/>
        </w:rPr>
        <w:t>Skujevska</w:t>
      </w:r>
      <w:r>
        <w:t xml:space="preserve"> </w:t>
      </w:r>
      <w:r w:rsidRPr="00F66C0D">
        <w:rPr>
          <w:i/>
        </w:rPr>
        <w:t>et al.</w:t>
      </w:r>
      <w:r>
        <w:t xml:space="preserve"> used heat mapping to identify possible new customers for an existing DHN and estimate the costs of connecting the new customers to the network</w:t>
      </w:r>
      <w:r w:rsidR="00F66C0D">
        <w:t xml:space="preserve"> </w:t>
      </w:r>
      <w:r w:rsidR="00F66C0D">
        <w:fldChar w:fldCharType="begin" w:fldLock="1"/>
      </w:r>
      <w:r w:rsidR="00FF4B5D">
        <w:instrText>ADDIN CSL_CITATION {"citationItems":[{"id":"ITEM-1","itemData":{"DOI":"10.1016/j.egypro.2016.09.061","ISSN":"18766102","abstract":"The work is based on the EU Directive 2012/27/EU concerning energy efficiency. One of the objectives for energy efficient solutions is improvement of existing district heating systems. Compared to individual boilers, district heating ensures a low-carbon and cost-effective way to heat buildings. In order to determine what would make significant improvement in the existing heating system and to identify what specific energy efficiency measures can be applied, it is necessary to evaluate the current situation. The study identified the potential heat consumers in the Salaspils municipality through a software of geographical information systems. With the help of a created heat map it is possible to determine the areas where it would be beneficial to extend the existing district heating network or vice versa. During the study, the comprehensive assessment of the efficient district heating potential for exploitation is made based on the data of consumer location and building characterization. The methodology for assessment of heat consumption that has been developed in this study is based on the European Commission's methodology for determining the comprehensive national heating potential. The study emphasizes identification of consumers and methods for their mapping and assessing possibilities of district heating potential in the respective region.","author":[{"dropping-particle":"","family":"Skujevska","given":"Agnese","non-dropping-particle":"","parse-names":false,"suffix":""},{"dropping-particle":"","family":"Rosa","given":"Marika","non-dropping-particle":"","parse-names":false,"suffix":""},{"dropping-particle":"","family":"Kamenders","given":"Agris","non-dropping-particle":"","parse-names":false,"suffix":""}],"container-title":"International Scientific Conference \"Environmental and Climate Technologies\"","id":"ITEM-1","issued":{"date-parts":[["2016"]]},"page":"444-450","publisher":"Elsevier","publisher-place":"Riga, Latvia","title":"Evaluation of Energy Consumption of Municipal Buildings by Heat Energy Demand Mapping","type":"paper-conference","volume":"95"},"uris":["http://www.mendeley.com/documents/?uuid=c5cb46b1-a520-4ebe-b472-b1d67d93e1b6"]}],"mendeley":{"formattedCitation":"(Skujevska &lt;i&gt;et al.&lt;/i&gt;, 2016)","plainTextFormattedCitation":"(Skujevska et al., 2016)","previouslyFormattedCitation":"(Skujevska &lt;i&gt;et al.&lt;/i&gt;, 2016)"},"properties":{"noteIndex":0},"schema":"https://github.com/citation-style-language/schema/raw/master/csl-citation.json"}</w:instrText>
      </w:r>
      <w:r w:rsidR="00F66C0D">
        <w:fldChar w:fldCharType="separate"/>
      </w:r>
      <w:r w:rsidR="00F66C0D" w:rsidRPr="005F544E">
        <w:rPr>
          <w:noProof/>
        </w:rPr>
        <w:t xml:space="preserve">(Skujevska </w:t>
      </w:r>
      <w:r w:rsidR="00F66C0D" w:rsidRPr="005F544E">
        <w:rPr>
          <w:i/>
          <w:noProof/>
        </w:rPr>
        <w:t>et al.</w:t>
      </w:r>
      <w:r w:rsidR="00F66C0D" w:rsidRPr="005F544E">
        <w:rPr>
          <w:noProof/>
        </w:rPr>
        <w:t>, 2016)</w:t>
      </w:r>
      <w:r w:rsidR="00F66C0D">
        <w:fldChar w:fldCharType="end"/>
      </w:r>
      <w:r>
        <w:t>. The DHN operator supplied records of annual HD (kWh/m</w:t>
      </w:r>
      <w:r>
        <w:rPr>
          <w:vertAlign w:val="superscript"/>
        </w:rPr>
        <w:t>2</w:t>
      </w:r>
      <w:r>
        <w:t xml:space="preserve">) for its customers, which were used to predict the HD of potential new customers. The accuracy of the predicted HDs </w:t>
      </w:r>
      <w:proofErr w:type="gramStart"/>
      <w:r>
        <w:t>were</w:t>
      </w:r>
      <w:proofErr w:type="gramEnd"/>
      <w:r>
        <w:t xml:space="preserve"> validated, when possible, using surveys on the fuel consumption or HDs of existing customers. </w:t>
      </w:r>
    </w:p>
    <w:p w14:paraId="1AE80D38" w14:textId="39BE6F36" w:rsidR="000F16EB" w:rsidRDefault="000F16EB" w:rsidP="000F16EB">
      <w:r w:rsidRPr="00EC26CD">
        <w:rPr>
          <w:noProof/>
        </w:rPr>
        <w:t>Möller</w:t>
      </w:r>
      <w:r>
        <w:t xml:space="preserve"> and Lund  used a mixture of empirical building data, a national database of buildings, and supplied user data to estimate the HD of potential new DH customers</w:t>
      </w:r>
      <w:r w:rsidR="00F66C0D">
        <w:t xml:space="preserve"> </w:t>
      </w:r>
      <w:r w:rsidR="00F66C0D">
        <w:fldChar w:fldCharType="begin" w:fldLock="1"/>
      </w:r>
      <w:r w:rsidR="00F66C0D">
        <w:instrText>ADDIN CSL_CITATION {"citationItems":[{"id":"ITEM-1","itemData":{"DOI":"10.1016/j.apenergy.2009.12.001","ISBN":"03062619","ISSN":"03062619","abstract":"Replacing individual natural gas heating with district heating based to increasing shares of renewable energy sources may further reduce CO2-emissions in the Danish Building mass, while increasing flexibility of the energy system to accommodate significantly larger amounts of variable renewable energy production. The present paper describes a geographical study of the potential to expand district heating into areas supplied with natural gas. The study uses a highly detailed spatial database of the built environment, its current and potential future energy demand, its supply technologies and its location relative to energy infrastructure. First, using a spatially explicit economic model, the study calculates the potentials and costs of connection to expanded district heating networks by supply technology. Then a comprehensive energy systems analysis is carried out to model how the new district heat can be supplied from an energy system with higher shares of renewable energy. It can be concluded on the basis of these analyses that the methods used proved highly useful to address issues of geographically dependent energy supply; however the spatio-economic model still is rather crude. The analyses suggest to expand district heating from present 46% to somewhere in between 50% and 70%. The most attractive potential is located around towns and cities. The study also suggests that CO2-emissions, fuel consumption and socio-economic costs can be reduced by expanding district heating, while at the same time investing in energy savings in the building mass as well as increased district heating network efficiency. ?? 2009 Elsevier Ltd. All rights reserved.","author":[{"dropping-particle":"","family":"Möller","given":"Bernd","non-dropping-particle":"","parse-names":false,"suffix":""},{"dropping-particle":"","family":"Lund","given":"Henrik","non-dropping-particle":"","parse-names":false,"suffix":""}],"container-title":"Applied Energy","id":"ITEM-1","issue":"6","issued":{"date-parts":[["2010"]]},"page":"1846-1857","publisher":"Elsevier Ltd","title":"Conversion of individual natural gas to district heating: Geographical studies of supply costs and consequences for the Danish energy system","type":"article-journal","volume":"87"},"uris":["http://www.mendeley.com/documents/?uuid=c0c52e1d-c4f3-4eb8-a557-84a90c52c918"]}],"mendeley":{"formattedCitation":"(Möller and Lund, 2010)","plainTextFormattedCitation":"(Möller and Lund, 2010)","previouslyFormattedCitation":"(Möller and Lund, 2010)"},"properties":{"noteIndex":0},"schema":"https://github.com/citation-style-language/schema/raw/master/csl-citation.json"}</w:instrText>
      </w:r>
      <w:r w:rsidR="00F66C0D">
        <w:fldChar w:fldCharType="separate"/>
      </w:r>
      <w:r w:rsidR="00F66C0D" w:rsidRPr="002A6A73">
        <w:rPr>
          <w:noProof/>
        </w:rPr>
        <w:t>(Möller and Lund, 2010)</w:t>
      </w:r>
      <w:r w:rsidR="00F66C0D">
        <w:fldChar w:fldCharType="end"/>
      </w:r>
      <w:r>
        <w:t xml:space="preserve">. An estimation of the costs of connecting the customers to an existing DHN was calculated based </w:t>
      </w:r>
      <w:proofErr w:type="gramStart"/>
      <w:r>
        <w:t>on:</w:t>
      </w:r>
      <w:proofErr w:type="gramEnd"/>
      <w:r>
        <w:t xml:space="preserve"> the number, sizes, and locations of the new customers; the total HD in that area; and the shortest possible distance to the DHN.</w:t>
      </w:r>
      <w:r w:rsidRPr="00EC26CD">
        <w:t xml:space="preserve"> </w:t>
      </w:r>
      <w:r w:rsidRPr="00EC26CD">
        <w:rPr>
          <w:noProof/>
        </w:rPr>
        <w:t>Grundahl</w:t>
      </w:r>
      <w:r>
        <w:t xml:space="preserve"> </w:t>
      </w:r>
      <w:r w:rsidRPr="00F66C0D">
        <w:rPr>
          <w:i/>
        </w:rPr>
        <w:t>et al</w:t>
      </w:r>
      <w:r>
        <w:t>. used heat mapping techniques to evaluate the economic potential of different possible expansions to a DHN</w:t>
      </w:r>
      <w:r w:rsidR="00F66C0D">
        <w:t xml:space="preserve"> </w:t>
      </w:r>
      <w:r w:rsidR="00F66C0D">
        <w:fldChar w:fldCharType="begin" w:fldLock="1"/>
      </w:r>
      <w:r w:rsidR="00F66C0D">
        <w:instrText>ADDIN CSL_CITATION {"citationItems":[{"id":"ITEM-1","itemData":{"DOI":"10.1016/j.energy.2016.05.094","ISSN":"03605442","abstract":"Recent studies show that a high share of district heating is an important part of a future sustainable energy system or smart energy system with a high renewable energy penetration. These studies also show socio-economic benefits of expanding the district heating coverage. However, in order to implement such an expansion, district heating needs to be economically feasible for the heat consumers. This aspect is often not investigated and hence it is unknown if calculations based on consumer-economy, where tax payment is included, will yield the same potential of expansion. This study identifies the differences in the expansion potential of district heating calculated with a socio-economic and a consumer-economic approach, respectively, in a case study of Denmark. By also investigating the consumer-economy of expanding district heating, a deeper insight is obtained of possible locations for expanding district heating under the current framework conditions.","author":[{"dropping-particle":"","family":"Grundahl","given":"Lars","non-dropping-particle":"","parse-names":false,"suffix":""},{"dropping-particle":"","family":"Nielsen","given":"Steffen","non-dropping-particle":"","parse-names":false,"suffix":""},{"dropping-particle":"","family":"Lund","given":"Henrik","non-dropping-particle":"","parse-names":false,"suffix":""},{"dropping-particle":"","family":"Möller","given":"Bernd","non-dropping-particle":"","parse-names":false,"suffix":""}],"container-title":"Energy","id":"ITEM-1","issued":{"date-parts":[["2016"]]},"page":"1771-1778","title":"Comparison of district heating expansion potential based on consumer-economy or socio-economy","type":"article-journal","volume":"115"},"uris":["http://www.mendeley.com/documents/?uuid=bc71d92f-bdac-4fc9-84f9-18031d2427c9"]}],"mendeley":{"formattedCitation":"(Grundahl &lt;i&gt;et al.&lt;/i&gt;, 2016)","plainTextFormattedCitation":"(Grundahl et al., 2016)","previouslyFormattedCitation":"(Grundahl &lt;i&gt;et al.&lt;/i&gt;, 2016)"},"properties":{"noteIndex":0},"schema":"https://github.com/citation-style-language/schema/raw/master/csl-citation.json"}</w:instrText>
      </w:r>
      <w:r w:rsidR="00F66C0D">
        <w:fldChar w:fldCharType="separate"/>
      </w:r>
      <w:r w:rsidR="00F66C0D" w:rsidRPr="002A6A73">
        <w:rPr>
          <w:noProof/>
        </w:rPr>
        <w:t xml:space="preserve">(Grundahl </w:t>
      </w:r>
      <w:r w:rsidR="00F66C0D" w:rsidRPr="002A6A73">
        <w:rPr>
          <w:i/>
          <w:noProof/>
        </w:rPr>
        <w:t>et al.</w:t>
      </w:r>
      <w:r w:rsidR="00F66C0D" w:rsidRPr="002A6A73">
        <w:rPr>
          <w:noProof/>
        </w:rPr>
        <w:t>, 2016)</w:t>
      </w:r>
      <w:r w:rsidR="00F66C0D">
        <w:fldChar w:fldCharType="end"/>
      </w:r>
      <w:r>
        <w:t>. Existing heat mapping methodology, t</w:t>
      </w:r>
      <w:r w:rsidRPr="00EC26CD">
        <w:t>he current edition of the Danish Heat Atlas from Aalborg University</w:t>
      </w:r>
      <w:r>
        <w:t xml:space="preserve">, was used to estimate the HDs of the buildings. The costs of the connection were calculated using several steps. Firstly, the costs of the pipe connection to the nearest part of the DHN were determined. Secondly, the cost of </w:t>
      </w:r>
      <w:r>
        <w:lastRenderedPageBreak/>
        <w:t>connecting the entire zonal area were calculated, which was then used to calculate a connection cost per dwelling and finally, a heat cost was assumed per dwelling.</w:t>
      </w:r>
    </w:p>
    <w:p w14:paraId="534FF070" w14:textId="77777777" w:rsidR="000F16EB" w:rsidRDefault="000F16EB" w:rsidP="000F16EB">
      <w:pPr>
        <w:pStyle w:val="Heading3"/>
      </w:pPr>
      <w:bookmarkStart w:id="209" w:name="_Toc522192737"/>
      <w:bookmarkStart w:id="210" w:name="_Toc525229960"/>
      <w:bookmarkStart w:id="211" w:name="_Toc529888274"/>
      <w:bookmarkStart w:id="212" w:name="_Toc7187466"/>
      <w:r>
        <w:t>Data Sources Used for Heat Demand Calculations</w:t>
      </w:r>
      <w:bookmarkEnd w:id="209"/>
      <w:bookmarkEnd w:id="210"/>
      <w:bookmarkEnd w:id="211"/>
      <w:bookmarkEnd w:id="212"/>
    </w:p>
    <w:p w14:paraId="3CC7E363" w14:textId="28595885" w:rsidR="000F16EB" w:rsidRPr="00EC26CD" w:rsidRDefault="000F16EB" w:rsidP="000F16EB">
      <w:r>
        <w:t xml:space="preserve">Several different data sources are used as primary data in HD estimations. Numerous studies use national databases of building registries, including the Danish National Building and Dwelling Register </w:t>
      </w:r>
      <w:r>
        <w:fldChar w:fldCharType="begin" w:fldLock="1"/>
      </w:r>
      <w:r w:rsidR="002A6A73">
        <w:rPr>
          <w:rFonts w:hint="eastAsia"/>
        </w:rPr>
        <w:instrText xml:space="preserve">ADDIN CSL_CITATION {"citationItems":[{"id":"ITEM-1","itemData":{"DOI":"10.1108/14777830810878650","ISBN":"1477-7835","ISSN":"1477-7835","abstract":"Purpose </w:instrText>
      </w:r>
      <w:r w:rsidR="002A6A73">
        <w:rPr>
          <w:rFonts w:hint="eastAsia"/>
        </w:rPr>
        <w:instrText>–</w:instrText>
      </w:r>
      <w:r w:rsidR="002A6A73">
        <w:rPr>
          <w:rFonts w:hint="eastAsia"/>
        </w:rPr>
        <w:instrText xml:space="preserve"> The objective is to describe and evaluate the development of a novel planning tool for end</w:instrText>
      </w:r>
      <w:r w:rsidR="002A6A73">
        <w:rPr>
          <w:rFonts w:hint="eastAsia"/>
        </w:rPr>
        <w:instrText>‐</w:instrText>
      </w:r>
      <w:r w:rsidR="002A6A73">
        <w:rPr>
          <w:rFonts w:hint="eastAsia"/>
        </w:rPr>
        <w:instrText>use ef</w:instrText>
      </w:r>
      <w:r w:rsidR="002A6A73">
        <w:instrText>ficiency in the built environment and for infrastructural changes in the energy system.Design/methodology/approach – After describing problems related to further reduce heat demand in the Danish built environment, the geographical nature of the planning task is discussed. The requirements are then translated into concepts for the development of a general method, which is implemented in a practical design of a heat atlas. Typical applications are described and discussed.Findings – It was found that the availability of the extensive public databases in Denmark make feasible the development and application of a highly detailed geographical information base for end use and infrastructure planning and analysis. It was also realised that the development has much higher potentials than explored in this paper. On the other hand, the complex geography of the urban/rural boundaries of cities requires extra car...","author":[{"dropping-particle":"","family":"Möller","given":"Bernd","non-dropping-particle":"","parse-names":false,"suffix":""}],"container-title":"Management of Environmental Quality: An International Journal","id":"ITEM-1","issue":"4","issued":{"date-parts":[["2008"]]},"page":"467-479","title":"A heat atlas for demand and supply management in Denmark","type":"article-journal","volume":"19"},"uris":["http://www.mendeley.com/documents/?uuid=a9e6fa52-4c6d-4c46-94e7-1f320938ba7c"]},{"id":"ITEM-2","itemData":{"DOI":"10.1016/j.apenergy.2009.12.001","ISBN":"03062619","ISSN":"03062619","abstract":"Replacing individual natural gas heating with district heating based to increasing shares of renewable energy sources may further reduce CO2-emissions in the Danish Building mass, while increasing flexibility of the energy system to accommodate significantly larger amounts of variable renewable energy production. The present paper describes a geographical study of the potential to expand district heating into areas supplied with natural gas. The study uses a highly detailed spatial database of the built environment, its current and potential future energy demand, its supply technologies and its location relative to energy infrastructure. First, using a spatially explicit economic model, the study calculates the potentials and costs of connection to expanded district heating networks by supply technology. Then a comprehensive energy systems analysis is carried out to model how the new district heat can be supplied from an energy system with higher shares of renewable energy. It can be concluded on the basis of these analyses that the methods used proved highly useful to address issues of geographically dependent energy supply; however the spatio-economic model still is rather crude. The analyses suggest to expand district heating from present 46% to somewhere in between 50% and 70%. The most attractive potential is located around towns and cities. The study also suggests that CO2-emissions, fuel consumption and socio-economic costs can be reduced by expanding district heating, while at the same time investing in energy savings in the building mass as well as increased district heating network efficiency. ?? 2009 Elsevier Ltd. All rights reserved.","author":[{"dropping-particle":"","family":"Möller","given":"Bernd","non-dropping-particle":"","parse-names":false,"suffix":""},{"dropping-particle":"","family":"Lund","given":"Henrik","non-dropping-particle":"","parse-names":false,"suffix":""}],"container-title":"Applied Energy","id":"ITEM-2","issue":"6","issued":{"date-parts":[["2010"]]},"page":"1846-1857","publisher":"Elsevier Ltd","title":"Conversion of individual natural gas to district heating: Geographical studies of supply costs and consequences for the Danish energy system","type":"article-journal","volume":"87"},"uris":["http://www.mendeley.com/documents/?uuid=c0c52e1d-c4f3-4eb8-a557-84a90c52c918"]},{"id":"ITEM-3","itemData":{"DOI":"10.1007/978-94-007-0458-9","ISBN":"9789400704589","abstract":"The German government intends to cover the demand of primary energy by 16% of renewable energy in Germany in the year 2020, and to reduce CO2-emissions by 40% as opposed to the year 1990. One relevant CO2 emitter is the energy sector which has a big potential to achieve this target. On the other hand, the demographic change will strongly influence the heat supply system, a part of the heat sector. The following chapter analyses the challenges that arise by the decreasing heat demand due demographic change and the need of a modified heat supply system based on renewable energies to attain the given target. This is done by a spatial analysis using Geographical Information System taking into account the actual and future heat demand, the existing infrastructure stock and the potential of renewable energy mainly solar, biomass and geothermal. The analysis shows that the decreasing heat demand in general is a critical precondition for network-bound heat supply infrastructure and that renewable energies can help in selected regions to provide CO2-neutral heat using existing or new district heat systems.","author":[{"dropping-particle":"","family":"Schillings","given":"Christoph","non-dropping-particle":"","parse-names":false,"suffix":""},{"dropping-particle":"","family":"Simon","given":"Sonja","non-dropping-particle":"","parse-names":false,"suffix":""}],"chapter-number":"8","container-title":"Demography and Infrastructure - National and Regional Aspects of Demographic Change","editor":[{"dropping-particle":"","family":"Kronenberg","given":"Tobius","non-dropping-particle":"","parse-names":false,"suffix":""},{"dropping-particle":"","family":"Kuckshinrichs","given":"Wilhelm","non-dropping-particle":"","parse-names":false,"suffix":""}],"id":"ITEM-3","issued":{"date-parts":[["2011"]]},"page":"147-164","publisher":"Springer","title":"The Potential for District Heating Based on Renewable Energy – A Spatial Analysis","type":"chapter"},"uris":["http://www.mendeley.com/documents/?uuid=5bde56e3-cb98-4288-8ac3-f4f21fd3351d"]},{"id":"ITEM-4","itemData":{"DOI":"10.1016/j.energy.2012.06.011","ISSN":"03605442","abstract":"In the EU and in Denmark, the aim is to reduce dependence on fossil fuels and to use energy more efficiently. District heating and combined heat and power have significant potential with regard to achieving this aim. New technologies may make individual solutions such as electric heating, heat pumps and micro-CHP more attractive than previously. Therefore, the competitive conditions between district heating and other types of heating may change in the future. The question is therefore whether district heating can contribute to ensuring the sustainability of future energy systems? Denmark is used as a case as the country has a high share of district heating and produces 20% of the electricity with wind power. The analyses are carried out using the electricity market model Balmorel, which facilitates cost optimization of operation and investments in energy production plants as well as electricity transmission. To be able to perform the analysis an extension of the model is developed, where it is also possible to optimize between investments in individual heating plants or in expansion of the district heating networks, depending on investment costs, energy density of the potential areas and their distance to existing district heating networks. Results show that district heating may contribute to the sustainability and security of supply of future energy systems and that under the given assumptions it is cost effective to increase the share of district heating up to 55-57% of the heat demand although substantial heat saving measures are installed. © 2012 Elsevier Ltd.","author":[{"dropping-particle":"","family":"Münster","given":"Marie","non-dropping-particle":"","parse-names":false,"suffix":""},{"dropping-particle":"","family":"Morthorst","given":"Poul Erik","non-dropping-particle":"","parse-names":false,"suffix":""},{"dropping-particle":"V.","family":"Larsen","given":"Helge","non-dropping-particle":"","parse-names":false,"suffix":""},{"dropping-particle":"","family":"Bregnbæk","given":"Lars","non-dropping-particle":"","parse-names":false,"suffix":""},{"dropping-particle":"","family":"Werling","given":"Jesper","non-dropping-particle":"","parse-names":false,"suffix":""},{"dropping-particle":"","family":"Lindboe","given":"Hans Henrik","non-dropping-particle":"","parse-names":false,"suffix":""},{"dropping-particle":"","family":"Ravn","given":"Hans","non-dropping-particle":"","parse-names":false,"suffix":""}],"container-title":"Energy","id":"ITEM-4","issue":"1","issued":{"date-parts":[["2012"]]},"page":"47-55","publisher":"Elsevier Ltd","title":"The role of district heating in the future Danish energy system","type":"article-journal","volume":"48"},"uris":["http://www.mendeley.com/documents/?uuid=da9df09a-8050-4923-b6b2-8b46ae97fee9"]},{"id":"ITEM-5","itemData":{"DOI":"10.1016/j.apenergy.2017.08.032","ISSN":"03062619","abstract":"Excess heat is available from various sources and its utilisation could reduce the primary energy use. The accessibility of this heat is however dependent amongst others on the source and sink temperature, amount and potential users in its vicinity. In this work a new method is developed which analyses excess heat sources from the industrial sector and how they could be used for district heating. This method first allocates excess heat to single production units by introducing and validating a new approach. Spatial analysis of the heat sources and consumers are then performed to evaluate the potential for using them for district heating. In this way the theoretical potential of using the excess heat for covering the heating demand of buildings is determined. Through the use of industry specific temperature profiles the heat usable directly or via heat pumps is further found. A sensitivity analysis investigates the impact of future energy efficiency measures in the industry, buildings and the district heating grid on the national potential. The results show that for the case study of Denmark, 1.36 TWh of district heat could be provided annually with industrial excess heat from thermal processes which equals 5.1% of the current demand. More than half of this heat was found to be usable directly, without the need for a heat pump.","author":[{"dropping-particle":"","family":"Bühler","given":"Fabian","non-dropping-particle":"","parse-names":false,"suffix":""},{"dropping-particle":"","family":"Petrović","given":"Stefan","non-dropping-particle":"","parse-names":false,"suffix":""},{"dropping-particle":"","family":"Karlsson","given":"Kenneth","non-dropping-particle":"","parse-names":false,"suffix":""},{"dropping-particle":"","family":"Elmegaard","given":"Brian","non-dropping-particle":"","parse-names":false,"suffix":""}],"container-title":"Applied Energy","id":"ITEM-5","issued":{"date-parts":[["2017"]]},"page":"991-1001","title":"Industrial excess heat for district heating in Denmark","type":"article-journal","volume":"205"},"uris":["http://www.mendeley.com/documents/?uuid=d83f5ea8-448a-4aec-963e-28a5fcf83247"]}],"mendeley":{"formattedCitation":"(Möller, 2008; Möller and Lund, 2010; Schillings and Simon, 2011; Münster &lt;i&gt;et al.&lt;/i&gt;, 2012; Bühler &lt;i&gt;et al.&lt;/i&gt;, 2017)","plainTextFormattedCitation":"(Möller, 2008; Möller and Lund, 2010; Schillings and Simon, 2011; Münster et al., 2012; Bühler et al., 2017)","previouslyFormattedCitation":"(Möller, 2008; Möller and Lund, 2010; Schillings and Simon, 2011; Münster &lt;i&gt;et al.&lt;/i&gt;, 2012; Bühler &lt;i&gt;et al.&lt;/i&gt;, 2017)"},"properties":{"noteIndex":0},"schema":"https://github.com/citation-style-language/schema/raw/master/csl-citation.json"}</w:instrText>
      </w:r>
      <w:r>
        <w:fldChar w:fldCharType="separate"/>
      </w:r>
      <w:r w:rsidR="002A6A73" w:rsidRPr="002A6A73">
        <w:rPr>
          <w:noProof/>
        </w:rPr>
        <w:t xml:space="preserve">(Möller, 2008; Möller and Lund, 2010; Schillings and Simon, 2011; Münster </w:t>
      </w:r>
      <w:r w:rsidR="002A6A73" w:rsidRPr="002A6A73">
        <w:rPr>
          <w:i/>
          <w:noProof/>
        </w:rPr>
        <w:t>et al.</w:t>
      </w:r>
      <w:r w:rsidR="002A6A73" w:rsidRPr="002A6A73">
        <w:rPr>
          <w:noProof/>
        </w:rPr>
        <w:t xml:space="preserve">, 2012; Bühler </w:t>
      </w:r>
      <w:r w:rsidR="002A6A73" w:rsidRPr="002A6A73">
        <w:rPr>
          <w:i/>
          <w:noProof/>
        </w:rPr>
        <w:t>et al.</w:t>
      </w:r>
      <w:r w:rsidR="002A6A73" w:rsidRPr="002A6A73">
        <w:rPr>
          <w:noProof/>
        </w:rPr>
        <w:t>, 2017)</w:t>
      </w:r>
      <w:r>
        <w:fldChar w:fldCharType="end"/>
      </w:r>
      <w:r>
        <w:t xml:space="preserve">. Other studies use databases for weather, urban buildings and building archetypes </w:t>
      </w:r>
      <w:r>
        <w:fldChar w:fldCharType="begin" w:fldLock="1"/>
      </w:r>
      <w:r w:rsidR="002A6A73">
        <w:instrText>ADDIN CSL_CITATION {"citationItems":[{"id":"ITEM-1","itemData":{"author":[{"dropping-particle":"","family":"Parsons Brinckerhoff","given":"","non-dropping-particle":"","parse-names":false,"suffix":""}],"id":"ITEM-1","issue":"May","issued":{"date-parts":[["2011"]]},"publisher-place":"London, England","title":"A District Heating Utility for the Tees Valley: Study into the strategic use of waste heat and supply of private sector customers","type":"report"},"uris":["http://www.mendeley.com/documents/?uuid=5e08822c-bb7b-4846-8fd8-71bc94ccfc29"]},{"id":"ITEM-2","itemData":{"DOI":"10.1016/j.apenergy.2014.12.068","ISBN":"0306-2619","ISSN":"03062619","PMID":"24439530","abstract":"We introduce an integrated model for characterization of spatiotemporal building energy consumption patterns in neighborhoods and city districts. The model addresses the need for a comprehensive method to identify present and potential states of building energy consumption in the context of urban transformation. The focus lies on determining the spatiotemporal variability of energy services in both standing and future buildings in the residential, commercial and industrial sectors. This detailed characterization facilitates the assessment of potential energy efficiency measures at the neighborhood and city district scales. In a novel approach we integrated existing methods in urban and energy planning domains such as spatial analysis, dynamic building energy modeling and energy mapping to provide a comprehensive, multi-scale and multi-dimensional model of analysis. The model is part of a geographic information system (GIS), which serves as a platform for the allocation and future dissemination of spatiotemporal data. The model is validated against measured data and a peer model for a city district in Switzerland. In this context, we present practical applications in the analysis of energy efficiency measures in buildings and urban zoning. We furthermore discuss potential applications in educational, urban and energy planning practices.","author":[{"dropping-particle":"","family":"Fonseca","given":"Jimeno A.","non-dropping-particle":"","parse-names":false,"suffix":""},{"dropping-particle":"","family":"Schlueter","given":"Arno","non-dropping-particle":"","parse-names":false,"suffix":""}],"container-title":"Applied Energy","id":"ITEM-2","issued":{"date-parts":[["2015"]]},"page":"247-265","publisher":"Elsevier Ltd","title":"Integrated model for characterization of spatiotemporal building energy consumption patterns in neighborhoods and city districts","type":"article-journal","volume":"142"},"uris":["http://www.mendeley.com/documents/?uuid=78c6e8a4-9311-4495-b38d-abd656a5fb7a"]}],"mendeley":{"formattedCitation":"(Parsons Brinckerhoff, 2011; Fonseca and Schlueter, 2015)","plainTextFormattedCitation":"(Parsons Brinckerhoff, 2011; Fonseca and Schlueter, 2015)","previouslyFormattedCitation":"(Parsons Brinckerhoff, 2011; Fonseca and Schlueter, 2015)"},"properties":{"noteIndex":0},"schema":"https://github.com/citation-style-language/schema/raw/master/csl-citation.json"}</w:instrText>
      </w:r>
      <w:r>
        <w:fldChar w:fldCharType="separate"/>
      </w:r>
      <w:r w:rsidR="002A6A73" w:rsidRPr="002A6A73">
        <w:rPr>
          <w:noProof/>
        </w:rPr>
        <w:t>(Parsons Brinckerhoff, 2011; Fonseca and Schlueter, 2015)</w:t>
      </w:r>
      <w:r>
        <w:fldChar w:fldCharType="end"/>
      </w:r>
      <w:r>
        <w:t>.</w:t>
      </w:r>
    </w:p>
    <w:p w14:paraId="5B6B199D" w14:textId="77777777" w:rsidR="000F16EB" w:rsidRDefault="000F16EB" w:rsidP="000F16EB">
      <w:pPr>
        <w:pStyle w:val="Heading2"/>
        <w:rPr>
          <w:color w:val="000000" w:themeColor="text1"/>
          <w:szCs w:val="28"/>
          <w:u w:val="single"/>
        </w:rPr>
      </w:pPr>
      <w:bookmarkStart w:id="213" w:name="_Toc522192738"/>
      <w:bookmarkStart w:id="214" w:name="_Toc525229961"/>
      <w:bookmarkStart w:id="215" w:name="_Toc529888275"/>
      <w:bookmarkStart w:id="216" w:name="_Toc7187467"/>
      <w:r>
        <w:t>Modelling District Heating Networks</w:t>
      </w:r>
      <w:bookmarkEnd w:id="213"/>
      <w:bookmarkEnd w:id="214"/>
      <w:bookmarkEnd w:id="215"/>
      <w:bookmarkEnd w:id="216"/>
    </w:p>
    <w:p w14:paraId="36C29545" w14:textId="317F7D1F" w:rsidR="000F16EB" w:rsidRDefault="000F16EB" w:rsidP="000F16EB">
      <w:r>
        <w:t xml:space="preserve">Modelling DHNs is the key step in the design of any new network </w:t>
      </w:r>
      <w:r>
        <w:fldChar w:fldCharType="begin" w:fldLock="1"/>
      </w:r>
      <w:r w:rsidR="002A6A73">
        <w:instrText>ADDIN CSL_CITATION {"citationItems":[{"id":"ITEM-1","itemData":{"ISBN":"87-7877-042-4","author":[{"dropping-particle":"","family":"Heller","given":"A.J.","non-dropping-particle":"","parse-names":false,"suffix":""}],"id":"ITEM-1","issued":{"date-parts":[["2000"]]},"publisher":"Technical University of Denmark","title":"Demand Modelling for Central Heating Systems","type":"thesis"},"uris":["http://www.mendeley.com/documents/?uuid=e112cbd7-d29c-46e5-b4e6-24eca2949b81"]}],"mendeley":{"formattedCitation":"(Heller, 2000)","plainTextFormattedCitation":"(Heller, 2000)","previouslyFormattedCitation":"(Heller, 2000)"},"properties":{"noteIndex":0},"schema":"https://github.com/citation-style-language/schema/raw/master/csl-citation.json"}</w:instrText>
      </w:r>
      <w:r>
        <w:fldChar w:fldCharType="separate"/>
      </w:r>
      <w:r w:rsidR="002A6A73" w:rsidRPr="002A6A73">
        <w:rPr>
          <w:noProof/>
        </w:rPr>
        <w:t>(Heller, 2000)</w:t>
      </w:r>
      <w:r>
        <w:fldChar w:fldCharType="end"/>
      </w:r>
      <w:r>
        <w:t>. Modelling of DHNs can be used to determine the HD of an individual house, the HD of the entire network, the optimisation of the network using TES, or the assessment of the network’s success. Due to the wide range of uses, a wide range of DH models exist, a summary of key modelling types is as follows:</w:t>
      </w:r>
    </w:p>
    <w:p w14:paraId="61E54DDC" w14:textId="77777777" w:rsidR="000F16EB" w:rsidRDefault="000F16EB" w:rsidP="00202E44">
      <w:pPr>
        <w:pStyle w:val="ListParagraph"/>
        <w:numPr>
          <w:ilvl w:val="0"/>
          <w:numId w:val="10"/>
        </w:numPr>
      </w:pPr>
      <w:r>
        <w:t>Steady state models, which are based on steady state assumptions with constant temperature and flowrates across the time period considered.</w:t>
      </w:r>
    </w:p>
    <w:p w14:paraId="34E8C9F0" w14:textId="77777777" w:rsidR="000F16EB" w:rsidRDefault="000F16EB" w:rsidP="00202E44">
      <w:pPr>
        <w:pStyle w:val="ListParagraph"/>
        <w:numPr>
          <w:ilvl w:val="0"/>
          <w:numId w:val="10"/>
        </w:numPr>
      </w:pPr>
      <w:r>
        <w:t>Dynamic models, which deal with time dependent effects of heating and have parameters that vary depending on the statistical probabilities of a given occurrence.</w:t>
      </w:r>
    </w:p>
    <w:p w14:paraId="6197CDEF" w14:textId="77777777" w:rsidR="000F16EB" w:rsidRDefault="000F16EB" w:rsidP="00202E44">
      <w:pPr>
        <w:pStyle w:val="ListParagraph"/>
        <w:numPr>
          <w:ilvl w:val="0"/>
          <w:numId w:val="10"/>
        </w:numPr>
      </w:pPr>
      <w:r>
        <w:t>Black box models, otherwise called input-output models, where the outputs are coupled to the inputs and no priori information is available.</w:t>
      </w:r>
    </w:p>
    <w:p w14:paraId="17C42A2F" w14:textId="77777777" w:rsidR="000F16EB" w:rsidRDefault="000F16EB" w:rsidP="00202E44">
      <w:pPr>
        <w:pStyle w:val="ListParagraph"/>
        <w:numPr>
          <w:ilvl w:val="0"/>
          <w:numId w:val="10"/>
        </w:numPr>
      </w:pPr>
      <w:r>
        <w:t>Grey box models, which combine a partial theoretical structure with the input data to calculate the output.</w:t>
      </w:r>
    </w:p>
    <w:p w14:paraId="5B93172D" w14:textId="77777777" w:rsidR="000F16EB" w:rsidRDefault="000F16EB" w:rsidP="00202E44">
      <w:pPr>
        <w:pStyle w:val="ListParagraph"/>
        <w:numPr>
          <w:ilvl w:val="0"/>
          <w:numId w:val="10"/>
        </w:numPr>
      </w:pPr>
      <w:r>
        <w:t>General load models, otherwise called the top down approach, which calculate the heat load for an entire network or system through analysis of measured loads for that system.</w:t>
      </w:r>
    </w:p>
    <w:p w14:paraId="34ED0BD7" w14:textId="77777777" w:rsidR="000F16EB" w:rsidRDefault="000F16EB" w:rsidP="00202E44">
      <w:pPr>
        <w:pStyle w:val="ListParagraph"/>
        <w:numPr>
          <w:ilvl w:val="0"/>
          <w:numId w:val="10"/>
        </w:numPr>
      </w:pPr>
      <w:r>
        <w:t>Load component models, otherwise called the bottom up approach, which calculate the heat load of a system through detailed modelling of the cause of that heat load.</w:t>
      </w:r>
    </w:p>
    <w:p w14:paraId="04EBFF91" w14:textId="46896E08" w:rsidR="000F16EB" w:rsidRDefault="000F16EB" w:rsidP="000F16EB">
      <w:r>
        <w:t xml:space="preserve">An ideal DH model would be capable of estimating both the heating and cooling energy demand of buildings at a city and an individual scale, with a time scale of an hour or less. </w:t>
      </w:r>
      <w:r w:rsidRPr="00673169">
        <w:rPr>
          <w:noProof/>
        </w:rPr>
        <w:t>Frayssinet</w:t>
      </w:r>
      <w:r>
        <w:t xml:space="preserve"> </w:t>
      </w:r>
      <w:r w:rsidRPr="00F66C0D">
        <w:rPr>
          <w:i/>
        </w:rPr>
        <w:t>et al.</w:t>
      </w:r>
      <w:r>
        <w:t xml:space="preserve"> ran a review looking for such a model and concluded that a validated ‘ideal’ DH model did not exist, mainly due to the large computational power requirement</w:t>
      </w:r>
      <w:r w:rsidR="00F66C0D">
        <w:t xml:space="preserve"> </w:t>
      </w:r>
      <w:r w:rsidR="00F66C0D">
        <w:fldChar w:fldCharType="begin" w:fldLock="1"/>
      </w:r>
      <w:r w:rsidR="00F66C0D">
        <w:instrText>ADDIN CSL_CITATION {"citationItems":[{"id":"ITEM-1","itemData":{"DOI":"10.1016/j.rser.2017.06.040","ISBN":"13640321","ISSN":"18790690","abstract":"Many computational approaches exist to estimate heating and cooling energy demand of buildings at city scale, but few existing models can explicitly consider every buildings of an urban area, and even less can address hourly -or less- energy demand. However, both aspects are critical for urban energy supply designers. Therefore, this paper gives an overview of city energy simulation models from the point of view of short energy dynamics, and reviews the related modeling techniques, which generally involve detailed approaches. Analysis highlights computational costs of such simulations as key issue to overcome towards reliable microsimulation of the power demand of urban areas. Relevant physical and mathematical simplifications as well as efficient numerical and computational techniques based on uncertainties analysis and error quantification should thus be implemented.","author":[{"dropping-particle":"","family":"Frayssinet","given":"Loïc","non-dropping-particle":"","parse-names":false,"suffix":""},{"dropping-particle":"","family":"Merlier","given":"Lucie","non-dropping-particle":"","parse-names":false,"suffix":""},{"dropping-particle":"","family":"Kuznik","given":"Frédéric","non-dropping-particle":"","parse-names":false,"suffix":""},{"dropping-particle":"","family":"Hubert","given":"Jean Luc","non-dropping-particle":"","parse-names":false,"suffix":""},{"dropping-particle":"","family":"Milliez","given":"Maya","non-dropping-particle":"","parse-names":false,"suffix":""},{"dropping-particle":"","family":"Roux","given":"Jean Jacques","non-dropping-particle":"","parse-names":false,"suffix":""}],"container-title":"Renewable and Sustainable Energy Reviews","id":"ITEM-1","issue":"June 2017","issued":{"date-parts":[["2018"]]},"page":"2318-2327","publisher":"Elsevier Ltd","title":"Modeling the heating and cooling energy demand of urban buildings at city scale","type":"article-journal","volume":"81"},"uris":["http://www.mendeley.com/documents/?uuid=9009606b-8900-4163-a160-ad76cb4d5c7a"]}],"mendeley":{"formattedCitation":"(Frayssinet &lt;i&gt;et al.&lt;/i&gt;, 2018)","plainTextFormattedCitation":"(Frayssinet et al., 2018)","previouslyFormattedCitation":"(Frayssinet &lt;i&gt;et al.&lt;/i&gt;, 2018)"},"properties":{"noteIndex":0},"schema":"https://github.com/citation-style-language/schema/raw/master/csl-citation.json"}</w:instrText>
      </w:r>
      <w:r w:rsidR="00F66C0D">
        <w:fldChar w:fldCharType="separate"/>
      </w:r>
      <w:r w:rsidR="00F66C0D" w:rsidRPr="002A6A73">
        <w:rPr>
          <w:noProof/>
        </w:rPr>
        <w:t xml:space="preserve">(Frayssinet </w:t>
      </w:r>
      <w:r w:rsidR="00F66C0D" w:rsidRPr="002A6A73">
        <w:rPr>
          <w:i/>
          <w:noProof/>
        </w:rPr>
        <w:t>et al.</w:t>
      </w:r>
      <w:r w:rsidR="00F66C0D" w:rsidRPr="002A6A73">
        <w:rPr>
          <w:noProof/>
        </w:rPr>
        <w:t>, 2018)</w:t>
      </w:r>
      <w:r w:rsidR="00F66C0D">
        <w:fldChar w:fldCharType="end"/>
      </w:r>
      <w:r>
        <w:t xml:space="preserve">. As a </w:t>
      </w:r>
      <w:r w:rsidR="00E51595">
        <w:t>result,</w:t>
      </w:r>
      <w:r>
        <w:t xml:space="preserve"> some form of simplification to either the scope, the size of the time step, or the size of the network is required. The following section deals with DH models that can considered as simplifications of the ‘ideal’ DH model.</w:t>
      </w:r>
    </w:p>
    <w:p w14:paraId="6CB80396" w14:textId="14DAE281" w:rsidR="000F16EB" w:rsidRDefault="000F16EB" w:rsidP="000F16EB">
      <w:pPr>
        <w:pStyle w:val="Heading3"/>
      </w:pPr>
      <w:bookmarkStart w:id="217" w:name="_Toc529888276"/>
      <w:bookmarkStart w:id="218" w:name="_Toc522192739"/>
      <w:bookmarkStart w:id="219" w:name="_Toc525229962"/>
      <w:bookmarkStart w:id="220" w:name="_Toc7187468"/>
      <w:r>
        <w:t>Component Modelling of District Heating Network</w:t>
      </w:r>
      <w:bookmarkEnd w:id="217"/>
      <w:bookmarkEnd w:id="218"/>
      <w:bookmarkEnd w:id="219"/>
      <w:r w:rsidR="00BE60A4">
        <w:t>s</w:t>
      </w:r>
      <w:bookmarkEnd w:id="220"/>
    </w:p>
    <w:p w14:paraId="6A6E8E3F" w14:textId="3385D92B" w:rsidR="000F16EB" w:rsidRDefault="000F16EB" w:rsidP="000F16EB">
      <w:r>
        <w:t xml:space="preserve">Component modelling, otherwise called bottom up modelling, is used to calculate the overall HD of a network through the modelling and design of each individual component </w:t>
      </w:r>
      <w:r>
        <w:fldChar w:fldCharType="begin" w:fldLock="1"/>
      </w:r>
      <w:r w:rsidR="002A6A73">
        <w:instrText>ADDIN CSL_CITATION {"citationItems":[{"id":"ITEM-1","itemData":{"DOI":"10.3389/fbuil.2016.00022","ISSN":"2297-3362","author":[{"dropping-particle":"","family":"Talebi","given":"Behrang","non-dropping-particle":"","parse-names":false,"suffix":""},{"dropping-particle":"","family":"Mirzaei","given":"Parham A.","non-dropping-particle":"","parse-names":false,"suffix":""},{"dropping-particle":"","family":"Bastani","given":"Arash","non-dropping-particle":"","parse-names":false,"suffix":""},{"dropping-particle":"","family":"Haghighat","given":"Fariborz","non-dropping-particle":"","parse-names":false,"suffix":""}],"container-title":"Frontiers in Built Environment","id":"ITEM-1","issue":"October","issued":{"date-parts":[["2016"]]},"page":"1-14","title":"A Review of District Heating Systems: Modeling and Optimization","type":"article-journal","volume":"2"},"uris":["http://www.mendeley.com/documents/?uuid=8c985309-fa60-4cac-b063-aea036b62563"]}],"mendeley":{"formattedCitation":"(Talebi &lt;i&gt;et al.&lt;/i&gt;, 2016)","plainTextFormattedCitation":"(Talebi et al., 2016)","previouslyFormattedCitation":"(Talebi &lt;i&gt;et al.&lt;/i&gt;, 2016)"},"properties":{"noteIndex":0},"schema":"https://github.com/citation-style-language/schema/raw/master/csl-citation.json"}</w:instrText>
      </w:r>
      <w:r>
        <w:fldChar w:fldCharType="separate"/>
      </w:r>
      <w:r w:rsidR="002A6A73" w:rsidRPr="002A6A73">
        <w:rPr>
          <w:noProof/>
        </w:rPr>
        <w:t xml:space="preserve">(Talebi </w:t>
      </w:r>
      <w:r w:rsidR="002A6A73" w:rsidRPr="002A6A73">
        <w:rPr>
          <w:i/>
          <w:noProof/>
        </w:rPr>
        <w:t>et al.</w:t>
      </w:r>
      <w:r w:rsidR="002A6A73" w:rsidRPr="002A6A73">
        <w:rPr>
          <w:noProof/>
        </w:rPr>
        <w:t>, 2016)</w:t>
      </w:r>
      <w:r>
        <w:fldChar w:fldCharType="end"/>
      </w:r>
      <w:r>
        <w:t xml:space="preserve">. Component modelling of DH mainly focuses on end user profile modelling. End user profile modelling calculates the HD of each individual building on the DHN, combining the individual HDs to calculate the overall HD of the network. End user profile modelling is useful in an area with a large building heterogeneity, such as the urban or domestic area in </w:t>
      </w:r>
      <w:r>
        <w:lastRenderedPageBreak/>
        <w:t>a DHN.</w:t>
      </w:r>
      <w:r w:rsidR="00910EA3">
        <w:t xml:space="preserve"> Many of the modelling techniques listed here use the same methodology as discussed in section </w:t>
      </w:r>
      <w:r w:rsidR="00910EA3">
        <w:fldChar w:fldCharType="begin"/>
      </w:r>
      <w:r w:rsidR="00910EA3">
        <w:instrText xml:space="preserve"> REF _Ref5365457 \n \h </w:instrText>
      </w:r>
      <w:r w:rsidR="00910EA3">
        <w:fldChar w:fldCharType="separate"/>
      </w:r>
      <w:r w:rsidR="00CB7456">
        <w:t>2.4.2</w:t>
      </w:r>
      <w:r w:rsidR="00910EA3">
        <w:fldChar w:fldCharType="end"/>
      </w:r>
      <w:r w:rsidR="00910EA3">
        <w:t>. When the same techniques are used for accurate heat demand modelling instead of heat mapping, the work is completed to much higher levels of detail. Consequently, the same models will be discussed again here, this time to more detail.</w:t>
      </w:r>
    </w:p>
    <w:p w14:paraId="2E53F15C" w14:textId="77777777" w:rsidR="000F16EB" w:rsidRDefault="000F16EB" w:rsidP="000F16EB">
      <w:pPr>
        <w:pStyle w:val="Heading4"/>
      </w:pPr>
      <w:bookmarkStart w:id="221" w:name="_Toc522192740"/>
      <w:bookmarkStart w:id="222" w:name="_Ref531267037"/>
      <w:bookmarkStart w:id="223" w:name="_Ref531267045"/>
      <w:bookmarkStart w:id="224" w:name="_Toc7187469"/>
      <w:r w:rsidRPr="00E30AC6">
        <w:t>Historical</w:t>
      </w:r>
      <w:r>
        <w:t xml:space="preserve"> Models</w:t>
      </w:r>
      <w:bookmarkEnd w:id="221"/>
      <w:bookmarkEnd w:id="222"/>
      <w:bookmarkEnd w:id="223"/>
      <w:bookmarkEnd w:id="224"/>
    </w:p>
    <w:p w14:paraId="655F3488" w14:textId="1B75E1D7" w:rsidR="000F16EB" w:rsidRDefault="000F16EB" w:rsidP="000F16EB">
      <w:r>
        <w:t xml:space="preserve">A number of modelling types exist that utilise historical data of HD and/ or heat supply to model the end user HD </w:t>
      </w:r>
      <w:r>
        <w:fldChar w:fldCharType="begin" w:fldLock="1"/>
      </w:r>
      <w:r w:rsidR="002A6A73">
        <w:instrText>ADDIN CSL_CITATION {"citationItems":[{"id":"ITEM-1","itemData":{"DOI":"10.3389/fbuil.2016.00022","ISSN":"2297-3362","author":[{"dropping-particle":"","family":"Talebi","given":"Behrang","non-dropping-particle":"","parse-names":false,"suffix":""},{"dropping-particle":"","family":"Mirzaei","given":"Parham A.","non-dropping-particle":"","parse-names":false,"suffix":""},{"dropping-particle":"","family":"Bastani","given":"Arash","non-dropping-particle":"","parse-names":false,"suffix":""},{"dropping-particle":"","family":"Haghighat","given":"Fariborz","non-dropping-particle":"","parse-names":false,"suffix":""}],"container-title":"Frontiers in Built Environment","id":"ITEM-1","issue":"October","issued":{"date-parts":[["2016"]]},"page":"1-14","title":"A Review of District Heating Systems: Modeling and Optimization","type":"article-journal","volume":"2"},"uris":["http://www.mendeley.com/documents/?uuid=8c985309-fa60-4cac-b063-aea036b62563"]}],"mendeley":{"formattedCitation":"(Talebi &lt;i&gt;et al.&lt;/i&gt;, 2016)","plainTextFormattedCitation":"(Talebi et al., 2016)","previouslyFormattedCitation":"(Talebi &lt;i&gt;et al.&lt;/i&gt;, 2016)"},"properties":{"noteIndex":0},"schema":"https://github.com/citation-style-language/schema/raw/master/csl-citation.json"}</w:instrText>
      </w:r>
      <w:r>
        <w:fldChar w:fldCharType="separate"/>
      </w:r>
      <w:r w:rsidR="002A6A73" w:rsidRPr="002A6A73">
        <w:rPr>
          <w:noProof/>
        </w:rPr>
        <w:t xml:space="preserve">(Talebi </w:t>
      </w:r>
      <w:r w:rsidR="002A6A73" w:rsidRPr="002A6A73">
        <w:rPr>
          <w:i/>
          <w:noProof/>
        </w:rPr>
        <w:t>et al.</w:t>
      </w:r>
      <w:r w:rsidR="002A6A73" w:rsidRPr="002A6A73">
        <w:rPr>
          <w:noProof/>
        </w:rPr>
        <w:t>, 2016)</w:t>
      </w:r>
      <w:r>
        <w:fldChar w:fldCharType="end"/>
      </w:r>
      <w:r>
        <w:t>.</w:t>
      </w:r>
    </w:p>
    <w:p w14:paraId="106F24A5" w14:textId="77777777" w:rsidR="000F16EB" w:rsidRDefault="000F16EB" w:rsidP="000F16EB">
      <w:pPr>
        <w:pStyle w:val="Heading6"/>
      </w:pPr>
      <w:r>
        <w:t>Heating Degree Day</w:t>
      </w:r>
    </w:p>
    <w:p w14:paraId="12DD7C40" w14:textId="48799C16" w:rsidR="000F16EB" w:rsidRDefault="000F16EB" w:rsidP="000F16EB">
      <w:r>
        <w:t xml:space="preserve">The heat loss in a building is dependent on the difference between the internal and the external temperatures </w:t>
      </w:r>
      <w:r>
        <w:fldChar w:fldCharType="begin" w:fldLock="1"/>
      </w:r>
      <w:r w:rsidR="002A6A73">
        <w:instrText>ADDIN CSL_CITATION {"citationItems":[{"id":"ITEM-1","itemData":{"DOI":"10.3389/fbuil.2016.00022","ISSN":"2297-3362","author":[{"dropping-particle":"","family":"Talebi","given":"Behrang","non-dropping-particle":"","parse-names":false,"suffix":""},{"dropping-particle":"","family":"Mirzaei","given":"Parham A.","non-dropping-particle":"","parse-names":false,"suffix":""},{"dropping-particle":"","family":"Bastani","given":"Arash","non-dropping-particle":"","parse-names":false,"suffix":""},{"dropping-particle":"","family":"Haghighat","given":"Fariborz","non-dropping-particle":"","parse-names":false,"suffix":""}],"container-title":"Frontiers in Built Environment","id":"ITEM-1","issue":"October","issued":{"date-parts":[["2016"]]},"page":"1-14","title":"A Review of District Heating Systems: Modeling and Optimization","type":"article-journal","volume":"2"},"uris":["http://www.mendeley.com/documents/?uuid=8c985309-fa60-4cac-b063-aea036b62563"]}],"mendeley":{"formattedCitation":"(Talebi &lt;i&gt;et al.&lt;/i&gt;, 2016)","plainTextFormattedCitation":"(Talebi et al., 2016)","previouslyFormattedCitation":"(Talebi &lt;i&gt;et al.&lt;/i&gt;, 2016)"},"properties":{"noteIndex":0},"schema":"https://github.com/citation-style-language/schema/raw/master/csl-citation.json"}</w:instrText>
      </w:r>
      <w:r>
        <w:fldChar w:fldCharType="separate"/>
      </w:r>
      <w:r w:rsidR="002A6A73" w:rsidRPr="002A6A73">
        <w:rPr>
          <w:noProof/>
        </w:rPr>
        <w:t xml:space="preserve">(Talebi </w:t>
      </w:r>
      <w:r w:rsidR="002A6A73" w:rsidRPr="002A6A73">
        <w:rPr>
          <w:i/>
          <w:noProof/>
        </w:rPr>
        <w:t>et al.</w:t>
      </w:r>
      <w:r w:rsidR="002A6A73" w:rsidRPr="002A6A73">
        <w:rPr>
          <w:noProof/>
        </w:rPr>
        <w:t>, 2016)</w:t>
      </w:r>
      <w:r>
        <w:fldChar w:fldCharType="end"/>
      </w:r>
      <w:r>
        <w:t xml:space="preserve">. The difference in temperatures can be defined by a parameter called the HDD, which is directly proportional to the HD of the building </w:t>
      </w:r>
      <w:r>
        <w:fldChar w:fldCharType="begin" w:fldLock="1"/>
      </w:r>
      <w:r w:rsidR="002A6A73">
        <w:instrText>ADDIN CSL_CITATION {"citationItems":[{"id":"ITEM-1","itemData":{"abstract":"District heating systems have the potential to contribute to the UK renewable energy targets. However, there are a number of economic barriers which would have to be addressed in order to make district heating competitive in comparison with alternative heating technologies. The objective of this research was to model and analyse a district heating network and develop an optimisation method to calculate the minimum capital investment, heat losses and pump energy consumption. Firstly, modelling and analysis of a district heating network was conducted to obtain district heating design cases with minimum annual total energy consumption, annual total exergy consumption and annualised cost. Then through the analysis, a two-stage programming model was developed which synthesised design and optimal operation of a district heating network. The optimisation was used to minimise annual total energy consumption, annual total exergy consumption or annualised cost of the heat network by selecting suitable pump and pipe sizes, taking into account different parameters such as target pressure loss, temperature regime and operating strategy. The optimisation technique was used to investigate two different case studies, with high and low heat density. In all cases, a variable flow and variable supply temperature operating method was found to be beneficial. Design cases with minimum annual total energy consumption and annualised cost used rather small pipe diameters and large pressure drops. To achieve the minimum annual total exergy consumption a design case with larger pipe diameters and smaller pressure loss was found to be desirable. It was observed that by reducing the water temperature and increasing temperature difference between supply and return pipes, the annual total energy consumption, annual total exergy consumption and the annualised cost were reduced. It was also shown that district heating in an area with high heat density is more energy efficient and cost effective.","author":[{"dropping-particle":"","family":"Pirouti","given":"Marouf","non-dropping-particle":"","parse-names":false,"suffix":""}],"id":"ITEM-1","issued":{"date-parts":[["2013"]]},"publisher":"Cardiff University","title":"Modelling and Analysis of a District Heating Network","type":"thesis"},"uris":["http://www.mendeley.com/documents/?uuid=cada55de-391f-4ba9-8a7e-fcdf0e7606c5"]}],"mendeley":{"formattedCitation":"(Pirouti, 2013)","plainTextFormattedCitation":"(Pirouti, 2013)","previouslyFormattedCitation":"(Pirouti, 2013)"},"properties":{"noteIndex":0},"schema":"https://github.com/citation-style-language/schema/raw/master/csl-citation.json"}</w:instrText>
      </w:r>
      <w:r>
        <w:fldChar w:fldCharType="separate"/>
      </w:r>
      <w:r w:rsidR="002A6A73" w:rsidRPr="002A6A73">
        <w:rPr>
          <w:noProof/>
        </w:rPr>
        <w:t>(Pirouti, 2013)</w:t>
      </w:r>
      <w:r>
        <w:fldChar w:fldCharType="end"/>
      </w:r>
      <w:r>
        <w:t xml:space="preserve">. HDD is calculated as the difference between the current outdoor temperature and a reference temperature, at which point a buildings’ heating system is turned on </w:t>
      </w:r>
      <w:r>
        <w:fldChar w:fldCharType="begin" w:fldLock="1"/>
      </w:r>
      <w:r w:rsidR="00FF4B5D">
        <w:instrText>ADDIN CSL_CITATION {"citationItems":[{"id":"ITEM-1","itemData":{"DOI":"10.1016/j.enconman.2014.07.022","ISBN":"0196-8904","ISSN":"01968904","abstract":"Reducing carbon emissions from buildings is vital to achieve goals for avoiding dangerous climate change, and supplying them with low-carbon heat is essential. In the UK, the development of heat networks for supplying low-carbon heat is being encouraged for urban areas where there is high heat demand density. This paper investigates heat demand variability, the role of heat networks and combined heat and power (CHP) in satisfying this demand, and finally the advantages of using heat storage in the system. Building heat demands from 50 buildings were analysed at a half-hour resolution with modelling to determine CHP operation patterns with and without heat storage. Daily total heat demand was found to vary from 25% of the full-year average in summer months up to 235% of the average on the coldest days in winter. The heat demand was shown to correlate to outdoor temperatures measured with the degree-day parameter, except for approximately 100 days during the warmest part of the year falling outside the heating season. Sharp spikes in heat demand were seen at the half-hourly time scale coinciding with the switching on of heating systems in some buildings with consequences for building energy supply options. It was shown that for an annual heat demand of 40,000 MW h, the use of thermal storage can significantly increase the running time of a CHP energy centre with 4 MW capacity designed to supply this demand. The cost savings resulting from increased on-site heat and electricity production resulted in a payback period for heat storage investment of under four years with further benefits if it can assist other heat sources on the heat network. Environmental advantages of using heat storage included further carbon dioxide emission reductions of 1000-1500 tonnes per year depending upon the CHP configuration. ?? 2014 Elsevier Ltd. All rights reserved.","author":[{"dropping-particle":"","family":"Raine","given":"Robert D.","non-dropping-particle":"","parse-names":false,"suffix":""},{"dropping-particle":"","family":"Sharifi","given":"Vida N.","non-dropping-particle":"","parse-names":false,"suffix":""},{"dropping-particle":"","family":"Swithenbank","given":"Jim","non-dropping-particle":"","parse-names":false,"suffix":""}],"container-title":"Energy Conversion and Management","id":"ITEM-1","issued":{"date-parts":[["2014"]]},"page":"164-174","publisher":"Elsevier Ltd","title":"Optimisation of combined heat and power production for buildings using heat storage","type":"article-journal","volume":"87"},"uris":["http://www.mendeley.com/documents/?uuid=4966985d-d2df-489f-9d6f-6c5b6e16040a"]}],"mendeley":{"formattedCitation":"(Raine &lt;i&gt;et al.&lt;/i&gt;, 2014)","plainTextFormattedCitation":"(Raine et al., 2014)","previouslyFormattedCitation":"(Raine &lt;i&gt;et al.&lt;/i&gt;, 2014)"},"properties":{"noteIndex":0},"schema":"https://github.com/citation-style-language/schema/raw/master/csl-citation.json"}</w:instrText>
      </w:r>
      <w:r>
        <w:fldChar w:fldCharType="separate"/>
      </w:r>
      <w:r w:rsidR="005F544E" w:rsidRPr="005F544E">
        <w:rPr>
          <w:noProof/>
        </w:rPr>
        <w:t xml:space="preserve">(Raine </w:t>
      </w:r>
      <w:r w:rsidR="005F544E" w:rsidRPr="005F544E">
        <w:rPr>
          <w:i/>
          <w:noProof/>
        </w:rPr>
        <w:t>et al.</w:t>
      </w:r>
      <w:r w:rsidR="005F544E" w:rsidRPr="005F544E">
        <w:rPr>
          <w:noProof/>
        </w:rPr>
        <w:t>, 2014)</w:t>
      </w:r>
      <w:r>
        <w:fldChar w:fldCharType="end"/>
      </w:r>
      <w:r>
        <w:t xml:space="preserve">. In the UK, the reference temperature is normally set as 15.5 °C </w:t>
      </w:r>
      <w:r>
        <w:fldChar w:fldCharType="begin" w:fldLock="1"/>
      </w:r>
      <w:r w:rsidR="002A6A73">
        <w:instrText>ADDIN CSL_CITATION {"citationItems":[{"id":"ITEM-1","itemData":{"author":[{"dropping-particle":"","family":"Carbon Trust","given":"","non-dropping-particle":"","parse-names":false,"suffix":""}],"id":"ITEM-1","issued":{"date-parts":[["2012"]]},"publisher-place":"London, England","title":"Degree days for energy management","type":"report"},"uris":["http://www.mendeley.com/documents/?uuid=b4fc7682-f769-450d-9f76-74e3ba2fcd81"]}],"mendeley":{"formattedCitation":"(Carbon Trust, 2012)","plainTextFormattedCitation":"(Carbon Trust, 2012)","previouslyFormattedCitation":"(Carbon Trust, 2012)"},"properties":{"noteIndex":0},"schema":"https://github.com/citation-style-language/schema/raw/master/csl-citation.json"}</w:instrText>
      </w:r>
      <w:r>
        <w:fldChar w:fldCharType="separate"/>
      </w:r>
      <w:r w:rsidR="002A6A73" w:rsidRPr="002A6A73">
        <w:rPr>
          <w:noProof/>
        </w:rPr>
        <w:t>(Carbon Trust, 2012)</w:t>
      </w:r>
      <w:r>
        <w:fldChar w:fldCharType="end"/>
      </w:r>
      <w:r>
        <w:t xml:space="preserve">. It is possible to use HDDs to measure both the severity and duration of periods of cold weather. </w:t>
      </w:r>
      <w:proofErr w:type="gramStart"/>
      <w:r>
        <w:t>A</w:t>
      </w:r>
      <w:proofErr w:type="gramEnd"/>
      <w:r>
        <w:t xml:space="preserve"> HDD value can be calculated for a time period, such as a month, as the sum of the hourly HDD values during that time period divided by the number of hours in the period. A large HDD value shows that the cold weather periods during the time period were severe and long in duration. HDD values are calculated through the use of historical temperature records, which are normally kept for a time period of several years </w:t>
      </w:r>
      <w:r>
        <w:fldChar w:fldCharType="begin" w:fldLock="1"/>
      </w:r>
      <w:r w:rsidR="002A6A73">
        <w:instrText>ADDIN CSL_CITATION {"citationItems":[{"id":"ITEM-1","itemData":{"author":[{"dropping-particle":"","family":"Met Office","given":"","non-dropping-particle":"","parse-names":false,"suffix":""}],"id":"ITEM-1","issued":{"date-parts":[["2015"]]},"publisher-place":"London, England","title":"Derbyshire Dales NNR Hourly Temperature Data","type":"report"},"uris":["http://www.mendeley.com/documents/?uuid=d2c9f3de-4a73-42fb-9977-f6f309ba2b1a"]}],"mendeley":{"formattedCitation":"(Met Office, 2015)","plainTextFormattedCitation":"(Met Office, 2015)","previouslyFormattedCitation":"(Met Office, 2015)"},"properties":{"noteIndex":0},"schema":"https://github.com/citation-style-language/schema/raw/master/csl-citation.json"}</w:instrText>
      </w:r>
      <w:r>
        <w:fldChar w:fldCharType="separate"/>
      </w:r>
      <w:r w:rsidR="002A6A73" w:rsidRPr="002A6A73">
        <w:rPr>
          <w:noProof/>
        </w:rPr>
        <w:t>(Met Office, 2015)</w:t>
      </w:r>
      <w:r>
        <w:fldChar w:fldCharType="end"/>
      </w:r>
      <w:r>
        <w:t>.</w:t>
      </w:r>
    </w:p>
    <w:p w14:paraId="55F46077" w14:textId="59FF986D" w:rsidR="000F16EB" w:rsidRDefault="000F16EB" w:rsidP="000F16EB">
      <w:r>
        <w:t xml:space="preserve">Kipping and </w:t>
      </w:r>
      <w:r w:rsidRPr="000D54CA">
        <w:rPr>
          <w:noProof/>
        </w:rPr>
        <w:t>Trømborg</w:t>
      </w:r>
      <w:r>
        <w:t xml:space="preserve"> used the HDD methodology to calculate the hourly consumption of district heat and electrical energy in office buildings and schools in Norway</w:t>
      </w:r>
      <w:r w:rsidR="00F66C0D">
        <w:t xml:space="preserve"> </w:t>
      </w:r>
      <w:r w:rsidR="00F66C0D">
        <w:fldChar w:fldCharType="begin" w:fldLock="1"/>
      </w:r>
      <w:r w:rsidR="00F66C0D">
        <w:instrText>ADDIN CSL_CITATION {"citationItems":[{"id":"ITEM-1","itemData":{"DOI":"10.1016/j.energy.2017.01.108","ISSN":"03605442","author":[{"dropping-particle":"","family":"Kipping","given":"A.","non-dropping-particle":"","parse-names":false,"suffix":""},{"dropping-particle":"","family":"Trømborg","given":"E.","non-dropping-particle":"","parse-names":false,"suffix":""}],"container-title":"Energy","id":"ITEM-1","issued":{"date-parts":[["2017"]]},"page":"473-486","publisher":"Elsevier Ltd","title":"Modeling hourly consumption of electricity and district heat in non-residential buildings","type":"article-journal","volume":"123"},"uris":["http://www.mendeley.com/documents/?uuid=dc89ec6b-5943-4b48-a1e3-39bb09aeaaa0"]}],"mendeley":{"formattedCitation":"(Kipping and Trømborg, 2017)","plainTextFormattedCitation":"(Kipping and Trømborg, 2017)","previouslyFormattedCitation":"(Kipping and Trømborg, 2017)"},"properties":{"noteIndex":0},"schema":"https://github.com/citation-style-language/schema/raw/master/csl-citation.json"}</w:instrText>
      </w:r>
      <w:r w:rsidR="00F66C0D">
        <w:fldChar w:fldCharType="separate"/>
      </w:r>
      <w:r w:rsidR="00F66C0D" w:rsidRPr="002A6A73">
        <w:rPr>
          <w:noProof/>
        </w:rPr>
        <w:t>(Kipping and Trømborg, 2017)</w:t>
      </w:r>
      <w:r w:rsidR="00F66C0D">
        <w:fldChar w:fldCharType="end"/>
      </w:r>
      <w:r>
        <w:t xml:space="preserve">. HDD methodology was used to calculate the heat and electricity demands based on current weather behaviour and historical meter data for both the district’s heat and electricity consumption. </w:t>
      </w:r>
      <w:r w:rsidRPr="000D54CA">
        <w:rPr>
          <w:noProof/>
        </w:rPr>
        <w:t>Pisello</w:t>
      </w:r>
      <w:r>
        <w:t xml:space="preserve"> </w:t>
      </w:r>
      <w:r w:rsidRPr="00F66C0D">
        <w:rPr>
          <w:i/>
        </w:rPr>
        <w:t>et al</w:t>
      </w:r>
      <w:r>
        <w:t>. used HDD methodology to assess the building energy performance of three prototypes of Italian houses</w:t>
      </w:r>
      <w:r w:rsidR="00F66C0D">
        <w:t xml:space="preserve"> </w:t>
      </w:r>
      <w:r w:rsidR="00F66C0D">
        <w:fldChar w:fldCharType="begin" w:fldLock="1"/>
      </w:r>
      <w:r w:rsidR="00FF4B5D">
        <w:instrText>ADDIN CSL_CITATION {"citationItems":[{"id":"ITEM-1","itemData":{"DOI":"10.1016/j.apenergy.2011.12.094","ISBN":"03062619","ISSN":"03062619","abstract":"Buildings' thermal-energetic assessment and the relative proposal of new technical solutions applied to both summer and winter analyses has a strategic role in increasing the year-round performance of buildings. Buildings' dynamic analysis is by now a well-established procedure to study effective building energy performance given real climate considerations. Then in this work, a concise and effective methodology for analyzing buildings' thermal performance in a dynamic environment is proposed and applied to different case studies, consisting of single-family residential buildings' prototypes. This procedure is aimed to define different performance levels by proper non-dimensional indexes named thermal deviation indexes (TDI). These indexes values could express in a concise way buildings' thermal behavior, different optimization strategies impact, sensitivity analysis results. Buildings' prototypes representing the case studies are three free-floating houses where the architectural shape role and the sensitivity of different envelope features are analyzed, also supported by experimental results regarding envelope properties measured on existing residential buildings in Italy. The three prototypes are respectively designed to optimize summer or winter energy performance or to represent the typical Italian house before and after energy efficiency regulation is implemented. To better define the important envelope parameters necessary to calibrate the numerical models, experimental activities are conducted. In particular, thermal insulation level and roof reflectance, characterized by means of spectrophotometrical measurements, are measured both in the case of an old traditional Italian building and in the case of a modern building. The results of the dynamic analysis are expressed in terms of TDI values, to define buildings' thermal performance with respect to the variation of all the considered architectural and envelope's properties (i.e. architectural layout, mass and insulation, roof reflectance, Solar Heat Gain Coefficients of windows' glasses, weather data) within a specific climatic context. For validating the proposed method, the obtained TDI results are compared with those obtained from existing procedures. In particular, the TDI values are correlated to an adaptive comfort indicator, for verifying how much the TDI could be effective for evaluating free-running buildings thermal performance during both summer and winter. © 2012 Elsevier Ltd.","author":[{"dropping-particle":"","family":"Pisello","given":"Anna Laura","non-dropping-particle":"","parse-names":false,"suffix":""},{"dropping-particle":"","family":"Goretti","given":"Michele","non-dropping-particle":"","parse-names":false,"suffix":""},{"dropping-particle":"","family":"Cotana","given":"Franco","non-dropping-particle":"","parse-names":false,"suffix":""}],"container-title":"Applied Energy","id":"ITEM-1","issued":{"date-parts":[["2012"]]},"page":"419-429","publisher":"Elsevier Ltd","title":"A method for assessing buildings' energy efficiency by dynamic simulation and experimental activity","type":"article-journal","volume":"97"},"uris":["http://www.mendeley.com/documents/?uuid=79feb3f3-7314-485c-971e-cb2b985fa12d"]}],"mendeley":{"formattedCitation":"(Pisello &lt;i&gt;et al.&lt;/i&gt;, 2012)","plainTextFormattedCitation":"(Pisello et al., 2012)","previouslyFormattedCitation":"(Pisello &lt;i&gt;et al.&lt;/i&gt;, 2012)"},"properties":{"noteIndex":0},"schema":"https://github.com/citation-style-language/schema/raw/master/csl-citation.json"}</w:instrText>
      </w:r>
      <w:r w:rsidR="00F66C0D">
        <w:fldChar w:fldCharType="separate"/>
      </w:r>
      <w:r w:rsidR="00F66C0D" w:rsidRPr="005F544E">
        <w:rPr>
          <w:noProof/>
        </w:rPr>
        <w:t xml:space="preserve">(Pisello </w:t>
      </w:r>
      <w:r w:rsidR="00F66C0D" w:rsidRPr="005F544E">
        <w:rPr>
          <w:i/>
          <w:noProof/>
        </w:rPr>
        <w:t>et al.</w:t>
      </w:r>
      <w:r w:rsidR="00F66C0D" w:rsidRPr="005F544E">
        <w:rPr>
          <w:noProof/>
        </w:rPr>
        <w:t>, 2012)</w:t>
      </w:r>
      <w:r w:rsidR="00F66C0D">
        <w:fldChar w:fldCharType="end"/>
      </w:r>
      <w:r>
        <w:t>. HDD methodology was used to calculate the building energy performance based on current weather behaviour and archetype building heating performance.</w:t>
      </w:r>
    </w:p>
    <w:p w14:paraId="1B259E6F" w14:textId="77777777" w:rsidR="000F16EB" w:rsidRDefault="000F16EB" w:rsidP="000F16EB">
      <w:pPr>
        <w:pStyle w:val="Heading6"/>
      </w:pPr>
      <w:r>
        <w:t>Measurements</w:t>
      </w:r>
    </w:p>
    <w:p w14:paraId="0D3BBCB4" w14:textId="3163F4EA" w:rsidR="000F16EB" w:rsidRDefault="000F16EB" w:rsidP="000F16EB">
      <w:r>
        <w:t xml:space="preserve">Historical records of customer measurements, such as heating, electricity and gas bills, as well as network measurements, such as temperature and flowrate, can be used as reliable inputs for DH modelling </w:t>
      </w:r>
      <w:r>
        <w:fldChar w:fldCharType="begin" w:fldLock="1"/>
      </w:r>
      <w:r w:rsidR="002A6A73">
        <w:instrText>ADDIN CSL_CITATION {"citationItems":[{"id":"ITEM-1","itemData":{"DOI":"10.3389/fbuil.2016.00022","ISSN":"2297-3362","author":[{"dropping-particle":"","family":"Talebi","given":"Behrang","non-dropping-particle":"","parse-names":false,"suffix":""},{"dropping-particle":"","family":"Mirzaei","given":"Parham A.","non-dropping-particle":"","parse-names":false,"suffix":""},{"dropping-particle":"","family":"Bastani","given":"Arash","non-dropping-particle":"","parse-names":false,"suffix":""},{"dropping-particle":"","family":"Haghighat","given":"Fariborz","non-dropping-particle":"","parse-names":false,"suffix":""}],"container-title":"Frontiers in Built Environment","id":"ITEM-1","issue":"October","issued":{"date-parts":[["2016"]]},"page":"1-14","title":"A Review of District Heating Systems: Modeling and Optimization","type":"article-journal","volume":"2"},"uris":["http://www.mendeley.com/documents/?uuid=8c985309-fa60-4cac-b063-aea036b62563"]}],"mendeley":{"formattedCitation":"(Talebi &lt;i&gt;et al.&lt;/i&gt;, 2016)","plainTextFormattedCitation":"(Talebi et al., 2016)","previouslyFormattedCitation":"(Talebi &lt;i&gt;et al.&lt;/i&gt;, 2016)"},"properties":{"noteIndex":0},"schema":"https://github.com/citation-style-language/schema/raw/master/csl-citation.json"}</w:instrText>
      </w:r>
      <w:r>
        <w:fldChar w:fldCharType="separate"/>
      </w:r>
      <w:r w:rsidR="002A6A73" w:rsidRPr="002A6A73">
        <w:rPr>
          <w:noProof/>
        </w:rPr>
        <w:t xml:space="preserve">(Talebi </w:t>
      </w:r>
      <w:r w:rsidR="002A6A73" w:rsidRPr="002A6A73">
        <w:rPr>
          <w:i/>
          <w:noProof/>
        </w:rPr>
        <w:t>et al.</w:t>
      </w:r>
      <w:r w:rsidR="002A6A73" w:rsidRPr="002A6A73">
        <w:rPr>
          <w:noProof/>
        </w:rPr>
        <w:t>, 2016)</w:t>
      </w:r>
      <w:r>
        <w:fldChar w:fldCharType="end"/>
      </w:r>
      <w:r>
        <w:t xml:space="preserve">. </w:t>
      </w:r>
    </w:p>
    <w:p w14:paraId="47C2F798" w14:textId="4D28EFC4" w:rsidR="000F16EB" w:rsidRDefault="000F16EB" w:rsidP="000F16EB">
      <w:r>
        <w:t xml:space="preserve">Customer and network measurements can be used as both a model input and as a method of validating existing modelling work. </w:t>
      </w:r>
      <w:r w:rsidRPr="000D54CA">
        <w:rPr>
          <w:noProof/>
        </w:rPr>
        <w:t>Noussan</w:t>
      </w:r>
      <w:r>
        <w:t xml:space="preserve"> </w:t>
      </w:r>
      <w:r w:rsidRPr="00F66C0D">
        <w:rPr>
          <w:i/>
        </w:rPr>
        <w:t>et al</w:t>
      </w:r>
      <w:r>
        <w:t>. proposed, designed and analysed a DHN supplied by an ORC, using HD data as the input to the methodology</w:t>
      </w:r>
      <w:r w:rsidR="00F66C0D">
        <w:t xml:space="preserve"> </w:t>
      </w:r>
      <w:r w:rsidR="00F66C0D">
        <w:fldChar w:fldCharType="begin" w:fldLock="1"/>
      </w:r>
      <w:r w:rsidR="00F66C0D">
        <w:instrText>ADDIN CSL_CITATION {"citationItems":[{"id":"ITEM-1","itemData":{"DOI":"10.1016/j.applthermaleng.2013.11.021","ISSN":"13594311","abstract":"The installation of a biomass-fired Organic Rankine Cycle (ORC) unit coupled to a heat storage system (HSS) in an existing district heating (DH) system is proposed and analyzed from both energetic and economic point of view. A real DH system is considered as case study, and the optimal layout configuration is investigated varying the size of the components. The analysis is carried out tuning the heat demand dataset obtained from real data of a different existing DH system with a 6-min time step and ten years of operation. The heat demand is used to match the production from different generation units. The overall efficiency of the system, the primary energy savings related to CHP production, as well as the pay back time of the investment are evaluated. Calculations show that for the considered case study the maximum size of the HSS that gives noticeable advantages is 150 m3/MWth. The optimal configuration is different when considering energetic or economic criteria. Moreover, the current Italian incentive tariff on electricity production from renewable sources appears to promote the choice of low efficiency layouts for the case study under consideration.","author":[{"dropping-particle":"","family":"Noussan","given":"Michel","non-dropping-particle":"","parse-names":false,"suffix":""},{"dropping-particle":"","family":"Cerino Abdin","given":"Giulio","non-dropping-particle":"","parse-names":false,"suffix":""},{"dropping-particle":"","family":"Poggio","given":"Alberto","non-dropping-particle":"","parse-names":false,"suffix":""},{"dropping-particle":"","family":"Roberto","given":"Roberta","non-dropping-particle":"","parse-names":false,"suffix":""}],"container-title":"Applied Thermal Engineering","id":"ITEM-1","issue":"2","issued":{"date-parts":[["2014"]]},"title":"Biomass-fired CHP and heat storage system simulations in existing district heating systems","type":"article-journal","volume":"71"},"uris":["http://www.mendeley.com/documents/?uuid=17078c7f-b59a-3b6a-99c2-b2b5aa8596f7"]}],"mendeley":{"formattedCitation":"(Noussan &lt;i&gt;et al.&lt;/i&gt;, 2014)","plainTextFormattedCitation":"(Noussan et al., 2014)","previouslyFormattedCitation":"(Noussan &lt;i&gt;et al.&lt;/i&gt;, 2014)"},"properties":{"noteIndex":0},"schema":"https://github.com/citation-style-language/schema/raw/master/csl-citation.json"}</w:instrText>
      </w:r>
      <w:r w:rsidR="00F66C0D">
        <w:fldChar w:fldCharType="separate"/>
      </w:r>
      <w:r w:rsidR="00F66C0D" w:rsidRPr="002A6A73">
        <w:rPr>
          <w:noProof/>
        </w:rPr>
        <w:t xml:space="preserve">(Noussan </w:t>
      </w:r>
      <w:r w:rsidR="00F66C0D" w:rsidRPr="002A6A73">
        <w:rPr>
          <w:i/>
          <w:noProof/>
        </w:rPr>
        <w:t>et al.</w:t>
      </w:r>
      <w:r w:rsidR="00F66C0D" w:rsidRPr="002A6A73">
        <w:rPr>
          <w:noProof/>
        </w:rPr>
        <w:t>, 2014)</w:t>
      </w:r>
      <w:r w:rsidR="00F66C0D">
        <w:fldChar w:fldCharType="end"/>
      </w:r>
      <w:r>
        <w:t xml:space="preserve">. The data was supplied by a Turin based DHN, which had similar characteristics to the network under design, in the form of heat supplied to the network from each of the TE generating units. </w:t>
      </w:r>
      <w:r w:rsidRPr="000D54CA">
        <w:rPr>
          <w:noProof/>
        </w:rPr>
        <w:t>Spoladore</w:t>
      </w:r>
      <w:r>
        <w:t xml:space="preserve"> </w:t>
      </w:r>
      <w:r w:rsidRPr="00F66C0D">
        <w:rPr>
          <w:i/>
        </w:rPr>
        <w:t>et al</w:t>
      </w:r>
      <w:r>
        <w:t>. modelled the short-term HD of end users on a DHN</w:t>
      </w:r>
      <w:r w:rsidR="00F66C0D">
        <w:t xml:space="preserve"> </w:t>
      </w:r>
      <w:r w:rsidR="00F66C0D">
        <w:fldChar w:fldCharType="begin" w:fldLock="1"/>
      </w:r>
      <w:r w:rsidR="00F66C0D">
        <w:instrText>ADDIN CSL_CITATION {"citationItems":[{"id":"ITEM-1","itemData":{"DOI":"10.1016/j.apenergy.2016.08.122","ISSN":"03062619","abstract":"The forecasting of energy and natural gas consumption is a topic that spans different temporal and spatial scales and addresses scenarios that vary significantly in consistency and extension. Therefore, although forecasting models share common aims, the specific scale at which each model has been developed strongly impacts its features and the parameters that are to be considered or neglected. There are models designed to handle time scales, such as decades, years, and months, down to daily or hourly models of consumption. Similarly, there are patterns of forecasted consumption that range from continents or groups of nations down to the most limited targets of single individual users, passing through all intermediate levels. This paper describes a model that is able to provide a short-term profile of the hourly heat demand of end-users of a District Heating Network (DHN). The simulator uses the hourly natural gas consumptions of large groups of users and their correlation with the outside air temperature. Next, a procedure based on standards for estimating the energy performance of buildings is defined to scale results down to single-user consumption. The main objective of this work is to provide a simple and fast tool that can be used as a component of wider models of DHNs to improve the control strategies and the management of load variations. The novelty of this work lies in the development of a plain algebraic model for predicting hourly heat demand based only on average daily temperature and historical data of natural gas consumption. Whereas aggregated data of natural gas consumption for groups of end users are measured hourly or even more frequently, the thermal demand is typically evaluated over a significantly longer time horizon, such as a month or more. Therefore, the hourly profile of a single user's thermal demand is commonly unknown, and only long-term averaged values are available and predictable. With this model, used in conjunction with common weather forecasting services that reliably provide the average temperature of the following day, it is possible to predict the expected hourly heat demand one day in advance and day-by-day.","author":[{"dropping-particle":"","family":"Spoladore","given":"Alessandro","non-dropping-particle":"","parse-names":false,"suffix":""},{"dropping-particle":"","family":"Borelli","given":"Davide","non-dropping-particle":"","parse-names":false,"suffix":""},{"dropping-particle":"","family":"Devia","given":"Francesco","non-dropping-particle":"","parse-names":false,"suffix":""},{"dropping-particle":"","family":"Mora","given":"Flavio","non-dropping-particle":"","parse-names":false,"suffix":""},{"dropping-particle":"","family":"Schenone","given":"Corrado","non-dropping-particle":"","parse-names":false,"suffix":""}],"container-title":"Applied Energy","id":"ITEM-1","issued":{"date-parts":[["2016"]]},"page":"488-499","publisher":"Elsevier Ltd","title":"Model for forecasting residential heat demand based on natural gas consumption and energy performance indicators","type":"article-journal","volume":"182"},"uris":["http://www.mendeley.com/documents/?uuid=9b7c7ba5-c824-46c5-b13c-5a1478a0ef71"]}],"mendeley":{"formattedCitation":"(Spoladore &lt;i&gt;et al.&lt;/i&gt;, 2016)","plainTextFormattedCitation":"(Spoladore et al., 2016)","previouslyFormattedCitation":"(Spoladore &lt;i&gt;et al.&lt;/i&gt;, 2016)"},"properties":{"noteIndex":0},"schema":"https://github.com/citation-style-language/schema/raw/master/csl-citation.json"}</w:instrText>
      </w:r>
      <w:r w:rsidR="00F66C0D">
        <w:fldChar w:fldCharType="separate"/>
      </w:r>
      <w:r w:rsidR="00F66C0D" w:rsidRPr="002A6A73">
        <w:rPr>
          <w:noProof/>
        </w:rPr>
        <w:t xml:space="preserve">(Spoladore </w:t>
      </w:r>
      <w:r w:rsidR="00F66C0D" w:rsidRPr="002A6A73">
        <w:rPr>
          <w:i/>
          <w:noProof/>
        </w:rPr>
        <w:t>et al.</w:t>
      </w:r>
      <w:r w:rsidR="00F66C0D" w:rsidRPr="002A6A73">
        <w:rPr>
          <w:noProof/>
        </w:rPr>
        <w:t>, 2016)</w:t>
      </w:r>
      <w:r w:rsidR="00F66C0D">
        <w:fldChar w:fldCharType="end"/>
      </w:r>
      <w:r>
        <w:t xml:space="preserve">. The input data used was individual customer natural gas meter readings. Fang and </w:t>
      </w:r>
      <w:r w:rsidRPr="000D54CA">
        <w:rPr>
          <w:noProof/>
        </w:rPr>
        <w:t>Lahdelma</w:t>
      </w:r>
      <w:r>
        <w:t xml:space="preserve"> modelled a DHN to find the water flow rate, temperature, and heat losses in </w:t>
      </w:r>
      <w:r>
        <w:lastRenderedPageBreak/>
        <w:t>various locations of the pipe network</w:t>
      </w:r>
      <w:r w:rsidR="00F66C0D">
        <w:t xml:space="preserve"> </w:t>
      </w:r>
      <w:r w:rsidR="00F66C0D">
        <w:fldChar w:fldCharType="begin" w:fldLock="1"/>
      </w:r>
      <w:r w:rsidR="00F66C0D">
        <w:instrText>ADDIN CSL_CITATION {"citationItems":[{"id":"ITEM-1","itemData":{"DOI":"10.1016/j.applthermaleng.2014.09.003","ISSN":"13594311","abstract":"District heating (DH) has been widely used in many European countries since the beginning of 20th century. In Finland approximately half of the heating market was covered by DH by 2011. For better use of district heating, real-time monitoring of the water flows, temperatures and heat losses can be an effective vehicle to manage DH networks. Automated remote meter reading is a new technology that was applied since 2005 and will cover the Helsinki region within 10 years. Automated meter reading enables computing the heat losses more accurately than before. In this paper, a new model is designed to estimate the water flows, temperatures, and heat losses in different parts of the network using automated hourly meter readings for customers. Assuming a connected graph topology for the network, the flow equations form a determined and potentially nonlinear system that we solve iteratively. Then, based on the computed water flows and customer temperature measurements, we express the water temperature and heat loss in each pipe as an over-determined linear system and solve it in the least squares (LSQ) sense which ensures the solution with the smallest 2-norm error vector. We illustrate the method with a real life DH network based on hourly temperature and flow measurements for one week. The model can be applied to arbitrary DH networks.","author":[{"dropping-particle":"","family":"Fang","given":"Tingting","non-dropping-particle":"","parse-names":false,"suffix":""},{"dropping-particle":"","family":"Lahdelma","given":"Risto","non-dropping-particle":"","parse-names":false,"suffix":""}],"container-title":"Applied Thermal Engineering","id":"ITEM-1","issue":"1","issued":{"date-parts":[["2014"]]},"page":"1209-1219","publisher":"Elsevier Ltd","title":"State estimation of district heating network based on customer measurements","type":"article-journal","volume":"73"},"uris":["http://www.mendeley.com/documents/?uuid=a7490e23-99cd-4908-a78e-354e109f2803"]}],"mendeley":{"formattedCitation":"(Fang and Lahdelma, 2014)","plainTextFormattedCitation":"(Fang and Lahdelma, 2014)","previouslyFormattedCitation":"(Fang and Lahdelma, 2014)"},"properties":{"noteIndex":0},"schema":"https://github.com/citation-style-language/schema/raw/master/csl-citation.json"}</w:instrText>
      </w:r>
      <w:r w:rsidR="00F66C0D">
        <w:fldChar w:fldCharType="separate"/>
      </w:r>
      <w:r w:rsidR="00F66C0D" w:rsidRPr="002A6A73">
        <w:rPr>
          <w:noProof/>
        </w:rPr>
        <w:t>(Fang and Lahdelma, 2014)</w:t>
      </w:r>
      <w:r w:rsidR="00F66C0D">
        <w:fldChar w:fldCharType="end"/>
      </w:r>
      <w:r>
        <w:t xml:space="preserve">. The input data used was hourly meter readings from the customers, supplied by automated meters. Automated meters are a new technology that allow for automatic and more accurate meter reading measurements to be made and supplied. </w:t>
      </w:r>
    </w:p>
    <w:p w14:paraId="1DA15085" w14:textId="51DE4405" w:rsidR="000F16EB" w:rsidRDefault="000F16EB" w:rsidP="000F16EB">
      <w:pPr>
        <w:rPr>
          <w:bCs/>
          <w:color w:val="000000"/>
          <w:lang w:val="en"/>
        </w:rPr>
      </w:pPr>
      <w:r>
        <w:t xml:space="preserve">In other models, customer meter readings and network measurements can be used to validate model behaviour. </w:t>
      </w:r>
      <w:r w:rsidRPr="000D54CA">
        <w:rPr>
          <w:noProof/>
        </w:rPr>
        <w:t>Dotzauer</w:t>
      </w:r>
      <w:r>
        <w:t xml:space="preserve"> built an hourly network HD model based on simple equations for the effect of the temperature and social behaviour on the HD</w:t>
      </w:r>
      <w:r w:rsidR="00F66C0D">
        <w:t xml:space="preserve"> </w:t>
      </w:r>
      <w:r w:rsidR="00F66C0D">
        <w:fldChar w:fldCharType="begin" w:fldLock="1"/>
      </w:r>
      <w:r w:rsidR="00F66C0D">
        <w:instrText>ADDIN CSL_CITATION {"citationItems":[{"id":"ITEM-1","itemData":{"DOI":"10.1016/S0306-2619(02)00078-8","ISSN":"03062619","abstract":"In order to improve the operation of district-heating systems, it is necessary for the energy companies to have reliable optimization routines, both computerized and manual, implemented in their organizations. However, before a production plan for the heat-producing units can be constructed, a prediction of the heat demand first needs to be determined. The outdoor temperature, together with the social behaviour of the consumers, have the greatest influence on the demand. This is also the core of the load prediction model developed in this paper. Several methodologies have been proposed for heat-load forecasting, but due to lack in measured data and due to the uncertainties that are present in the weather forecasts, many of them will fail in practice. In such situations, a more simple model may give as good predictions as an advanced one. This is also the experience from the applications analyzed in this paper.","author":[{"dropping-particle":"","family":"Dotzauer","given":"Erik","non-dropping-particle":"","parse-names":false,"suffix":""}],"container-title":"Applied Energy","id":"ITEM-1","issue":"3-4","issued":{"date-parts":[["2002"]]},"page":"277-284","title":"Simple model for prediction of loads in district-heating systems","type":"article-journal","volume":"73"},"uris":["http://www.mendeley.com/documents/?uuid=93ade0ba-d9f6-4e18-bf0d-d2a1f7297889"]}],"mendeley":{"formattedCitation":"(Dotzauer, 2002)","plainTextFormattedCitation":"(Dotzauer, 2002)","previouslyFormattedCitation":"(Dotzauer, 2002)"},"properties":{"noteIndex":0},"schema":"https://github.com/citation-style-language/schema/raw/master/csl-citation.json"}</w:instrText>
      </w:r>
      <w:r w:rsidR="00F66C0D">
        <w:fldChar w:fldCharType="separate"/>
      </w:r>
      <w:r w:rsidR="00F66C0D" w:rsidRPr="002A6A73">
        <w:rPr>
          <w:noProof/>
        </w:rPr>
        <w:t>(Dotzauer, 2002)</w:t>
      </w:r>
      <w:r w:rsidR="00F66C0D">
        <w:fldChar w:fldCharType="end"/>
      </w:r>
      <w:r>
        <w:t xml:space="preserve">. The model was validated using measured data from two DHNs in Stockholm, Sweden. Lim </w:t>
      </w:r>
      <w:r w:rsidRPr="00F66C0D">
        <w:rPr>
          <w:i/>
        </w:rPr>
        <w:t>et al</w:t>
      </w:r>
      <w:r>
        <w:t>. used Simulink in MATLAB to model the heat flow and temperature variation in an energy network</w:t>
      </w:r>
      <w:r w:rsidR="00F66C0D">
        <w:t xml:space="preserve"> </w:t>
      </w:r>
      <w:r w:rsidR="00F66C0D">
        <w:fldChar w:fldCharType="begin" w:fldLock="1"/>
      </w:r>
      <w:r w:rsidR="00F66C0D">
        <w:instrText>ADDIN CSL_CITATION {"citationItems":[{"id":"ITEM-1","itemData":{"DOI":"10.1016/j.applthermaleng.2015.03.068","ISSN":"13594311","abstract":"Due to the sudden increase of energy consumption from modernization and civilization, energy efficiency has become an important issue in engineering devices. Much research effort has been made to enhance the performance of individual thermal devices. However, enhanced thermal devices are usually components in a larger thermal system such as an energy network connected by pipe networks to circulate an energy-carrying medium. Even when each component operates at maximum efficiency, the general system may not work in harmony to a full extent. Thus optimizing the full thermal system would increase the energy utilization efficiency even further and ultimately decrease the amount of CO&lt;inf&gt;2&lt;/inf&gt; emission. In this paper, we developed a numerical model for estimating heat flow and temperature variation in a complex energy network system using Simulink in Matlab. Emphasis has been made on heat pump's intermittent operation, where the system can be shut down for specific periods of time. A special thermal routine for the pipe was devised where the conduction becomes major heat transfer mode during the night. The code we developed was validated by comparing experimental data, and detailed analysis on system components' temperature variations and energy flow characteristic are provided.","author":[{"dropping-particle":"","family":"Lim","given":"Sehwa","non-dropping-particle":"","parse-names":false,"suffix":""},{"dropping-particle":"","family":"Park","given":"Sungjin","non-dropping-particle":"","parse-names":false,"suffix":""},{"dropping-particle":"","family":"Chung","given":"Haseung","non-dropping-particle":"","parse-names":false,"suffix":""},{"dropping-particle":"","family":"Kim","given":"Minsung","non-dropping-particle":"","parse-names":false,"suffix":""},{"dropping-particle":"","family":"Baik","given":"Young Jin","non-dropping-particle":"","parse-names":false,"suffix":""},{"dropping-particle":"","family":"Shin","given":"Seungwon","non-dropping-particle":"","parse-names":false,"suffix":""}],"container-title":"Applied Thermal Engineering","id":"ITEM-1","issued":{"date-parts":[["2015"]]},"page":"375-389","publisher":"Elsevier Ltd","title":"Dynamic modeling of building heat network system using Simulink","type":"article-journal","volume":"84"},"uris":["http://www.mendeley.com/documents/?uuid=9356890c-3b44-4e50-8af3-312d1a06400e"]}],"mendeley":{"formattedCitation":"(Lim &lt;i&gt;et al.&lt;/i&gt;, 2015)","plainTextFormattedCitation":"(Lim et al., 2015)","previouslyFormattedCitation":"(Lim &lt;i&gt;et al.&lt;/i&gt;, 2015)"},"properties":{"noteIndex":0},"schema":"https://github.com/citation-style-language/schema/raw/master/csl-citation.json"}</w:instrText>
      </w:r>
      <w:r w:rsidR="00F66C0D">
        <w:fldChar w:fldCharType="separate"/>
      </w:r>
      <w:r w:rsidR="00F66C0D" w:rsidRPr="002A6A73">
        <w:rPr>
          <w:noProof/>
        </w:rPr>
        <w:t xml:space="preserve">(Lim </w:t>
      </w:r>
      <w:r w:rsidR="00F66C0D" w:rsidRPr="002A6A73">
        <w:rPr>
          <w:i/>
          <w:noProof/>
        </w:rPr>
        <w:t>et al.</w:t>
      </w:r>
      <w:r w:rsidR="00F66C0D" w:rsidRPr="002A6A73">
        <w:rPr>
          <w:noProof/>
        </w:rPr>
        <w:t>, 2015)</w:t>
      </w:r>
      <w:r w:rsidR="00F66C0D">
        <w:fldChar w:fldCharType="end"/>
      </w:r>
      <w:r>
        <w:t xml:space="preserve">. The model was verified using experimentally measured data taken over a week of network operation. </w:t>
      </w:r>
      <w:r w:rsidRPr="000D54CA">
        <w:rPr>
          <w:bCs/>
          <w:noProof/>
          <w:color w:val="000000"/>
          <w:lang w:val="en"/>
        </w:rPr>
        <w:t>Gabrielaitiene</w:t>
      </w:r>
      <w:r>
        <w:t xml:space="preserve"> </w:t>
      </w:r>
      <w:r w:rsidRPr="00F66C0D">
        <w:rPr>
          <w:i/>
        </w:rPr>
        <w:t>et al</w:t>
      </w:r>
      <w:r>
        <w:t xml:space="preserve">. compared two methods for DH model aggregation, to model the temperature variation in the </w:t>
      </w:r>
      <w:proofErr w:type="spellStart"/>
      <w:r w:rsidRPr="00DF1271">
        <w:rPr>
          <w:bCs/>
          <w:color w:val="000000"/>
          <w:lang w:val="en"/>
        </w:rPr>
        <w:t>Næstved</w:t>
      </w:r>
      <w:proofErr w:type="spellEnd"/>
      <w:r>
        <w:t xml:space="preserve"> DHN in Denmark</w:t>
      </w:r>
      <w:r w:rsidR="00F66C0D">
        <w:t xml:space="preserve"> </w:t>
      </w:r>
      <w:r w:rsidR="00F66C0D">
        <w:rPr>
          <w:bCs/>
          <w:color w:val="000000"/>
          <w:lang w:val="en"/>
        </w:rPr>
        <w:fldChar w:fldCharType="begin" w:fldLock="1"/>
      </w:r>
      <w:r w:rsidR="00FF4B5D">
        <w:rPr>
          <w:bCs/>
          <w:color w:val="000000"/>
          <w:lang w:val="en"/>
        </w:rPr>
        <w:instrText>ADDIN CSL_CITATION {"citationItems":[{"id":"ITEM-1","itemData":{"DOI":"10.1016/j.enconman.2006.05.011","ISSN":"01968904","abstract":"Modelling the temperature dynamics of a district heating system is typically validated for a single pipe or a system with limited information about dynamic consumer behaviour. In the present work, time dependent consumer data from the Naestved district heating system was used to investigate the ability of modelling tools to represent the temperature profile distortion throughout an entire heating system network. The Naestved district heating subsystem was modelled by two approaches (the node method developed at the Technical University of Denmark and the software TERMIS), and these modelling results were compared with measured data. The results indicate that the discrepancies between the predicted and measured temperatures are pronounced for consumers located in pipelines at distant pipelines containing numerous bends and fittings. Additionally, it was found that representing the consumer behaviour on an annual average basis introduced a deviation between the predicted and the measured return temperatures at the heat source. © 2006 Elsevier Ltd. All rights reserved.","author":[{"dropping-particle":"","family":"Gabrielaitiene","given":"Irina","non-dropping-particle":"","parse-names":false,"suffix":""},{"dropping-particle":"","family":"Bøhm","given":"Benny","non-dropping-particle":"","parse-names":false,"suffix":""},{"dropping-particle":"","family":"Sunden","given":"Bengt","non-dropping-particle":"","parse-names":false,"suffix":""}],"container-title":"Energy Conversion and Management","id":"ITEM-1","issue":"1","issued":{"date-parts":[["2007"]]},"page":"78-86","title":"Modelling temperature dynamics of a district heating system in Naestved, Denmark - A case study","type":"article-journal","volume":"48"},"uris":["http://www.mendeley.com/documents/?uuid=16ca08d9-9ac3-4b38-98b7-e6a6025cdc4d"]}],"mendeley":{"formattedCitation":"(Gabrielaitiene &lt;i&gt;et al.&lt;/i&gt;, 2007)","plainTextFormattedCitation":"(Gabrielaitiene et al., 2007)","previouslyFormattedCitation":"(Gabrielaitiene &lt;i&gt;et al.&lt;/i&gt;, 2007)"},"properties":{"noteIndex":0},"schema":"https://github.com/citation-style-language/schema/raw/master/csl-citation.json"}</w:instrText>
      </w:r>
      <w:r w:rsidR="00F66C0D">
        <w:rPr>
          <w:bCs/>
          <w:color w:val="000000"/>
          <w:lang w:val="en"/>
        </w:rPr>
        <w:fldChar w:fldCharType="separate"/>
      </w:r>
      <w:r w:rsidR="00F66C0D" w:rsidRPr="005F544E">
        <w:rPr>
          <w:bCs/>
          <w:noProof/>
          <w:color w:val="000000"/>
          <w:lang w:val="en"/>
        </w:rPr>
        <w:t xml:space="preserve">(Gabrielaitiene </w:t>
      </w:r>
      <w:r w:rsidR="00F66C0D" w:rsidRPr="005F544E">
        <w:rPr>
          <w:bCs/>
          <w:i/>
          <w:noProof/>
          <w:color w:val="000000"/>
          <w:lang w:val="en"/>
        </w:rPr>
        <w:t>et al.</w:t>
      </w:r>
      <w:r w:rsidR="00F66C0D" w:rsidRPr="005F544E">
        <w:rPr>
          <w:bCs/>
          <w:noProof/>
          <w:color w:val="000000"/>
          <w:lang w:val="en"/>
        </w:rPr>
        <w:t>, 2007)</w:t>
      </w:r>
      <w:r w:rsidR="00F66C0D">
        <w:rPr>
          <w:bCs/>
          <w:color w:val="000000"/>
          <w:lang w:val="en"/>
        </w:rPr>
        <w:fldChar w:fldCharType="end"/>
      </w:r>
      <w:r>
        <w:t xml:space="preserve">. Operational data from </w:t>
      </w:r>
      <w:r>
        <w:rPr>
          <w:bCs/>
          <w:color w:val="000000"/>
          <w:lang w:val="en"/>
        </w:rPr>
        <w:t>the network was used to compare and validate the differences between the modelling techniques.</w:t>
      </w:r>
    </w:p>
    <w:p w14:paraId="509AD109" w14:textId="1431F2E6" w:rsidR="000F16EB" w:rsidRDefault="000F16EB" w:rsidP="000F16EB">
      <w:r>
        <w:t xml:space="preserve">Problems exist with using measurements as either the input for a DH model or the basis for the model validation. Using customer measurements as the input for DH based modelling requires a large quantity of customer data, to enable accurate network modelling </w:t>
      </w:r>
      <w:r>
        <w:fldChar w:fldCharType="begin" w:fldLock="1"/>
      </w:r>
      <w:r w:rsidR="002A6A73">
        <w:instrText>ADDIN CSL_CITATION {"citationItems":[{"id":"ITEM-1","itemData":{"DOI":"10.3389/fbuil.2016.00022","ISSN":"2297-3362","author":[{"dropping-particle":"","family":"Talebi","given":"Behrang","non-dropping-particle":"","parse-names":false,"suffix":""},{"dropping-particle":"","family":"Mirzaei","given":"Parham A.","non-dropping-particle":"","parse-names":false,"suffix":""},{"dropping-particle":"","family":"Bastani","given":"Arash","non-dropping-particle":"","parse-names":false,"suffix":""},{"dropping-particle":"","family":"Haghighat","given":"Fariborz","non-dropping-particle":"","parse-names":false,"suffix":""}],"container-title":"Frontiers in Built Environment","id":"ITEM-1","issue":"October","issued":{"date-parts":[["2016"]]},"page":"1-14","title":"A Review of District Heating Systems: Modeling and Optimization","type":"article-journal","volume":"2"},"uris":["http://www.mendeley.com/documents/?uuid=8c985309-fa60-4cac-b063-aea036b62563"]}],"mendeley":{"formattedCitation":"(Talebi &lt;i&gt;et al.&lt;/i&gt;, 2016)","plainTextFormattedCitation":"(Talebi et al., 2016)","previouslyFormattedCitation":"(Talebi &lt;i&gt;et al.&lt;/i&gt;, 2016)"},"properties":{"noteIndex":0},"schema":"https://github.com/citation-style-language/schema/raw/master/csl-citation.json"}</w:instrText>
      </w:r>
      <w:r>
        <w:fldChar w:fldCharType="separate"/>
      </w:r>
      <w:r w:rsidR="002A6A73" w:rsidRPr="002A6A73">
        <w:rPr>
          <w:noProof/>
        </w:rPr>
        <w:t xml:space="preserve">(Talebi </w:t>
      </w:r>
      <w:r w:rsidR="002A6A73" w:rsidRPr="002A6A73">
        <w:rPr>
          <w:i/>
          <w:noProof/>
        </w:rPr>
        <w:t>et al.</w:t>
      </w:r>
      <w:r w:rsidR="002A6A73" w:rsidRPr="002A6A73">
        <w:rPr>
          <w:noProof/>
        </w:rPr>
        <w:t>, 2016)</w:t>
      </w:r>
      <w:r>
        <w:fldChar w:fldCharType="end"/>
      </w:r>
      <w:r>
        <w:t xml:space="preserve">. Obtaining the necessary quantity of customer data can be expensive and time consuming which may be prohibitive to some researchers. In addition, the results from measurement-based models vary significantly when the customer heating system changes from being electrical to hydronic </w:t>
      </w:r>
      <w:r>
        <w:fldChar w:fldCharType="begin" w:fldLock="1"/>
      </w:r>
      <w:r w:rsidR="002A6A73">
        <w:instrText>ADDIN CSL_CITATION {"citationItems":[{"id":"ITEM-1","itemData":{"DOI":"10.1016/j.energy.2017.01.108","ISSN":"03605442","author":[{"dropping-particle":"","family":"Kipping","given":"A.","non-dropping-particle":"","parse-names":false,"suffix":""},{"dropping-particle":"","family":"Trømborg","given":"E.","non-dropping-particle":"","parse-names":false,"suffix":""}],"container-title":"Energy","id":"ITEM-1","issued":{"date-parts":[["2017"]]},"page":"473-486","publisher":"Elsevier Ltd","title":"Modeling hourly consumption of electricity and district heat in non-residential buildings","type":"article-journal","volume":"123"},"uris":["http://www.mendeley.com/documents/?uuid=dc89ec6b-5943-4b48-a1e3-39bb09aeaaa0"]}],"mendeley":{"formattedCitation":"(Kipping and Trømborg, 2017)","plainTextFormattedCitation":"(Kipping and Trømborg, 2017)","previouslyFormattedCitation":"(Kipping and Trømborg, 2017)"},"properties":{"noteIndex":0},"schema":"https://github.com/citation-style-language/schema/raw/master/csl-citation.json"}</w:instrText>
      </w:r>
      <w:r>
        <w:fldChar w:fldCharType="separate"/>
      </w:r>
      <w:r w:rsidR="002A6A73" w:rsidRPr="002A6A73">
        <w:rPr>
          <w:noProof/>
        </w:rPr>
        <w:t>(Kipping and Trømborg, 2017)</w:t>
      </w:r>
      <w:r>
        <w:fldChar w:fldCharType="end"/>
      </w:r>
      <w:r>
        <w:t xml:space="preserve">. The variation in results makes measurement-based DH modelling inaccurate in population areas with large building heterogeneity. Using DH measurements to validate a DHN model requires co-operation with an existing network who would be willing to provide </w:t>
      </w:r>
      <w:r w:rsidR="006E7C0E">
        <w:t xml:space="preserve">their </w:t>
      </w:r>
      <w:r>
        <w:t>primary network data, which may not be possible in every situation.</w:t>
      </w:r>
    </w:p>
    <w:p w14:paraId="5E52347D" w14:textId="77777777" w:rsidR="000F16EB" w:rsidRDefault="000F16EB" w:rsidP="000F16EB">
      <w:pPr>
        <w:pStyle w:val="Heading6"/>
      </w:pPr>
      <w:r>
        <w:t>Archetype Buildings</w:t>
      </w:r>
    </w:p>
    <w:p w14:paraId="12B480AC" w14:textId="6D6D914D" w:rsidR="000F16EB" w:rsidRDefault="000F16EB" w:rsidP="000F16EB">
      <w:r>
        <w:t xml:space="preserve">Archetype building modelling works by splitting a building stock into subcategories based on the occupancy type and physical building properties </w:t>
      </w:r>
      <w:r>
        <w:fldChar w:fldCharType="begin" w:fldLock="1"/>
      </w:r>
      <w:r w:rsidR="002A6A73">
        <w:instrText>ADDIN CSL_CITATION {"citationItems":[{"id":"ITEM-1","itemData":{"DOI":"10.3389/fbuil.2016.00022","ISSN":"2297-3362","author":[{"dropping-particle":"","family":"Talebi","given":"Behrang","non-dropping-particle":"","parse-names":false,"suffix":""},{"dropping-particle":"","family":"Mirzaei","given":"Parham A.","non-dropping-particle":"","parse-names":false,"suffix":""},{"dropping-particle":"","family":"Bastani","given":"Arash","non-dropping-particle":"","parse-names":false,"suffix":""},{"dropping-particle":"","family":"Haghighat","given":"Fariborz","non-dropping-particle":"","parse-names":false,"suffix":""}],"container-title":"Frontiers in Built Environment","id":"ITEM-1","issue":"October","issued":{"date-parts":[["2016"]]},"page":"1-14","title":"A Review of District Heating Systems: Modeling and Optimization","type":"article-journal","volume":"2"},"uris":["http://www.mendeley.com/documents/?uuid=8c985309-fa60-4cac-b063-aea036b62563"]}],"mendeley":{"formattedCitation":"(Talebi &lt;i&gt;et al.&lt;/i&gt;, 2016)","plainTextFormattedCitation":"(Talebi et al., 2016)","previouslyFormattedCitation":"(Talebi &lt;i&gt;et al.&lt;/i&gt;, 2016)"},"properties":{"noteIndex":0},"schema":"https://github.com/citation-style-language/schema/raw/master/csl-citation.json"}</w:instrText>
      </w:r>
      <w:r>
        <w:fldChar w:fldCharType="separate"/>
      </w:r>
      <w:r w:rsidR="002A6A73" w:rsidRPr="002A6A73">
        <w:rPr>
          <w:noProof/>
        </w:rPr>
        <w:t xml:space="preserve">(Talebi </w:t>
      </w:r>
      <w:r w:rsidR="002A6A73" w:rsidRPr="002A6A73">
        <w:rPr>
          <w:i/>
          <w:noProof/>
        </w:rPr>
        <w:t>et al.</w:t>
      </w:r>
      <w:r w:rsidR="002A6A73" w:rsidRPr="002A6A73">
        <w:rPr>
          <w:noProof/>
        </w:rPr>
        <w:t>, 2016)</w:t>
      </w:r>
      <w:r>
        <w:fldChar w:fldCharType="end"/>
      </w:r>
      <w:r>
        <w:t xml:space="preserve">. Each subcategory is represented by a ‘reference building’ model. The accuracy of archetype building modelling is heavily dependent on the number of subcategories used and the accuracy of each individual ‘reference building’ model. In most cases, the ‘reference building’ models are regression based, either linear or a multivariate. The important, initial step in archetype building modelling is how to define and subcategorise the building stock. In literature, the building stock is defined using cluster analysis, where the buildings are grouped together in subcategories based on occupancy type and physical properties. </w:t>
      </w:r>
    </w:p>
    <w:p w14:paraId="31B8F11F" w14:textId="6D0DC1F2" w:rsidR="000F16EB" w:rsidRDefault="000F16EB" w:rsidP="000F16EB">
      <w:r w:rsidRPr="00946509">
        <w:rPr>
          <w:noProof/>
        </w:rPr>
        <w:t>Talebi</w:t>
      </w:r>
      <w:r>
        <w:t xml:space="preserve"> </w:t>
      </w:r>
      <w:r w:rsidRPr="00F66C0D">
        <w:rPr>
          <w:i/>
        </w:rPr>
        <w:t>et al</w:t>
      </w:r>
      <w:r>
        <w:t>. split a spread of buildings into categories based on each buildings’ physical characteristics and properties, usage and occupancy behaviour, regional climate, and mechanical systems</w:t>
      </w:r>
      <w:r w:rsidR="00F66C0D">
        <w:t xml:space="preserve"> </w:t>
      </w:r>
      <w:r w:rsidR="00F66C0D">
        <w:fldChar w:fldCharType="begin" w:fldLock="1"/>
      </w:r>
      <w:r w:rsidR="00FF4B5D">
        <w:instrText>ADDIN CSL_CITATION {"citationItems":[{"id":"ITEM-1","itemData":{"DOI":"10.1016/j.enbuild.2017.03.062","ISSN":"03787788","abstract":"Extensive research works have been carried out over the past few decades in the development of simulation tools to predict the thermal performance of buildings. These validated tools have been used in the design of the building and its components. However, limited simulation tools have been developed for modeling of district energy systems, which can potentially be a very laborious and time-consuming process. Besides many associated limitations, providing a realistic demand profile of the district energy systems is not a straightforward task due to high number of parameters involved in predicting a detail demand profile. This paper reports the development of a simplified model for predicting the thermal demand profile of a district heating system. The paper describes the method used to develop two types of simplified models to predict the thermal load of a variety of buildings (residential, office, attached, detached, etc.). The predictions were also compared with those made by the detailed simulation models. The simplified model was then utilized to predict the energy demand of a variety of districts types (residential, commercial or mix), and its prediction accuracy was compared with those made by detailed model: good agreement was observed between the results.","author":[{"dropping-particle":"","family":"Talebi","given":"Behrang","non-dropping-particle":"","parse-names":false,"suffix":""},{"dropping-particle":"","family":"Haghighat","given":"Fariborz","non-dropping-particle":"","parse-names":false,"suffix":""},{"dropping-particle":"","family":"Mirzaei","given":"Parham A.","non-dropping-particle":"","parse-names":false,"suffix":""}],"container-title":"Energy and Buildings","id":"ITEM-1","issued":{"date-parts":[["2017"]]},"page":"213-225","publisher":"Elsevier B.V.","title":"Simplified model to predict the thermal demand profile of districts","type":"article-journal","volume":"145"},"uris":["http://www.mendeley.com/documents/?uuid=5705a68a-38ae-4ea9-806f-428608eddaf2"]}],"mendeley":{"formattedCitation":"(Talebi &lt;i&gt;et al.&lt;/i&gt;, 2017)","plainTextFormattedCitation":"(Talebi et al., 2017)","previouslyFormattedCitation":"(Talebi &lt;i&gt;et al.&lt;/i&gt;, 2017)"},"properties":{"noteIndex":0},"schema":"https://github.com/citation-style-language/schema/raw/master/csl-citation.json"}</w:instrText>
      </w:r>
      <w:r w:rsidR="00F66C0D">
        <w:fldChar w:fldCharType="separate"/>
      </w:r>
      <w:r w:rsidR="00F66C0D" w:rsidRPr="005F544E">
        <w:rPr>
          <w:noProof/>
        </w:rPr>
        <w:t xml:space="preserve">(Talebi </w:t>
      </w:r>
      <w:r w:rsidR="00F66C0D" w:rsidRPr="005F544E">
        <w:rPr>
          <w:i/>
          <w:noProof/>
        </w:rPr>
        <w:t>et al.</w:t>
      </w:r>
      <w:r w:rsidR="00F66C0D" w:rsidRPr="005F544E">
        <w:rPr>
          <w:noProof/>
        </w:rPr>
        <w:t>, 2017)</w:t>
      </w:r>
      <w:r w:rsidR="00F66C0D">
        <w:fldChar w:fldCharType="end"/>
      </w:r>
      <w:r>
        <w:t xml:space="preserve">. </w:t>
      </w:r>
      <w:proofErr w:type="spellStart"/>
      <w:r w:rsidRPr="00261DE1">
        <w:t>Gaitani</w:t>
      </w:r>
      <w:proofErr w:type="spellEnd"/>
      <w:r>
        <w:t xml:space="preserve"> </w:t>
      </w:r>
      <w:r w:rsidRPr="00F66C0D">
        <w:rPr>
          <w:i/>
        </w:rPr>
        <w:t>et al</w:t>
      </w:r>
      <w:r>
        <w:t>. split 1,100 schools into 5 energy classes using a K-means algorithm based cluster analysis</w:t>
      </w:r>
      <w:r w:rsidR="00F66C0D">
        <w:t xml:space="preserve"> </w:t>
      </w:r>
      <w:r w:rsidR="00F66C0D">
        <w:fldChar w:fldCharType="begin" w:fldLock="1"/>
      </w:r>
      <w:r w:rsidR="00F66C0D">
        <w:instrText>ADDIN CSL_CITATION {"citationItems":[{"id":"ITEM-1","itemData":{"DOI":"10.1016/j.apenergy.2009.12.007","ISBN":"0306-2619","ISSN":"03062619","abstract":"In the field of energy savings in buildings, the interest towards the school sector is deeply motivated: schools have standard energy demands and high levels of environmental comforts should be guaranteed. The University of Athens in collaboration with the School Authority of Greece undertook a complete program on energy classification and environmental quality of school buildings. Data on energy consumptions were gathered and analysed with the participation of 1100 schools from all the prefectures of Greece. The data have been provided by the school authority of the country (OSK), in collaboration with the management of each school building. With regards to the size of the building and the external climate variability (HDD-method) energy normalization techniques have been applied in order to homogenize the data set. An energy classification tool has been created through clustering techniques, using the collected data regarding the heating energy consumption and as a result five energy classes have been defined. To evaluate the potential energy conservation for each class, the typical characteristics of school buildings belonging to an energy class have to be identified. A new methodology based on the use of the principal components analysis (PCA) has been developed. The method allows to define in an accurate way the typical building of each energy class and thus to perform analysis on the potential energy savings for the specific group of school buildings. By reducing the dimensionality of the problem, a bi-dimensional graphic in the first two PCs coordinate system promotes the understanding of the correlation between the examined variables, as well as the determination of sub-groups of school buildings with similar characteristics. The typical school of seven variables sample is defined as the closest to the medians in the principal components' coordinate system. © 2009 Elsevier Ltd. All rights reserved.","author":[{"dropping-particle":"","family":"Gaitani","given":"N.","non-dropping-particle":"","parse-names":false,"suffix":""},{"dropping-particle":"","family":"Lehmann","given":"C.","non-dropping-particle":"","parse-names":false,"suffix":""},{"dropping-particle":"","family":"Santamouris","given":"M.","non-dropping-particle":"","parse-names":false,"suffix":""},{"dropping-particle":"","family":"Mihalakakou","given":"G.","non-dropping-particle":"","parse-names":false,"suffix":""},{"dropping-particle":"","family":"Patargias","given":"P.","non-dropping-particle":"","parse-names":false,"suffix":""}],"container-title":"Applied Energy","id":"ITEM-1","issue":"6","issued":{"date-parts":[["2010"]]},"page":"2079-2086","publisher":"Elsevier Ltd","title":"Using principal component and cluster analysis in the heating evaluation of the school building sector","type":"article-journal","volume":"87"},"uris":["http://www.mendeley.com/documents/?uuid=9447adcc-cad7-45c6-a0fb-2023b96f8e0b"]}],"mendeley":{"formattedCitation":"(Gaitani &lt;i&gt;et al.&lt;/i&gt;, 2010)","plainTextFormattedCitation":"(Gaitani et al., 2010)","previouslyFormattedCitation":"(Gaitani &lt;i&gt;et al.&lt;/i&gt;, 2010)"},"properties":{"noteIndex":0},"schema":"https://github.com/citation-style-language/schema/raw/master/csl-citation.json"}</w:instrText>
      </w:r>
      <w:r w:rsidR="00F66C0D">
        <w:fldChar w:fldCharType="separate"/>
      </w:r>
      <w:r w:rsidR="00F66C0D" w:rsidRPr="002A6A73">
        <w:rPr>
          <w:noProof/>
        </w:rPr>
        <w:t xml:space="preserve">(Gaitani </w:t>
      </w:r>
      <w:r w:rsidR="00F66C0D" w:rsidRPr="002A6A73">
        <w:rPr>
          <w:i/>
          <w:noProof/>
        </w:rPr>
        <w:t>et al.</w:t>
      </w:r>
      <w:r w:rsidR="00F66C0D" w:rsidRPr="002A6A73">
        <w:rPr>
          <w:noProof/>
        </w:rPr>
        <w:t>, 2010)</w:t>
      </w:r>
      <w:r w:rsidR="00F66C0D">
        <w:fldChar w:fldCharType="end"/>
      </w:r>
      <w:r>
        <w:t xml:space="preserve">. The K-means cluster analysis worked by starting with </w:t>
      </w:r>
      <w:r w:rsidRPr="00847237">
        <w:rPr>
          <w:i/>
        </w:rPr>
        <w:t>k</w:t>
      </w:r>
      <w:r>
        <w:t xml:space="preserve"> centroids, five in the example, and assigning each datapoint, school, to the nearest centroid, updating all current cluster centroids. The process was repeated until a new datapoint can be added without changing the </w:t>
      </w:r>
      <w:r>
        <w:rPr>
          <w:i/>
        </w:rPr>
        <w:t>k</w:t>
      </w:r>
      <w:r>
        <w:t xml:space="preserve"> centroids. </w:t>
      </w:r>
      <w:proofErr w:type="spellStart"/>
      <w:r>
        <w:t>Gaitani</w:t>
      </w:r>
      <w:proofErr w:type="spellEnd"/>
      <w:r>
        <w:t xml:space="preserve"> </w:t>
      </w:r>
      <w:r w:rsidRPr="00F66C0D">
        <w:rPr>
          <w:i/>
        </w:rPr>
        <w:lastRenderedPageBreak/>
        <w:t>et al</w:t>
      </w:r>
      <w:r>
        <w:t>. split the 1,100 schools into 5 energy classes based on 7 variables. The seven variables were heating surface area (SA), building age, insulation type, number of classrooms, number of students, operating hours, and the age of the heating system.</w:t>
      </w:r>
    </w:p>
    <w:p w14:paraId="1F06F34D" w14:textId="7A6F093C" w:rsidR="000F16EB" w:rsidRDefault="000F16EB" w:rsidP="000F16EB">
      <w:r>
        <w:t xml:space="preserve">Regression analysis works by fitting a trend between a dependent variable and one or more independent variables </w:t>
      </w:r>
      <w:r>
        <w:fldChar w:fldCharType="begin" w:fldLock="1"/>
      </w:r>
      <w:r w:rsidR="00FF4B5D">
        <w:instrText>ADDIN CSL_CITATION {"citationItems":[{"id":"ITEM-1","itemData":{"DOI":"10.1016/j.apenergy.2014.05.062","ISBN":"1142227820","ISSN":"03062619","abstract":"The change in climate has led to an interest in how this will affect the energy consumption in buildings. Most of the work in the literature relates to offices and homes. However, this paper investigates a supermarket in northern England by means of a multiple regression analysis based on gas and electricity data for 2012.The equations obtained in this analysis use the humidity ratio derived from the dry-bulb temperature and the relative humidity in conjunction with the actual dry-bulb temperature. These equations are used to estimate the consumption for the base year period (1961-1990) and for the predicted climate period 2030-2059.The findings indicate that electricity use will increase by 2.1% whereas gas consumption will drop by about 13% for the central future estimate. The research further suggests that the year 2012 is comparable in temperature to the future climate, but the relative humidity is lower. Further research should include adaptation/mitigation measures and an evaluation of their usefulness. © 2014 Elsevier Ltd.","author":[{"dropping-particle":"","family":"Braun","given":"M. R.","non-dropping-particle":"","parse-names":false,"suffix":""},{"dropping-particle":"","family":"Altan","given":"H.","non-dropping-particle":"","parse-names":false,"suffix":""},{"dropping-particle":"","family":"Beck","given":"S. B.M.","non-dropping-particle":"","parse-names":false,"suffix":""}],"container-title":"Applied Energy","id":"ITEM-1","issued":{"date-parts":[["2014"]]},"page":"305-313","publisher":"Elsevier Ltd","title":"Using regression analysis to predict the future energy consumption of a supermarket in the UK","type":"article-journal","volume":"130"},"uris":["http://www.mendeley.com/documents/?uuid=a7e64083-8da3-48f0-ab2e-1c64d83802fe"]}],"mendeley":{"formattedCitation":"(Braun &lt;i&gt;et al.&lt;/i&gt;, 2014)","plainTextFormattedCitation":"(Braun et al., 2014)","previouslyFormattedCitation":"(Braun &lt;i&gt;et al.&lt;/i&gt;, 2014)"},"properties":{"noteIndex":0},"schema":"https://github.com/citation-style-language/schema/raw/master/csl-citation.json"}</w:instrText>
      </w:r>
      <w:r>
        <w:fldChar w:fldCharType="separate"/>
      </w:r>
      <w:r w:rsidR="005F544E" w:rsidRPr="005F544E">
        <w:rPr>
          <w:noProof/>
        </w:rPr>
        <w:t xml:space="preserve">(Braun </w:t>
      </w:r>
      <w:r w:rsidR="005F544E" w:rsidRPr="005F544E">
        <w:rPr>
          <w:i/>
          <w:noProof/>
        </w:rPr>
        <w:t>et al.</w:t>
      </w:r>
      <w:r w:rsidR="005F544E" w:rsidRPr="005F544E">
        <w:rPr>
          <w:noProof/>
        </w:rPr>
        <w:t>, 2014)</w:t>
      </w:r>
      <w:r>
        <w:fldChar w:fldCharType="end"/>
      </w:r>
      <w:r>
        <w:t xml:space="preserve">. The trend is generated to minimise the differences between the trend and the observed or estimated values. </w:t>
      </w:r>
    </w:p>
    <w:p w14:paraId="68B09DEC" w14:textId="38D636E0" w:rsidR="000F16EB" w:rsidRDefault="000F16EB" w:rsidP="000F16EB">
      <w:r>
        <w:t>Aras and Aras used regression analysis to predict natural gas demand in residential buildings</w:t>
      </w:r>
      <w:r w:rsidR="00F66C0D">
        <w:t xml:space="preserve"> </w:t>
      </w:r>
      <w:r w:rsidR="00F66C0D">
        <w:fldChar w:fldCharType="begin" w:fldLock="1"/>
      </w:r>
      <w:r w:rsidR="00F66C0D">
        <w:instrText>ADDIN CSL_CITATION {"citationItems":[{"id":"ITEM-1","itemData":{"DOI":"10.1080/00908310490429740","ISSN":"00908312","abstract":"In Turkey, the major purpose of natural gas demand in residences is heating, where the residential gas usage is approximately 18% of total gas consumption. The studies on forecasting gas demand for future periods have a great importance because natural gas is an imported energy source. This article describes an approach to obtain appropriate models for forecasting residential monthly natural gas consumption. The method relies on dividing a year into two seasons as heating and non-heating periods and estimating individual autoregressive time series models for each period instead of attempting to capture the seasonal patterns in a single model. In the models, the dynamic relationships between natural gas consumption with time and degree-days measured by weather temperature variations are investigated. This method is applied to one of the five cities supplied by natural gas for residential use in Turkey. A comparison of the forecast accuracy of proposed procedure with that of a single model approach applied to the full set of observations is provided. The results reveal that to use separate models for each period reduces the forecast errors significantly when the major purpose of natural gas demand is space heating.","author":[{"dropping-particle":"","family":"Aras","given":"Haydar","non-dropping-particle":"","parse-names":false,"suffix":""},{"dropping-particle":"","family":"Aras","given":"Nil","non-dropping-particle":"","parse-names":false,"suffix":""}],"container-title":"Energy Sources","id":"ITEM-1","issue":"5","issued":{"date-parts":[["2004"]]},"page":"463-472","title":"Forecasting residential natural gas demand","type":"article-journal","volume":"26"},"uris":["http://www.mendeley.com/documents/?uuid=fdf1e421-b067-433c-b11b-0fee20286745"]}],"mendeley":{"formattedCitation":"(Aras and Aras, 2004)","plainTextFormattedCitation":"(Aras and Aras, 2004)","previouslyFormattedCitation":"(Aras and Aras, 2004)"},"properties":{"noteIndex":0},"schema":"https://github.com/citation-style-language/schema/raw/master/csl-citation.json"}</w:instrText>
      </w:r>
      <w:r w:rsidR="00F66C0D">
        <w:fldChar w:fldCharType="separate"/>
      </w:r>
      <w:r w:rsidR="00F66C0D" w:rsidRPr="002A6A73">
        <w:rPr>
          <w:noProof/>
        </w:rPr>
        <w:t>(Aras and Aras, 2004)</w:t>
      </w:r>
      <w:r w:rsidR="00F66C0D">
        <w:fldChar w:fldCharType="end"/>
      </w:r>
      <w:r>
        <w:t xml:space="preserve">. Autoregressive models were used that made trends of natural gas demand variation that fit the experimental data. </w:t>
      </w:r>
      <w:proofErr w:type="spellStart"/>
      <w:r>
        <w:t>Talebi</w:t>
      </w:r>
      <w:proofErr w:type="spellEnd"/>
      <w:r>
        <w:t xml:space="preserve"> </w:t>
      </w:r>
      <w:r w:rsidRPr="00F66C0D">
        <w:rPr>
          <w:i/>
        </w:rPr>
        <w:t>et al</w:t>
      </w:r>
      <w:r>
        <w:t>. used both autoregressive multiple linear and non-linear regression methods to predict the thermal demand profile of a DHN</w:t>
      </w:r>
      <w:r w:rsidR="00F66C0D">
        <w:t xml:space="preserve"> </w:t>
      </w:r>
      <w:r w:rsidR="00F66C0D">
        <w:fldChar w:fldCharType="begin" w:fldLock="1"/>
      </w:r>
      <w:r w:rsidR="00FF4B5D">
        <w:instrText>ADDIN CSL_CITATION {"citationItems":[{"id":"ITEM-1","itemData":{"DOI":"10.1016/j.enbuild.2017.03.062","ISSN":"03787788","abstract":"Extensive research works have been carried out over the past few decades in the development of simulation tools to predict the thermal performance of buildings. These validated tools have been used in the design of the building and its components. However, limited simulation tools have been developed for modeling of district energy systems, which can potentially be a very laborious and time-consuming process. Besides many associated limitations, providing a realistic demand profile of the district energy systems is not a straightforward task due to high number of parameters involved in predicting a detail demand profile. This paper reports the development of a simplified model for predicting the thermal demand profile of a district heating system. The paper describes the method used to develop two types of simplified models to predict the thermal load of a variety of buildings (residential, office, attached, detached, etc.). The predictions were also compared with those made by the detailed simulation models. The simplified model was then utilized to predict the energy demand of a variety of districts types (residential, commercial or mix), and its prediction accuracy was compared with those made by detailed model: good agreement was observed between the results.","author":[{"dropping-particle":"","family":"Talebi","given":"Behrang","non-dropping-particle":"","parse-names":false,"suffix":""},{"dropping-particle":"","family":"Haghighat","given":"Fariborz","non-dropping-particle":"","parse-names":false,"suffix":""},{"dropping-particle":"","family":"Mirzaei","given":"Parham A.","non-dropping-particle":"","parse-names":false,"suffix":""}],"container-title":"Energy and Buildings","id":"ITEM-1","issued":{"date-parts":[["2017"]]},"page":"213-225","publisher":"Elsevier B.V.","title":"Simplified model to predict the thermal demand profile of districts","type":"article-journal","volume":"145"},"uris":["http://www.mendeley.com/documents/?uuid=5705a68a-38ae-4ea9-806f-428608eddaf2"]}],"mendeley":{"formattedCitation":"(Talebi &lt;i&gt;et al.&lt;/i&gt;, 2017)","plainTextFormattedCitation":"(Talebi et al., 2017)","previouslyFormattedCitation":"(Talebi &lt;i&gt;et al.&lt;/i&gt;, 2017)"},"properties":{"noteIndex":0},"schema":"https://github.com/citation-style-language/schema/raw/master/csl-citation.json"}</w:instrText>
      </w:r>
      <w:r w:rsidR="00F66C0D">
        <w:fldChar w:fldCharType="separate"/>
      </w:r>
      <w:r w:rsidR="00F66C0D" w:rsidRPr="005F544E">
        <w:rPr>
          <w:noProof/>
        </w:rPr>
        <w:t xml:space="preserve">(Talebi </w:t>
      </w:r>
      <w:r w:rsidR="00F66C0D" w:rsidRPr="005F544E">
        <w:rPr>
          <w:i/>
          <w:noProof/>
        </w:rPr>
        <w:t>et al.</w:t>
      </w:r>
      <w:r w:rsidR="00F66C0D" w:rsidRPr="005F544E">
        <w:rPr>
          <w:noProof/>
        </w:rPr>
        <w:t>, 2017)</w:t>
      </w:r>
      <w:r w:rsidR="00F66C0D">
        <w:fldChar w:fldCharType="end"/>
      </w:r>
      <w:r>
        <w:t>. The linear regression method used a least squares methodology and R-studio to minimise the differences between the archetype building HDs and the trends generated. The non-linear regression method used the artificial neural network (ANN) tool in MATLAB and was shown to be both more accurate and able to consider a wider range of buildings. The disadvantage of non-linear regression was the need for a more accurate data set. The results showed a good agreement between the linear and non-linear regressions.</w:t>
      </w:r>
    </w:p>
    <w:p w14:paraId="5AA7557A" w14:textId="77777777" w:rsidR="000F16EB" w:rsidRDefault="000F16EB" w:rsidP="000F16EB">
      <w:pPr>
        <w:pStyle w:val="Heading4"/>
      </w:pPr>
      <w:bookmarkStart w:id="225" w:name="_Toc522192741"/>
      <w:bookmarkStart w:id="226" w:name="_Toc7187470"/>
      <w:r>
        <w:t xml:space="preserve">Splitting the </w:t>
      </w:r>
      <w:r w:rsidRPr="00E30AC6">
        <w:t>Heat</w:t>
      </w:r>
      <w:r>
        <w:t xml:space="preserve"> Demand into Components</w:t>
      </w:r>
      <w:bookmarkEnd w:id="225"/>
      <w:bookmarkEnd w:id="226"/>
    </w:p>
    <w:p w14:paraId="608714FE" w14:textId="77777777" w:rsidR="000F16EB" w:rsidRDefault="000F16EB" w:rsidP="000F16EB">
      <w:r>
        <w:t xml:space="preserve">The end user profile can be modelled by studying the relevant influences that individual components of the overall HD have on the overall demand, making models for each component. Studying the relevant influences of each component identifies influential ones that must be modelled and insignificant ones that can be omitted. </w:t>
      </w:r>
    </w:p>
    <w:p w14:paraId="393D2ECA" w14:textId="1E58D94E" w:rsidR="000F16EB" w:rsidRDefault="000F16EB" w:rsidP="000F16EB">
      <w:pPr>
        <w:rPr>
          <w:noProof/>
        </w:rPr>
      </w:pPr>
      <w:r w:rsidRPr="007A57EA">
        <w:rPr>
          <w:noProof/>
        </w:rPr>
        <w:t>Dotzauer</w:t>
      </w:r>
      <w:r>
        <w:rPr>
          <w:noProof/>
        </w:rPr>
        <w:t xml:space="preserve"> studied the relevant influences of each component in a DHN finding the most influental to be the outdoor temperature and customer behaviour</w:t>
      </w:r>
      <w:r w:rsidR="00F66C0D">
        <w:rPr>
          <w:noProof/>
        </w:rPr>
        <w:t xml:space="preserve"> </w:t>
      </w:r>
      <w:r w:rsidR="00F66C0D">
        <w:rPr>
          <w:noProof/>
        </w:rPr>
        <w:fldChar w:fldCharType="begin" w:fldLock="1"/>
      </w:r>
      <w:r w:rsidR="00F66C0D">
        <w:rPr>
          <w:noProof/>
        </w:rPr>
        <w:instrText>ADDIN CSL_CITATION {"citationItems":[{"id":"ITEM-1","itemData":{"DOI":"10.1016/S0306-2619(02)00078-8","ISSN":"03062619","abstract":"In order to improve the operation of district-heating systems, it is necessary for the energy companies to have reliable optimization routines, both computerized and manual, implemented in their organizations. However, before a production plan for the heat-producing units can be constructed, a prediction of the heat demand first needs to be determined. The outdoor temperature, together with the social behaviour of the consumers, have the greatest influence on the demand. This is also the core of the load prediction model developed in this paper. Several methodologies have been proposed for heat-load forecasting, but due to lack in measured data and due to the uncertainties that are present in the weather forecasts, many of them will fail in practice. In such situations, a more simple model may give as good predictions as an advanced one. This is also the experience from the applications analyzed in this paper.","author":[{"dropping-particle":"","family":"Dotzauer","given":"Erik","non-dropping-particle":"","parse-names":false,"suffix":""}],"container-title":"Applied Energy","id":"ITEM-1","issue":"3-4","issued":{"date-parts":[["2002"]]},"page":"277-284","title":"Simple model for prediction of loads in district-heating systems","type":"article-journal","volume":"73"},"uris":["http://www.mendeley.com/documents/?uuid=93ade0ba-d9f6-4e18-bf0d-d2a1f7297889"]}],"mendeley":{"formattedCitation":"(Dotzauer, 2002)","plainTextFormattedCitation":"(Dotzauer, 2002)","previouslyFormattedCitation":"(Dotzauer, 2002)"},"properties":{"noteIndex":0},"schema":"https://github.com/citation-style-language/schema/raw/master/csl-citation.json"}</w:instrText>
      </w:r>
      <w:r w:rsidR="00F66C0D">
        <w:rPr>
          <w:noProof/>
        </w:rPr>
        <w:fldChar w:fldCharType="separate"/>
      </w:r>
      <w:r w:rsidR="00F66C0D" w:rsidRPr="002A6A73">
        <w:rPr>
          <w:noProof/>
        </w:rPr>
        <w:t>(Dotzauer, 2002)</w:t>
      </w:r>
      <w:r w:rsidR="00F66C0D">
        <w:rPr>
          <w:noProof/>
        </w:rPr>
        <w:fldChar w:fldCharType="end"/>
      </w:r>
      <w:r>
        <w:rPr>
          <w:noProof/>
        </w:rPr>
        <w:t xml:space="preserve">. Therefore, he created a simple model for the HD variation of a DHN using only simple equations that calculated the effect that the outdoor temperature and customer behaviour had on the overall HD. The simple methodology was compared to more sophisticated models and was shown to give comparable results. Noussan </w:t>
      </w:r>
      <w:r w:rsidRPr="00F66C0D">
        <w:rPr>
          <w:i/>
          <w:noProof/>
        </w:rPr>
        <w:t>et al</w:t>
      </w:r>
      <w:r>
        <w:rPr>
          <w:noProof/>
        </w:rPr>
        <w:t>. found two factors that caused patterns in the HD variation of DHNs</w:t>
      </w:r>
      <w:r w:rsidR="00F66C0D">
        <w:rPr>
          <w:noProof/>
        </w:rPr>
        <w:t xml:space="preserve"> </w:t>
      </w:r>
      <w:r w:rsidR="00F66C0D">
        <w:rPr>
          <w:noProof/>
        </w:rPr>
        <w:fldChar w:fldCharType="begin" w:fldLock="1"/>
      </w:r>
      <w:r w:rsidR="00FF4B5D">
        <w:rPr>
          <w:noProof/>
        </w:rPr>
        <w:instrText>ADDIN CSL_CITATION {"citationItems":[{"id":"ITEM-1","itemData":{"DOI":"10.1016/j.energy.2017.04.079","ISSN":"0360-5442","author":[{"dropping-particle":"","family":"Noussan","given":"Michel","non-dropping-particle":"","parse-names":false,"suffix":""},{"dropping-particle":"","family":"Jarre","given":"Matteo","non-dropping-particle":"","parse-names":false,"suffix":""},{"dropping-particle":"","family":"Poggio","given":"Alberto","non-dropping-particle":"","parse-names":false,"suffix":""}],"container-title":"Energy","id":"ITEM-1","issued":{"date-parts":[["2017"]]},"page":"70-78","publisher":"Elsevier Ltd","title":"Real operation data analysis on district heating load patterns","type":"article-journal","volume":"129"},"uris":["http://www.mendeley.com/documents/?uuid=1eb84c5d-3aa7-4c60-9560-ecc98fb46631"]}],"mendeley":{"formattedCitation":"(Noussan &lt;i&gt;et al.&lt;/i&gt;, 2017)","plainTextFormattedCitation":"(Noussan et al., 2017)","previouslyFormattedCitation":"(Noussan &lt;i&gt;et al.&lt;/i&gt;, 2017)"},"properties":{"noteIndex":0},"schema":"https://github.com/citation-style-language/schema/raw/master/csl-citation.json"}</w:instrText>
      </w:r>
      <w:r w:rsidR="00F66C0D">
        <w:rPr>
          <w:noProof/>
        </w:rPr>
        <w:fldChar w:fldCharType="separate"/>
      </w:r>
      <w:r w:rsidR="00F66C0D" w:rsidRPr="005F544E">
        <w:rPr>
          <w:noProof/>
        </w:rPr>
        <w:t xml:space="preserve">(Noussan </w:t>
      </w:r>
      <w:r w:rsidR="00F66C0D" w:rsidRPr="005F544E">
        <w:rPr>
          <w:i/>
          <w:noProof/>
        </w:rPr>
        <w:t>et al.</w:t>
      </w:r>
      <w:r w:rsidR="00F66C0D" w:rsidRPr="005F544E">
        <w:rPr>
          <w:noProof/>
        </w:rPr>
        <w:t>, 2017)</w:t>
      </w:r>
      <w:r w:rsidR="00F66C0D">
        <w:rPr>
          <w:noProof/>
        </w:rPr>
        <w:fldChar w:fldCharType="end"/>
      </w:r>
      <w:r>
        <w:rPr>
          <w:noProof/>
        </w:rPr>
        <w:t xml:space="preserve">. An hourly pattern, due to user behaviour and a daily pattern, caused by the outdoor temperature, were found. The outdoor temperature was shown to be the best predictor for the HD variation in a building, which was shown to be calculable using a simple, linear model. </w:t>
      </w:r>
    </w:p>
    <w:p w14:paraId="7B38BF0A" w14:textId="53E22747" w:rsidR="000F16EB" w:rsidRDefault="000F16EB" w:rsidP="000F16EB">
      <w:pPr>
        <w:rPr>
          <w:noProof/>
        </w:rPr>
      </w:pPr>
      <w:r>
        <w:rPr>
          <w:noProof/>
        </w:rPr>
        <w:t>Heller  found the HD of a building to be comprised of three factors: SH, domestic hot water (DHW) preparation, and system heat losses</w:t>
      </w:r>
      <w:r w:rsidR="00F66C0D">
        <w:rPr>
          <w:noProof/>
        </w:rPr>
        <w:t xml:space="preserve"> </w:t>
      </w:r>
      <w:r w:rsidR="00F66C0D">
        <w:rPr>
          <w:noProof/>
        </w:rPr>
        <w:fldChar w:fldCharType="begin" w:fldLock="1"/>
      </w:r>
      <w:r w:rsidR="00F66C0D">
        <w:rPr>
          <w:noProof/>
        </w:rPr>
        <w:instrText>ADDIN CSL_CITATION {"citationItems":[{"id":"ITEM-1","itemData":{"ISBN":"87-7877-042-4","author":[{"dropping-particle":"","family":"Heller","given":"A.J.","non-dropping-particle":"","parse-names":false,"suffix":""}],"id":"ITEM-1","issued":{"date-parts":[["2000"]]},"publisher":"Technical University of Denmark","title":"Demand Modelling for Central Heating Systems","type":"thesis"},"uris":["http://www.mendeley.com/documents/?uuid=e112cbd7-d29c-46e5-b4e6-24eca2949b81"]},{"id":"ITEM-2","itemData":{"DOI":"10.1016/S0306-2619(02)00020-X","ISBN":"0306-2619","ISSN":"03062619","abstract":"Control strategies for operating district heating, the utilization of biomass boilers under optimal conditions, estimation of solar production by central solar-heating systems and much more, demand realistic modelling of heat loads/demands for district-heating systems. A dynamic system model is presented: the results from this simulation were then compared with results from alternative methods found in the literature. If knowledge is available for a given case or the load is to be found for a new system, the simulation approach is recommended. The method, however, involves many parameters that can lead to errors and uncertainties. Therefore, if knowledge of case-specific parameters is rare, the degree-day method can lead to realistic results. For low-energy, solar-optimized building area, the energy–signature method leads to reasonable results and if system-wide load data are available, the energy–signature method can even do better than the degree-day method.","author":[{"dropping-particle":"","family":"Heller","given":"A.J.","non-dropping-particle":"","parse-names":false,"suffix":""}],"container-title":"Applied Energy","id":"ITEM-2","issue":"1","issued":{"date-parts":[["2002"]]},"page":"371-387","title":"Heat-load modelling for large systems","type":"article-journal","volume":"72"},"uris":["http://www.mendeley.com/documents/?uuid=bb5d2e35-9d47-4e69-8209-414702acc56a"]}],"mendeley":{"formattedCitation":"(Heller, 2000, 2002)","plainTextFormattedCitation":"(Heller, 2000, 2002)","previouslyFormattedCitation":"(Heller, 2000, 2002)"},"properties":{"noteIndex":0},"schema":"https://github.com/citation-style-language/schema/raw/master/csl-citation.json"}</w:instrText>
      </w:r>
      <w:r w:rsidR="00F66C0D">
        <w:rPr>
          <w:noProof/>
        </w:rPr>
        <w:fldChar w:fldCharType="separate"/>
      </w:r>
      <w:r w:rsidR="00F66C0D" w:rsidRPr="002A6A73">
        <w:rPr>
          <w:noProof/>
        </w:rPr>
        <w:t>(Heller, 2000, 2002)</w:t>
      </w:r>
      <w:r w:rsidR="00F66C0D">
        <w:rPr>
          <w:noProof/>
        </w:rPr>
        <w:fldChar w:fldCharType="end"/>
      </w:r>
      <w:r>
        <w:rPr>
          <w:noProof/>
        </w:rPr>
        <w:t xml:space="preserve">. SH demand was comprised of the effects of transmission heat losses through the building envelope, ventilation and infilitration losses, passive solar heat gains, and internal heat gains. The SH demand could be modelled using TRNSYS software. The DHW preparation was comprised of installation losses and losses at the intersection of building components and was dependent on the number and behaviour of the inhabitants as well as the number of units. The DHW demand could be modelled stochastically using stochastic demand variations, along with the statistical variation of each demand. The system heat losses were mainly due to the transport of heat </w:t>
      </w:r>
      <w:r>
        <w:rPr>
          <w:noProof/>
        </w:rPr>
        <w:lastRenderedPageBreak/>
        <w:t xml:space="preserve">to the customers and were typically 6 – 8%. The system losses required complex simulation, but could be simplified using aggregation. </w:t>
      </w:r>
    </w:p>
    <w:p w14:paraId="4B05E3A9" w14:textId="1D698D6A" w:rsidR="000F16EB" w:rsidRDefault="000F16EB" w:rsidP="000F16EB">
      <w:r>
        <w:rPr>
          <w:noProof/>
        </w:rPr>
        <w:t>Werner split the user HD into seven elements, which could each be calculated using simple equations and coefficients</w:t>
      </w:r>
      <w:r w:rsidR="00F66C0D">
        <w:rPr>
          <w:noProof/>
        </w:rPr>
        <w:t xml:space="preserve"> </w:t>
      </w:r>
      <w:r w:rsidR="00F66C0D">
        <w:fldChar w:fldCharType="begin" w:fldLock="1"/>
      </w:r>
      <w:r w:rsidR="00F66C0D">
        <w:instrText>ADDIN CSL_CITATION {"citationItems":[{"id":"ITEM-1","itemData":{"ISBN":"91-7032-145-0","author":[{"dropping-particle":"","family":"Werner","given":"Sven","non-dropping-particle":"","parse-names":false,"suffix":""}],"id":"ITEM-1","issued":{"date-parts":[["1984"]]},"publisher":"Chalmers University of Technology","title":"The Heat Load in District Heating Systems","type":"thesis"},"uris":["http://www.mendeley.com/documents/?uuid=455be73a-bffb-4721-9cbb-b2c92efaed42"]}],"mendeley":{"formattedCitation":"(Werner, 1984)","plainTextFormattedCitation":"(Werner, 1984)","previouslyFormattedCitation":"(Werner, 1984)"},"properties":{"noteIndex":0},"schema":"https://github.com/citation-style-language/schema/raw/master/csl-citation.json"}</w:instrText>
      </w:r>
      <w:r w:rsidR="00F66C0D">
        <w:fldChar w:fldCharType="separate"/>
      </w:r>
      <w:r w:rsidR="00F66C0D" w:rsidRPr="002A6A73">
        <w:rPr>
          <w:noProof/>
        </w:rPr>
        <w:t>(Werner, 1984)</w:t>
      </w:r>
      <w:r w:rsidR="00F66C0D">
        <w:fldChar w:fldCharType="end"/>
      </w:r>
      <w:r>
        <w:rPr>
          <w:noProof/>
        </w:rPr>
        <w:t xml:space="preserve">. The seven elements were </w:t>
      </w:r>
      <w:r>
        <w:t xml:space="preserve">steady heat transmission and the heating of a constant ventilation rate, transient heat transmission, wind introduced air infiltration, solar gain, hot water preparation, distribution losses, and additional workday load. </w:t>
      </w:r>
    </w:p>
    <w:p w14:paraId="3BFB9C24" w14:textId="77777777" w:rsidR="000F16EB" w:rsidRDefault="000F16EB" w:rsidP="000F16EB">
      <w:r>
        <w:t>The drawback of HD modelling based on individual components is that each model requires validation using primary network data. Once validated, each model is only proven to be accurate for the network(s) it has been validated against.</w:t>
      </w:r>
    </w:p>
    <w:p w14:paraId="3EA1F170" w14:textId="77777777" w:rsidR="000F16EB" w:rsidRDefault="000F16EB" w:rsidP="000F16EB">
      <w:pPr>
        <w:pStyle w:val="Heading4"/>
      </w:pPr>
      <w:bookmarkStart w:id="227" w:name="_Toc522192742"/>
      <w:bookmarkStart w:id="228" w:name="_Toc7187471"/>
      <w:r>
        <w:t>Deterministic Models</w:t>
      </w:r>
      <w:bookmarkEnd w:id="227"/>
      <w:bookmarkEnd w:id="228"/>
    </w:p>
    <w:p w14:paraId="65B81FCA" w14:textId="58A3DCBB" w:rsidR="000F16EB" w:rsidRDefault="000F16EB" w:rsidP="000F16EB">
      <w:r w:rsidRPr="00C106AF">
        <w:t xml:space="preserve">Deterministic models, which can otherwise be called simulation models, use mathematical equations to represent the physical behaviour of buildings </w:t>
      </w:r>
      <w:r w:rsidRPr="00C106AF">
        <w:fldChar w:fldCharType="begin" w:fldLock="1"/>
      </w:r>
      <w:r w:rsidR="002A6A73">
        <w:instrText>ADDIN CSL_CITATION {"citationItems":[{"id":"ITEM-1","itemData":{"DOI":"10.3389/fbuil.2016.00022","ISSN":"2297-3362","author":[{"dropping-particle":"","family":"Talebi","given":"Behrang","non-dropping-particle":"","parse-names":false,"suffix":""},{"dropping-particle":"","family":"Mirzaei","given":"Parham A.","non-dropping-particle":"","parse-names":false,"suffix":""},{"dropping-particle":"","family":"Bastani","given":"Arash","non-dropping-particle":"","parse-names":false,"suffix":""},{"dropping-particle":"","family":"Haghighat","given":"Fariborz","non-dropping-particle":"","parse-names":false,"suffix":""}],"container-title":"Frontiers in Built Environment","id":"ITEM-1","issue":"October","issued":{"date-parts":[["2016"]]},"page":"1-14","title":"A Review of District Heating Systems: Modeling and Optimization","type":"article-journal","volume":"2"},"uris":["http://www.mendeley.com/documents/?uuid=8c985309-fa60-4cac-b063-aea036b62563"]}],"mendeley":{"formattedCitation":"(Talebi &lt;i&gt;et al.&lt;/i&gt;, 2016)","plainTextFormattedCitation":"(Talebi et al., 2016)","previouslyFormattedCitation":"(Talebi &lt;i&gt;et al.&lt;/i&gt;, 2016)"},"properties":{"noteIndex":0},"schema":"https://github.com/citation-style-language/schema/raw/master/csl-citation.json"}</w:instrText>
      </w:r>
      <w:r w:rsidRPr="00C106AF">
        <w:fldChar w:fldCharType="separate"/>
      </w:r>
      <w:r w:rsidR="002A6A73" w:rsidRPr="002A6A73">
        <w:rPr>
          <w:noProof/>
        </w:rPr>
        <w:t xml:space="preserve">(Talebi </w:t>
      </w:r>
      <w:r w:rsidR="002A6A73" w:rsidRPr="002A6A73">
        <w:rPr>
          <w:i/>
          <w:noProof/>
        </w:rPr>
        <w:t>et al.</w:t>
      </w:r>
      <w:r w:rsidR="002A6A73" w:rsidRPr="002A6A73">
        <w:rPr>
          <w:noProof/>
        </w:rPr>
        <w:t>, 2016)</w:t>
      </w:r>
      <w:r w:rsidRPr="00C106AF">
        <w:fldChar w:fldCharType="end"/>
      </w:r>
      <w:r w:rsidRPr="00C106AF">
        <w:t xml:space="preserve">. </w:t>
      </w:r>
      <w:r w:rsidRPr="00C106AF">
        <w:rPr>
          <w:rFonts w:eastAsia="Times New Roman" w:cs="Arial"/>
          <w:lang w:eastAsia="en-GB"/>
        </w:rPr>
        <w:t>The models can be either complex and simulation based, using software to model the demand profiles of buildings; or simplified, reducing the number and complexity of the calculations</w:t>
      </w:r>
      <w:r w:rsidRPr="00C106AF">
        <w:t>. Complex models use simulation software</w:t>
      </w:r>
      <w:r>
        <w:t>,</w:t>
      </w:r>
      <w:r w:rsidRPr="00C106AF">
        <w:t xml:space="preserve"> as shown in</w:t>
      </w:r>
      <w:r>
        <w:t xml:space="preserve"> </w:t>
      </w:r>
      <w:r>
        <w:fldChar w:fldCharType="begin"/>
      </w:r>
      <w:r>
        <w:instrText xml:space="preserve"> REF _Ref523921155 \h </w:instrText>
      </w:r>
      <w:r>
        <w:fldChar w:fldCharType="separate"/>
      </w:r>
      <w:r w:rsidR="00CB7456">
        <w:t xml:space="preserve">Table </w:t>
      </w:r>
      <w:r w:rsidR="00CB7456">
        <w:rPr>
          <w:noProof/>
        </w:rPr>
        <w:t>2</w:t>
      </w:r>
      <w:r w:rsidR="00CB7456">
        <w:t>.</w:t>
      </w:r>
      <w:r w:rsidR="00CB7456">
        <w:rPr>
          <w:noProof/>
        </w:rPr>
        <w:t>5</w:t>
      </w:r>
      <w:r>
        <w:fldChar w:fldCharType="end"/>
      </w:r>
      <w:r w:rsidRPr="00C106AF">
        <w:t xml:space="preserve">. The complex simulations are highly accurate but have large data and computational needs </w:t>
      </w:r>
      <w:r w:rsidRPr="00C106AF">
        <w:fldChar w:fldCharType="begin" w:fldLock="1"/>
      </w:r>
      <w:r w:rsidR="002A6A73">
        <w:instrText>ADDIN CSL_CITATION {"citationItems":[{"id":"ITEM-1","itemData":{"DOI":"10.3389/fbuil.2016.00022","ISSN":"2297-3362","author":[{"dropping-particle":"","family":"Talebi","given":"Behrang","non-dropping-particle":"","parse-names":false,"suffix":""},{"dropping-particle":"","family":"Mirzaei","given":"Parham A.","non-dropping-particle":"","parse-names":false,"suffix":""},{"dropping-particle":"","family":"Bastani","given":"Arash","non-dropping-particle":"","parse-names":false,"suffix":""},{"dropping-particle":"","family":"Haghighat","given":"Fariborz","non-dropping-particle":"","parse-names":false,"suffix":""}],"container-title":"Frontiers in Built Environment","id":"ITEM-1","issue":"October","issued":{"date-parts":[["2016"]]},"page":"1-14","title":"A Review of District Heating Systems: Modeling and Optimization","type":"article-journal","volume":"2"},"uris":["http://www.mendeley.com/documents/?uuid=8c985309-fa60-4cac-b063-aea036b62563"]}],"mendeley":{"formattedCitation":"(Talebi &lt;i&gt;et al.&lt;/i&gt;, 2016)","plainTextFormattedCitation":"(Talebi et al., 2016)","previouslyFormattedCitation":"(Talebi &lt;i&gt;et al.&lt;/i&gt;, 2016)"},"properties":{"noteIndex":0},"schema":"https://github.com/citation-style-language/schema/raw/master/csl-citation.json"}</w:instrText>
      </w:r>
      <w:r w:rsidRPr="00C106AF">
        <w:fldChar w:fldCharType="separate"/>
      </w:r>
      <w:r w:rsidR="002A6A73" w:rsidRPr="002A6A73">
        <w:rPr>
          <w:noProof/>
        </w:rPr>
        <w:t xml:space="preserve">(Talebi </w:t>
      </w:r>
      <w:r w:rsidR="002A6A73" w:rsidRPr="002A6A73">
        <w:rPr>
          <w:i/>
          <w:noProof/>
        </w:rPr>
        <w:t>et al.</w:t>
      </w:r>
      <w:r w:rsidR="002A6A73" w:rsidRPr="002A6A73">
        <w:rPr>
          <w:noProof/>
        </w:rPr>
        <w:t>, 2016)</w:t>
      </w:r>
      <w:r w:rsidRPr="00C106AF">
        <w:fldChar w:fldCharType="end"/>
      </w:r>
      <w:r w:rsidRPr="00C106AF">
        <w:t xml:space="preserve">. </w:t>
      </w:r>
      <w:bookmarkStart w:id="229" w:name="_Ref521588705"/>
    </w:p>
    <w:p w14:paraId="63A87ADF" w14:textId="471EC582" w:rsidR="000F16EB" w:rsidRDefault="000F16EB" w:rsidP="000F16EB">
      <w:pPr>
        <w:pStyle w:val="Caption"/>
      </w:pPr>
      <w:bookmarkStart w:id="230" w:name="_Ref523921155"/>
      <w:bookmarkStart w:id="231" w:name="_Toc525230115"/>
      <w:bookmarkStart w:id="232" w:name="_Toc7187668"/>
      <w:r>
        <w:t xml:space="preserve">Table </w:t>
      </w:r>
      <w:fldSimple w:instr=" STYLEREF 1 \s ">
        <w:r w:rsidR="00CB7456">
          <w:rPr>
            <w:noProof/>
          </w:rPr>
          <w:t>2</w:t>
        </w:r>
      </w:fldSimple>
      <w:r w:rsidR="009E1A67">
        <w:t>.</w:t>
      </w:r>
      <w:fldSimple w:instr=" SEQ Table \* ARABIC \s 1 ">
        <w:r w:rsidR="00CB7456">
          <w:rPr>
            <w:noProof/>
          </w:rPr>
          <w:t>5</w:t>
        </w:r>
      </w:fldSimple>
      <w:bookmarkEnd w:id="229"/>
      <w:bookmarkEnd w:id="230"/>
      <w:r>
        <w:t>: Simulation software used in the deterministic modelling of DH.</w:t>
      </w:r>
      <w:bookmarkEnd w:id="231"/>
      <w:bookmarkEnd w:id="232"/>
    </w:p>
    <w:tbl>
      <w:tblPr>
        <w:tblStyle w:val="TableGrid"/>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23"/>
        <w:gridCol w:w="4773"/>
      </w:tblGrid>
      <w:tr w:rsidR="000F16EB" w14:paraId="3341C16D" w14:textId="77777777" w:rsidTr="00A7521D">
        <w:trPr>
          <w:jc w:val="center"/>
        </w:trPr>
        <w:tc>
          <w:tcPr>
            <w:tcW w:w="1323" w:type="dxa"/>
            <w:tcBorders>
              <w:top w:val="single" w:sz="4" w:space="0" w:color="auto"/>
              <w:bottom w:val="single" w:sz="4" w:space="0" w:color="auto"/>
            </w:tcBorders>
          </w:tcPr>
          <w:p w14:paraId="517EABD4" w14:textId="77777777" w:rsidR="000F16EB" w:rsidRDefault="000F16EB" w:rsidP="00A7521D">
            <w:pPr>
              <w:jc w:val="center"/>
            </w:pPr>
            <w:r>
              <w:t>Software</w:t>
            </w:r>
          </w:p>
        </w:tc>
        <w:tc>
          <w:tcPr>
            <w:tcW w:w="4773" w:type="dxa"/>
            <w:tcBorders>
              <w:top w:val="single" w:sz="4" w:space="0" w:color="auto"/>
              <w:bottom w:val="single" w:sz="4" w:space="0" w:color="auto"/>
            </w:tcBorders>
          </w:tcPr>
          <w:p w14:paraId="0392D6A9" w14:textId="77777777" w:rsidR="000F16EB" w:rsidRDefault="000F16EB" w:rsidP="00A7521D">
            <w:pPr>
              <w:jc w:val="center"/>
            </w:pPr>
            <w:r>
              <w:t>Reference</w:t>
            </w:r>
          </w:p>
        </w:tc>
      </w:tr>
      <w:tr w:rsidR="000F16EB" w14:paraId="585AE2B4" w14:textId="77777777" w:rsidTr="00A7521D">
        <w:trPr>
          <w:jc w:val="center"/>
        </w:trPr>
        <w:tc>
          <w:tcPr>
            <w:tcW w:w="1323" w:type="dxa"/>
            <w:tcBorders>
              <w:top w:val="single" w:sz="4" w:space="0" w:color="auto"/>
            </w:tcBorders>
          </w:tcPr>
          <w:p w14:paraId="7CA636A1" w14:textId="77777777" w:rsidR="000F16EB" w:rsidRDefault="000F16EB" w:rsidP="00A7521D">
            <w:pPr>
              <w:jc w:val="center"/>
            </w:pPr>
            <w:proofErr w:type="spellStart"/>
            <w:r>
              <w:t>EnergyPlus</w:t>
            </w:r>
            <w:proofErr w:type="spellEnd"/>
          </w:p>
        </w:tc>
        <w:tc>
          <w:tcPr>
            <w:tcW w:w="4773" w:type="dxa"/>
            <w:tcBorders>
              <w:top w:val="single" w:sz="4" w:space="0" w:color="auto"/>
            </w:tcBorders>
          </w:tcPr>
          <w:p w14:paraId="0F8ABBFF" w14:textId="40614A9D" w:rsidR="000F16EB" w:rsidRDefault="000F16EB" w:rsidP="00A7521D">
            <w:pPr>
              <w:jc w:val="center"/>
            </w:pPr>
            <w:r>
              <w:fldChar w:fldCharType="begin" w:fldLock="1"/>
            </w:r>
            <w:r w:rsidR="00FF4B5D">
              <w:instrText>ADDIN CSL_CITATION {"citationItems":[{"id":"ITEM-1","itemData":{"DOI":"10.1016/j.enbuild.2017.03.062","ISSN":"03787788","abstract":"Extensive research works have been carried out over the past few decades in the development of simulation tools to predict the thermal performance of buildings. These validated tools have been used in the design of the building and its components. However, limited simulation tools have been developed for modeling of district energy systems, which can potentially be a very laborious and time-consuming process. Besides many associated limitations, providing a realistic demand profile of the district energy systems is not a straightforward task due to high number of parameters involved in predicting a detail demand profile. This paper reports the development of a simplified model for predicting the thermal demand profile of a district heating system. The paper describes the method used to develop two types of simplified models to predict the thermal load of a variety of buildings (residential, office, attached, detached, etc.). The predictions were also compared with those made by the detailed simulation models. The simplified model was then utilized to predict the energy demand of a variety of districts types (residential, commercial or mix), and its prediction accuracy was compared with those made by detailed model: good agreement was observed between the results.","author":[{"dropping-particle":"","family":"Talebi","given":"Behrang","non-dropping-particle":"","parse-names":false,"suffix":""},{"dropping-particle":"","family":"Haghighat","given":"Fariborz","non-dropping-particle":"","parse-names":false,"suffix":""},{"dropping-particle":"","family":"Mirzaei","given":"Parham A.","non-dropping-particle":"","parse-names":false,"suffix":""}],"container-title":"Energy and Buildings","id":"ITEM-1","issued":{"date-parts":[["2017"]]},"page":"213-225","publisher":"Elsevier B.V.","title":"Simplified model to predict the thermal demand profile of districts","type":"article-journal","volume":"145"},"uris":["http://www.mendeley.com/documents/?uuid=5705a68a-38ae-4ea9-806f-428608eddaf2"]}],"mendeley":{"formattedCitation":"(Talebi &lt;i&gt;et al.&lt;/i&gt;, 2017)","manualFormatting":"(Talebi et al., 2017)","plainTextFormattedCitation":"(Talebi et al., 2017)","previouslyFormattedCitation":"(Talebi &lt;i&gt;et al.&lt;/i&gt;, 2017)"},"properties":{"noteIndex":0},"schema":"https://github.com/citation-style-language/schema/raw/master/csl-citation.json"}</w:instrText>
            </w:r>
            <w:r>
              <w:fldChar w:fldCharType="separate"/>
            </w:r>
            <w:r w:rsidRPr="00636797">
              <w:rPr>
                <w:noProof/>
              </w:rPr>
              <w:t>(Talebi</w:t>
            </w:r>
            <w:r>
              <w:rPr>
                <w:noProof/>
              </w:rPr>
              <w:t xml:space="preserve"> et al.</w:t>
            </w:r>
            <w:r w:rsidRPr="00636797">
              <w:rPr>
                <w:noProof/>
              </w:rPr>
              <w:t>, 2017)</w:t>
            </w:r>
            <w:r>
              <w:fldChar w:fldCharType="end"/>
            </w:r>
          </w:p>
        </w:tc>
      </w:tr>
      <w:tr w:rsidR="000F16EB" w14:paraId="7EA13B1E" w14:textId="77777777" w:rsidTr="00A7521D">
        <w:trPr>
          <w:jc w:val="center"/>
        </w:trPr>
        <w:tc>
          <w:tcPr>
            <w:tcW w:w="1323" w:type="dxa"/>
          </w:tcPr>
          <w:p w14:paraId="31B7EEA8" w14:textId="77777777" w:rsidR="000F16EB" w:rsidRDefault="000F16EB" w:rsidP="00A7521D">
            <w:pPr>
              <w:jc w:val="center"/>
            </w:pPr>
            <w:r>
              <w:t>TRNSYS</w:t>
            </w:r>
          </w:p>
        </w:tc>
        <w:tc>
          <w:tcPr>
            <w:tcW w:w="4773" w:type="dxa"/>
          </w:tcPr>
          <w:p w14:paraId="784B5FA5" w14:textId="17B768DE" w:rsidR="000F16EB" w:rsidRDefault="000F16EB" w:rsidP="00A7521D">
            <w:pPr>
              <w:jc w:val="center"/>
            </w:pPr>
            <w:r>
              <w:fldChar w:fldCharType="begin" w:fldLock="1"/>
            </w:r>
            <w:r w:rsidR="00FF4B5D">
              <w:instrText>ADDIN CSL_CITATION {"citationItems":[{"id":"ITEM-1","itemData":{"DOI":"10.1016/j.enbuild.2017.03.062","ISSN":"03787788","abstract":"Extensive research works have been carried out over the past few decades in the development of simulation tools to predict the thermal performance of buildings. These validated tools have been used in the design of the building and its components. However, limited simulation tools have been developed for modeling of district energy systems, which can potentially be a very laborious and time-consuming process. Besides many associated limitations, providing a realistic demand profile of the district energy systems is not a straightforward task due to high number of parameters involved in predicting a detail demand profile. This paper reports the development of a simplified model for predicting the thermal demand profile of a district heating system. The paper describes the method used to develop two types of simplified models to predict the thermal load of a variety of buildings (residential, office, attached, detached, etc.). The predictions were also compared with those made by the detailed simulation models. The simplified model was then utilized to predict the energy demand of a variety of districts types (residential, commercial or mix), and its prediction accuracy was compared with those made by detailed model: good agreement was observed between the results.","author":[{"dropping-particle":"","family":"Talebi","given":"Behrang","non-dropping-particle":"","parse-names":false,"suffix":""},{"dropping-particle":"","family":"Haghighat","given":"Fariborz","non-dropping-particle":"","parse-names":false,"suffix":""},{"dropping-particle":"","family":"Mirzaei","given":"Parham A.","non-dropping-particle":"","parse-names":false,"suffix":""}],"container-title":"Energy and Buildings","id":"ITEM-1","issued":{"date-parts":[["2017"]]},"page":"213-225","publisher":"Elsevier B.V.","title":"Simplified model to predict the thermal demand profile of districts","type":"article-journal","volume":"145"},"uris":["http://www.mendeley.com/documents/?uuid=5705a68a-38ae-4ea9-806f-428608eddaf2"]},{"id":"ITEM-2","itemData":{"DOI":"10.1016/j.solener.2004.10.014","ISBN":"0038092X","ISSN":"0038092X","abstract":"The TRNSYS XST-model for the calculation of the thermal behaviour of ground buried hot water heat stores was validated. For the validation procedure measured data of the seasonal hot water heat store in Hannover (Germany) were used. In contrast to previous investigations the temperatures of the surrounding ground were also taken into consideration. The determination of the heat store parameters was carried out using TRNSYS in combination with the parameter identification software DF. The deviation between measured and calculated temperatures is less than ??3%. The measured and calculated heat quantities are also in good agreement (annual deviation less than 2%). The validated XST-model was integrated into a TRNSYS model to calculate the thermal behaviour of the solar assisted district heating system in Hannover in 2002. The deviations between measured and calculated heat quantities do not exceed 5%. ?? 2005 Elsevier Ltd. All rights reserved.","author":[{"dropping-particle":"","family":"Raab","given":"S.","non-dropping-particle":"","parse-names":false,"suffix":""},{"dropping-particle":"","family":"Mangold","given":"D.","non-dropping-particle":"","parse-names":false,"suffix":""},{"dropping-particle":"","family":"Müller-Steinhagen","given":"H.","non-dropping-particle":"","parse-names":false,"suffix":""}],"container-title":"Solar Energy","id":"ITEM-2","issue":"5","issued":{"date-parts":[["2005"]]},"page":"531-543","title":"Validation of a computer model for solar assisted district heating systems with seasonal hot water heat store","type":"article-journal","volume":"79"},"uris":["http://www.mendeley.com/documents/?uuid=fc1399f0-cd2d-4183-8dff-cb08790efb55"]},{"id":"ITEM-3","itemData":{"DOI":"10.1016/S0306-2619(02)00020-X","ISBN":"0306-2619","ISSN":"03062619","abstract":"Control strategies for operating district heating, the utilization of biomass boilers under optimal conditions, estimation of solar production by central solar-heating systems and much more, demand realistic modelling of heat loads/demands for district-heating systems. A dynamic system model is presented: the results from this simulation were then compared with results from alternative methods found in the literature. If knowledge is available for a given case or the load is to be found for a new system, the simulation approach is recommended. The method, however, involves many parameters that can lead to errors and uncertainties. Therefore, if knowledge of case-specific parameters is rare, the degree-day method can lead to realistic results. For low-energy, solar-optimized building area, the energy–signature method leads to reasonable results and if system-wide load data are available, the energy–signature method can even do better than the degree-day method.","author":[{"dropping-particle":"","family":"Heller","given":"A.J.","non-dropping-particle":"","parse-names":false,"suffix":""}],"container-title":"Applied Energy","id":"ITEM-3","issue":"1","issued":{"date-parts":[["2002"]]},"page":"371-387","title":"Heat-load modelling for large systems","type":"article-journal","volume":"72"},"uris":["http://www.mendeley.com/documents/?uuid=bb5d2e35-9d47-4e69-8209-414702acc56a"]}],"mendeley":{"formattedCitation":"(Heller, 2002; Raab &lt;i&gt;et al.&lt;/i&gt;, 2005; Talebi &lt;i&gt;et al.&lt;/i&gt;, 2017)","manualFormatting":"(Heller, 2002; Raab et al., 2005; Talebi et al., 2017)","plainTextFormattedCitation":"(Heller, 2002; Raab et al., 2005; Talebi et al., 2017)","previouslyFormattedCitation":"(Heller, 2002; Raab &lt;i&gt;et al.&lt;/i&gt;, 2005; Talebi &lt;i&gt;et al.&lt;/i&gt;, 2017)"},"properties":{"noteIndex":0},"schema":"https://github.com/citation-style-language/schema/raw/master/csl-citation.json"}</w:instrText>
            </w:r>
            <w:r>
              <w:fldChar w:fldCharType="separate"/>
            </w:r>
            <w:r w:rsidRPr="00636797">
              <w:rPr>
                <w:noProof/>
              </w:rPr>
              <w:t>(Heller</w:t>
            </w:r>
            <w:r>
              <w:rPr>
                <w:noProof/>
              </w:rPr>
              <w:t>,</w:t>
            </w:r>
            <w:r w:rsidRPr="00636797">
              <w:rPr>
                <w:noProof/>
              </w:rPr>
              <w:t xml:space="preserve"> 2002</w:t>
            </w:r>
            <w:r>
              <w:rPr>
                <w:noProof/>
              </w:rPr>
              <w:t xml:space="preserve">; </w:t>
            </w:r>
            <w:r w:rsidRPr="00636797">
              <w:rPr>
                <w:noProof/>
              </w:rPr>
              <w:t>Raab</w:t>
            </w:r>
            <w:r>
              <w:rPr>
                <w:noProof/>
              </w:rPr>
              <w:t xml:space="preserve"> et al.</w:t>
            </w:r>
            <w:r w:rsidRPr="00636797">
              <w:rPr>
                <w:noProof/>
              </w:rPr>
              <w:t>, 2005;</w:t>
            </w:r>
            <w:r>
              <w:rPr>
                <w:noProof/>
              </w:rPr>
              <w:t xml:space="preserve"> </w:t>
            </w:r>
            <w:r w:rsidRPr="00636797">
              <w:rPr>
                <w:noProof/>
              </w:rPr>
              <w:t>Talebi</w:t>
            </w:r>
            <w:r>
              <w:rPr>
                <w:noProof/>
              </w:rPr>
              <w:t xml:space="preserve"> et al., 2017</w:t>
            </w:r>
            <w:r w:rsidRPr="00636797">
              <w:rPr>
                <w:noProof/>
              </w:rPr>
              <w:t>)</w:t>
            </w:r>
            <w:r>
              <w:fldChar w:fldCharType="end"/>
            </w:r>
          </w:p>
        </w:tc>
      </w:tr>
      <w:tr w:rsidR="000F16EB" w14:paraId="0F8DBFB9" w14:textId="77777777" w:rsidTr="00A7521D">
        <w:trPr>
          <w:jc w:val="center"/>
        </w:trPr>
        <w:tc>
          <w:tcPr>
            <w:tcW w:w="1323" w:type="dxa"/>
          </w:tcPr>
          <w:p w14:paraId="0A65E99C" w14:textId="77777777" w:rsidR="000F16EB" w:rsidRDefault="000F16EB" w:rsidP="00A7521D">
            <w:pPr>
              <w:jc w:val="center"/>
            </w:pPr>
            <w:r>
              <w:t>MODEST</w:t>
            </w:r>
          </w:p>
        </w:tc>
        <w:tc>
          <w:tcPr>
            <w:tcW w:w="4773" w:type="dxa"/>
          </w:tcPr>
          <w:p w14:paraId="02BFB4F5" w14:textId="5156C54D" w:rsidR="000F16EB" w:rsidRDefault="000F16EB" w:rsidP="00A7521D">
            <w:pPr>
              <w:jc w:val="center"/>
            </w:pPr>
            <w:r>
              <w:fldChar w:fldCharType="begin" w:fldLock="1"/>
            </w:r>
            <w:r w:rsidR="002A6A73">
              <w:instrText>ADDIN CSL_CITATION {"citationItems":[{"id":"ITEM-1","itemData":{"DOI":"10.1016/S0301-4215(03)00168-X","ISBN":"0301-4215","ISSN":"03014215","abstract":"The capacity for waste incineration in Swedish municipalities is increasing due to regulations aimed at decreasing landfill with waste. This has a large impact on the municipal energy systems, since waste is an important fuel for district heating production. The object of this study is a municipality, Sk??vde, which is planning to build a waste incineration plant to produce electricity and heat. The municipality is also planning to extend the district heating grid to include a large industrial heat consumer. The economic effect on the energy system of these measures is analysed as well as environmental effects in terms of carbon dioxide emissions. The consequences of two different policy instruments, green electricity certificates and a tax on waste incineration, are also studied. Economic optimisations show that the advantage of co-operation with industry is twofold: lower heat production costs and a considerable reduction of carbon dioxide emissions. It is economically feasible to invest in a waste incineration plant for heat production. An important measure to lower carbon dioxide emissions is to introduce combined heat and power production on the assumption that locally produced electricity replaces electricity produced by coal condensing power. ?? 2003 Elsevier Ltd. All rights reserved.","author":[{"dropping-particle":"","family":"Holmgren","given":"Kristina","non-dropping-particle":"","parse-names":false,"suffix":""},{"dropping-particle":"","family":"Gebremedhin","given":"Alemayehu","non-dropping-particle":"","parse-names":false,"suffix":""}],"container-title":"Energy Policy","id":"ITEM-1","issue":"16","issued":{"date-parts":[["2004"]]},"page":"1807-1817","title":"Modelling a district heating system: Introduction of waste incineration, policy instruments and co-operation with an industry","type":"article-journal","volume":"32"},"uris":["http://www.mendeley.com/documents/?uuid=6a193888-b20a-4c17-8717-e241debe9bb1"]}],"mendeley":{"formattedCitation":"(Holmgren and Gebremedhin, 2004)","manualFormatting":"(Holmgren and Gebremedhin, 2004)","plainTextFormattedCitation":"(Holmgren and Gebremedhin, 2004)","previouslyFormattedCitation":"(Holmgren and Gebremedhin, 2004)"},"properties":{"noteIndex":0},"schema":"https://github.com/citation-style-language/schema/raw/master/csl-citation.json"}</w:instrText>
            </w:r>
            <w:r>
              <w:fldChar w:fldCharType="separate"/>
            </w:r>
            <w:r w:rsidRPr="00636797">
              <w:rPr>
                <w:noProof/>
              </w:rPr>
              <w:t>(Holmgren and Gebremedhin</w:t>
            </w:r>
            <w:r>
              <w:rPr>
                <w:noProof/>
              </w:rPr>
              <w:t>,</w:t>
            </w:r>
            <w:r w:rsidRPr="00636797">
              <w:rPr>
                <w:noProof/>
              </w:rPr>
              <w:t xml:space="preserve"> 2004)</w:t>
            </w:r>
            <w:r>
              <w:fldChar w:fldCharType="end"/>
            </w:r>
          </w:p>
        </w:tc>
      </w:tr>
      <w:tr w:rsidR="000F16EB" w14:paraId="5A5C1C5A" w14:textId="77777777" w:rsidTr="00A7521D">
        <w:trPr>
          <w:jc w:val="center"/>
        </w:trPr>
        <w:tc>
          <w:tcPr>
            <w:tcW w:w="1323" w:type="dxa"/>
          </w:tcPr>
          <w:p w14:paraId="4C00CFD6" w14:textId="77777777" w:rsidR="000F16EB" w:rsidRDefault="000F16EB" w:rsidP="00A7521D">
            <w:pPr>
              <w:jc w:val="center"/>
            </w:pPr>
            <w:r>
              <w:t>TERMIS</w:t>
            </w:r>
          </w:p>
        </w:tc>
        <w:tc>
          <w:tcPr>
            <w:tcW w:w="4773" w:type="dxa"/>
          </w:tcPr>
          <w:p w14:paraId="563214FD" w14:textId="39ED3B78" w:rsidR="000F16EB" w:rsidRDefault="000F16EB" w:rsidP="00A7521D">
            <w:pPr>
              <w:jc w:val="center"/>
            </w:pPr>
            <w:r>
              <w:fldChar w:fldCharType="begin" w:fldLock="1"/>
            </w:r>
            <w:r w:rsidR="00FF4B5D">
              <w:instrText>ADDIN CSL_CITATION {"citationItems":[{"id":"ITEM-1","itemData":{"DOI":"10.1016/j.enconman.2006.05.011","ISSN":"01968904","abstract":"Modelling the temperature dynamics of a district heating system is typically validated for a single pipe or a system with limited information about dynamic consumer behaviour. In the present work, time dependent consumer data from the Naestved district heating system was used to investigate the ability of modelling tools to represent the temperature profile distortion throughout an entire heating system network. The Naestved district heating subsystem was modelled by two approaches (the node method developed at the Technical University of Denmark and the software TERMIS), and these modelling results were compared with measured data. The results indicate that the discrepancies between the predicted and measured temperatures are pronounced for consumers located in pipelines at distant pipelines containing numerous bends and fittings. Additionally, it was found that representing the consumer behaviour on an annual average basis introduced a deviation between the predicted and the measured return temperatures at the heat source. © 2006 Elsevier Ltd. All rights reserved.","author":[{"dropping-particle":"","family":"Gabrielaitiene","given":"Irina","non-dropping-particle":"","parse-names":false,"suffix":""},{"dropping-particle":"","family":"Bøhm","given":"Benny","non-dropping-particle":"","parse-names":false,"suffix":""},{"dropping-particle":"","family":"Sunden","given":"Bengt","non-dropping-particle":"","parse-names":false,"suffix":""}],"container-title":"Energy Conversion and Management","id":"ITEM-1","issue":"1","issued":{"date-parts":[["2007"]]},"page":"78-86","title":"Modelling temperature dynamics of a district heating system in Naestved, Denmark - A case study","type":"article-journal","volume":"48"},"uris":["http://www.mendeley.com/documents/?uuid=16ca08d9-9ac3-4b38-98b7-e6a6025cdc4d"]}],"mendeley":{"formattedCitation":"(Gabrielaitiene &lt;i&gt;et al.&lt;/i&gt;, 2007)","manualFormatting":"(Gabrielaitiene et al., 2007)","plainTextFormattedCitation":"(Gabrielaitiene et al., 2007)","previouslyFormattedCitation":"(Gabrielaitiene &lt;i&gt;et al.&lt;/i&gt;, 2007)"},"properties":{"noteIndex":0},"schema":"https://github.com/citation-style-language/schema/raw/master/csl-citation.json"}</w:instrText>
            </w:r>
            <w:r>
              <w:fldChar w:fldCharType="separate"/>
            </w:r>
            <w:r w:rsidRPr="00636797">
              <w:rPr>
                <w:noProof/>
              </w:rPr>
              <w:t>(Gabrielaitiene</w:t>
            </w:r>
            <w:r>
              <w:rPr>
                <w:noProof/>
              </w:rPr>
              <w:t xml:space="preserve"> et al.</w:t>
            </w:r>
            <w:r w:rsidRPr="00636797">
              <w:rPr>
                <w:noProof/>
              </w:rPr>
              <w:t>, 2007)</w:t>
            </w:r>
            <w:r>
              <w:fldChar w:fldCharType="end"/>
            </w:r>
          </w:p>
        </w:tc>
      </w:tr>
      <w:tr w:rsidR="000F16EB" w14:paraId="6E418A1C" w14:textId="77777777" w:rsidTr="00A7521D">
        <w:trPr>
          <w:jc w:val="center"/>
        </w:trPr>
        <w:tc>
          <w:tcPr>
            <w:tcW w:w="1323" w:type="dxa"/>
          </w:tcPr>
          <w:p w14:paraId="1AB89EDC" w14:textId="77777777" w:rsidR="000F16EB" w:rsidRDefault="000F16EB" w:rsidP="00A7521D">
            <w:pPr>
              <w:jc w:val="center"/>
            </w:pPr>
            <w:r>
              <w:t>DHEMOS</w:t>
            </w:r>
          </w:p>
        </w:tc>
        <w:tc>
          <w:tcPr>
            <w:tcW w:w="4773" w:type="dxa"/>
          </w:tcPr>
          <w:p w14:paraId="37B3228F" w14:textId="3949F0E8" w:rsidR="000F16EB" w:rsidRDefault="000F16EB" w:rsidP="00A7521D">
            <w:pPr>
              <w:jc w:val="center"/>
            </w:pPr>
            <w:r>
              <w:fldChar w:fldCharType="begin" w:fldLock="1"/>
            </w:r>
            <w:r w:rsidR="002A6A73">
              <w:instrText>ADDIN CSL_CITATION {"citationItems":[{"id":"ITEM-1","itemData":{"ISBN":"9789172951815","abstract":"A district heating system consists of one or more production units supplying energy in the form of heated water through a distribution pipe net-work to a multitude of consumers. District hea-ting systems come in a range of different forms and sizes; from small independent systems within industrial estates or university campuses to large city-wide systems supplying millions of consume-rs with heating and hot water. The geographically dispersed layout of district heating systems sug-gest that they are suitable for distributed opti-mization and management. However, this would imply a transition from the classical production-centric perspective normally found within district heating management to a more consumer-centric perspective. In this work we use multi-agent based systems in order to implement distributed policies for operational planning within district heating systems. We also develop models for si-mulating the dynamics of district heating systems in order to evaluate those policies and their use in computer-based demand side management approaches for improving operational planning and resource management. These policies are then implemented in real world industrial settings and their performance, as well as implementation issues, are analysed and evaluated. It is shown that distributed policies can lead to significant bene-fits compared to current schemes with respect to energy usage and heat load management at an operational level. aBsTracT","author":[{"dropping-particle":"","family":"Johansson","given":"Christian","non-dropping-particle":"","parse-names":false,"suffix":""}],"id":"ITEM-1","issued":{"date-parts":[["2010"]]},"publisher":"Blekinge Institute of Technology","title":"Towards Intelligent District Heating","type":"thesis"},"uris":["http://www.mendeley.com/documents/?uuid=4e3575cc-243e-4a7f-a853-36d9a5fbf786"]}],"mendeley":{"formattedCitation":"(Johansson, 2010)","manualFormatting":"(Johansson, 2010)","plainTextFormattedCitation":"(Johansson, 2010)","previouslyFormattedCitation":"(Johansson, 2010)"},"properties":{"noteIndex":0},"schema":"https://github.com/citation-style-language/schema/raw/master/csl-citation.json"}</w:instrText>
            </w:r>
            <w:r>
              <w:fldChar w:fldCharType="separate"/>
            </w:r>
            <w:r w:rsidRPr="007C105A">
              <w:rPr>
                <w:noProof/>
              </w:rPr>
              <w:t>(Johansson</w:t>
            </w:r>
            <w:r>
              <w:rPr>
                <w:noProof/>
              </w:rPr>
              <w:t>,</w:t>
            </w:r>
            <w:r w:rsidRPr="007C105A">
              <w:rPr>
                <w:noProof/>
              </w:rPr>
              <w:t xml:space="preserve"> 2010)</w:t>
            </w:r>
            <w:r>
              <w:fldChar w:fldCharType="end"/>
            </w:r>
          </w:p>
        </w:tc>
      </w:tr>
      <w:tr w:rsidR="000F16EB" w14:paraId="032BF437" w14:textId="77777777" w:rsidTr="00A7521D">
        <w:trPr>
          <w:jc w:val="center"/>
        </w:trPr>
        <w:tc>
          <w:tcPr>
            <w:tcW w:w="1323" w:type="dxa"/>
          </w:tcPr>
          <w:p w14:paraId="635C3CEB" w14:textId="77777777" w:rsidR="000F16EB" w:rsidRDefault="000F16EB" w:rsidP="00A7521D">
            <w:pPr>
              <w:jc w:val="center"/>
            </w:pPr>
            <w:r>
              <w:t>Simulink</w:t>
            </w:r>
          </w:p>
        </w:tc>
        <w:tc>
          <w:tcPr>
            <w:tcW w:w="4773" w:type="dxa"/>
            <w:tcBorders>
              <w:bottom w:val="nil"/>
            </w:tcBorders>
          </w:tcPr>
          <w:p w14:paraId="649A012C" w14:textId="4FF13822" w:rsidR="000F16EB" w:rsidRDefault="000F16EB" w:rsidP="00A7521D">
            <w:pPr>
              <w:jc w:val="center"/>
            </w:pPr>
            <w:r>
              <w:fldChar w:fldCharType="begin" w:fldLock="1"/>
            </w:r>
            <w:r w:rsidR="002A6A73">
              <w:instrText>ADDIN CSL_CITATION {"citationItems":[{"id":"ITEM-1","itemData":{"DOI":"10.1016/j.applthermaleng.2015.03.068","ISSN":"13594311","abstract":"Due to the sudden increase of energy consumption from modernization and civilization, energy efficiency has become an important issue in engineering devices. Much research effort has been made to enhance the performance of individual thermal devices. However, enhanced thermal devices are usually components in a larger thermal system such as an energy network connected by pipe networks to circulate an energy-carrying medium. Even when each component operates at maximum efficiency, the general system may not work in harmony to a full extent. Thus optimizing the full thermal system would increase the energy utilization efficiency even further and ultimately decrease the amount of CO&lt;inf&gt;2&lt;/inf&gt; emission. In this paper, we developed a numerical model for estimating heat flow and temperature variation in a complex energy network system using Simulink in Matlab. Emphasis has been made on heat pump's intermittent operation, where the system can be shut down for specific periods of time. A special thermal routine for the pipe was devised where the conduction becomes major heat transfer mode during the night. The code we developed was validated by comparing experimental data, and detailed analysis on system components' temperature variations and energy flow characteristic are provided.","author":[{"dropping-particle":"","family":"Lim","given":"Sehwa","non-dropping-particle":"","parse-names":false,"suffix":""},{"dropping-particle":"","family":"Park","given":"Sungjin","non-dropping-particle":"","parse-names":false,"suffix":""},{"dropping-particle":"","family":"Chung","given":"Haseung","non-dropping-particle":"","parse-names":false,"suffix":""},{"dropping-particle":"","family":"Kim","given":"Minsung","non-dropping-particle":"","parse-names":false,"suffix":""},{"dropping-particle":"","family":"Baik","given":"Young Jin","non-dropping-particle":"","parse-names":false,"suffix":""},{"dropping-particle":"","family":"Shin","given":"Seungwon","non-dropping-particle":"","parse-names":false,"suffix":""}],"container-title":"Applied Thermal Engineering","id":"ITEM-1","issued":{"date-parts":[["2015"]]},"page":"375-389","publisher":"Elsevier Ltd","title":"Dynamic modeling of building heat network system using Simulink","type":"article-journal","volume":"84"},"uris":["http://www.mendeley.com/documents/?uuid=9356890c-3b44-4e50-8af3-312d1a06400e"]}],"mendeley":{"formattedCitation":"(Lim &lt;i&gt;et al.&lt;/i&gt;, 2015)","manualFormatting":"(Lim et al., 2015)","plainTextFormattedCitation":"(Lim et al., 2015)","previouslyFormattedCitation":"(Lim &lt;i&gt;et al.&lt;/i&gt;, 2015)"},"properties":{"noteIndex":0},"schema":"https://github.com/citation-style-language/schema/raw/master/csl-citation.json"}</w:instrText>
            </w:r>
            <w:r>
              <w:fldChar w:fldCharType="separate"/>
            </w:r>
            <w:r w:rsidRPr="007C105A">
              <w:rPr>
                <w:noProof/>
              </w:rPr>
              <w:t xml:space="preserve">(Lim </w:t>
            </w:r>
            <w:r>
              <w:rPr>
                <w:noProof/>
              </w:rPr>
              <w:t>et al.,</w:t>
            </w:r>
            <w:r w:rsidRPr="007C105A">
              <w:rPr>
                <w:noProof/>
              </w:rPr>
              <w:t xml:space="preserve"> 2015)</w:t>
            </w:r>
            <w:r>
              <w:fldChar w:fldCharType="end"/>
            </w:r>
          </w:p>
        </w:tc>
      </w:tr>
      <w:tr w:rsidR="000F16EB" w14:paraId="694689E7" w14:textId="77777777" w:rsidTr="00A7521D">
        <w:trPr>
          <w:jc w:val="center"/>
        </w:trPr>
        <w:tc>
          <w:tcPr>
            <w:tcW w:w="1323" w:type="dxa"/>
          </w:tcPr>
          <w:p w14:paraId="4844A5CA" w14:textId="77777777" w:rsidR="000F16EB" w:rsidRDefault="000F16EB" w:rsidP="00A7521D">
            <w:pPr>
              <w:jc w:val="center"/>
            </w:pPr>
            <w:proofErr w:type="spellStart"/>
            <w:r>
              <w:t>eQUEST</w:t>
            </w:r>
            <w:proofErr w:type="spellEnd"/>
          </w:p>
        </w:tc>
        <w:tc>
          <w:tcPr>
            <w:tcW w:w="4773" w:type="dxa"/>
            <w:tcBorders>
              <w:top w:val="nil"/>
              <w:bottom w:val="single" w:sz="4" w:space="0" w:color="auto"/>
            </w:tcBorders>
          </w:tcPr>
          <w:p w14:paraId="0C991EFD" w14:textId="0E623292" w:rsidR="000F16EB" w:rsidRDefault="000F16EB" w:rsidP="00A7521D">
            <w:pPr>
              <w:jc w:val="center"/>
            </w:pPr>
            <w:r>
              <w:fldChar w:fldCharType="begin" w:fldLock="1"/>
            </w:r>
            <w:r w:rsidR="00FF4B5D">
              <w:instrText>ADDIN CSL_CITATION {"citationItems":[{"id":"ITEM-1","itemData":{"DOI":"10.1016/j.enbuild.2017.03.062","ISSN":"03787788","abstract":"Extensive research works have been carried out over the past few decades in the development of simulation tools to predict the thermal performance of buildings. These validated tools have been used in the design of the building and its components. However, limited simulation tools have been developed for modeling of district energy systems, which can potentially be a very laborious and time-consuming process. Besides many associated limitations, providing a realistic demand profile of the district energy systems is not a straightforward task due to high number of parameters involved in predicting a detail demand profile. This paper reports the development of a simplified model for predicting the thermal demand profile of a district heating system. The paper describes the method used to develop two types of simplified models to predict the thermal load of a variety of buildings (residential, office, attached, detached, etc.). The predictions were also compared with those made by the detailed simulation models. The simplified model was then utilized to predict the energy demand of a variety of districts types (residential, commercial or mix), and its prediction accuracy was compared with those made by detailed model: good agreement was observed between the results.","author":[{"dropping-particle":"","family":"Talebi","given":"Behrang","non-dropping-particle":"","parse-names":false,"suffix":""},{"dropping-particle":"","family":"Haghighat","given":"Fariborz","non-dropping-particle":"","parse-names":false,"suffix":""},{"dropping-particle":"","family":"Mirzaei","given":"Parham A.","non-dropping-particle":"","parse-names":false,"suffix":""}],"container-title":"Energy and Buildings","id":"ITEM-1","issued":{"date-parts":[["2017"]]},"page":"213-225","publisher":"Elsevier B.V.","title":"Simplified model to predict the thermal demand profile of districts","type":"article-journal","volume":"145"},"uris":["http://www.mendeley.com/documents/?uuid=5705a68a-38ae-4ea9-806f-428608eddaf2"]}],"mendeley":{"formattedCitation":"(Talebi &lt;i&gt;et al.&lt;/i&gt;, 2017)","manualFormatting":"(Talebi et al., 2017)","plainTextFormattedCitation":"(Talebi et al., 2017)","previouslyFormattedCitation":"(Talebi &lt;i&gt;et al.&lt;/i&gt;, 2017)"},"properties":{"noteIndex":0},"schema":"https://github.com/citation-style-language/schema/raw/master/csl-citation.json"}</w:instrText>
            </w:r>
            <w:r>
              <w:fldChar w:fldCharType="separate"/>
            </w:r>
            <w:r>
              <w:rPr>
                <w:noProof/>
              </w:rPr>
              <w:t>(Talebi et al.,</w:t>
            </w:r>
            <w:r w:rsidRPr="00636797">
              <w:rPr>
                <w:noProof/>
              </w:rPr>
              <w:t xml:space="preserve"> 2017)</w:t>
            </w:r>
            <w:r>
              <w:fldChar w:fldCharType="end"/>
            </w:r>
          </w:p>
        </w:tc>
      </w:tr>
    </w:tbl>
    <w:p w14:paraId="52255362" w14:textId="77777777" w:rsidR="000F16EB" w:rsidRDefault="000F16EB" w:rsidP="00196CD6">
      <w:pPr>
        <w:pStyle w:val="NoSpacing"/>
      </w:pPr>
    </w:p>
    <w:p w14:paraId="7CFCC917" w14:textId="67FEDD31" w:rsidR="000F16EB" w:rsidRDefault="000F16EB" w:rsidP="000F16EB">
      <w:r>
        <w:t xml:space="preserve">Simplified deterministic models simplify the physical characteristics of buildings to a mere representation of shape, orientation and occupancy type </w:t>
      </w:r>
      <w:r>
        <w:fldChar w:fldCharType="begin" w:fldLock="1"/>
      </w:r>
      <w:r w:rsidR="002A6A73">
        <w:instrText>ADDIN CSL_CITATION {"citationItems":[{"id":"ITEM-1","itemData":{"DOI":"10.3389/fbuil.2016.00022","ISSN":"2297-3362","author":[{"dropping-particle":"","family":"Talebi","given":"Behrang","non-dropping-particle":"","parse-names":false,"suffix":""},{"dropping-particle":"","family":"Mirzaei","given":"Parham A.","non-dropping-particle":"","parse-names":false,"suffix":""},{"dropping-particle":"","family":"Bastani","given":"Arash","non-dropping-particle":"","parse-names":false,"suffix":""},{"dropping-particle":"","family":"Haghighat","given":"Fariborz","non-dropping-particle":"","parse-names":false,"suffix":""}],"container-title":"Frontiers in Built Environment","id":"ITEM-1","issue":"October","issued":{"date-parts":[["2016"]]},"page":"1-14","title":"A Review of District Heating Systems: Modeling and Optimization","type":"article-journal","volume":"2"},"uris":["http://www.mendeley.com/documents/?uuid=8c985309-fa60-4cac-b063-aea036b62563"]}],"mendeley":{"formattedCitation":"(Talebi &lt;i&gt;et al.&lt;/i&gt;, 2016)","plainTextFormattedCitation":"(Talebi et al., 2016)","previouslyFormattedCitation":"(Talebi &lt;i&gt;et al.&lt;/i&gt;, 2016)"},"properties":{"noteIndex":0},"schema":"https://github.com/citation-style-language/schema/raw/master/csl-citation.json"}</w:instrText>
      </w:r>
      <w:r>
        <w:fldChar w:fldCharType="separate"/>
      </w:r>
      <w:r w:rsidR="002A6A73" w:rsidRPr="002A6A73">
        <w:rPr>
          <w:noProof/>
        </w:rPr>
        <w:t xml:space="preserve">(Talebi </w:t>
      </w:r>
      <w:r w:rsidR="002A6A73" w:rsidRPr="002A6A73">
        <w:rPr>
          <w:i/>
          <w:noProof/>
        </w:rPr>
        <w:t>et al.</w:t>
      </w:r>
      <w:r w:rsidR="002A6A73" w:rsidRPr="002A6A73">
        <w:rPr>
          <w:noProof/>
        </w:rPr>
        <w:t>, 2016)</w:t>
      </w:r>
      <w:r>
        <w:fldChar w:fldCharType="end"/>
      </w:r>
      <w:r>
        <w:t xml:space="preserve">. Alternatively, the simplification can occur by representing the HD of the building as a function of the floor area. Kim </w:t>
      </w:r>
      <w:r w:rsidRPr="00F66C0D">
        <w:rPr>
          <w:i/>
        </w:rPr>
        <w:t>et al</w:t>
      </w:r>
      <w:r>
        <w:t>. modelled the heating load of a building through a number of simplifications</w:t>
      </w:r>
      <w:r w:rsidR="00F66C0D">
        <w:t xml:space="preserve"> </w:t>
      </w:r>
      <w:r w:rsidR="00F66C0D">
        <w:fldChar w:fldCharType="begin" w:fldLock="1"/>
      </w:r>
      <w:r w:rsidR="00F66C0D">
        <w:instrText>ADDIN CSL_CITATION {"citationItems":[{"id":"ITEM-1","itemData":{"DOI":"10.1016/j.enbuild.2014.07.066","ISBN":"0378-7788","ISSN":"03787788","abstract":"This paper describes a building model designed for an urban energy simulation tool. In this context, trade-off between computing time and result precision is particularly important. Our methodology involves physical simplifications and model order reduction. The physical simplications are achieved by using equivalent envelopes, linearization scheme and pre-processing, so that a Modelica detailed model can be derived into a linear and time-invariant system using fewer component models. Balanced realization reduction can then be applied on such systems leading finally to a 6-order model. Effects of the simplification and reduction on heating and cooling loads are evaluated using typical building envelope cases. Results show that the simplifications and reduction induce errors under 1% in annual energy consumption and a maximum of 3% in instantaneous values but are accurate enough to reproduce dynamics of the detailed model. Additionally, the final reduced model uses a simple numerical solver and runs in less than 1 s without compromising precision for hourly annual simulations being 700 times faster than the detailed model, which is promising for use in urban energy simulation.","author":[{"dropping-particle":"","family":"Kim","given":"Eui Jong","non-dropping-particle":"","parse-names":false,"suffix":""},{"dropping-particle":"","family":"Plessis","given":"Gilles","non-dropping-particle":"","parse-names":false,"suffix":""},{"dropping-particle":"","family":"Hubert","given":"Jean Luc","non-dropping-particle":"","parse-names":false,"suffix":""},{"dropping-particle":"","family":"Roux","given":"Jean Jacques","non-dropping-particle":"","parse-names":false,"suffix":""}],"container-title":"Energy and Buildings","id":"ITEM-1","issued":{"date-parts":[["2014"]]},"page":"193-202","publisher":"Elsevier B.V.","title":"Urban energy simulation: Simplification and reduction of building envelope models","type":"article-journal","volume":"84"},"uris":["http://www.mendeley.com/documents/?uuid=4708044d-016d-4be9-b802-5f167e382c3e"]}],"mendeley":{"formattedCitation":"(Kim &lt;i&gt;et al.&lt;/i&gt;, 2014)","plainTextFormattedCitation":"(Kim et al., 2014)","previouslyFormattedCitation":"(Kim &lt;i&gt;et al.&lt;/i&gt;, 2014)"},"properties":{"noteIndex":0},"schema":"https://github.com/citation-style-language/schema/raw/master/csl-citation.json"}</w:instrText>
      </w:r>
      <w:r w:rsidR="00F66C0D">
        <w:fldChar w:fldCharType="separate"/>
      </w:r>
      <w:r w:rsidR="00F66C0D" w:rsidRPr="002A6A73">
        <w:rPr>
          <w:noProof/>
        </w:rPr>
        <w:t xml:space="preserve">(Kim </w:t>
      </w:r>
      <w:r w:rsidR="00F66C0D" w:rsidRPr="002A6A73">
        <w:rPr>
          <w:i/>
          <w:noProof/>
        </w:rPr>
        <w:t>et al.</w:t>
      </w:r>
      <w:r w:rsidR="00F66C0D" w:rsidRPr="002A6A73">
        <w:rPr>
          <w:noProof/>
        </w:rPr>
        <w:t>, 2014)</w:t>
      </w:r>
      <w:r w:rsidR="00F66C0D">
        <w:fldChar w:fldCharType="end"/>
      </w:r>
      <w:r>
        <w:t>. Instead of calculating the convective and conductive HT coefficients (HTCs), a transmittance rate was assumed. The physical building characteristics were simplified to be represented a single wall with a single window. Finally, the building was assumed to be a single storey high. The simplifications had only a minimal effect of the results, causing less than 3% error when compared to the original model. Despite the simplification process, simplified deterministic models still require information on each individual building type.</w:t>
      </w:r>
    </w:p>
    <w:p w14:paraId="08BB662E" w14:textId="77777777" w:rsidR="000F16EB" w:rsidRDefault="000F16EB" w:rsidP="000F16EB">
      <w:pPr>
        <w:pStyle w:val="Heading4"/>
      </w:pPr>
      <w:bookmarkStart w:id="233" w:name="_Toc522192743"/>
      <w:bookmarkStart w:id="234" w:name="_Toc7187472"/>
      <w:r>
        <w:t>Predictive Time Series Models</w:t>
      </w:r>
      <w:bookmarkEnd w:id="233"/>
      <w:bookmarkEnd w:id="234"/>
    </w:p>
    <w:p w14:paraId="184B98B4" w14:textId="62E1966C" w:rsidR="000F16EB" w:rsidRDefault="000F16EB" w:rsidP="000F16EB">
      <w:r>
        <w:t xml:space="preserve">Predictive models work through fitting mathematical curves to user demand profiles </w:t>
      </w:r>
      <w:r>
        <w:fldChar w:fldCharType="begin" w:fldLock="1"/>
      </w:r>
      <w:r w:rsidR="002A6A73">
        <w:instrText>ADDIN CSL_CITATION {"citationItems":[{"id":"ITEM-1","itemData":{"DOI":"10.3389/fbuil.2016.00022","ISSN":"2297-3362","author":[{"dropping-particle":"","family":"Talebi","given":"Behrang","non-dropping-particle":"","parse-names":false,"suffix":""},{"dropping-particle":"","family":"Mirzaei","given":"Parham A.","non-dropping-particle":"","parse-names":false,"suffix":""},{"dropping-particle":"","family":"Bastani","given":"Arash","non-dropping-particle":"","parse-names":false,"suffix":""},{"dropping-particle":"","family":"Haghighat","given":"Fariborz","non-dropping-particle":"","parse-names":false,"suffix":""}],"container-title":"Frontiers in Built Environment","id":"ITEM-1","issue":"October","issued":{"date-parts":[["2016"]]},"page":"1-14","title":"A Review of District Heating Systems: Modeling and Optimization","type":"article-journal","volume":"2"},"uris":["http://www.mendeley.com/documents/?uuid=8c985309-fa60-4cac-b063-aea036b62563"]}],"mendeley":{"formattedCitation":"(Talebi &lt;i&gt;et al.&lt;/i&gt;, 2016)","plainTextFormattedCitation":"(Talebi et al., 2016)","previouslyFormattedCitation":"(Talebi &lt;i&gt;et al.&lt;/i&gt;, 2016)"},"properties":{"noteIndex":0},"schema":"https://github.com/citation-style-language/schema/raw/master/csl-citation.json"}</w:instrText>
      </w:r>
      <w:r>
        <w:fldChar w:fldCharType="separate"/>
      </w:r>
      <w:r w:rsidR="002A6A73" w:rsidRPr="002A6A73">
        <w:rPr>
          <w:noProof/>
        </w:rPr>
        <w:t xml:space="preserve">(Talebi </w:t>
      </w:r>
      <w:r w:rsidR="002A6A73" w:rsidRPr="002A6A73">
        <w:rPr>
          <w:i/>
          <w:noProof/>
        </w:rPr>
        <w:t>et al.</w:t>
      </w:r>
      <w:r w:rsidR="002A6A73" w:rsidRPr="002A6A73">
        <w:rPr>
          <w:noProof/>
        </w:rPr>
        <w:t>, 2016)</w:t>
      </w:r>
      <w:r>
        <w:fldChar w:fldCharType="end"/>
      </w:r>
      <w:r>
        <w:t>.</w:t>
      </w:r>
    </w:p>
    <w:p w14:paraId="272DE864" w14:textId="77777777" w:rsidR="000F16EB" w:rsidRDefault="000F16EB" w:rsidP="000F16EB">
      <w:pPr>
        <w:pStyle w:val="Heading6"/>
      </w:pPr>
      <w:r>
        <w:lastRenderedPageBreak/>
        <w:t>Autoregressive Moving Average Models</w:t>
      </w:r>
    </w:p>
    <w:p w14:paraId="2739043E" w14:textId="01D38142" w:rsidR="000F16EB" w:rsidRDefault="000F16EB" w:rsidP="000F16EB">
      <w:r>
        <w:t>Autoregressive moving average (ARMA) models predict the HD profile of the end user by calculating the linear relationship between the previous value of the demand and the previous and current values of the noise. The basis of ARMA models is shown in Equation </w:t>
      </w:r>
      <w:r>
        <w:fldChar w:fldCharType="begin"/>
      </w:r>
      <w:r>
        <w:instrText xml:space="preserve"> REF _Ref531100959 \h </w:instrText>
      </w:r>
      <w:r>
        <w:fldChar w:fldCharType="separate"/>
      </w:r>
      <w:r w:rsidR="00CB7456">
        <w:rPr>
          <w:noProof/>
        </w:rPr>
        <w:t>2</w:t>
      </w:r>
      <w:r w:rsidR="00CB7456">
        <w:t>.</w:t>
      </w:r>
      <w:r w:rsidR="00CB7456">
        <w:rPr>
          <w:noProof/>
        </w:rPr>
        <w:t>6</w:t>
      </w:r>
      <w:r>
        <w:fldChar w:fldCharType="end"/>
      </w:r>
      <w:r>
        <w:t xml:space="preserve"> </w:t>
      </w:r>
      <w:r>
        <w:fldChar w:fldCharType="begin" w:fldLock="1"/>
      </w:r>
      <w:r w:rsidR="00FF4B5D">
        <w:instrText>ADDIN CSL_CITATION {"citationItems":[{"id":"ITEM-1","itemData":{"DOI":"10.1109/ICETEESES.2016.7581373","ISBN":"VO -","abstract":"Short-term load forecasting methodsFor decision makers in the electricity sector, the decision process is complex with several different levels that have to be taken into consideration. These comprise for instance the planning of facilities and an optimal day-to-day operation of the power plant. These decisions address widely different time-horizons and aspects of the system. For accomplishing these tasks load forecasts are very important. This paper presents a comprehensive survey of the short term load forecasting. It also reviews various methodologies for short term load forecasting (STLF). Authors strongly believe that this survey article shall be very much helpful to the researchers working in the field of short term load forecasting for finding out the appropriate references and future work.","author":[{"dropping-particle":"","family":"Srivastava","given":"A K","non-dropping-particle":"","parse-names":false,"suffix":""},{"dropping-particle":"","family":"Pandey","given":"Ajay Shekhar","non-dropping-particle":"","parse-names":false,"suffix":""},{"dropping-particle":"","family":"Singh","given":"Devender","non-dropping-particle":"","parse-names":false,"suffix":""}],"container-title":"2016 International Conference on Emerging Trends in Electrical Electronics &amp; Sustainable Energy Systems (ICETEESES)","id":"ITEM-1","issued":{"date-parts":[["2016"]]},"page":"130-138","publisher-place":"Uattar Pradesh, India","title":"Short-term load forecasting methods: A review","type":"paper-conference"},"uris":["http://www.mendeley.com/documents/?uuid=6169bee9-5fb0-4934-a55e-195b52a70b10"]},{"id":"ITEM-2","itemData":{"DOI":"10.3389/fbuil.2016.00022","ISSN":"2297-3362","author":[{"dropping-particle":"","family":"Talebi","given":"Behrang","non-dropping-particle":"","parse-names":false,"suffix":""},{"dropping-particle":"","family":"Mirzaei","given":"Parham A.","non-dropping-particle":"","parse-names":false,"suffix":""},{"dropping-particle":"","family":"Bastani","given":"Arash","non-dropping-particle":"","parse-names":false,"suffix":""},{"dropping-particle":"","family":"Haghighat","given":"Fariborz","non-dropping-particle":"","parse-names":false,"suffix":""}],"container-title":"Frontiers in Built Environment","id":"ITEM-2","issue":"October","issued":{"date-parts":[["2016"]]},"page":"1-14","title":"A Review of District Heating Systems: Modeling and Optimization","type":"article-journal","volume":"2"},"uris":["http://www.mendeley.com/documents/?uuid=8c985309-fa60-4cac-b063-aea036b62563"]}],"mendeley":{"formattedCitation":"(Srivastava &lt;i&gt;et al.&lt;/i&gt;, 2016; Talebi &lt;i&gt;et al.&lt;/i&gt;, 2016)","plainTextFormattedCitation":"(Srivastava et al., 2016; Talebi et al., 2016)","previouslyFormattedCitation":"(Srivastava &lt;i&gt;et al.&lt;/i&gt;, 2016; Talebi &lt;i&gt;et al.&lt;/i&gt;, 2016)"},"properties":{"noteIndex":0},"schema":"https://github.com/citation-style-language/schema/raw/master/csl-citation.json"}</w:instrText>
      </w:r>
      <w:r>
        <w:fldChar w:fldCharType="separate"/>
      </w:r>
      <w:r w:rsidR="005F544E" w:rsidRPr="005F544E">
        <w:rPr>
          <w:noProof/>
        </w:rPr>
        <w:t xml:space="preserve">(Srivastava </w:t>
      </w:r>
      <w:r w:rsidR="005F544E" w:rsidRPr="005F544E">
        <w:rPr>
          <w:i/>
          <w:noProof/>
        </w:rPr>
        <w:t>et al.</w:t>
      </w:r>
      <w:r w:rsidR="005F544E" w:rsidRPr="005F544E">
        <w:rPr>
          <w:noProof/>
        </w:rPr>
        <w:t xml:space="preserve">, 2016; Talebi </w:t>
      </w:r>
      <w:r w:rsidR="005F544E" w:rsidRPr="005F544E">
        <w:rPr>
          <w:i/>
          <w:noProof/>
        </w:rPr>
        <w:t>et al.</w:t>
      </w:r>
      <w:r w:rsidR="005F544E" w:rsidRPr="005F544E">
        <w:rPr>
          <w:noProof/>
        </w:rPr>
        <w:t>, 2016)</w:t>
      </w:r>
      <w:r>
        <w:fldChar w:fldCharType="end"/>
      </w:r>
      <w: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5"/>
        <w:gridCol w:w="543"/>
      </w:tblGrid>
      <w:tr w:rsidR="000F16EB" w14:paraId="26290449" w14:textId="77777777" w:rsidTr="00A7521D">
        <w:tc>
          <w:tcPr>
            <w:tcW w:w="7655" w:type="dxa"/>
          </w:tcPr>
          <w:p w14:paraId="5164960A" w14:textId="77777777" w:rsidR="000F16EB" w:rsidRPr="00AC69E9" w:rsidRDefault="000F16EB" w:rsidP="00A7521D">
            <w:pPr>
              <w:keepNext/>
            </w:pPr>
            <m:oMathPara>
              <m:oMathParaPr>
                <m:jc m:val="left"/>
              </m:oMathParaPr>
              <m:oMath>
                <m:r>
                  <w:rPr>
                    <w:rFonts w:ascii="Cambria Math" w:hAnsi="Cambria Math"/>
                  </w:rPr>
                  <m:t>z</m:t>
                </m:r>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p</m:t>
                    </m:r>
                  </m:sub>
                </m:sSub>
                <m:d>
                  <m:dPr>
                    <m:ctrlPr>
                      <w:rPr>
                        <w:rFonts w:ascii="Cambria Math" w:hAnsi="Cambria Math"/>
                        <w:i/>
                      </w:rPr>
                    </m:ctrlPr>
                  </m:dPr>
                  <m:e>
                    <m:r>
                      <w:rPr>
                        <w:rFonts w:ascii="Cambria Math" w:hAnsi="Cambria Math"/>
                      </w:rPr>
                      <m:t>t</m:t>
                    </m:r>
                  </m:e>
                </m:d>
                <m:r>
                  <w:rPr>
                    <w:rFonts w:ascii="Cambria Math" w:hAnsi="Cambria Math"/>
                  </w:rPr>
                  <m:t>+Y</m:t>
                </m:r>
                <m:d>
                  <m:dPr>
                    <m:ctrlPr>
                      <w:rPr>
                        <w:rFonts w:ascii="Cambria Math" w:hAnsi="Cambria Math"/>
                        <w:i/>
                      </w:rPr>
                    </m:ctrlPr>
                  </m:dPr>
                  <m:e>
                    <m:r>
                      <w:rPr>
                        <w:rFonts w:ascii="Cambria Math" w:hAnsi="Cambria Math"/>
                      </w:rPr>
                      <m:t>t</m:t>
                    </m:r>
                  </m:e>
                </m:d>
              </m:oMath>
            </m:oMathPara>
          </w:p>
        </w:tc>
        <w:bookmarkStart w:id="235" w:name="_Ref531100959"/>
        <w:tc>
          <w:tcPr>
            <w:tcW w:w="543" w:type="dxa"/>
            <w:vAlign w:val="center"/>
          </w:tcPr>
          <w:p w14:paraId="1ADCDD78" w14:textId="41B6E295" w:rsidR="000F16EB" w:rsidRDefault="000F16EB" w:rsidP="00A7521D">
            <w:pPr>
              <w:pStyle w:val="Caption"/>
              <w:jc w:val="right"/>
            </w:pPr>
            <w:r>
              <w:fldChar w:fldCharType="begin"/>
            </w:r>
            <w:r>
              <w:instrText xml:space="preserve"> STYLEREF 1 \s </w:instrText>
            </w:r>
            <w:r>
              <w:fldChar w:fldCharType="separate"/>
            </w:r>
            <w:r w:rsidR="00CB7456">
              <w:rPr>
                <w:noProof/>
              </w:rPr>
              <w:t>2</w:t>
            </w:r>
            <w:r>
              <w:fldChar w:fldCharType="end"/>
            </w:r>
            <w:r>
              <w:t>.</w:t>
            </w:r>
            <w:r>
              <w:rPr>
                <w:noProof/>
              </w:rPr>
              <w:fldChar w:fldCharType="begin"/>
            </w:r>
            <w:r>
              <w:rPr>
                <w:noProof/>
              </w:rPr>
              <w:instrText xml:space="preserve"> SEQ Equation \* ARABIC \s 1 </w:instrText>
            </w:r>
            <w:r>
              <w:rPr>
                <w:noProof/>
              </w:rPr>
              <w:fldChar w:fldCharType="separate"/>
            </w:r>
            <w:r w:rsidR="00CB7456">
              <w:rPr>
                <w:noProof/>
              </w:rPr>
              <w:t>6</w:t>
            </w:r>
            <w:r>
              <w:rPr>
                <w:noProof/>
              </w:rPr>
              <w:fldChar w:fldCharType="end"/>
            </w:r>
            <w:bookmarkEnd w:id="235"/>
          </w:p>
        </w:tc>
      </w:tr>
    </w:tbl>
    <w:p w14:paraId="0E962722" w14:textId="77777777" w:rsidR="000F16EB" w:rsidRDefault="000F16EB" w:rsidP="00196CD6">
      <w:pPr>
        <w:pStyle w:val="NoSpacing"/>
      </w:pPr>
    </w:p>
    <w:p w14:paraId="31680930" w14:textId="77777777" w:rsidR="000F16EB" w:rsidRDefault="000F16EB" w:rsidP="000F16EB">
      <w:pPr>
        <w:pStyle w:val="NoSpacing"/>
      </w:pPr>
      <m:oMath>
        <m:r>
          <w:rPr>
            <w:rFonts w:ascii="Cambria Math" w:hAnsi="Cambria Math"/>
          </w:rPr>
          <m:t>z</m:t>
        </m:r>
        <m:d>
          <m:dPr>
            <m:ctrlPr>
              <w:rPr>
                <w:rFonts w:ascii="Cambria Math" w:hAnsi="Cambria Math"/>
                <w:i/>
              </w:rPr>
            </m:ctrlPr>
          </m:dPr>
          <m:e>
            <m:r>
              <w:rPr>
                <w:rFonts w:ascii="Cambria Math" w:hAnsi="Cambria Math"/>
              </w:rPr>
              <m:t>t</m:t>
            </m:r>
          </m:e>
        </m:d>
      </m:oMath>
      <w:r>
        <w:t xml:space="preserve"> is the output variable at time, </w:t>
      </w:r>
      <w:r>
        <w:rPr>
          <w:i/>
        </w:rPr>
        <w:t>t</w:t>
      </w:r>
      <w:r>
        <w:t>,</w:t>
      </w:r>
    </w:p>
    <w:p w14:paraId="7F353500" w14:textId="77777777" w:rsidR="000F16EB" w:rsidRDefault="00C73E04" w:rsidP="000F16EB">
      <w:pPr>
        <w:pStyle w:val="NoSpacing"/>
      </w:pPr>
      <m:oMath>
        <m:sSub>
          <m:sSubPr>
            <m:ctrlPr>
              <w:rPr>
                <w:rFonts w:ascii="Cambria Math" w:hAnsi="Cambria Math"/>
                <w:i/>
              </w:rPr>
            </m:ctrlPr>
          </m:sSubPr>
          <m:e>
            <m:r>
              <w:rPr>
                <w:rFonts w:ascii="Cambria Math" w:hAnsi="Cambria Math"/>
              </w:rPr>
              <m:t>Y</m:t>
            </m:r>
          </m:e>
          <m:sub>
            <m:r>
              <w:rPr>
                <w:rFonts w:ascii="Cambria Math" w:hAnsi="Cambria Math"/>
              </w:rPr>
              <m:t>p</m:t>
            </m:r>
          </m:sub>
        </m:sSub>
        <m:d>
          <m:dPr>
            <m:ctrlPr>
              <w:rPr>
                <w:rFonts w:ascii="Cambria Math" w:hAnsi="Cambria Math"/>
                <w:i/>
              </w:rPr>
            </m:ctrlPr>
          </m:dPr>
          <m:e>
            <m:r>
              <w:rPr>
                <w:rFonts w:ascii="Cambria Math" w:hAnsi="Cambria Math"/>
              </w:rPr>
              <m:t>t</m:t>
            </m:r>
          </m:e>
        </m:d>
      </m:oMath>
      <w:r w:rsidR="000F16EB">
        <w:t xml:space="preserve"> is the day and normal weather condition at time, </w:t>
      </w:r>
      <w:r w:rsidR="000F16EB">
        <w:rPr>
          <w:i/>
        </w:rPr>
        <w:t>t</w:t>
      </w:r>
      <w:r w:rsidR="000F16EB">
        <w:t>,</w:t>
      </w:r>
    </w:p>
    <w:p w14:paraId="373F348A" w14:textId="77777777" w:rsidR="000F16EB" w:rsidRPr="00E27608" w:rsidRDefault="000F16EB" w:rsidP="000F16EB">
      <m:oMath>
        <m:r>
          <w:rPr>
            <w:rFonts w:ascii="Cambria Math" w:hAnsi="Cambria Math"/>
          </w:rPr>
          <m:t>Y</m:t>
        </m:r>
        <m:d>
          <m:dPr>
            <m:ctrlPr>
              <w:rPr>
                <w:rFonts w:ascii="Cambria Math" w:hAnsi="Cambria Math"/>
                <w:i/>
              </w:rPr>
            </m:ctrlPr>
          </m:dPr>
          <m:e>
            <m:r>
              <w:rPr>
                <w:rFonts w:ascii="Cambria Math" w:hAnsi="Cambria Math"/>
              </w:rPr>
              <m:t>t</m:t>
            </m:r>
          </m:e>
        </m:d>
      </m:oMath>
      <w:r>
        <w:t xml:space="preserve"> is the effect of the deviation from the normal weather pattern at time, </w:t>
      </w:r>
      <w:r>
        <w:rPr>
          <w:i/>
        </w:rPr>
        <w:t>t</w:t>
      </w:r>
      <w:r>
        <w:t>.</w:t>
      </w:r>
    </w:p>
    <w:p w14:paraId="0ECF6F92" w14:textId="16F4BA14" w:rsidR="000F16EB" w:rsidRDefault="000F16EB" w:rsidP="000F16EB">
      <w:r>
        <w:t xml:space="preserve">A variation of the standard ARMA model is to use a time series model of autoregressive integrated moving average (ARIMA). ARIMA models are an ARMA model modification that use past values of the output variable, </w:t>
      </w:r>
      <m:oMath>
        <m:r>
          <w:rPr>
            <w:rFonts w:ascii="Cambria Math" w:hAnsi="Cambria Math"/>
          </w:rPr>
          <m:t>z</m:t>
        </m:r>
        <m:d>
          <m:dPr>
            <m:ctrlPr>
              <w:rPr>
                <w:rFonts w:ascii="Cambria Math" w:hAnsi="Cambria Math"/>
                <w:i/>
              </w:rPr>
            </m:ctrlPr>
          </m:dPr>
          <m:e>
            <m:r>
              <w:rPr>
                <w:rFonts w:ascii="Cambria Math" w:hAnsi="Cambria Math"/>
              </w:rPr>
              <m:t>t</m:t>
            </m:r>
          </m:e>
        </m:d>
      </m:oMath>
      <w:r>
        <w:t>,</w:t>
      </w:r>
      <w:r>
        <w:rPr>
          <w:i/>
        </w:rPr>
        <w:t xml:space="preserve"> </w:t>
      </w:r>
      <w:r>
        <w:t xml:space="preserve">in addition to all the existing values of the input variables to forecast the current value of the output variable. ARIMA models need to initially be tuned so that the parameters can be calculated using the coefficients of the delay polynomials, minimising the noise in the system. Once the tuning is completed, the ARIMA models can be used to forecast the future outputs. </w:t>
      </w:r>
      <w:r w:rsidRPr="000D54CA">
        <w:rPr>
          <w:noProof/>
        </w:rPr>
        <w:t>Amjady</w:t>
      </w:r>
      <w:r>
        <w:t xml:space="preserve"> compared ARIMA models with ARMA models, ANNs and fuzzy neural networks (FNNs), showing that ARIMA models most accurately forecast the daily peak load</w:t>
      </w:r>
      <w:r w:rsidR="00F66C0D">
        <w:t xml:space="preserve"> </w:t>
      </w:r>
      <w:r w:rsidR="00F66C0D">
        <w:fldChar w:fldCharType="begin" w:fldLock="1"/>
      </w:r>
      <w:r w:rsidR="00F66C0D">
        <w:instrText>ADDIN CSL_CITATION {"citationItems":[{"id":"ITEM-1","itemData":{"DOI":"10.1109/59.932287","author":[{"dropping-particle":"","family":"Amjady","given":"Nima","non-dropping-particle":"","parse-names":false,"suffix":""}],"container-title":"Power Systems","id":"ITEM-1","issue":"3","issued":{"date-parts":[["2001"]]},"page":"789-805","title":"Short-Term Hourly Load Forecasting Using Time-Series Modeling with Peak Load Estimation Capability","type":"article-journal","volume":"16"},"uris":["http://www.mendeley.com/documents/?uuid=d2249e91-4d80-4d91-9a20-2e65ebaf218b"]}],"mendeley":{"formattedCitation":"(Amjady, 2001)","plainTextFormattedCitation":"(Amjady, 2001)","previouslyFormattedCitation":"(Amjady, 2001)"},"properties":{"noteIndex":0},"schema":"https://github.com/citation-style-language/schema/raw/master/csl-citation.json"}</w:instrText>
      </w:r>
      <w:r w:rsidR="00F66C0D">
        <w:fldChar w:fldCharType="separate"/>
      </w:r>
      <w:r w:rsidR="00F66C0D" w:rsidRPr="002A6A73">
        <w:rPr>
          <w:noProof/>
        </w:rPr>
        <w:t>(Amjady, 2001)</w:t>
      </w:r>
      <w:r w:rsidR="00F66C0D">
        <w:fldChar w:fldCharType="end"/>
      </w:r>
      <w:r>
        <w:t>.</w:t>
      </w:r>
    </w:p>
    <w:p w14:paraId="46F7FAEC" w14:textId="77777777" w:rsidR="000F16EB" w:rsidRDefault="000F16EB" w:rsidP="000F16EB">
      <w:pPr>
        <w:pStyle w:val="Heading6"/>
      </w:pPr>
      <w:r>
        <w:t>Kalman Filter</w:t>
      </w:r>
    </w:p>
    <w:p w14:paraId="32620321" w14:textId="18B61178" w:rsidR="000F16EB" w:rsidRDefault="000F16EB" w:rsidP="000F16EB">
      <w:r>
        <w:t xml:space="preserve">A Kalman filter works by estimating the value of a future time step, </w:t>
      </w:r>
      <m:oMath>
        <m:r>
          <w:rPr>
            <w:rFonts w:ascii="Cambria Math" w:hAnsi="Cambria Math"/>
          </w:rPr>
          <m:t>t+∆t</m:t>
        </m:r>
      </m:oMath>
      <w:r>
        <w:t xml:space="preserve">, based on the value of the current time step, </w:t>
      </w:r>
      <w:r>
        <w:rPr>
          <w:i/>
        </w:rPr>
        <w:t xml:space="preserve">t </w:t>
      </w:r>
      <w:r>
        <w:rPr>
          <w:i/>
        </w:rPr>
        <w:fldChar w:fldCharType="begin" w:fldLock="1"/>
      </w:r>
      <w:r w:rsidR="002A6A73">
        <w:rPr>
          <w:i/>
        </w:rPr>
        <w:instrText>ADDIN CSL_CITATION {"citationItems":[{"id":"ITEM-1","itemData":{"DOI":"10.3389/fbuil.2016.00022","ISSN":"2297-3362","author":[{"dropping-particle":"","family":"Talebi","given":"Behrang","non-dropping-particle":"","parse-names":false,"suffix":""},{"dropping-particle":"","family":"Mirzaei","given":"Parham A.","non-dropping-particle":"","parse-names":false,"suffix":""},{"dropping-particle":"","family":"Bastani","given":"Arash","non-dropping-particle":"","parse-names":false,"suffix":""},{"dropping-particle":"","family":"Haghighat","given":"Fariborz","non-dropping-particle":"","parse-names":false,"suffix":""}],"container-title":"Frontiers in Built Environment","id":"ITEM-1","issue":"October","issued":{"date-parts":[["2016"]]},"page":"1-14","title":"A Review of District Heating Systems: Modeling and Optimization","type":"article-journal","volume":"2"},"uris":["http://www.mendeley.com/documents/?uuid=8c985309-fa60-4cac-b063-aea036b62563"]}],"mendeley":{"formattedCitation":"(Talebi &lt;i&gt;et al.&lt;/i&gt;, 2016)","plainTextFormattedCitation":"(Talebi et al., 2016)","previouslyFormattedCitation":"(Talebi &lt;i&gt;et al.&lt;/i&gt;, 2016)"},"properties":{"noteIndex":0},"schema":"https://github.com/citation-style-language/schema/raw/master/csl-citation.json"}</w:instrText>
      </w:r>
      <w:r>
        <w:rPr>
          <w:i/>
        </w:rPr>
        <w:fldChar w:fldCharType="separate"/>
      </w:r>
      <w:r w:rsidR="002A6A73" w:rsidRPr="002A6A73">
        <w:rPr>
          <w:noProof/>
        </w:rPr>
        <w:t xml:space="preserve">(Talebi </w:t>
      </w:r>
      <w:r w:rsidR="002A6A73" w:rsidRPr="002A6A73">
        <w:rPr>
          <w:i/>
          <w:noProof/>
        </w:rPr>
        <w:t>et al.</w:t>
      </w:r>
      <w:r w:rsidR="002A6A73" w:rsidRPr="002A6A73">
        <w:rPr>
          <w:noProof/>
        </w:rPr>
        <w:t>, 2016)</w:t>
      </w:r>
      <w:r>
        <w:rPr>
          <w:i/>
        </w:rPr>
        <w:fldChar w:fldCharType="end"/>
      </w:r>
      <w:r>
        <w:t>. To work most effectively, a Kalman filter must use a residential sequence method to minimise the source function and determine the best variable set. At each time step, the filter must check the difference between the measurement and the model output choosing the variable set that minimises the difference.</w:t>
      </w:r>
    </w:p>
    <w:p w14:paraId="751EE931" w14:textId="77777777" w:rsidR="000F16EB" w:rsidRDefault="000F16EB" w:rsidP="000F16EB">
      <w:pPr>
        <w:pStyle w:val="Heading6"/>
      </w:pPr>
      <w:r>
        <w:t>Artificial Neural Networks</w:t>
      </w:r>
    </w:p>
    <w:p w14:paraId="3DE505B2" w14:textId="755FECAD" w:rsidR="000F16EB" w:rsidRDefault="000F16EB" w:rsidP="000F16EB">
      <w:r>
        <w:t xml:space="preserve">ANNs are simple machine learning tools based on the data processing structures of the human brain </w:t>
      </w:r>
      <w:r>
        <w:fldChar w:fldCharType="begin" w:fldLock="1"/>
      </w:r>
      <w:r w:rsidR="00FF4B5D">
        <w:instrText>ADDIN CSL_CITATION {"citationItems":[{"id":"ITEM-1","itemData":{"DOI":"10.1109/59.932287","author":[{"dropping-particle":"","family":"Amjady","given":"Nima","non-dropping-particle":"","parse-names":false,"suffix":""}],"container-title":"Power Systems","id":"ITEM-1","issue":"3","issued":{"date-parts":[["2001"]]},"page":"789-805","title":"Short-Term Hourly Load Forecasting Using Time-Series Modeling with Peak Load Estimation Capability","type":"article-journal","volume":"16"},"uris":["http://www.mendeley.com/documents/?uuid=d2249e91-4d80-4d91-9a20-2e65ebaf218b"]},{"id":"ITEM-2","itemData":{"DOI":"10.1016/j.enconman.2012.06.002","ISSN":"01968904","abstract":"This paper deals with an artificial neural network (ANN) modeling to predict the exergy efficiency of geothermal district heating system under a broad range of operating conditions. As a case study, the Afyonkarahisar geothermal district heating system (AGDHS) in Turkey is considered. The average daily actual thermal data acquired from the AGDHS in the 2009–2010 heating season are collected and employed for exergy analysis. An ANN modeling is developed based on backpropagation learning algorithm for predicting the exergy efficiency of the system according to parameters of the system, namely the ambient temperature, flow rate and well head temperature. Then, the recorded and calculated data conducted in the AGDHS at different dates are used for training the network. The results showed that the network yields a maximum correlation coefficient with minimum coefficient of variance and root mean square values. The results confirmed that the ANN modeling can be applied successfully and can provide high accuracy and reliability for predicting the exergy performance of geothermal district heating systems.","author":[{"dropping-particle":"","family":"Keçebaş","given":"Ali","non-dropping-particle":"","parse-names":false,"suffix":""},{"dropping-particle":"","family":"Yabanova","given":"İsmail","non-dropping-particle":"","parse-names":false,"suffix":""},{"dropping-particle":"","family":"Yumurtacı","given":"Mehmet","non-dropping-particle":"","parse-names":false,"suffix":""}],"container-title":"Energy Conversion and Management","id":"ITEM-2","issued":{"date-parts":[["2012"]]},"page":"206-212","title":"Artificial neural network modeling of geothermal district heating system thought exergy analysis","type":"article-journal","volume":"64"},"uris":["http://www.mendeley.com/documents/?uuid=64c532fa-e297-45df-83d0-846c2d58e68c"]}],"mendeley":{"formattedCitation":"(Amjady, 2001; Keçebaş &lt;i&gt;et al.&lt;/i&gt;, 2012)","plainTextFormattedCitation":"(Amjady, 2001; Keçebaş et al., 2012)","previouslyFormattedCitation":"(Amjady, 2001; Keçebaş &lt;i&gt;et al.&lt;/i&gt;, 2012)"},"properties":{"noteIndex":0},"schema":"https://github.com/citation-style-language/schema/raw/master/csl-citation.json"}</w:instrText>
      </w:r>
      <w:r>
        <w:fldChar w:fldCharType="separate"/>
      </w:r>
      <w:r w:rsidR="005F544E" w:rsidRPr="005F544E">
        <w:rPr>
          <w:noProof/>
        </w:rPr>
        <w:t xml:space="preserve">(Amjady, 2001; Keçebaş </w:t>
      </w:r>
      <w:r w:rsidR="005F544E" w:rsidRPr="005F544E">
        <w:rPr>
          <w:i/>
          <w:noProof/>
        </w:rPr>
        <w:t>et al.</w:t>
      </w:r>
      <w:r w:rsidR="005F544E" w:rsidRPr="005F544E">
        <w:rPr>
          <w:noProof/>
        </w:rPr>
        <w:t>, 2012)</w:t>
      </w:r>
      <w:r>
        <w:fldChar w:fldCharType="end"/>
      </w:r>
      <w:r>
        <w:t xml:space="preserve">. ANNs have high learning abilities and can identify, model, and learn complex non-linear relationships between system inputs and outputs. ANNs are widely used in the power sector to forecast electricity consumption in buildings </w:t>
      </w:r>
      <w:r>
        <w:fldChar w:fldCharType="begin" w:fldLock="1"/>
      </w:r>
      <w:r w:rsidR="002A6A73">
        <w:instrText>ADDIN CSL_CITATION {"citationItems":[{"id":"ITEM-1","itemData":{"DOI":"10.3389/fbuil.2016.00022","ISSN":"2297-3362","author":[{"dropping-particle":"","family":"Talebi","given":"Behrang","non-dropping-particle":"","parse-names":false,"suffix":""},{"dropping-particle":"","family":"Mirzaei","given":"Parham A.","non-dropping-particle":"","parse-names":false,"suffix":""},{"dropping-particle":"","family":"Bastani","given":"Arash","non-dropping-particle":"","parse-names":false,"suffix":""},{"dropping-particle":"","family":"Haghighat","given":"Fariborz","non-dropping-particle":"","parse-names":false,"suffix":""}],"container-title":"Frontiers in Built Environment","id":"ITEM-1","issue":"October","issued":{"date-parts":[["2016"]]},"page":"1-14","title":"A Review of District Heating Systems: Modeling and Optimization","type":"article-journal","volume":"2"},"uris":["http://www.mendeley.com/documents/?uuid=8c985309-fa60-4cac-b063-aea036b62563"]}],"mendeley":{"formattedCitation":"(Talebi &lt;i&gt;et al.&lt;/i&gt;, 2016)","plainTextFormattedCitation":"(Talebi et al., 2016)","previouslyFormattedCitation":"(Talebi &lt;i&gt;et al.&lt;/i&gt;, 2016)"},"properties":{"noteIndex":0},"schema":"https://github.com/citation-style-language/schema/raw/master/csl-citation.json"}</w:instrText>
      </w:r>
      <w:r>
        <w:fldChar w:fldCharType="separate"/>
      </w:r>
      <w:r w:rsidR="002A6A73" w:rsidRPr="002A6A73">
        <w:rPr>
          <w:noProof/>
        </w:rPr>
        <w:t xml:space="preserve">(Talebi </w:t>
      </w:r>
      <w:r w:rsidR="002A6A73" w:rsidRPr="002A6A73">
        <w:rPr>
          <w:i/>
          <w:noProof/>
        </w:rPr>
        <w:t>et al.</w:t>
      </w:r>
      <w:r w:rsidR="002A6A73" w:rsidRPr="002A6A73">
        <w:rPr>
          <w:noProof/>
        </w:rPr>
        <w:t>, 2016)</w:t>
      </w:r>
      <w:r>
        <w:fldChar w:fldCharType="end"/>
      </w:r>
      <w:r>
        <w:t>. Due to the high levels of adaptability of ANNs stemming from the use of real case data in the training stages, ANNs have higher prediction performance than other simulation methods. In addition, ANNs are able to generalise, can work with non</w:t>
      </w:r>
      <w:r>
        <w:noBreakHyphen/>
        <w:t xml:space="preserve">linear functions, can converge with solutions that are difficult to specify, and can work with back propagation learning algorithms </w:t>
      </w:r>
      <w:r>
        <w:fldChar w:fldCharType="begin" w:fldLock="1"/>
      </w:r>
      <w:r w:rsidR="00FF4B5D">
        <w:instrText>ADDIN CSL_CITATION {"citationItems":[{"id":"ITEM-1","itemData":{"DOI":"10.1016/S0169-2070(97)00044-7","ISBN":"9780387717197","ISSN":"01692070","abstract":"Interest in using artificial neural networks (ANNs) for forecasting has led to a tremendous surge in research activities in the past decade. While ANNs provide a great deal of promise, they also embody much uncertainty. Researchers to date are still not certain about the effect of key factors on forecasting performance of ANNs. This paper presents a state-of-the-art survey of ANN applications in forecasting. Our purpose is to provide (1) a synthesis of published research in this area, (2) insights on ANN modeling issues, and (3) the future research directions.","author":[{"dropping-particle":"","family":"Zhang","given":"Guoqiang B.","non-dropping-particle":"","parse-names":false,"suffix":""},{"dropping-particle":"","family":"Patuwo","given":"Eddy","non-dropping-particle":"","parse-names":false,"suffix":""},{"dropping-particle":"","family":"Hu","given":"Michael Y.","non-dropping-particle":"","parse-names":false,"suffix":""}],"container-title":"International Journal of Forecasting","id":"ITEM-1","issued":{"date-parts":[["1998"]]},"page":"35-62","title":"Forecasting with artificial neural networks: The state of the art","type":"article-journal","volume":"14"},"uris":["http://www.mendeley.com/documents/?uuid=c03030a0-bfe4-4e1c-b217-9906241719b3"]},{"id":"ITEM-2","itemData":{"DOI":"10.11648/j.ijepe.20140305.13","ISSN":"2326-957X","author":[{"dropping-particle":"","family":"Wojdyga","given":"Krzysztof","non-dropping-particle":"","parse-names":false,"suffix":""}],"container-title":"International Journal of Energy and Power Engineering","id":"ITEM-2","issue":"5","issued":{"date-parts":[["2014"]]},"page":"237","title":"Predicting Heat Demand for a District Heating Systems","type":"article-journal","volume":"3"},"uris":["http://www.mendeley.com/documents/?uuid=44e56992-7bbb-4629-9cf7-e8bec90e9c76"]},{"id":"ITEM-3","itemData":{"DOI":"10.1016/j.apenergy.2016.08.122","ISSN":"03062619","abstract":"The forecasting of energy and natural gas consumption is a topic that spans different temporal and spatial scales and addresses scenarios that vary significantly in consistency and extension. Therefore, although forecasting models share common aims, the specific scale at which each model has been developed strongly impacts its features and the parameters that are to be considered or neglected. There are models designed to handle time scales, such as decades, years, and months, down to daily or hourly models of consumption. Similarly, there are patterns of forecasted consumption that range from continents or groups of nations down to the most limited targets of single individual users, passing through all intermediate levels. This paper describes a model that is able to provide a short-term profile of the hourly heat demand of end-users of a District Heating Network (DHN). The simulator uses the hourly natural gas consumptions of large groups of users and their correlation with the outside air temperature. Next, a procedure based on standards for estimating the energy performance of buildings is defined to scale results down to single-user consumption. The main objective of this work is to provide a simple and fast tool that can be used as a component of wider models of DHNs to improve the control strategies and the management of load variations. The novelty of this work lies in the development of a plain algebraic model for predicting hourly heat demand based only on average daily temperature and historical data of natural gas consumption. Whereas aggregated data of natural gas consumption for groups of end users are measured hourly or even more frequently, the thermal demand is typically evaluated over a significantly longer time horizon, such as a month or more. Therefore, the hourly profile of a single user's thermal demand is commonly unknown, and only long-term averaged values are available and predictable. With this model, used in conjunction with common weather forecasting services that reliably provide the average temperature of the following day, it is possible to predict the expected hourly heat demand one day in advance and day-by-day.","author":[{"dropping-particle":"","family":"Spoladore","given":"Alessandro","non-dropping-particle":"","parse-names":false,"suffix":""},{"dropping-particle":"","family":"Borelli","given":"Davide","non-dropping-particle":"","parse-names":false,"suffix":""},{"dropping-particle":"","family":"Devia","given":"Francesco","non-dropping-particle":"","parse-names":false,"suffix":""},{"dropping-particle":"","family":"Mora","given":"Flavio","non-dropping-particle":"","parse-names":false,"suffix":""},{"dropping-particle":"","family":"Schenone","given":"Corrado","non-dropping-particle":"","parse-names":false,"suffix":""}],"container-title":"Applied Energy","id":"ITEM-3","issued":{"date-parts":[["2016"]]},"page":"488-499","publisher":"Elsevier Ltd","title":"Model for forecasting residential heat demand based on natural gas consumption and energy performance indicators","type":"article-journal","volume":"182"},"uris":["http://www.mendeley.com/documents/?uuid=9b7c7ba5-c824-46c5-b13c-5a1478a0ef71"]}],"mendeley":{"formattedCitation":"(Zhang &lt;i&gt;et al.&lt;/i&gt;, 1998; Wojdyga, 2014; Spoladore &lt;i&gt;et al.&lt;/i&gt;, 2016)","plainTextFormattedCitation":"(Zhang et al., 1998; Wojdyga, 2014; Spoladore et al., 2016)","previouslyFormattedCitation":"(Zhang &lt;i&gt;et al.&lt;/i&gt;, 1998; Wojdyga, 2014; Spoladore &lt;i&gt;et al.&lt;/i&gt;, 2016)"},"properties":{"noteIndex":0},"schema":"https://github.com/citation-style-language/schema/raw/master/csl-citation.json"}</w:instrText>
      </w:r>
      <w:r>
        <w:fldChar w:fldCharType="separate"/>
      </w:r>
      <w:r w:rsidR="005F544E" w:rsidRPr="005F544E">
        <w:rPr>
          <w:noProof/>
        </w:rPr>
        <w:t xml:space="preserve">(Zhang </w:t>
      </w:r>
      <w:r w:rsidR="005F544E" w:rsidRPr="005F544E">
        <w:rPr>
          <w:i/>
          <w:noProof/>
        </w:rPr>
        <w:t>et al.</w:t>
      </w:r>
      <w:r w:rsidR="005F544E" w:rsidRPr="005F544E">
        <w:rPr>
          <w:noProof/>
        </w:rPr>
        <w:t xml:space="preserve">, 1998; Wojdyga, 2014; Spoladore </w:t>
      </w:r>
      <w:r w:rsidR="005F544E" w:rsidRPr="005F544E">
        <w:rPr>
          <w:i/>
          <w:noProof/>
        </w:rPr>
        <w:t>et al.</w:t>
      </w:r>
      <w:r w:rsidR="005F544E" w:rsidRPr="005F544E">
        <w:rPr>
          <w:noProof/>
        </w:rPr>
        <w:t>, 2016)</w:t>
      </w:r>
      <w:r>
        <w:fldChar w:fldCharType="end"/>
      </w:r>
      <w:r>
        <w:t xml:space="preserve">. </w:t>
      </w:r>
    </w:p>
    <w:p w14:paraId="1618521C" w14:textId="73DB6F7B" w:rsidR="000F16EB" w:rsidRDefault="000F16EB" w:rsidP="000F16EB">
      <w:r>
        <w:t xml:space="preserve">However, in order to work ANNs require careful consideration to the network complexity, need a long training period, and highly accurate parameters without always reaching convergence in the training phase </w:t>
      </w:r>
      <w:r>
        <w:fldChar w:fldCharType="begin" w:fldLock="1"/>
      </w:r>
      <w:r w:rsidR="00FF4B5D">
        <w:instrText>ADDIN CSL_CITATION {"citationItems":[{"id":"ITEM-1","itemData":{"DOI":"10.1016/S0169-2070(97)00044-7","ISBN":"9780387717197","ISSN":"01692070","abstract":"Interest in using artificial neural networks (ANNs) for forecasting has led to a tremendous surge in research activities in the past decade. While ANNs provide a great deal of promise, they also embody much uncertainty. Researchers to date are still not certain about the effect of key factors on forecasting performance of ANNs. This paper presents a state-of-the-art survey of ANN applications in forecasting. Our purpose is to provide (1) a synthesis of published research in this area, (2) insights on ANN modeling issues, and (3) the future research directions.","author":[{"dropping-particle":"","family":"Zhang","given":"Guoqiang B.","non-dropping-particle":"","parse-names":false,"suffix":""},{"dropping-particle":"","family":"Patuwo","given":"Eddy","non-dropping-particle":"","parse-names":false,"suffix":""},{"dropping-particle":"","family":"Hu","given":"Michael Y.","non-dropping-particle":"","parse-names":false,"suffix":""}],"container-title":"International Journal of Forecasting","id":"ITEM-1","issued":{"date-parts":[["1998"]]},"page":"35-62","title":"Forecasting with artificial neural networks: The state of the art","type":"article-journal","volume":"14"},"uris":["http://www.mendeley.com/documents/?uuid=c03030a0-bfe4-4e1c-b217-9906241719b3"]},{"id":"ITEM-2","itemData":{"DOI":"10.1109/59.932287","author":[{"dropping-particle":"","family":"Amjady","given":"Nima","non-dropping-particle":"","parse-names":false,"suffix":""}],"container-title":"Power Systems","id":"ITEM-2","issue":"3","issued":{"date-parts":[["2001"]]},"page":"789-805","title":"Short-Term Hourly Load Forecasting Using Time-Series Modeling with Peak Load Estimation Capability","type":"article-journal","volume":"16"},"uris":["http://www.mendeley.com/documents/?uuid=d2249e91-4d80-4d91-9a20-2e65ebaf218b"]},{"id":"ITEM-3","itemData":{"DOI":"10.11648/j.ijepe.20140305.13","ISSN":"2326-957X","author":[{"dropping-particle":"","family":"Wojdyga","given":"Krzysztof","non-dropping-particle":"","parse-names":false,"suffix":""}],"container-title":"International Journal of Energy and Power Engineering","id":"ITEM-3","issue":"5","issued":{"date-parts":[["2014"]]},"page":"237","title":"Predicting Heat Demand for a District Heating Systems","type":"article-journal","volume":"3"},"uris":["http://www.mendeley.com/documents/?uuid=44e56992-7bbb-4629-9cf7-e8bec90e9c76"]},{"id":"ITEM-4","itemData":{"DOI":"10.3389/fbuil.2016.00022","ISSN":"2297-3362","author":[{"dropping-particle":"","family":"Talebi","given":"Behrang","non-dropping-particle":"","parse-names":false,"suffix":""},{"dropping-particle":"","family":"Mirzaei","given":"Parham A.","non-dropping-particle":"","parse-names":false,"suffix":""},{"dropping-particle":"","family":"Bastani","given":"Arash","non-dropping-particle":"","parse-names":false,"suffix":""},{"dropping-particle":"","family":"Haghighat","given":"Fariborz","non-dropping-particle":"","parse-names":false,"suffix":""}],"container-title":"Frontiers in Built Environment","id":"ITEM-4","issue":"October","issued":{"date-parts":[["2016"]]},"page":"1-14","title":"A Review of District Heating Systems: Modeling and Optimization","type":"article-journal","volume":"2"},"uris":["http://www.mendeley.com/documents/?uuid=8c985309-fa60-4cac-b063-aea036b62563"]}],"mendeley":{"formattedCitation":"(Zhang &lt;i&gt;et al.&lt;/i&gt;, 1998; Amjady, 2001; Wojdyga, 2014; Talebi &lt;i&gt;et al.&lt;/i&gt;, 2016)","plainTextFormattedCitation":"(Zhang et al., 1998; Amjady, 2001; Wojdyga, 2014; Talebi et al., 2016)","previouslyFormattedCitation":"(Zhang &lt;i&gt;et al.&lt;/i&gt;, 1998; Amjady, 2001; Wojdyga, 2014; Talebi &lt;i&gt;et al.&lt;/i&gt;, 2016)"},"properties":{"noteIndex":0},"schema":"https://github.com/citation-style-language/schema/raw/master/csl-citation.json"}</w:instrText>
      </w:r>
      <w:r>
        <w:fldChar w:fldCharType="separate"/>
      </w:r>
      <w:r w:rsidR="005F544E" w:rsidRPr="005F544E">
        <w:rPr>
          <w:noProof/>
        </w:rPr>
        <w:t xml:space="preserve">(Zhang </w:t>
      </w:r>
      <w:r w:rsidR="005F544E" w:rsidRPr="005F544E">
        <w:rPr>
          <w:i/>
          <w:noProof/>
        </w:rPr>
        <w:t>et al.</w:t>
      </w:r>
      <w:r w:rsidR="005F544E" w:rsidRPr="005F544E">
        <w:rPr>
          <w:noProof/>
        </w:rPr>
        <w:t xml:space="preserve">, 1998; Amjady, 2001; Wojdyga, 2014; Talebi </w:t>
      </w:r>
      <w:r w:rsidR="005F544E" w:rsidRPr="005F544E">
        <w:rPr>
          <w:i/>
          <w:noProof/>
        </w:rPr>
        <w:t>et al.</w:t>
      </w:r>
      <w:r w:rsidR="005F544E" w:rsidRPr="005F544E">
        <w:rPr>
          <w:noProof/>
        </w:rPr>
        <w:t>, 2016)</w:t>
      </w:r>
      <w:r>
        <w:fldChar w:fldCharType="end"/>
      </w:r>
      <w:r>
        <w:t xml:space="preserve">. Experimental work has shown support vector machines (SVM) and ARIMA models to have better performance than ANNs </w:t>
      </w:r>
      <w:r>
        <w:fldChar w:fldCharType="begin" w:fldLock="1"/>
      </w:r>
      <w:r w:rsidR="002A6A73">
        <w:instrText>ADDIN CSL_CITATION {"citationItems":[{"id":"ITEM-1","itemData":{"DOI":"10.1109/59.932287","author":[{"dropping-particle":"","family":"Amjady","given":"Nima","non-dropping-particle":"","parse-names":false,"suffix":""}],"container-title":"Power Systems","id":"ITEM-1","issue":"3","issued":{"date-parts":[["2001"]]},"page":"789-805","title":"Short-Term Hourly Load Forecasting Using Time-Series Modeling with Peak Load Estimation Capability","type":"article-journal","volume":"16"},"uris":["http://www.mendeley.com/documents/?uuid=d2249e91-4d80-4d91-9a20-2e65ebaf218b"]},{"id":"ITEM-2","itemData":{"DOI":"10.1007/s11814-010-0220-9","author":[{"dropping-particle":"","family":"Park","given":"Tae Chang","non-dropping-particle":"","parse-names":false,"suffix":""},{"dropping-particle":"","family":"Kim","given":"Ui Sik","non-dropping-particle":"","parse-names":false,"suffix":""},{"dropping-particle":"","family":"Kim","given":"Lae-hyun","non-dropping-particle":"","parse-names":false,"suffix":""},{"dropping-particle":"","family":"Jo","given":"Byung Wan","non-dropping-particle":"","parse-names":false,"suffix":""},{"dropping-particle":"","family":"Yeo","given":"Yeong Koo","non-dropping-particle":"","parse-names":false,"suffix":""}],"container-title":"Korean Journal of Chemical Engineering","id":"ITEM-2","issue":"4","issued":{"date-parts":[["2010"]]},"page":"1063-1071","title":"Heat consumption forecasting using partial least squares, artificial neural network and support vector regression techniques in district heating systems","type":"article-journal","volume":"27"},"uris":["http://www.mendeley.com/documents/?uuid=38ddc8ab-7979-4225-aa33-fbb3e8240d39"]}],"mendeley":{"formattedCitation":"(Amjady, 2001; Park &lt;i&gt;et al.&lt;/i&gt;, 2010)","plainTextFormattedCitation":"(Amjady, 2001; Park et al., 2010)","previouslyFormattedCitation":"(Amjady, 2001; Park &lt;i&gt;et al.&lt;/i&gt;, 2010)"},"properties":{"noteIndex":0},"schema":"https://github.com/citation-style-language/schema/raw/master/csl-citation.json"}</w:instrText>
      </w:r>
      <w:r>
        <w:fldChar w:fldCharType="separate"/>
      </w:r>
      <w:r w:rsidR="002A6A73" w:rsidRPr="002A6A73">
        <w:rPr>
          <w:noProof/>
        </w:rPr>
        <w:t xml:space="preserve">(Amjady, 2001; Park </w:t>
      </w:r>
      <w:r w:rsidR="002A6A73" w:rsidRPr="002A6A73">
        <w:rPr>
          <w:i/>
          <w:noProof/>
        </w:rPr>
        <w:t>et al.</w:t>
      </w:r>
      <w:r w:rsidR="002A6A73" w:rsidRPr="002A6A73">
        <w:rPr>
          <w:noProof/>
        </w:rPr>
        <w:t>, 2010)</w:t>
      </w:r>
      <w:r>
        <w:fldChar w:fldCharType="end"/>
      </w:r>
      <w:r>
        <w:t>.</w:t>
      </w:r>
    </w:p>
    <w:p w14:paraId="3E12CAD9" w14:textId="707F7670" w:rsidR="000F16EB" w:rsidRDefault="000F16EB" w:rsidP="000F16EB">
      <w:r>
        <w:lastRenderedPageBreak/>
        <w:t xml:space="preserve">ANN methodology is comprised of three stages </w:t>
      </w:r>
      <w:r>
        <w:fldChar w:fldCharType="begin" w:fldLock="1"/>
      </w:r>
      <w:r w:rsidR="00FF4B5D">
        <w:instrText>ADDIN CSL_CITATION {"citationItems":[{"id":"ITEM-1","itemData":{"DOI":"10.1016/j.enconman.2012.06.002","ISSN":"01968904","abstract":"This paper deals with an artificial neural network (ANN) modeling to predict the exergy efficiency of geothermal district heating system under a broad range of operating conditions. As a case study, the Afyonkarahisar geothermal district heating system (AGDHS) in Turkey is considered. The average daily actual thermal data acquired from the AGDHS in the 2009–2010 heating season are collected and employed for exergy analysis. An ANN modeling is developed based on backpropagation learning algorithm for predicting the exergy efficiency of the system according to parameters of the system, namely the ambient temperature, flow rate and well head temperature. Then, the recorded and calculated data conducted in the AGDHS at different dates are used for training the network. The results showed that the network yields a maximum correlation coefficient with minimum coefficient of variance and root mean square values. The results confirmed that the ANN modeling can be applied successfully and can provide high accuracy and reliability for predicting the exergy performance of geothermal district heating systems.","author":[{"dropping-particle":"","family":"Keçebaş","given":"Ali","non-dropping-particle":"","parse-names":false,"suffix":""},{"dropping-particle":"","family":"Yabanova","given":"İsmail","non-dropping-particle":"","parse-names":false,"suffix":""},{"dropping-particle":"","family":"Yumurtacı","given":"Mehmet","non-dropping-particle":"","parse-names":false,"suffix":""}],"container-title":"Energy Conversion and Management","id":"ITEM-1","issued":{"date-parts":[["2012"]]},"page":"206-212","title":"Artificial neural network modeling of geothermal district heating system thought exergy analysis","type":"article-journal","volume":"64"},"uris":["http://www.mendeley.com/documents/?uuid=64c532fa-e297-45df-83d0-846c2d58e68c"]}],"mendeley":{"formattedCitation":"(Keçebaş &lt;i&gt;et al.&lt;/i&gt;, 2012)","plainTextFormattedCitation":"(Keçebaş et al., 2012)","previouslyFormattedCitation":"(Keçebaş &lt;i&gt;et al.&lt;/i&gt;, 2012)"},"properties":{"noteIndex":0},"schema":"https://github.com/citation-style-language/schema/raw/master/csl-citation.json"}</w:instrText>
      </w:r>
      <w:r>
        <w:fldChar w:fldCharType="separate"/>
      </w:r>
      <w:r w:rsidR="005F544E" w:rsidRPr="005F544E">
        <w:rPr>
          <w:noProof/>
        </w:rPr>
        <w:t xml:space="preserve">(Keçebaş </w:t>
      </w:r>
      <w:r w:rsidR="005F544E" w:rsidRPr="005F544E">
        <w:rPr>
          <w:i/>
          <w:noProof/>
        </w:rPr>
        <w:t>et al.</w:t>
      </w:r>
      <w:r w:rsidR="005F544E" w:rsidRPr="005F544E">
        <w:rPr>
          <w:noProof/>
        </w:rPr>
        <w:t>, 2012)</w:t>
      </w:r>
      <w:r>
        <w:fldChar w:fldCharType="end"/>
      </w:r>
      <w:r>
        <w:t>. Firstly, the input output data has to be chosen and made into vectors, the output data must be dependent on the input data for an ANN to work. Next, the ANN must be trained to predict an output value based on the current input value, whilst calculating the current validation error. Finally, the ANN must be tested.</w:t>
      </w:r>
      <w:r w:rsidRPr="00060329">
        <w:rPr>
          <w:noProof/>
        </w:rPr>
        <w:t xml:space="preserve"> Keçebaş</w:t>
      </w:r>
      <w:r>
        <w:rPr>
          <w:noProof/>
        </w:rPr>
        <w:t xml:space="preserve"> </w:t>
      </w:r>
      <w:r w:rsidRPr="006A7FED">
        <w:rPr>
          <w:i/>
          <w:noProof/>
        </w:rPr>
        <w:t>et al</w:t>
      </w:r>
      <w:r>
        <w:rPr>
          <w:noProof/>
        </w:rPr>
        <w:t xml:space="preserve">. used an ANN to predict the exergy efficiency of a geothermal DHN, using the </w:t>
      </w:r>
      <w:r w:rsidRPr="00060329">
        <w:rPr>
          <w:noProof/>
        </w:rPr>
        <w:t>Afyonkarahisar geotherma</w:t>
      </w:r>
      <w:r>
        <w:rPr>
          <w:noProof/>
        </w:rPr>
        <w:t>l DHN</w:t>
      </w:r>
      <w:r w:rsidRPr="00060329">
        <w:rPr>
          <w:noProof/>
        </w:rPr>
        <w:t xml:space="preserve"> in Turkey</w:t>
      </w:r>
      <w:r>
        <w:rPr>
          <w:noProof/>
        </w:rPr>
        <w:t xml:space="preserve"> as a case study. The ANN was shown to generate correlation coefficients with root mean squared values of 0.9924 – </w:t>
      </w:r>
      <w:r>
        <w:t xml:space="preserve">0.9942, showing a good model performance. Park </w:t>
      </w:r>
      <w:r w:rsidRPr="00F66C0D">
        <w:rPr>
          <w:i/>
        </w:rPr>
        <w:t>et al</w:t>
      </w:r>
      <w:r>
        <w:t>. used ANN methodology to forecast one-week ahead network performance in</w:t>
      </w:r>
      <w:r w:rsidRPr="00060329">
        <w:t xml:space="preserve"> </w:t>
      </w:r>
      <w:proofErr w:type="spellStart"/>
      <w:r w:rsidRPr="00060329">
        <w:t>Suseo</w:t>
      </w:r>
      <w:proofErr w:type="spellEnd"/>
      <w:r>
        <w:t>, Korea</w:t>
      </w:r>
      <w:r w:rsidR="00F66C0D">
        <w:t xml:space="preserve"> </w:t>
      </w:r>
      <w:r w:rsidR="00F66C0D">
        <w:fldChar w:fldCharType="begin" w:fldLock="1"/>
      </w:r>
      <w:r w:rsidR="00F66C0D">
        <w:instrText>ADDIN CSL_CITATION {"citationItems":[{"id":"ITEM-1","itemData":{"DOI":"10.1007/s11814-010-0220-9","author":[{"dropping-particle":"","family":"Park","given":"Tae Chang","non-dropping-particle":"","parse-names":false,"suffix":""},{"dropping-particle":"","family":"Kim","given":"Ui Sik","non-dropping-particle":"","parse-names":false,"suffix":""},{"dropping-particle":"","family":"Kim","given":"Lae-hyun","non-dropping-particle":"","parse-names":false,"suffix":""},{"dropping-particle":"","family":"Jo","given":"Byung Wan","non-dropping-particle":"","parse-names":false,"suffix":""},{"dropping-particle":"","family":"Yeo","given":"Yeong Koo","non-dropping-particle":"","parse-names":false,"suffix":""}],"container-title":"Korean Journal of Chemical Engineering","id":"ITEM-1","issue":"4","issued":{"date-parts":[["2010"]]},"page":"1063-1071","title":"Heat consumption forecasting using partial least squares, artificial neural network and support vector regression techniques in district heating systems","type":"article-journal","volume":"27"},"uris":["http://www.mendeley.com/documents/?uuid=38ddc8ab-7979-4225-aa33-fbb3e8240d39"]}],"mendeley":{"formattedCitation":"(Park &lt;i&gt;et al.&lt;/i&gt;, 2010)","plainTextFormattedCitation":"(Park et al., 2010)","previouslyFormattedCitation":"(Park &lt;i&gt;et al.&lt;/i&gt;, 2010)"},"properties":{"noteIndex":0},"schema":"https://github.com/citation-style-language/schema/raw/master/csl-citation.json"}</w:instrText>
      </w:r>
      <w:r w:rsidR="00F66C0D">
        <w:fldChar w:fldCharType="separate"/>
      </w:r>
      <w:r w:rsidR="00F66C0D" w:rsidRPr="002A6A73">
        <w:rPr>
          <w:noProof/>
        </w:rPr>
        <w:t xml:space="preserve">(Park </w:t>
      </w:r>
      <w:r w:rsidR="00F66C0D" w:rsidRPr="002A6A73">
        <w:rPr>
          <w:i/>
          <w:noProof/>
        </w:rPr>
        <w:t>et al.</w:t>
      </w:r>
      <w:r w:rsidR="00F66C0D" w:rsidRPr="002A6A73">
        <w:rPr>
          <w:noProof/>
        </w:rPr>
        <w:t>, 2010)</w:t>
      </w:r>
      <w:r w:rsidR="00F66C0D">
        <w:fldChar w:fldCharType="end"/>
      </w:r>
      <w:r>
        <w:t xml:space="preserve">. The ANN methodology was shown to generate accurate results, but </w:t>
      </w:r>
      <w:proofErr w:type="gramStart"/>
      <w:r>
        <w:t>a</w:t>
      </w:r>
      <w:proofErr w:type="gramEnd"/>
      <w:r>
        <w:t xml:space="preserve"> SVM produced a better consumption trend with a lower average error.</w:t>
      </w:r>
    </w:p>
    <w:p w14:paraId="71FCB607" w14:textId="77777777" w:rsidR="000F16EB" w:rsidRDefault="000F16EB" w:rsidP="000F16EB">
      <w:pPr>
        <w:pStyle w:val="Heading6"/>
      </w:pPr>
      <w:r>
        <w:t>Support Vector Machine</w:t>
      </w:r>
    </w:p>
    <w:p w14:paraId="06E02A86" w14:textId="7631C981" w:rsidR="000F16EB" w:rsidRDefault="000F16EB" w:rsidP="000F16EB">
      <w:r>
        <w:t xml:space="preserve">SVMs or support vector regression (SVR) are a new alternative to ANNs for data classification and regression </w:t>
      </w:r>
      <w:r>
        <w:fldChar w:fldCharType="begin" w:fldLock="1"/>
      </w:r>
      <w:r w:rsidR="00FF4B5D">
        <w:instrText>ADDIN CSL_CITATION {"citationItems":[{"id":"ITEM-1","itemData":{"DOI":"10.1109/TPWRS.2004.835679","ISBN":"0885-8950 VO - 19","ISSN":"0885-8950","abstract":"Load forecasting is usually made by constructing models on relative information, such as climate and previous load demand data. In 2001, EUNITE network organized a competition aiming at mid-term load forecasting (predicting daily maximum load of the next 31 days). During the competition we proposed a support vector machine (SVM) model, which was the winning entry, to solve the problem. In this paper, we discuss in detail how SVM, a new learning technique, is successfully applied to load forecasting. In addition, motivated by the competition results and the approaches by other participants, more experiments and deeper analyses are conducted and presented here. Some important conclusions from the results are that temperature (or other types of climate information) might not be useful in such a mid-term load forecasting problem and that the introduction of time-series concept may improve the forecasting.","author":[{"dropping-particle":"","family":"Chen","given":"Bo-Juen","non-dropping-particle":"","parse-names":false,"suffix":""},{"dropping-particle":"","family":"Chang","given":"Ming-Wei","non-dropping-particle":"","parse-names":false,"suffix":""},{"dropping-particle":"","family":"Lin","given":"Chih-Jen","non-dropping-particle":"","parse-names":false,"suffix":""}],"container-title":"IEEE Transactions on Power Systems","id":"ITEM-1","issue":"4","issued":{"date-parts":[["2004"]]},"page":"1821-1830","title":"Load forecasting using support vector machines: a study on EUNITE competition 2001","type":"article-journal","volume":"19"},"uris":["http://www.mendeley.com/documents/?uuid=046e8493-5c0a-437e-8856-10c6323f96d6"]}],"mendeley":{"formattedCitation":"(Chen &lt;i&gt;et al.&lt;/i&gt;, 2004)","plainTextFormattedCitation":"(Chen et al., 2004)","previouslyFormattedCitation":"(Chen &lt;i&gt;et al.&lt;/i&gt;, 2004)"},"properties":{"noteIndex":0},"schema":"https://github.com/citation-style-language/schema/raw/master/csl-citation.json"}</w:instrText>
      </w:r>
      <w:r>
        <w:fldChar w:fldCharType="separate"/>
      </w:r>
      <w:r w:rsidR="005F544E" w:rsidRPr="005F544E">
        <w:rPr>
          <w:noProof/>
        </w:rPr>
        <w:t xml:space="preserve">(Chen </w:t>
      </w:r>
      <w:r w:rsidR="005F544E" w:rsidRPr="005F544E">
        <w:rPr>
          <w:i/>
          <w:noProof/>
        </w:rPr>
        <w:t>et al.</w:t>
      </w:r>
      <w:r w:rsidR="005F544E" w:rsidRPr="005F544E">
        <w:rPr>
          <w:noProof/>
        </w:rPr>
        <w:t>, 2004)</w:t>
      </w:r>
      <w:r>
        <w:fldChar w:fldCharType="end"/>
      </w:r>
      <w:r>
        <w:t xml:space="preserve">. SVMs can be used for time series predictions and to solve optimisation problems. SVMs should be used when the data archive is insufficient to meet the training needs of an ANN </w:t>
      </w:r>
      <w:r>
        <w:fldChar w:fldCharType="begin" w:fldLock="1"/>
      </w:r>
      <w:r w:rsidR="002A6A73">
        <w:instrText>ADDIN CSL_CITATION {"citationItems":[{"id":"ITEM-1","itemData":{"DOI":"10.3389/fbuil.2016.00022","ISSN":"2297-3362","author":[{"dropping-particle":"","family":"Talebi","given":"Behrang","non-dropping-particle":"","parse-names":false,"suffix":""},{"dropping-particle":"","family":"Mirzaei","given":"Parham A.","non-dropping-particle":"","parse-names":false,"suffix":""},{"dropping-particle":"","family":"Bastani","given":"Arash","non-dropping-particle":"","parse-names":false,"suffix":""},{"dropping-particle":"","family":"Haghighat","given":"Fariborz","non-dropping-particle":"","parse-names":false,"suffix":""}],"container-title":"Frontiers in Built Environment","id":"ITEM-1","issue":"October","issued":{"date-parts":[["2016"]]},"page":"1-14","title":"A Review of District Heating Systems: Modeling and Optimization","type":"article-journal","volume":"2"},"uris":["http://www.mendeley.com/documents/?uuid=8c985309-fa60-4cac-b063-aea036b62563"]}],"mendeley":{"formattedCitation":"(Talebi &lt;i&gt;et al.&lt;/i&gt;, 2016)","plainTextFormattedCitation":"(Talebi et al., 2016)","previouslyFormattedCitation":"(Talebi &lt;i&gt;et al.&lt;/i&gt;, 2016)"},"properties":{"noteIndex":0},"schema":"https://github.com/citation-style-language/schema/raw/master/csl-citation.json"}</w:instrText>
      </w:r>
      <w:r>
        <w:fldChar w:fldCharType="separate"/>
      </w:r>
      <w:r w:rsidR="002A6A73" w:rsidRPr="002A6A73">
        <w:rPr>
          <w:noProof/>
        </w:rPr>
        <w:t xml:space="preserve">(Talebi </w:t>
      </w:r>
      <w:r w:rsidR="002A6A73" w:rsidRPr="002A6A73">
        <w:rPr>
          <w:i/>
          <w:noProof/>
        </w:rPr>
        <w:t>et al.</w:t>
      </w:r>
      <w:r w:rsidR="002A6A73" w:rsidRPr="002A6A73">
        <w:rPr>
          <w:noProof/>
        </w:rPr>
        <w:t>, 2016)</w:t>
      </w:r>
      <w:r>
        <w:fldChar w:fldCharType="end"/>
      </w:r>
      <w:r>
        <w:t xml:space="preserve">. SVMs are a new modelling technique so current industrial examples are not extensive. The basis of SVMs is structural risk minimisation instead of empirical risk minimisation, the basis for ANNs </w:t>
      </w:r>
      <w:r>
        <w:fldChar w:fldCharType="begin" w:fldLock="1"/>
      </w:r>
      <w:r w:rsidR="002A6A73">
        <w:instrText>ADDIN CSL_CITATION {"citationItems":[{"id":"ITEM-1","itemData":{"DOI":"10.1007/s11814-010-0220-9","author":[{"dropping-particle":"","family":"Park","given":"Tae Chang","non-dropping-particle":"","parse-names":false,"suffix":""},{"dropping-particle":"","family":"Kim","given":"Ui Sik","non-dropping-particle":"","parse-names":false,"suffix":""},{"dropping-particle":"","family":"Kim","given":"Lae-hyun","non-dropping-particle":"","parse-names":false,"suffix":""},{"dropping-particle":"","family":"Jo","given":"Byung Wan","non-dropping-particle":"","parse-names":false,"suffix":""},{"dropping-particle":"","family":"Yeo","given":"Yeong Koo","non-dropping-particle":"","parse-names":false,"suffix":""}],"container-title":"Korean Journal of Chemical Engineering","id":"ITEM-1","issue":"4","issued":{"date-parts":[["2010"]]},"page":"1063-1071","title":"Heat consumption forecasting using partial least squares, artificial neural network and support vector regression techniques in district heating systems","type":"article-journal","volume":"27"},"uris":["http://www.mendeley.com/documents/?uuid=38ddc8ab-7979-4225-aa33-fbb3e8240d39"]}],"mendeley":{"formattedCitation":"(Park &lt;i&gt;et al.&lt;/i&gt;, 2010)","plainTextFormattedCitation":"(Park et al., 2010)","previouslyFormattedCitation":"(Park &lt;i&gt;et al.&lt;/i&gt;, 2010)"},"properties":{"noteIndex":0},"schema":"https://github.com/citation-style-language/schema/raw/master/csl-citation.json"}</w:instrText>
      </w:r>
      <w:r>
        <w:fldChar w:fldCharType="separate"/>
      </w:r>
      <w:r w:rsidR="002A6A73" w:rsidRPr="002A6A73">
        <w:rPr>
          <w:noProof/>
        </w:rPr>
        <w:t xml:space="preserve">(Park </w:t>
      </w:r>
      <w:r w:rsidR="002A6A73" w:rsidRPr="002A6A73">
        <w:rPr>
          <w:i/>
          <w:noProof/>
        </w:rPr>
        <w:t>et al.</w:t>
      </w:r>
      <w:r w:rsidR="002A6A73" w:rsidRPr="002A6A73">
        <w:rPr>
          <w:noProof/>
        </w:rPr>
        <w:t>, 2010)</w:t>
      </w:r>
      <w:r>
        <w:fldChar w:fldCharType="end"/>
      </w:r>
      <w:r>
        <w:t xml:space="preserve">. The basis in structural risk minimisation explains the superior performance of SVMs. </w:t>
      </w:r>
    </w:p>
    <w:p w14:paraId="60CC1372" w14:textId="65268248" w:rsidR="000F16EB" w:rsidRDefault="000F16EB" w:rsidP="000F16EB">
      <w:r>
        <w:t xml:space="preserve">SVM methodology works by creating a hyperplane that divides the </w:t>
      </w:r>
      <w:r w:rsidRPr="00A32E45">
        <w:t>multi-dimensional learning data into two groups</w:t>
      </w:r>
      <w:r>
        <w:t xml:space="preserve">. The hyperplane is used as a </w:t>
      </w:r>
      <w:r w:rsidRPr="00A32E45">
        <w:t>determining function to predict the group to which the unknown data should belong</w:t>
      </w:r>
      <w:r>
        <w:t xml:space="preserve">. The hyperplane is defined so that the two classes are away from each other as long as possible, according to the label, </w:t>
      </w:r>
      <m:oMath>
        <m:sSub>
          <m:sSubPr>
            <m:ctrlPr>
              <w:rPr>
                <w:rFonts w:ascii="Cambria Math" w:hAnsi="Cambria Math"/>
                <w:i/>
              </w:rPr>
            </m:ctrlPr>
          </m:sSubPr>
          <m:e>
            <m:r>
              <w:rPr>
                <w:rFonts w:ascii="Cambria Math" w:hAnsi="Cambria Math"/>
              </w:rPr>
              <m:t>y</m:t>
            </m:r>
          </m:e>
          <m:sub>
            <m:r>
              <w:rPr>
                <w:rFonts w:ascii="Cambria Math" w:hAnsi="Cambria Math"/>
              </w:rPr>
              <m:t>i</m:t>
            </m:r>
          </m:sub>
        </m:sSub>
      </m:oMath>
      <w:r>
        <w:t xml:space="preserve">. To achieve good results from a SVM, the following important parameters must be well defined the cost of the error, the width of the incentive tube, the mapping function, and the load of how many previous days are included for one training data </w:t>
      </w:r>
      <w:r>
        <w:fldChar w:fldCharType="begin" w:fldLock="1"/>
      </w:r>
      <w:r w:rsidR="00FF4B5D">
        <w:instrText>ADDIN CSL_CITATION {"citationItems":[{"id":"ITEM-1","itemData":{"DOI":"10.1109/TPWRS.2004.835679","ISBN":"0885-8950 VO - 19","ISSN":"0885-8950","abstract":"Load forecasting is usually made by constructing models on relative information, such as climate and previous load demand data. In 2001, EUNITE network organized a competition aiming at mid-term load forecasting (predicting daily maximum load of the next 31 days). During the competition we proposed a support vector machine (SVM) model, which was the winning entry, to solve the problem. In this paper, we discuss in detail how SVM, a new learning technique, is successfully applied to load forecasting. In addition, motivated by the competition results and the approaches by other participants, more experiments and deeper analyses are conducted and presented here. Some important conclusions from the results are that temperature (or other types of climate information) might not be useful in such a mid-term load forecasting problem and that the introduction of time-series concept may improve the forecasting.","author":[{"dropping-particle":"","family":"Chen","given":"Bo-Juen","non-dropping-particle":"","parse-names":false,"suffix":""},{"dropping-particle":"","family":"Chang","given":"Ming-Wei","non-dropping-particle":"","parse-names":false,"suffix":""},{"dropping-particle":"","family":"Lin","given":"Chih-Jen","non-dropping-particle":"","parse-names":false,"suffix":""}],"container-title":"IEEE Transactions on Power Systems","id":"ITEM-1","issue":"4","issued":{"date-parts":[["2004"]]},"page":"1821-1830","title":"Load forecasting using support vector machines: a study on EUNITE competition 2001","type":"article-journal","volume":"19"},"uris":["http://www.mendeley.com/documents/?uuid=046e8493-5c0a-437e-8856-10c6323f96d6"]}],"mendeley":{"formattedCitation":"(Chen &lt;i&gt;et al.&lt;/i&gt;, 2004)","plainTextFormattedCitation":"(Chen et al., 2004)","previouslyFormattedCitation":"(Chen &lt;i&gt;et al.&lt;/i&gt;, 2004)"},"properties":{"noteIndex":0},"schema":"https://github.com/citation-style-language/schema/raw/master/csl-citation.json"}</w:instrText>
      </w:r>
      <w:r>
        <w:fldChar w:fldCharType="separate"/>
      </w:r>
      <w:r w:rsidR="005F544E" w:rsidRPr="005F544E">
        <w:rPr>
          <w:noProof/>
        </w:rPr>
        <w:t xml:space="preserve">(Chen </w:t>
      </w:r>
      <w:r w:rsidR="005F544E" w:rsidRPr="005F544E">
        <w:rPr>
          <w:i/>
          <w:noProof/>
        </w:rPr>
        <w:t>et al.</w:t>
      </w:r>
      <w:r w:rsidR="005F544E" w:rsidRPr="005F544E">
        <w:rPr>
          <w:noProof/>
        </w:rPr>
        <w:t>, 2004)</w:t>
      </w:r>
      <w:r>
        <w:fldChar w:fldCharType="end"/>
      </w:r>
      <w:r>
        <w:t xml:space="preserve">. Park </w:t>
      </w:r>
      <w:r w:rsidRPr="00F66C0D">
        <w:rPr>
          <w:i/>
        </w:rPr>
        <w:t>et al</w:t>
      </w:r>
      <w:r>
        <w:t>. compared the performance of an ANN and a SVM, finding the SVM to produce the best consumption trend with the lowest average error</w:t>
      </w:r>
      <w:r w:rsidR="00F66C0D">
        <w:t xml:space="preserve"> </w:t>
      </w:r>
      <w:r w:rsidR="00F66C0D">
        <w:fldChar w:fldCharType="begin" w:fldLock="1"/>
      </w:r>
      <w:r w:rsidR="00F66C0D">
        <w:instrText>ADDIN CSL_CITATION {"citationItems":[{"id":"ITEM-1","itemData":{"DOI":"10.1007/s11814-010-0220-9","author":[{"dropping-particle":"","family":"Park","given":"Tae Chang","non-dropping-particle":"","parse-names":false,"suffix":""},{"dropping-particle":"","family":"Kim","given":"Ui Sik","non-dropping-particle":"","parse-names":false,"suffix":""},{"dropping-particle":"","family":"Kim","given":"Lae-hyun","non-dropping-particle":"","parse-names":false,"suffix":""},{"dropping-particle":"","family":"Jo","given":"Byung Wan","non-dropping-particle":"","parse-names":false,"suffix":""},{"dropping-particle":"","family":"Yeo","given":"Yeong Koo","non-dropping-particle":"","parse-names":false,"suffix":""}],"container-title":"Korean Journal of Chemical Engineering","id":"ITEM-1","issue":"4","issued":{"date-parts":[["2010"]]},"page":"1063-1071","title":"Heat consumption forecasting using partial least squares, artificial neural network and support vector regression techniques in district heating systems","type":"article-journal","volume":"27"},"uris":["http://www.mendeley.com/documents/?uuid=38ddc8ab-7979-4225-aa33-fbb3e8240d39"]}],"mendeley":{"formattedCitation":"(Park &lt;i&gt;et al.&lt;/i&gt;, 2010)","plainTextFormattedCitation":"(Park et al., 2010)","previouslyFormattedCitation":"(Park &lt;i&gt;et al.&lt;/i&gt;, 2010)"},"properties":{"noteIndex":0},"schema":"https://github.com/citation-style-language/schema/raw/master/csl-citation.json"}</w:instrText>
      </w:r>
      <w:r w:rsidR="00F66C0D">
        <w:fldChar w:fldCharType="separate"/>
      </w:r>
      <w:r w:rsidR="00F66C0D" w:rsidRPr="002A6A73">
        <w:rPr>
          <w:noProof/>
        </w:rPr>
        <w:t xml:space="preserve">(Park </w:t>
      </w:r>
      <w:r w:rsidR="00F66C0D" w:rsidRPr="002A6A73">
        <w:rPr>
          <w:i/>
          <w:noProof/>
        </w:rPr>
        <w:t>et al.</w:t>
      </w:r>
      <w:r w:rsidR="00F66C0D" w:rsidRPr="002A6A73">
        <w:rPr>
          <w:noProof/>
        </w:rPr>
        <w:t>, 2010)</w:t>
      </w:r>
      <w:r w:rsidR="00F66C0D">
        <w:fldChar w:fldCharType="end"/>
      </w:r>
      <w:r>
        <w:t>.</w:t>
      </w:r>
    </w:p>
    <w:p w14:paraId="1012E22C" w14:textId="77777777" w:rsidR="000F16EB" w:rsidRDefault="000F16EB" w:rsidP="000F16EB">
      <w:pPr>
        <w:pStyle w:val="Heading6"/>
      </w:pPr>
      <w:r>
        <w:t>Fuzzy Neural Network</w:t>
      </w:r>
    </w:p>
    <w:p w14:paraId="3F7B58B9" w14:textId="7F4C1A89" w:rsidR="000F16EB" w:rsidRDefault="000F16EB" w:rsidP="000F16EB">
      <w:r>
        <w:t xml:space="preserve">A FNN is similar to an ANN, but it is based on a fuzzy dataset </w:t>
      </w:r>
      <w:r>
        <w:fldChar w:fldCharType="begin" w:fldLock="1"/>
      </w:r>
      <w:r w:rsidR="002A6A73">
        <w:instrText>ADDIN CSL_CITATION {"citationItems":[{"id":"ITEM-1","itemData":{"DOI":"10.1109/59.932287","author":[{"dropping-particle":"","family":"Amjady","given":"Nima","non-dropping-particle":"","parse-names":false,"suffix":""}],"container-title":"Power Systems","id":"ITEM-1","issue":"3","issued":{"date-parts":[["2001"]]},"page":"789-805","title":"Short-Term Hourly Load Forecasting Using Time-Series Modeling with Peak Load Estimation Capability","type":"article-journal","volume":"16"},"uris":["http://www.mendeley.com/documents/?uuid=d2249e91-4d80-4d91-9a20-2e65ebaf218b"]}],"mendeley":{"formattedCitation":"(Amjady, 2001)","plainTextFormattedCitation":"(Amjady, 2001)","previouslyFormattedCitation":"(Amjady, 2001)"},"properties":{"noteIndex":0},"schema":"https://github.com/citation-style-language/schema/raw/master/csl-citation.json"}</w:instrText>
      </w:r>
      <w:r>
        <w:fldChar w:fldCharType="separate"/>
      </w:r>
      <w:r w:rsidR="002A6A73" w:rsidRPr="002A6A73">
        <w:rPr>
          <w:noProof/>
        </w:rPr>
        <w:t>(Amjady, 2001)</w:t>
      </w:r>
      <w:r>
        <w:fldChar w:fldCharType="end"/>
      </w:r>
      <w:r>
        <w:t>. FNNs can incorporate both quantitative and qualitative information from the user, whereas ANNs can only use quantitative information. FNNs produce more accurate short-term load forecasting than ANNs.</w:t>
      </w:r>
    </w:p>
    <w:p w14:paraId="7A078785" w14:textId="77777777" w:rsidR="000F16EB" w:rsidRDefault="000F16EB" w:rsidP="000F16EB">
      <w:pPr>
        <w:pStyle w:val="Heading6"/>
      </w:pPr>
      <w:r>
        <w:t>Genetic Programming</w:t>
      </w:r>
    </w:p>
    <w:p w14:paraId="0DE7031D" w14:textId="5B53D497" w:rsidR="000F16EB" w:rsidRDefault="000F16EB" w:rsidP="000F16EB">
      <w:r>
        <w:t xml:space="preserve">Genetic programming (GP) is a highly accurate </w:t>
      </w:r>
      <w:proofErr w:type="spellStart"/>
      <w:r>
        <w:t>greybox</w:t>
      </w:r>
      <w:proofErr w:type="spellEnd"/>
      <w:r>
        <w:t xml:space="preserve"> approach to machine learning that is suitable for cases with limited datasets </w:t>
      </w:r>
      <w:r>
        <w:fldChar w:fldCharType="begin" w:fldLock="1"/>
      </w:r>
      <w:r w:rsidR="002A6A73">
        <w:instrText>ADDIN CSL_CITATION {"citationItems":[{"id":"ITEM-1","itemData":{"DOI":"10.1016/j.apenergy.2012.01.063","ISBN":"03062619","ISSN":"03062619","PMID":"302842800028","abstract":"Energy consumption is an important index of the economic development of a country. Rapid changes in industry and the economy strongly affect energy consumption. Although traditional statistical approaches yield accurate forecasts of energy consumption, they may suffer from several limitations such as the need for large data sets and the assumption of a linear formula. This work describes a novel hybrid dynamic approach that combines a dynamic grey model with genetic programming to forecast energy consumption. This proposed approach is utilized to forecast energy consumption because of its excellent accuracy, applicability to cases with limited data sets and ease of computability using mathematical software. Two case studies of energy consumption demonstrate the reliability of the proposed model. Computational results indicate that the proposed approach outperforms other models in forecasting energy consumption. © 2012.","author":[{"dropping-particle":"","family":"Lee","given":"Yi-Shian","non-dropping-particle":"","parse-names":false,"suffix":""},{"dropping-particle":"","family":"Tong","given":"Lee-Ing","non-dropping-particle":"","parse-names":false,"suffix":""}],"container-title":"Applied Energy","id":"ITEM-1","issued":{"date-parts":[["2012"]]},"page":"251-256","publisher":"Elsevier Ltd","title":"Forecasting nonlinear time series of energy consumption using a hybrid dynamic model","type":"article-journal","volume":"94"},"uris":["http://www.mendeley.com/documents/?uuid=68406df6-9a61-49c0-871d-eee754110ac0"]}],"mendeley":{"formattedCitation":"(Lee and Tong, 2012)","plainTextFormattedCitation":"(Lee and Tong, 2012)","previouslyFormattedCitation":"(Lee and Tong, 2012)"},"properties":{"noteIndex":0},"schema":"https://github.com/citation-style-language/schema/raw/master/csl-citation.json"}</w:instrText>
      </w:r>
      <w:r>
        <w:fldChar w:fldCharType="separate"/>
      </w:r>
      <w:r w:rsidR="002A6A73" w:rsidRPr="002A6A73">
        <w:rPr>
          <w:noProof/>
        </w:rPr>
        <w:t>(Lee and Tong, 2012)</w:t>
      </w:r>
      <w:r>
        <w:fldChar w:fldCharType="end"/>
      </w:r>
      <w:r>
        <w:t>. GP methodology is comprised of four stages. Firstly, positive time series data is found. Secondly, an accumulating generating operator is applied that can obtain accumulated time series data. Thirdly, the GP model is generated using differential equations and the ordinary least squares method. Finally, the estimated parameters are replaced, using the output from the differential equations.</w:t>
      </w:r>
    </w:p>
    <w:p w14:paraId="726F2482" w14:textId="1A087D0D" w:rsidR="000F16EB" w:rsidRDefault="000F16EB" w:rsidP="000F16EB">
      <w:r w:rsidRPr="000D54CA">
        <w:rPr>
          <w:noProof/>
        </w:rPr>
        <w:lastRenderedPageBreak/>
        <w:t>Forouzanfar</w:t>
      </w:r>
      <w:r>
        <w:t xml:space="preserve"> </w:t>
      </w:r>
      <w:r w:rsidRPr="00F66C0D">
        <w:rPr>
          <w:i/>
        </w:rPr>
        <w:t>et al</w:t>
      </w:r>
      <w:r>
        <w:t>. used GP to forecast domestic natural gas consumption for households in Iran</w:t>
      </w:r>
      <w:r w:rsidR="00F66C0D">
        <w:t xml:space="preserve"> </w:t>
      </w:r>
      <w:r w:rsidR="00F66C0D">
        <w:fldChar w:fldCharType="begin" w:fldLock="1"/>
      </w:r>
      <w:r w:rsidR="00F66C0D">
        <w:instrText>ADDIN CSL_CITATION {"citationItems":[{"id":"ITEM-1","itemData":{"DOI":"10.1016/j.apenergy.2009.07.008","ISBN":"0306-2619","ISSN":"03062619","abstract":"In this paper, a logistic based approach is used to forecast the natural gas consumption for residential as well as commercial sectors in Iran. This approach is relatively simple compared with other forecasting approaches. To make this approach even simpler, two different methods are proposed to estimate the logistic parameters. The first method is based on the concept of the nonlinear programming (NLP) and the second one is based on genetic algorithm (GA). The forecast implemented in this paper is based on yearly and seasonal consumptions. In some unusual situations, such as abnormal temperature changes, the forecasting error is as high as 8.76%. Although this error might seem high, one does not need to be deeply concerned about the overall results since these unusual situations could be filtered out to yield more reliable predictions. In general, the overall results obtained using NLP and GA approaches are as well as or even in some cases better than the results obtained using some older approaches such as Cavallini's. These two approaches along with the gas consumption data in Iran for the previous 10 years are used to predict the consumption for the 11th, 12th, and 13th years. It is shown that the logistic approach with the use of NLP and GA yields very promising results. © 2009 Elsevier Ltd. All rights reserved.","author":[{"dropping-particle":"","family":"Forouzanfar","given":"Mehdi","non-dropping-particle":"","parse-names":false,"suffix":""},{"dropping-particle":"","family":"Doustmohammadi","given":"Ali","non-dropping-particle":"","parse-names":false,"suffix":""},{"dropping-particle":"","family":"Menhaj","given":"M. Bagher","non-dropping-particle":"","parse-names":false,"suffix":""},{"dropping-particle":"","family":"Hasanzadeh","given":"Samira","non-dropping-particle":"","parse-names":false,"suffix":""}],"container-title":"Applied Energy","id":"ITEM-1","issue":"1","issued":{"date-parts":[["2010"]]},"page":"268-274","publisher":"Elsevier Ltd","title":"Modeling and estimation of the natural gas consumption for residential and commercial sectors in Iran","type":"article-journal","volume":"87"},"uris":["http://www.mendeley.com/documents/?uuid=a946696d-086c-44cd-b33f-f62ecf8fea37"]}],"mendeley":{"formattedCitation":"(Forouzanfar &lt;i&gt;et al.&lt;/i&gt;, 2010)","plainTextFormattedCitation":"(Forouzanfar et al., 2010)","previouslyFormattedCitation":"(Forouzanfar &lt;i&gt;et al.&lt;/i&gt;, 2010)"},"properties":{"noteIndex":0},"schema":"https://github.com/citation-style-language/schema/raw/master/csl-citation.json"}</w:instrText>
      </w:r>
      <w:r w:rsidR="00F66C0D">
        <w:fldChar w:fldCharType="separate"/>
      </w:r>
      <w:r w:rsidR="00F66C0D" w:rsidRPr="002A6A73">
        <w:rPr>
          <w:noProof/>
        </w:rPr>
        <w:t xml:space="preserve">(Forouzanfar </w:t>
      </w:r>
      <w:r w:rsidR="00F66C0D" w:rsidRPr="002A6A73">
        <w:rPr>
          <w:i/>
          <w:noProof/>
        </w:rPr>
        <w:t>et al.</w:t>
      </w:r>
      <w:r w:rsidR="00F66C0D" w:rsidRPr="002A6A73">
        <w:rPr>
          <w:noProof/>
        </w:rPr>
        <w:t>, 2010)</w:t>
      </w:r>
      <w:r w:rsidR="00F66C0D">
        <w:fldChar w:fldCharType="end"/>
      </w:r>
      <w:r>
        <w:t>. Ten years of historical data was used to forecast natural gas demand for three years in the future. The GP approach was shown to yield as accurate, or more accurate, results than previous modelling techniques. Lee and Tong used GP to forecast energy consumption</w:t>
      </w:r>
      <w:r w:rsidR="00F66C0D">
        <w:t xml:space="preserve"> </w:t>
      </w:r>
      <w:r w:rsidR="00F66C0D">
        <w:fldChar w:fldCharType="begin" w:fldLock="1"/>
      </w:r>
      <w:r w:rsidR="00F66C0D">
        <w:instrText>ADDIN CSL_CITATION {"citationItems":[{"id":"ITEM-1","itemData":{"DOI":"10.1016/j.apenergy.2012.01.063","ISBN":"03062619","ISSN":"03062619","PMID":"302842800028","abstract":"Energy consumption is an important index of the economic development of a country. Rapid changes in industry and the economy strongly affect energy consumption. Although traditional statistical approaches yield accurate forecasts of energy consumption, they may suffer from several limitations such as the need for large data sets and the assumption of a linear formula. This work describes a novel hybrid dynamic approach that combines a dynamic grey model with genetic programming to forecast energy consumption. This proposed approach is utilized to forecast energy consumption because of its excellent accuracy, applicability to cases with limited data sets and ease of computability using mathematical software. Two case studies of energy consumption demonstrate the reliability of the proposed model. Computational results indicate that the proposed approach outperforms other models in forecasting energy consumption. © 2012.","author":[{"dropping-particle":"","family":"Lee","given":"Yi-Shian","non-dropping-particle":"","parse-names":false,"suffix":""},{"dropping-particle":"","family":"Tong","given":"Lee-Ing","non-dropping-particle":"","parse-names":false,"suffix":""}],"container-title":"Applied Energy","id":"ITEM-1","issued":{"date-parts":[["2012"]]},"page":"251-256","publisher":"Elsevier Ltd","title":"Forecasting nonlinear time series of energy consumption using a hybrid dynamic model","type":"article-journal","volume":"94"},"uris":["http://www.mendeley.com/documents/?uuid=68406df6-9a61-49c0-871d-eee754110ac0"]}],"mendeley":{"formattedCitation":"(Lee and Tong, 2012)","plainTextFormattedCitation":"(Lee and Tong, 2012)","previouslyFormattedCitation":"(Lee and Tong, 2012)"},"properties":{"noteIndex":0},"schema":"https://github.com/citation-style-language/schema/raw/master/csl-citation.json"}</w:instrText>
      </w:r>
      <w:r w:rsidR="00F66C0D">
        <w:fldChar w:fldCharType="separate"/>
      </w:r>
      <w:r w:rsidR="00F66C0D" w:rsidRPr="002A6A73">
        <w:rPr>
          <w:noProof/>
        </w:rPr>
        <w:t>(Lee and Tong, 2012)</w:t>
      </w:r>
      <w:r w:rsidR="00F66C0D">
        <w:fldChar w:fldCharType="end"/>
      </w:r>
      <w:r>
        <w:t>. The work showed that GP is more accurate and reliable than other forecasting methods and could more accurately predict annual thermal demand.</w:t>
      </w:r>
    </w:p>
    <w:p w14:paraId="2CD8792D" w14:textId="731AC773" w:rsidR="000F16EB" w:rsidRDefault="000F16EB" w:rsidP="000F16EB">
      <w:pPr>
        <w:pStyle w:val="Heading3"/>
      </w:pPr>
      <w:bookmarkStart w:id="236" w:name="_Toc522192744"/>
      <w:bookmarkStart w:id="237" w:name="_Toc525229963"/>
      <w:bookmarkStart w:id="238" w:name="_Toc529888277"/>
      <w:bookmarkStart w:id="239" w:name="_Toc7187473"/>
      <w:r>
        <w:t>Holistic Modelling of District Heating Network</w:t>
      </w:r>
      <w:bookmarkEnd w:id="236"/>
      <w:bookmarkEnd w:id="237"/>
      <w:bookmarkEnd w:id="238"/>
      <w:r w:rsidR="00BE60A4">
        <w:t>s</w:t>
      </w:r>
      <w:bookmarkEnd w:id="239"/>
    </w:p>
    <w:p w14:paraId="07AD8732" w14:textId="44EA7A7B" w:rsidR="000F16EB" w:rsidRDefault="000F16EB" w:rsidP="000F16EB">
      <w:r>
        <w:t xml:space="preserve">In holistic, or top-down, modelling the DHN is considered as an entire network and modelled in a single approach </w:t>
      </w:r>
      <w:r>
        <w:fldChar w:fldCharType="begin" w:fldLock="1"/>
      </w:r>
      <w:r w:rsidR="002A6A73">
        <w:instrText>ADDIN CSL_CITATION {"citationItems":[{"id":"ITEM-1","itemData":{"DOI":"10.3389/fbuil.2016.00022","ISSN":"2297-3362","author":[{"dropping-particle":"","family":"Talebi","given":"Behrang","non-dropping-particle":"","parse-names":false,"suffix":""},{"dropping-particle":"","family":"Mirzaei","given":"Parham A.","non-dropping-particle":"","parse-names":false,"suffix":""},{"dropping-particle":"","family":"Bastani","given":"Arash","non-dropping-particle":"","parse-names":false,"suffix":""},{"dropping-particle":"","family":"Haghighat","given":"Fariborz","non-dropping-particle":"","parse-names":false,"suffix":""}],"container-title":"Frontiers in Built Environment","id":"ITEM-1","issue":"October","issued":{"date-parts":[["2016"]]},"page":"1-14","title":"A Review of District Heating Systems: Modeling and Optimization","type":"article-journal","volume":"2"},"uris":["http://www.mendeley.com/documents/?uuid=8c985309-fa60-4cac-b063-aea036b62563"]}],"mendeley":{"formattedCitation":"(Talebi &lt;i&gt;et al.&lt;/i&gt;, 2016)","plainTextFormattedCitation":"(Talebi et al., 2016)","previouslyFormattedCitation":"(Talebi &lt;i&gt;et al.&lt;/i&gt;, 2016)"},"properties":{"noteIndex":0},"schema":"https://github.com/citation-style-language/schema/raw/master/csl-citation.json"}</w:instrText>
      </w:r>
      <w:r>
        <w:fldChar w:fldCharType="separate"/>
      </w:r>
      <w:r w:rsidR="002A6A73" w:rsidRPr="002A6A73">
        <w:rPr>
          <w:noProof/>
        </w:rPr>
        <w:t xml:space="preserve">(Talebi </w:t>
      </w:r>
      <w:r w:rsidR="002A6A73" w:rsidRPr="002A6A73">
        <w:rPr>
          <w:i/>
          <w:noProof/>
        </w:rPr>
        <w:t>et al.</w:t>
      </w:r>
      <w:r w:rsidR="002A6A73" w:rsidRPr="002A6A73">
        <w:rPr>
          <w:noProof/>
        </w:rPr>
        <w:t>, 2016)</w:t>
      </w:r>
      <w:r>
        <w:fldChar w:fldCharType="end"/>
      </w:r>
      <w:r>
        <w:t>.</w:t>
      </w:r>
    </w:p>
    <w:p w14:paraId="27284675" w14:textId="77777777" w:rsidR="000F16EB" w:rsidRDefault="000F16EB" w:rsidP="000F16EB">
      <w:pPr>
        <w:pStyle w:val="Heading4"/>
      </w:pPr>
      <w:bookmarkStart w:id="240" w:name="_Toc522192745"/>
      <w:bookmarkStart w:id="241" w:name="_Toc7187474"/>
      <w:r>
        <w:t>Black Box Models</w:t>
      </w:r>
      <w:bookmarkEnd w:id="240"/>
      <w:bookmarkEnd w:id="241"/>
    </w:p>
    <w:p w14:paraId="4F23C04F" w14:textId="31C103DE" w:rsidR="000F16EB" w:rsidRDefault="000F16EB" w:rsidP="000F16EB">
      <w:r>
        <w:t xml:space="preserve">Black box models are implemented such that the entire DHN is considered as a single entity, disregarding the effects of individual components </w:t>
      </w:r>
      <w:r>
        <w:fldChar w:fldCharType="begin" w:fldLock="1"/>
      </w:r>
      <w:r w:rsidR="002A6A73">
        <w:instrText>ADDIN CSL_CITATION {"citationItems":[{"id":"ITEM-1","itemData":{"DOI":"10.3389/fbuil.2016.00022","ISSN":"2297-3362","author":[{"dropping-particle":"","family":"Talebi","given":"Behrang","non-dropping-particle":"","parse-names":false,"suffix":""},{"dropping-particle":"","family":"Mirzaei","given":"Parham A.","non-dropping-particle":"","parse-names":false,"suffix":""},{"dropping-particle":"","family":"Bastani","given":"Arash","non-dropping-particle":"","parse-names":false,"suffix":""},{"dropping-particle":"","family":"Haghighat","given":"Fariborz","non-dropping-particle":"","parse-names":false,"suffix":""}],"container-title":"Frontiers in Built Environment","id":"ITEM-1","issue":"October","issued":{"date-parts":[["2016"]]},"page":"1-14","title":"A Review of District Heating Systems: Modeling and Optimization","type":"article-journal","volume":"2"},"uris":["http://www.mendeley.com/documents/?uuid=8c985309-fa60-4cac-b063-aea036b62563"]}],"mendeley":{"formattedCitation":"(Talebi &lt;i&gt;et al.&lt;/i&gt;, 2016)","plainTextFormattedCitation":"(Talebi et al., 2016)","previouslyFormattedCitation":"(Talebi &lt;i&gt;et al.&lt;/i&gt;, 2016)"},"properties":{"noteIndex":0},"schema":"https://github.com/citation-style-language/schema/raw/master/csl-citation.json"}</w:instrText>
      </w:r>
      <w:r>
        <w:fldChar w:fldCharType="separate"/>
      </w:r>
      <w:r w:rsidR="002A6A73" w:rsidRPr="002A6A73">
        <w:rPr>
          <w:noProof/>
        </w:rPr>
        <w:t xml:space="preserve">(Talebi </w:t>
      </w:r>
      <w:r w:rsidR="002A6A73" w:rsidRPr="002A6A73">
        <w:rPr>
          <w:i/>
          <w:noProof/>
        </w:rPr>
        <w:t>et al.</w:t>
      </w:r>
      <w:r w:rsidR="002A6A73" w:rsidRPr="002A6A73">
        <w:rPr>
          <w:noProof/>
        </w:rPr>
        <w:t>, 2016)</w:t>
      </w:r>
      <w:r>
        <w:fldChar w:fldCharType="end"/>
      </w:r>
      <w:r>
        <w:t>. Black box models can be operated using techniques such as ANNs.</w:t>
      </w:r>
    </w:p>
    <w:p w14:paraId="29956D51" w14:textId="77777777" w:rsidR="000F16EB" w:rsidRDefault="000F16EB" w:rsidP="000F16EB">
      <w:pPr>
        <w:pStyle w:val="Heading4"/>
      </w:pPr>
      <w:bookmarkStart w:id="242" w:name="_Toc522192746"/>
      <w:bookmarkStart w:id="243" w:name="_Toc7187475"/>
      <w:r>
        <w:t>Statistical Models</w:t>
      </w:r>
      <w:bookmarkEnd w:id="242"/>
      <w:bookmarkEnd w:id="243"/>
    </w:p>
    <w:p w14:paraId="648F955D" w14:textId="55045CA3" w:rsidR="000F16EB" w:rsidRDefault="000F16EB" w:rsidP="000F16EB">
      <w:r>
        <w:t xml:space="preserve">Statistical models can be either time series or neural network based and are simple to design and operate </w:t>
      </w:r>
      <w:r>
        <w:fldChar w:fldCharType="begin" w:fldLock="1"/>
      </w:r>
      <w:r w:rsidR="002A6A73">
        <w:instrText>ADDIN CSL_CITATION {"citationItems":[{"id":"ITEM-1","itemData":{"DOI":"10.1016/S0196-8904(01)00093-0","ISSN":"01968904","abstract":"The dynamic properties of district heating (DH) networks include water flow and propagation of heat from production plants to consumers. Mathematical models of such networks can be applied, either for general understanding of DH systems, or in combination with production planning and optimization. One type of mathematical model involves a full physical modeling of the network, taking into account individual pipes, dimensions, material properties etc. Such full models tend to be computationally intensive when applied in network simulations, which can be a problem when considering large DH systems. In the current paper, a method is presented in which a fully described model of a DH network is replaced by a simplified one, with the purpose of reducing simulation time. This simplified model is generated by gradually reducing the topological complexity of the original network. The method is validated by applying it on a real case study, in which a network with over 1000 pipes is reduced to less than 10 pipes. The results show that such relatively simple networks can maintain most of the dynamic characteristics of the original networks. ?? 2002 Elsevier Science Ltd. All rights reserved.","author":[{"dropping-particle":"V.","family":"Larsen","given":"Helge","non-dropping-particle":"","parse-names":false,"suffix":""},{"dropping-particle":"","family":"Palsson","given":"Halldor","non-dropping-particle":"","parse-names":false,"suffix":""},{"dropping-particle":"","family":"Bøhm","given":"Benny","non-dropping-particle":"","parse-names":false,"suffix":""},{"dropping-particle":"","family":"Ravn","given":"Hans F.","non-dropping-particle":"","parse-names":false,"suffix":""}],"container-title":"Energy Conversion and Management","id":"ITEM-1","issue":"8","issued":{"date-parts":[["2002"]]},"page":"995-1019","title":"Aggregated dynamic simulation model of district heating networks","type":"article-journal","volume":"43"},"uris":["http://www.mendeley.com/documents/?uuid=eac5b8e0-4f6e-4a39-9a41-3522e3cec6cb"]}],"mendeley":{"formattedCitation":"(Larsen &lt;i&gt;et al.&lt;/i&gt;, 2002)","plainTextFormattedCitation":"(Larsen et al., 2002)","previouslyFormattedCitation":"(Larsen &lt;i&gt;et al.&lt;/i&gt;, 2002)"},"properties":{"noteIndex":0},"schema":"https://github.com/citation-style-language/schema/raw/master/csl-citation.json"}</w:instrText>
      </w:r>
      <w:r>
        <w:fldChar w:fldCharType="separate"/>
      </w:r>
      <w:r w:rsidR="002A6A73" w:rsidRPr="002A6A73">
        <w:rPr>
          <w:noProof/>
        </w:rPr>
        <w:t xml:space="preserve">(Larsen </w:t>
      </w:r>
      <w:r w:rsidR="002A6A73" w:rsidRPr="002A6A73">
        <w:rPr>
          <w:i/>
          <w:noProof/>
        </w:rPr>
        <w:t>et al.</w:t>
      </w:r>
      <w:r w:rsidR="002A6A73" w:rsidRPr="002A6A73">
        <w:rPr>
          <w:noProof/>
        </w:rPr>
        <w:t>, 2002)</w:t>
      </w:r>
      <w:r>
        <w:fldChar w:fldCharType="end"/>
      </w:r>
      <w:r>
        <w:t xml:space="preserve">. The disadvantage of statistical models is the need for validation through primary network measurement. </w:t>
      </w:r>
      <w:r w:rsidRPr="000D54CA">
        <w:rPr>
          <w:noProof/>
        </w:rPr>
        <w:t>Vondráček</w:t>
      </w:r>
      <w:r>
        <w:t xml:space="preserve"> </w:t>
      </w:r>
      <w:r w:rsidRPr="00F66C0D">
        <w:rPr>
          <w:i/>
        </w:rPr>
        <w:t>et al</w:t>
      </w:r>
      <w:r>
        <w:t>. used a statistical model based on non-linear regression to calculate the natural gas consumption of a building stock</w:t>
      </w:r>
      <w:r w:rsidR="00F66C0D">
        <w:t xml:space="preserve"> </w:t>
      </w:r>
      <w:r w:rsidR="00F66C0D">
        <w:fldChar w:fldCharType="begin" w:fldLock="1"/>
      </w:r>
      <w:r w:rsidR="00F66C0D">
        <w:instrText>ADDIN CSL_CITATION {"citationItems":[{"id":"ITEM-1","itemData":{"DOI":"10.1016/j.apenergy.2007.07.004","ISSN":"03062619","abstract":"In this paper we present a statistical approach to natural gas consumption estimation of individual residential and small commercial customers. The approach is based on nonlinear regression principles. Parameters are estimated using mainly two real data sets - ordinary (approximately annual) meter readings of almost all customers and additional (approximately monthly) meter readings designed and operated within the frame of cooperation between the Institute of Computer Science of the Czech Academy of Sciences (ICS) and the West Bohemian Gas Distribution Company, a part of the RWE Group (WBG). The model was tested on various data sets. It has broad applicability in many areas of gas industry. © 2007.","author":[{"dropping-particle":"","family":"Vondráček","given":"Jiří","non-dropping-particle":"","parse-names":false,"suffix":""},{"dropping-particle":"","family":"Pelikán","given":"Emil","non-dropping-particle":"","parse-names":false,"suffix":""},{"dropping-particle":"","family":"Konár","given":"Ondřej","non-dropping-particle":"","parse-names":false,"suffix":""},{"dropping-particle":"","family":"Čermáková","given":"Jana","non-dropping-particle":"","parse-names":false,"suffix":""},{"dropping-particle":"","family":"Eben","given":"Kryštof","non-dropping-particle":"","parse-names":false,"suffix":""},{"dropping-particle":"","family":"Malý","given":"Marek","non-dropping-particle":"","parse-names":false,"suffix":""},{"dropping-particle":"","family":"Brabec","given":"Marek","non-dropping-particle":"","parse-names":false,"suffix":""}],"container-title":"Applied Energy","id":"ITEM-1","issue":"5","issued":{"date-parts":[["2008"]]},"page":"362-370","title":"A statistical model for the estimation of natural gas consumption","type":"article-journal","volume":"85"},"uris":["http://www.mendeley.com/documents/?uuid=02cc34a1-9f02-477e-8dc9-192f05be5ded"]}],"mendeley":{"formattedCitation":"(Vondráček &lt;i&gt;et al.&lt;/i&gt;, 2008)","plainTextFormattedCitation":"(Vondráček et al., 2008)","previouslyFormattedCitation":"(Vondráček &lt;i&gt;et al.&lt;/i&gt;, 2008)"},"properties":{"noteIndex":0},"schema":"https://github.com/citation-style-language/schema/raw/master/csl-citation.json"}</w:instrText>
      </w:r>
      <w:r w:rsidR="00F66C0D">
        <w:fldChar w:fldCharType="separate"/>
      </w:r>
      <w:r w:rsidR="00F66C0D" w:rsidRPr="002A6A73">
        <w:rPr>
          <w:noProof/>
        </w:rPr>
        <w:t xml:space="preserve">(Vondráček </w:t>
      </w:r>
      <w:r w:rsidR="00F66C0D" w:rsidRPr="002A6A73">
        <w:rPr>
          <w:i/>
          <w:noProof/>
        </w:rPr>
        <w:t>et al.</w:t>
      </w:r>
      <w:r w:rsidR="00F66C0D" w:rsidRPr="002A6A73">
        <w:rPr>
          <w:noProof/>
        </w:rPr>
        <w:t>, 2008)</w:t>
      </w:r>
      <w:r w:rsidR="00F66C0D">
        <w:fldChar w:fldCharType="end"/>
      </w:r>
      <w:r>
        <w:t>. The building stock was split based on building type and the end use of the natural gas. The overall natural gas consumption was calculated using simple time-dynamic functions and constraints. The individual customer natural gas consumption was calculated using weighted least squares.</w:t>
      </w:r>
    </w:p>
    <w:p w14:paraId="736201ED" w14:textId="77777777" w:rsidR="000F16EB" w:rsidRPr="00C3189F" w:rsidRDefault="000F16EB" w:rsidP="000F16EB">
      <w:pPr>
        <w:pStyle w:val="Heading4"/>
      </w:pPr>
      <w:bookmarkStart w:id="244" w:name="_Toc522192747"/>
      <w:bookmarkStart w:id="245" w:name="_Toc7187476"/>
      <w:r>
        <w:t>Physical Models</w:t>
      </w:r>
      <w:bookmarkEnd w:id="244"/>
      <w:bookmarkEnd w:id="245"/>
      <w:r>
        <w:t xml:space="preserve"> </w:t>
      </w:r>
    </w:p>
    <w:p w14:paraId="11F0C594" w14:textId="35698ECD" w:rsidR="000F16EB" w:rsidRDefault="000F16EB" w:rsidP="000F16EB">
      <w:r>
        <w:t xml:space="preserve">Physical models are split into individual components that are separately calculated using a series of equations defining the flow and pressure losses </w:t>
      </w:r>
      <w:r>
        <w:fldChar w:fldCharType="begin" w:fldLock="1"/>
      </w:r>
      <w:r w:rsidR="002A6A73">
        <w:instrText>ADDIN CSL_CITATION {"citationItems":[{"id":"ITEM-1","itemData":{"DOI":"10.3389/fbuil.2016.00022","ISSN":"2297-3362","author":[{"dropping-particle":"","family":"Talebi","given":"Behrang","non-dropping-particle":"","parse-names":false,"suffix":""},{"dropping-particle":"","family":"Mirzaei","given":"Parham A.","non-dropping-particle":"","parse-names":false,"suffix":""},{"dropping-particle":"","family":"Bastani","given":"Arash","non-dropping-particle":"","parse-names":false,"suffix":""},{"dropping-particle":"","family":"Haghighat","given":"Fariborz","non-dropping-particle":"","parse-names":false,"suffix":""}],"container-title":"Frontiers in Built Environment","id":"ITEM-1","issue":"October","issued":{"date-parts":[["2016"]]},"page":"1-14","title":"A Review of District Heating Systems: Modeling and Optimization","type":"article-journal","volume":"2"},"uris":["http://www.mendeley.com/documents/?uuid=8c985309-fa60-4cac-b063-aea036b62563"]}],"mendeley":{"formattedCitation":"(Talebi &lt;i&gt;et al.&lt;/i&gt;, 2016)","plainTextFormattedCitation":"(Talebi et al., 2016)","previouslyFormattedCitation":"(Talebi &lt;i&gt;et al.&lt;/i&gt;, 2016)"},"properties":{"noteIndex":0},"schema":"https://github.com/citation-style-language/schema/raw/master/csl-citation.json"}</w:instrText>
      </w:r>
      <w:r>
        <w:fldChar w:fldCharType="separate"/>
      </w:r>
      <w:r w:rsidR="002A6A73" w:rsidRPr="002A6A73">
        <w:rPr>
          <w:noProof/>
        </w:rPr>
        <w:t xml:space="preserve">(Talebi </w:t>
      </w:r>
      <w:r w:rsidR="002A6A73" w:rsidRPr="002A6A73">
        <w:rPr>
          <w:i/>
          <w:noProof/>
        </w:rPr>
        <w:t>et al.</w:t>
      </w:r>
      <w:r w:rsidR="002A6A73" w:rsidRPr="002A6A73">
        <w:rPr>
          <w:noProof/>
        </w:rPr>
        <w:t>, 2016)</w:t>
      </w:r>
      <w:r>
        <w:fldChar w:fldCharType="end"/>
      </w:r>
      <w:r>
        <w:t xml:space="preserve">. The equations are combined to model the entire DHN, creating a large series of equations, which are computationally intensive to solve. Unlike statistical models, physical models only need validation with simple network information, such as network topology, pipe diameter, pipe insulation, and pump characteristics </w:t>
      </w:r>
      <w:r>
        <w:fldChar w:fldCharType="begin" w:fldLock="1"/>
      </w:r>
      <w:r w:rsidR="002A6A73">
        <w:instrText>ADDIN CSL_CITATION {"citationItems":[{"id":"ITEM-1","itemData":{"DOI":"10.1016/S0196-8904(01)00093-0","ISSN":"01968904","abstract":"The dynamic properties of district heating (DH) networks include water flow and propagation of heat from production plants to consumers. Mathematical models of such networks can be applied, either for general understanding of DH systems, or in combination with production planning and optimization. One type of mathematical model involves a full physical modeling of the network, taking into account individual pipes, dimensions, material properties etc. Such full models tend to be computationally intensive when applied in network simulations, which can be a problem when considering large DH systems. In the current paper, a method is presented in which a fully described model of a DH network is replaced by a simplified one, with the purpose of reducing simulation time. This simplified model is generated by gradually reducing the topological complexity of the original network. The method is validated by applying it on a real case study, in which a network with over 1000 pipes is reduced to less than 10 pipes. The results show that such relatively simple networks can maintain most of the dynamic characteristics of the original networks. ?? 2002 Elsevier Science Ltd. All rights reserved.","author":[{"dropping-particle":"V.","family":"Larsen","given":"Helge","non-dropping-particle":"","parse-names":false,"suffix":""},{"dropping-particle":"","family":"Palsson","given":"Halldor","non-dropping-particle":"","parse-names":false,"suffix":""},{"dropping-particle":"","family":"Bøhm","given":"Benny","non-dropping-particle":"","parse-names":false,"suffix":""},{"dropping-particle":"","family":"Ravn","given":"Hans F.","non-dropping-particle":"","parse-names":false,"suffix":""}],"container-title":"Energy Conversion and Management","id":"ITEM-1","issue":"8","issued":{"date-parts":[["2002"]]},"page":"995-1019","title":"Aggregated dynamic simulation model of district heating networks","type":"article-journal","volume":"43"},"uris":["http://www.mendeley.com/documents/?uuid=eac5b8e0-4f6e-4a39-9a41-3522e3cec6cb"]}],"mendeley":{"formattedCitation":"(Larsen &lt;i&gt;et al.&lt;/i&gt;, 2002)","plainTextFormattedCitation":"(Larsen et al., 2002)","previouslyFormattedCitation":"(Larsen &lt;i&gt;et al.&lt;/i&gt;, 2002)"},"properties":{"noteIndex":0},"schema":"https://github.com/citation-style-language/schema/raw/master/csl-citation.json"}</w:instrText>
      </w:r>
      <w:r>
        <w:fldChar w:fldCharType="separate"/>
      </w:r>
      <w:r w:rsidR="002A6A73" w:rsidRPr="002A6A73">
        <w:rPr>
          <w:noProof/>
        </w:rPr>
        <w:t xml:space="preserve">(Larsen </w:t>
      </w:r>
      <w:r w:rsidR="002A6A73" w:rsidRPr="002A6A73">
        <w:rPr>
          <w:i/>
          <w:noProof/>
        </w:rPr>
        <w:t>et al.</w:t>
      </w:r>
      <w:r w:rsidR="002A6A73" w:rsidRPr="002A6A73">
        <w:rPr>
          <w:noProof/>
        </w:rPr>
        <w:t>, 2002)</w:t>
      </w:r>
      <w:r>
        <w:fldChar w:fldCharType="end"/>
      </w:r>
      <w:r>
        <w:t xml:space="preserve">. The large series of equations represents the entire structure of a DHN, making physical models easy to modify either through adding, removing or changing components. Due to the computational intensity of physical models, model simplification is needed using the process of aggregation. Aggregation reduces the complexity of the network structure whilst preserving important physical properties, such as water volumes, time delays, and mass flow rates </w:t>
      </w:r>
      <w:r>
        <w:fldChar w:fldCharType="begin" w:fldLock="1"/>
      </w:r>
      <w:r w:rsidR="002A6A73">
        <w:instrText>ADDIN CSL_CITATION {"citationItems":[{"id":"ITEM-1","itemData":{"ISBN":"8774752219","author":[{"dropping-particle":"","family":"Palsson","given":"Halldór","non-dropping-particle":"","parse-names":false,"suffix":""}],"id":"ITEM-1","issued":{"date-parts":[["1999"]]},"publisher":"Technical University of Denmark","publisher-place":"Copenhagen, Denmark","title":"Equivalent models of district heating systems for on-line minimization of operational costs of the complete district heating system","type":"thesis"},"uris":["http://www.mendeley.com/documents/?uuid=7589e80d-ef02-452e-82f0-51f255770fa6"]}],"mendeley":{"formattedCitation":"(Palsson, 1999)","plainTextFormattedCitation":"(Palsson, 1999)","previouslyFormattedCitation":"(Palsson, 1999)"},"properties":{"noteIndex":0},"schema":"https://github.com/citation-style-language/schema/raw/master/csl-citation.json"}</w:instrText>
      </w:r>
      <w:r>
        <w:fldChar w:fldCharType="separate"/>
      </w:r>
      <w:r w:rsidR="002A6A73" w:rsidRPr="002A6A73">
        <w:rPr>
          <w:noProof/>
        </w:rPr>
        <w:t>(Palsson, 1999)</w:t>
      </w:r>
      <w:r>
        <w:fldChar w:fldCharType="end"/>
      </w:r>
      <w:r>
        <w:t>.</w:t>
      </w:r>
    </w:p>
    <w:p w14:paraId="5CD88892" w14:textId="60E4204B" w:rsidR="000F16EB" w:rsidRDefault="000F16EB" w:rsidP="000F16EB">
      <w:r>
        <w:t xml:space="preserve">Aggregation is commonly done using either the German or the Danish methods. Larsen </w:t>
      </w:r>
      <w:r w:rsidRPr="00F66C0D">
        <w:rPr>
          <w:i/>
        </w:rPr>
        <w:t>et al</w:t>
      </w:r>
      <w:r>
        <w:t>. compared the German and Danish methods, finding that the Danish method could reduce the complexity of a pipe network from 44 to 3 pipes without significantly increasing the error in the results</w:t>
      </w:r>
      <w:r w:rsidR="00F66C0D">
        <w:t xml:space="preserve"> </w:t>
      </w:r>
      <w:r w:rsidR="00F66C0D">
        <w:fldChar w:fldCharType="begin" w:fldLock="1"/>
      </w:r>
      <w:r w:rsidR="00FF4B5D">
        <w:instrText>ADDIN CSL_CITATION {"citationItems":[{"id":"ITEM-1","itemData":{"DOI":"10.1016/j.enconman.2003.08.006","ISSN":"01968904","abstract":"Work on aggregation of district heating networks has been in progress during the last decade. Two methods have independently been developed in Denmark and Germany. In this article, a comparison of the two methods is first presented. Next, the district heating system Ishoej near Copenhagen is used as a test case. For the 23 substations in Ishoej, heat loads and primary and secondary supply and return temperatures were available every 5 min for the period December 19-24, 2000. The accuracy of the aggregation models has been documented as the errors in heat production and in return temperature at the DH plant between the physical network and the aggregated model. Both the Danish and the German aggregation methods work well. It is concluded that the number of pipes can be reduced from 44 to three when using the Danish method of aggregation without significantly increasing the error in heat production or return temperature at the plant. In the case of the German method, the number of pipes should not be reduced much below 10 in the Ishoej case. ?? 2003 Elsevier Ltd. All rights reserved.","author":[{"dropping-particle":"V.","family":"Larsen","given":"Helge","non-dropping-particle":"","parse-names":false,"suffix":""},{"dropping-particle":"","family":"Bøhm","given":"Benny","non-dropping-particle":"","parse-names":false,"suffix":""},{"dropping-particle":"","family":"Wigbels","given":"Michael","non-dropping-particle":"","parse-names":false,"suffix":""}],"container-title":"Energy Conversion and Management","id":"ITEM-1","issue":"7-8","issued":{"date-parts":[["2004"]]},"page":"1119-1139","title":"A comparison of aggregated models for simulation and operational optimisation of district heating networks","type":"article-journal","volume":"45"},"uris":["http://www.mendeley.com/documents/?uuid=c592fb93-1913-400b-a16f-1f19b44ceffa"]}],"mendeley":{"formattedCitation":"(Larsen &lt;i&gt;et al.&lt;/i&gt;, 2004)","plainTextFormattedCitation":"(Larsen et al., 2004)","previouslyFormattedCitation":"(Larsen &lt;i&gt;et al.&lt;/i&gt;, 2004)"},"properties":{"noteIndex":0},"schema":"https://github.com/citation-style-language/schema/raw/master/csl-citation.json"}</w:instrText>
      </w:r>
      <w:r w:rsidR="00F66C0D">
        <w:fldChar w:fldCharType="separate"/>
      </w:r>
      <w:r w:rsidR="00F66C0D" w:rsidRPr="005F544E">
        <w:rPr>
          <w:noProof/>
        </w:rPr>
        <w:t xml:space="preserve">(Larsen </w:t>
      </w:r>
      <w:r w:rsidR="00F66C0D" w:rsidRPr="005F544E">
        <w:rPr>
          <w:i/>
          <w:noProof/>
        </w:rPr>
        <w:t>et al.</w:t>
      </w:r>
      <w:r w:rsidR="00F66C0D" w:rsidRPr="005F544E">
        <w:rPr>
          <w:noProof/>
        </w:rPr>
        <w:t>, 2004)</w:t>
      </w:r>
      <w:r w:rsidR="00F66C0D">
        <w:fldChar w:fldCharType="end"/>
      </w:r>
      <w:r>
        <w:t xml:space="preserve">. Similarly, the German method could reduce the complexity of the pipe network from 44 to 10 pipes. Both of the methods were designed for steady state simulation but could be used in time variable scenarios. The two methods followed the same </w:t>
      </w:r>
      <w:r>
        <w:lastRenderedPageBreak/>
        <w:t xml:space="preserve">basic methodology for simplification differing only in what was preserved. Both methods </w:t>
      </w:r>
      <w:r w:rsidRPr="004764CE">
        <w:t>preserve</w:t>
      </w:r>
      <w:r>
        <w:t>d</w:t>
      </w:r>
      <w:r w:rsidRPr="004764CE">
        <w:t xml:space="preserve"> all physical parameters bar the heat losses for the German method and the pressure distribution for the Danish method</w:t>
      </w:r>
      <w:r>
        <w:t xml:space="preserve">. The basic procedure for simplification worked by replacing network tree structures with line structures whilst removing short branch structures </w:t>
      </w:r>
      <w:r>
        <w:fldChar w:fldCharType="begin" w:fldLock="1"/>
      </w:r>
      <w:r w:rsidR="00FF4B5D">
        <w:instrText>ADDIN CSL_CITATION {"citationItems":[{"id":"ITEM-1","itemData":{"DOI":"10.1016/j.enconman.2003.08.006","ISSN":"01968904","abstract":"Work on aggregation of district heating networks has been in progress during the last decade. Two methods have independently been developed in Denmark and Germany. In this article, a comparison of the two methods is first presented. Next, the district heating system Ishoej near Copenhagen is used as a test case. For the 23 substations in Ishoej, heat loads and primary and secondary supply and return temperatures were available every 5 min for the period December 19-24, 2000. The accuracy of the aggregation models has been documented as the errors in heat production and in return temperature at the DH plant between the physical network and the aggregated model. Both the Danish and the German aggregation methods work well. It is concluded that the number of pipes can be reduced from 44 to three when using the Danish method of aggregation without significantly increasing the error in heat production or return temperature at the plant. In the case of the German method, the number of pipes should not be reduced much below 10 in the Ishoej case. ?? 2003 Elsevier Ltd. All rights reserved.","author":[{"dropping-particle":"V.","family":"Larsen","given":"Helge","non-dropping-particle":"","parse-names":false,"suffix":""},{"dropping-particle":"","family":"Bøhm","given":"Benny","non-dropping-particle":"","parse-names":false,"suffix":""},{"dropping-particle":"","family":"Wigbels","given":"Michael","non-dropping-particle":"","parse-names":false,"suffix":""}],"container-title":"Energy Conversion and Management","id":"ITEM-1","issue":"7-8","issued":{"date-parts":[["2004"]]},"page":"1119-1139","title":"A comparison of aggregated models for simulation and operational optimisation of district heating networks","type":"article-journal","volume":"45"},"uris":["http://www.mendeley.com/documents/?uuid=c592fb93-1913-400b-a16f-1f19b44ceffa"]}],"mendeley":{"formattedCitation":"(Larsen &lt;i&gt;et al.&lt;/i&gt;, 2004)","plainTextFormattedCitation":"(Larsen et al., 2004)","previouslyFormattedCitation":"(Larsen &lt;i&gt;et al.&lt;/i&gt;, 2004)"},"properties":{"noteIndex":0},"schema":"https://github.com/citation-style-language/schema/raw/master/csl-citation.json"}</w:instrText>
      </w:r>
      <w:r>
        <w:fldChar w:fldCharType="separate"/>
      </w:r>
      <w:r w:rsidR="005F544E" w:rsidRPr="005F544E">
        <w:rPr>
          <w:noProof/>
        </w:rPr>
        <w:t xml:space="preserve">(Larsen </w:t>
      </w:r>
      <w:r w:rsidR="005F544E" w:rsidRPr="005F544E">
        <w:rPr>
          <w:i/>
          <w:noProof/>
        </w:rPr>
        <w:t>et al.</w:t>
      </w:r>
      <w:r w:rsidR="005F544E" w:rsidRPr="005F544E">
        <w:rPr>
          <w:noProof/>
        </w:rPr>
        <w:t>, 2004)</w:t>
      </w:r>
      <w:r>
        <w:fldChar w:fldCharType="end"/>
      </w:r>
      <w:r>
        <w:t xml:space="preserve">. </w:t>
      </w:r>
    </w:p>
    <w:p w14:paraId="79FC1FA7" w14:textId="3D2B1741" w:rsidR="000F16EB" w:rsidRDefault="000F16EB" w:rsidP="000F16EB">
      <w:proofErr w:type="spellStart"/>
      <w:r>
        <w:t>Jie</w:t>
      </w:r>
      <w:proofErr w:type="spellEnd"/>
      <w:r>
        <w:t xml:space="preserve"> </w:t>
      </w:r>
      <w:r w:rsidRPr="00F66C0D">
        <w:rPr>
          <w:i/>
        </w:rPr>
        <w:t>et al</w:t>
      </w:r>
      <w:r>
        <w:t>. calculated the lag time and relative attenuation degree of a DHN</w:t>
      </w:r>
      <w:r w:rsidR="00F66C0D">
        <w:t xml:space="preserve"> </w:t>
      </w:r>
      <w:r w:rsidR="00F66C0D">
        <w:fldChar w:fldCharType="begin" w:fldLock="1"/>
      </w:r>
      <w:r w:rsidR="00F66C0D">
        <w:instrText>ADDIN CSL_CITATION {"citationItems":[{"id":"ITEM-1","itemData":{"DOI":"10.1016/j.energy.2012.01.055","ISBN":"0360-5442","ISSN":"03605442","abstract":"The study of the dynamic characteristics of the district heating (DH) systems is a necessary prerequisite for the control strategy. Through the study of the primary system and secondary system in DH systems, dynamic models of the DH network are built in this paper. Two important parameters and their mathematical expressions representing the dynamic characteristics of the DH network are described. These parameters include the lag time and relative attenuation degree of DH systems. Test data about three heat exchange stations were used in the calculation of the lag time and relative attenuation degree in the process of solving the dynamic models. Peak-valley method was introduced to find the actual lag time, and the correspondence analysis method was used to obtain the actual relative attenuation degree. The comparison of actual data with calculating data of the two parameters verified the correctness of the dynamic models. The lag time is proved to be approximately equal to the flow time of the heat medium in the DH network, and some parameters influencing the relative attenuation degree are analyzed. This will help the technicians to regulate the DH systems in the process of operation and management using the two parameters. © 2012 Elsevier Ltd.","author":[{"dropping-particle":"","family":"Jie","given":"Pengfei","non-dropping-particle":"","parse-names":false,"suffix":""},{"dropping-particle":"","family":"Tian","given":"Zhe","non-dropping-particle":"","parse-names":false,"suffix":""},{"dropping-particle":"","family":"Yuan","given":"Shanshan","non-dropping-particle":"","parse-names":false,"suffix":""},{"dropping-particle":"","family":"Zhu","given":"Neng","non-dropping-particle":"","parse-names":false,"suffix":""}],"container-title":"Energy","id":"ITEM-1","issue":"1","issued":{"date-parts":[["2012"]]},"page":"126-134","publisher":"Elsevier Ltd","title":"Modeling the dynamic characteristics of a district heating network","type":"article-journal","volume":"39"},"uris":["http://www.mendeley.com/documents/?uuid=feea31cd-495a-47fd-a046-147553b37a96"]}],"mendeley":{"formattedCitation":"(Jie &lt;i&gt;et al.&lt;/i&gt;, 2012)","plainTextFormattedCitation":"(Jie et al., 2012)","previouslyFormattedCitation":"(Jie &lt;i&gt;et al.&lt;/i&gt;, 2012)"},"properties":{"noteIndex":0},"schema":"https://github.com/citation-style-language/schema/raw/master/csl-citation.json"}</w:instrText>
      </w:r>
      <w:r w:rsidR="00F66C0D">
        <w:fldChar w:fldCharType="separate"/>
      </w:r>
      <w:r w:rsidR="00F66C0D" w:rsidRPr="002A6A73">
        <w:rPr>
          <w:noProof/>
        </w:rPr>
        <w:t xml:space="preserve">(Jie </w:t>
      </w:r>
      <w:r w:rsidR="00F66C0D" w:rsidRPr="002A6A73">
        <w:rPr>
          <w:i/>
          <w:noProof/>
        </w:rPr>
        <w:t>et al.</w:t>
      </w:r>
      <w:r w:rsidR="00F66C0D" w:rsidRPr="002A6A73">
        <w:rPr>
          <w:noProof/>
        </w:rPr>
        <w:t>, 2012)</w:t>
      </w:r>
      <w:r w:rsidR="00F66C0D">
        <w:fldChar w:fldCharType="end"/>
      </w:r>
      <w:r>
        <w:t xml:space="preserve">. An alternative method to aggregation was used, simplifying the pipe structure to a single pipe with no branching or merging, whilst assuming a constant water flowrate. </w:t>
      </w:r>
      <w:r w:rsidRPr="00656F3F">
        <w:rPr>
          <w:noProof/>
        </w:rPr>
        <w:t>Stevanovic</w:t>
      </w:r>
      <w:r>
        <w:t xml:space="preserve"> </w:t>
      </w:r>
      <w:r w:rsidRPr="00F66C0D">
        <w:rPr>
          <w:i/>
        </w:rPr>
        <w:t>et al</w:t>
      </w:r>
      <w:r>
        <w:t>. modelled a DHN to trace the time it took water to travel between points on the network, using the node method to simplify the network structure</w:t>
      </w:r>
      <w:r w:rsidR="00F66C0D">
        <w:t xml:space="preserve"> </w:t>
      </w:r>
      <w:r w:rsidR="00F66C0D">
        <w:fldChar w:fldCharType="begin" w:fldLock="1"/>
      </w:r>
      <w:r w:rsidR="00F66C0D">
        <w:instrText>ADDIN CSL_CITATION {"citationItems":[{"id":"ITEM-1","itemData":{"DOI":"10.1016/j.enconman.2009.04.034","ISSN":"01968904","abstract":"A prediction of thermal transients in district heating systems is important in order to adjust in an energy efficient manner the loads of heat power plants and pump stations with dynamic consumption needs during changes of the outside air temperature, the wind intensity, the solar radiation, or system start-ups and shut-downs. A model and corresponding computer code are developed with the aim to simulate the thermal transients in district heating systems. They are based on the high-order accurate numerical solution of the transient energy equation, and the hydraulic prediction of pressure and fluid flow rates within the complex pipe network. Thermal transients caused by an increase and decrease of the heat power plant load are simulated for real operating conditions of the district heating system. Predicted temperature front propagations show a good agreement with data measured at three consumer substations located in different parts of the district heating network and at different distances from the heat plant. The developed computational tool provides reliable information about time periods of temperature fronts propagation and heat distribution from the heat source to consumers within the whole district heating network. ?? 2009 Elsevier Ltd. All rights reserved.","author":[{"dropping-particle":"","family":"Stevanovic","given":"Vladimir D.","non-dropping-particle":"","parse-names":false,"suffix":""},{"dropping-particle":"","family":"Zivkovic","given":"Branislav","non-dropping-particle":"","parse-names":false,"suffix":""},{"dropping-particle":"","family":"Prica","given":"Sanja","non-dropping-particle":"","parse-names":false,"suffix":""},{"dropping-particle":"","family":"Maslovaric","given":"Blazenka","non-dropping-particle":"","parse-names":false,"suffix":""},{"dropping-particle":"","family":"Karamarkovic","given":"Vladan","non-dropping-particle":"","parse-names":false,"suffix":""},{"dropping-particle":"","family":"Trkulja","given":"Vojin","non-dropping-particle":"","parse-names":false,"suffix":""}],"container-title":"Energy Conversion and Management","id":"ITEM-1","issue":"9","issued":{"date-parts":[["2009"]]},"page":"2167-2173","publisher":"Elsevier Ltd","title":"Prediction of thermal transients in district heating systems","type":"article-journal","volume":"50"},"uris":["http://www.mendeley.com/documents/?uuid=e8a70bf9-9163-4b48-a930-11fb5258b0f4"]}],"mendeley":{"formattedCitation":"(Stevanovic &lt;i&gt;et al.&lt;/i&gt;, 2009)","plainTextFormattedCitation":"(Stevanovic et al., 2009)","previouslyFormattedCitation":"(Stevanovic &lt;i&gt;et al.&lt;/i&gt;, 2009)"},"properties":{"noteIndex":0},"schema":"https://github.com/citation-style-language/schema/raw/master/csl-citation.json"}</w:instrText>
      </w:r>
      <w:r w:rsidR="00F66C0D">
        <w:fldChar w:fldCharType="separate"/>
      </w:r>
      <w:r w:rsidR="00F66C0D" w:rsidRPr="002A6A73">
        <w:rPr>
          <w:noProof/>
        </w:rPr>
        <w:t xml:space="preserve">(Stevanovic </w:t>
      </w:r>
      <w:r w:rsidR="00F66C0D" w:rsidRPr="002A6A73">
        <w:rPr>
          <w:i/>
          <w:noProof/>
        </w:rPr>
        <w:t>et al.</w:t>
      </w:r>
      <w:r w:rsidR="00F66C0D" w:rsidRPr="002A6A73">
        <w:rPr>
          <w:noProof/>
        </w:rPr>
        <w:t>, 2009)</w:t>
      </w:r>
      <w:r w:rsidR="00F66C0D">
        <w:fldChar w:fldCharType="end"/>
      </w:r>
      <w:r>
        <w:t>. It was shown that the node method did not allow for modelling using temperature wave propagation.</w:t>
      </w:r>
      <w:r w:rsidRPr="00656F3F">
        <w:t xml:space="preserve"> </w:t>
      </w:r>
    </w:p>
    <w:p w14:paraId="585748F8" w14:textId="18DB3FF5" w:rsidR="000F16EB" w:rsidRDefault="000F16EB" w:rsidP="000F16EB">
      <w:r>
        <w:t xml:space="preserve">Wang </w:t>
      </w:r>
      <w:r w:rsidRPr="00F66C0D">
        <w:rPr>
          <w:i/>
        </w:rPr>
        <w:t>et al</w:t>
      </w:r>
      <w:r>
        <w:t>. showed a series of problems that arose from the use of aggregation</w:t>
      </w:r>
      <w:r w:rsidR="00F66C0D">
        <w:t xml:space="preserve"> </w:t>
      </w:r>
      <w:r w:rsidR="00F66C0D">
        <w:fldChar w:fldCharType="begin" w:fldLock="1"/>
      </w:r>
      <w:r w:rsidR="00FF4B5D">
        <w:instrText>ADDIN CSL_CITATION {"citationItems":[{"id":"ITEM-1","itemData":{"DOI":"10.1016/j.enconman.2016.04.074","ISSN":"01968904","abstract":"The steady-state thermal conditions of district heating (DH) systems refer to temperature distribution from production plants to consumers. Mathematical models of such networks can be applied, either for general understanding of the system, or in combination with production planning and optimization. In this study, the DH system configuration was simplified to two basic elements (branches and nodes), and a novel matrix simulation model was proposed. Because of its matrix form, the thermal simulation model can be solved quickly by matrix operations. In addition, this new model can represent the whole structure of a large DH system, and it is therefore, easy to change or add new components to an existing model. However, due to the uncertainty of some model parameters, the differences between predicted and observed temperature are usually unacceptable. Therefore, model parameters require calibration before obtaining useful results from simulation. In order to solve this problem efficiently and precisely, the aggregated heat conduction coefficient of pipelines was developed, which could reduce the number of uncertain parameters significantly. Furthermore, an implicit calibration method was introduced, and it could transfer the calibration problem to a typical programming problem. The optimal parameters of this simulation model can be obtained by minimizing a nonlinear objective function subject to a set of linear constraints with the help of a powerful searching technique (genetic algorithms). Advanced MATLAB Genetic Algorithm Solver was used in order to help program process more convenient. Moreover, the validity of this implicit calibration method was demonstrated by the observed data from a real DH system in Harbin. For uncalibrated model, the average absolute error of supply temperatures at all substations was 1.4 ??C. But for calibrated model I and II, the average absolute error of supply temperatures were only 0.2 ??C and 0.1 ??C, respectively. Therefore, the accuracy of temperature prediction enhanced significantly after calibration and the proposed optimization method was validated.","author":[{"dropping-particle":"","family":"Wang","given":"Jinda","non-dropping-particle":"","parse-names":false,"suffix":""},{"dropping-particle":"","family":"Zhou","given":"Zhigang","non-dropping-particle":"","parse-names":false,"suffix":""},{"dropping-particle":"","family":"Zhao","given":"Jianing","non-dropping-particle":"","parse-names":false,"suffix":""}],"container-title":"Energy Conversion and Management","id":"ITEM-1","issued":{"date-parts":[["2016"]]},"page":"294-305","publisher":"Elsevier Ltd","title":"A method for the steady-state thermal simulation of district heating systems and model parameters calibration","type":"article-journal","volume":"120"},"uris":["http://www.mendeley.com/documents/?uuid=e2f5aadc-d310-4952-8079-b2b69a8393a0"]}],"mendeley":{"formattedCitation":"(Wang &lt;i&gt;et al.&lt;/i&gt;, 2016)","plainTextFormattedCitation":"(Wang et al., 2016)","previouslyFormattedCitation":"(Wang &lt;i&gt;et al.&lt;/i&gt;, 2016)"},"properties":{"noteIndex":0},"schema":"https://github.com/citation-style-language/schema/raw/master/csl-citation.json"}</w:instrText>
      </w:r>
      <w:r w:rsidR="00F66C0D">
        <w:fldChar w:fldCharType="separate"/>
      </w:r>
      <w:r w:rsidR="00F66C0D" w:rsidRPr="005F544E">
        <w:rPr>
          <w:noProof/>
        </w:rPr>
        <w:t xml:space="preserve">(Wang </w:t>
      </w:r>
      <w:r w:rsidR="00F66C0D" w:rsidRPr="005F544E">
        <w:rPr>
          <w:i/>
          <w:noProof/>
        </w:rPr>
        <w:t>et al.</w:t>
      </w:r>
      <w:r w:rsidR="00F66C0D" w:rsidRPr="005F544E">
        <w:rPr>
          <w:noProof/>
        </w:rPr>
        <w:t>, 2016)</w:t>
      </w:r>
      <w:r w:rsidR="00F66C0D">
        <w:fldChar w:fldCharType="end"/>
      </w:r>
      <w:r>
        <w:t xml:space="preserve">. Aggregation caused systematic errors in network performance and consequently the aggregation methodology must be done by an experienced specialist. In addition, aggregation could not work for DHNs with loop structures. </w:t>
      </w:r>
    </w:p>
    <w:p w14:paraId="27974350" w14:textId="77777777" w:rsidR="000F16EB" w:rsidRDefault="000F16EB" w:rsidP="000F16EB">
      <w:pPr>
        <w:pStyle w:val="Heading3"/>
      </w:pPr>
      <w:bookmarkStart w:id="246" w:name="_Toc522192748"/>
      <w:bookmarkStart w:id="247" w:name="_Toc525229964"/>
      <w:bookmarkStart w:id="248" w:name="_Toc529888278"/>
      <w:bookmarkStart w:id="249" w:name="_Toc7187477"/>
      <w:r>
        <w:t>District Heating Network Optimisation</w:t>
      </w:r>
      <w:bookmarkEnd w:id="246"/>
      <w:bookmarkEnd w:id="247"/>
      <w:bookmarkEnd w:id="248"/>
      <w:bookmarkEnd w:id="249"/>
    </w:p>
    <w:p w14:paraId="70FE1925" w14:textId="3863E9F1" w:rsidR="000F16EB" w:rsidRDefault="000F16EB" w:rsidP="000F16EB">
      <w:r>
        <w:t xml:space="preserve">DHN optimisation is completed to reduce the network heat losses and match the heat supply and demand </w:t>
      </w:r>
      <w:r>
        <w:fldChar w:fldCharType="begin" w:fldLock="1"/>
      </w:r>
      <w:r w:rsidR="002A6A73">
        <w:instrText>ADDIN CSL_CITATION {"citationItems":[{"id":"ITEM-1","itemData":{"DOI":"10.3389/fbuil.2016.00022","ISSN":"2297-3362","author":[{"dropping-particle":"","family":"Talebi","given":"Behrang","non-dropping-particle":"","parse-names":false,"suffix":""},{"dropping-particle":"","family":"Mirzaei","given":"Parham A.","non-dropping-particle":"","parse-names":false,"suffix":""},{"dropping-particle":"","family":"Bastani","given":"Arash","non-dropping-particle":"","parse-names":false,"suffix":""},{"dropping-particle":"","family":"Haghighat","given":"Fariborz","non-dropping-particle":"","parse-names":false,"suffix":""}],"container-title":"Frontiers in Built Environment","id":"ITEM-1","issue":"October","issued":{"date-parts":[["2016"]]},"page":"1-14","title":"A Review of District Heating Systems: Modeling and Optimization","type":"article-journal","volume":"2"},"uris":["http://www.mendeley.com/documents/?uuid=8c985309-fa60-4cac-b063-aea036b62563"]}],"mendeley":{"formattedCitation":"(Talebi &lt;i&gt;et al.&lt;/i&gt;, 2016)","plainTextFormattedCitation":"(Talebi et al., 2016)","previouslyFormattedCitation":"(Talebi &lt;i&gt;et al.&lt;/i&gt;, 2016)"},"properties":{"noteIndex":0},"schema":"https://github.com/citation-style-language/schema/raw/master/csl-citation.json"}</w:instrText>
      </w:r>
      <w:r>
        <w:fldChar w:fldCharType="separate"/>
      </w:r>
      <w:r w:rsidR="002A6A73" w:rsidRPr="002A6A73">
        <w:rPr>
          <w:noProof/>
        </w:rPr>
        <w:t xml:space="preserve">(Talebi </w:t>
      </w:r>
      <w:r w:rsidR="002A6A73" w:rsidRPr="002A6A73">
        <w:rPr>
          <w:i/>
          <w:noProof/>
        </w:rPr>
        <w:t>et al.</w:t>
      </w:r>
      <w:r w:rsidR="002A6A73" w:rsidRPr="002A6A73">
        <w:rPr>
          <w:noProof/>
        </w:rPr>
        <w:t>, 2016)</w:t>
      </w:r>
      <w:r>
        <w:fldChar w:fldCharType="end"/>
      </w:r>
      <w:r>
        <w:t>. Reducing the heat losses reduces both the costs of operating the network and the associated CO</w:t>
      </w:r>
      <w:r>
        <w:rPr>
          <w:vertAlign w:val="subscript"/>
        </w:rPr>
        <w:t>2</w:t>
      </w:r>
      <w:r>
        <w:t>e emissions. DH optimisation generally involves the installation of some form of TES which reduces the effects of the variation in the customer HD.</w:t>
      </w:r>
      <w:r w:rsidRPr="00993055">
        <w:t xml:space="preserve"> </w:t>
      </w:r>
      <w:r>
        <w:t xml:space="preserve">In most DHNs the heat supply is provided by an economic and environmentally friendly energy source, such CHP, WHR, or </w:t>
      </w:r>
      <w:proofErr w:type="spellStart"/>
      <w:r>
        <w:t>WtE</w:t>
      </w:r>
      <w:proofErr w:type="spellEnd"/>
      <w:r>
        <w:t>. The main heat supply is generally supported by back</w:t>
      </w:r>
      <w:r>
        <w:noBreakHyphen/>
        <w:t>up heat supplies, such as natural gas fired burners, that are less environmentally friendly. The use of TES in a DHN either allows for an increased use of the primary heat supply, a decreased use of the back-up heat supplies or both.</w:t>
      </w:r>
    </w:p>
    <w:p w14:paraId="5F178C69" w14:textId="203C9A00" w:rsidR="000F16EB" w:rsidRDefault="000F16EB" w:rsidP="000F16EB">
      <w:r>
        <w:t xml:space="preserve">The traditional optimisation control of a DHN with TES is split into four parts </w:t>
      </w:r>
      <w:r>
        <w:fldChar w:fldCharType="begin" w:fldLock="1"/>
      </w:r>
      <w:r w:rsidR="00FF4B5D">
        <w:instrText>ADDIN CSL_CITATION {"citationItems":[{"id":"ITEM-1","itemData":{"DOI":"10.1016/j.energy.2018.03.034","ISSN":"03605442","abstract":"Flexibility in district heating and cooling systems (thermal networks in general) is an important means to cope with the intermittent generation of heat and electricity as the share of renewable energy sources (RES) increases. An important source of flexibility is the thermal energy storage present in district heating and cooling networks, found in the thermal inertia of buildings, storage units and the network itself. To unlock this flexibility and to use it effectively and efficiently, a suitable control strategy is required. In this context, this paper presents a possible definition of flexibility and its sources in a thermal network. It reviews techniques to quantify flexibility and shows the need for a more advanced control strategy; moreover, it discusses the challenges involved in developing such a control strategy. Also, the literature on advanced control in thermal networks is reviewed, by making a distinction between central, distributed and hybrid control. Finally, possible future research topics are identified based on the findings.","author":[{"dropping-particle":"","family":"Vandermeulen","given":"Annelies","non-dropping-particle":"","parse-names":false,"suffix":""},{"dropping-particle":"","family":"Heijde","given":"Bram","non-dropping-particle":"van der","parse-names":false,"suffix":""},{"dropping-particle":"","family":"Helsen","given":"Lieve","non-dropping-particle":"","parse-names":false,"suffix":""}],"container-title":"Energy","id":"ITEM-1","issued":{"date-parts":[["2018"]]},"page":"103-115","publisher":"Elsevier Ltd","title":"Controlling district heating and cooling networks to unlock flexibility: A review","type":"article-journal","volume":"151"},"uris":["http://www.mendeley.com/documents/?uuid=41236b3b-cee1-4512-88e0-a202f20be001"]}],"mendeley":{"formattedCitation":"(Vandermeulen &lt;i&gt;et al.&lt;/i&gt;, 2018)","plainTextFormattedCitation":"(Vandermeulen et al., 2018)","previouslyFormattedCitation":"(Vandermeulen &lt;i&gt;et al.&lt;/i&gt;, 2018)"},"properties":{"noteIndex":0},"schema":"https://github.com/citation-style-language/schema/raw/master/csl-citation.json"}</w:instrText>
      </w:r>
      <w:r>
        <w:fldChar w:fldCharType="separate"/>
      </w:r>
      <w:r w:rsidR="005F544E" w:rsidRPr="005F544E">
        <w:rPr>
          <w:noProof/>
        </w:rPr>
        <w:t xml:space="preserve">(Vandermeulen </w:t>
      </w:r>
      <w:r w:rsidR="005F544E" w:rsidRPr="005F544E">
        <w:rPr>
          <w:i/>
          <w:noProof/>
        </w:rPr>
        <w:t>et al.</w:t>
      </w:r>
      <w:r w:rsidR="005F544E" w:rsidRPr="005F544E">
        <w:rPr>
          <w:noProof/>
        </w:rPr>
        <w:t>, 2018)</w:t>
      </w:r>
      <w:r>
        <w:fldChar w:fldCharType="end"/>
      </w:r>
      <w:r>
        <w:t xml:space="preserve">. Differential pressure control is used to ensure that the pressure difference between the supply and return pipes is sufficient to ensure adequate network flow. The thermal comfort of the customers is controlled using a </w:t>
      </w:r>
      <w:r w:rsidR="000C7935">
        <w:t>HD</w:t>
      </w:r>
      <w:r>
        <w:t xml:space="preserve"> control system in each building connected to the network. A control system is installed in each substation to ensure that the valves of the substation are open enough to allow a sufficient mass flowrate through. Supply temperature control ensures that the supply temperature of the network is at the correct value. The classic control is robust and capable of dealing with small errors and can easily be modified by adding or removing substations. However, the classic control is programmed so that the substations always take their full allocation of heat. Therefore, in a heat deficit the furthest customers will not get a full allocation of heat.</w:t>
      </w:r>
    </w:p>
    <w:p w14:paraId="25728E9C" w14:textId="77777777" w:rsidR="000F16EB" w:rsidRDefault="000F16EB" w:rsidP="000F16EB">
      <w:pPr>
        <w:pStyle w:val="Heading4"/>
      </w:pPr>
      <w:bookmarkStart w:id="250" w:name="_Toc522192749"/>
      <w:bookmarkStart w:id="251" w:name="_Toc7187478"/>
      <w:r>
        <w:t>Technologies for District Heating Optimisation</w:t>
      </w:r>
      <w:bookmarkEnd w:id="250"/>
      <w:bookmarkEnd w:id="251"/>
    </w:p>
    <w:p w14:paraId="36D5B0D1" w14:textId="77777777" w:rsidR="000F16EB" w:rsidRDefault="000F16EB" w:rsidP="000F16EB">
      <w:r>
        <w:t>A variety of different TES technologies can be used in the optimisation of DHNs. An explanation into the technologies most commonly used alongside the advantages and disadvantages of each option will be discussed here.</w:t>
      </w:r>
    </w:p>
    <w:p w14:paraId="3EED19F8" w14:textId="77777777" w:rsidR="000F16EB" w:rsidRDefault="000F16EB" w:rsidP="000F16EB">
      <w:pPr>
        <w:pStyle w:val="Heading6"/>
      </w:pPr>
      <w:r>
        <w:lastRenderedPageBreak/>
        <w:t>Seasonal Thermal Energy Storage</w:t>
      </w:r>
    </w:p>
    <w:p w14:paraId="290A02FB" w14:textId="0135A3A1" w:rsidR="000F16EB" w:rsidRDefault="000F16EB" w:rsidP="000F16EB">
      <w:r>
        <w:t xml:space="preserve">Seasonal TES stores TE for a period of several months to meet the HD variations from one heating season to another </w:t>
      </w:r>
      <w:r>
        <w:fldChar w:fldCharType="begin" w:fldLock="1"/>
      </w:r>
      <w:r w:rsidR="00FF4B5D">
        <w:instrText>ADDIN CSL_CITATION {"citationItems":[{"id":"ITEM-1","itemData":{"DOI":"10.1016/j.enconman.2014.07.022","ISBN":"0196-8904","ISSN":"01968904","abstract":"Reducing carbon emissions from buildings is vital to achieve goals for avoiding dangerous climate change, and supplying them with low-carbon heat is essential. In the UK, the development of heat networks for supplying low-carbon heat is being encouraged for urban areas where there is high heat demand density. This paper investigates heat demand variability, the role of heat networks and combined heat and power (CHP) in satisfying this demand, and finally the advantages of using heat storage in the system. Building heat demands from 50 buildings were analysed at a half-hour resolution with modelling to determine CHP operation patterns with and without heat storage. Daily total heat demand was found to vary from 25% of the full-year average in summer months up to 235% of the average on the coldest days in winter. The heat demand was shown to correlate to outdoor temperatures measured with the degree-day parameter, except for approximately 100 days during the warmest part of the year falling outside the heating season. Sharp spikes in heat demand were seen at the half-hourly time scale coinciding with the switching on of heating systems in some buildings with consequences for building energy supply options. It was shown that for an annual heat demand of 40,000 MW h, the use of thermal storage can significantly increase the running time of a CHP energy centre with 4 MW capacity designed to supply this demand. The cost savings resulting from increased on-site heat and electricity production resulted in a payback period for heat storage investment of under four years with further benefits if it can assist other heat sources on the heat network. Environmental advantages of using heat storage included further carbon dioxide emission reductions of 1000-1500 tonnes per year depending upon the CHP configuration. ?? 2014 Elsevier Ltd. All rights reserved.","author":[{"dropping-particle":"","family":"Raine","given":"Robert D.","non-dropping-particle":"","parse-names":false,"suffix":""},{"dropping-particle":"","family":"Sharifi","given":"Vida N.","non-dropping-particle":"","parse-names":false,"suffix":""},{"dropping-particle":"","family":"Swithenbank","given":"Jim","non-dropping-particle":"","parse-names":false,"suffix":""}],"container-title":"Energy Conversion and Management","id":"ITEM-1","issued":{"date-parts":[["2014"]]},"page":"164-174","publisher":"Elsevier Ltd","title":"Optimisation of combined heat and power production for buildings using heat storage","type":"article-journal","volume":"87"},"uris":["http://www.mendeley.com/documents/?uuid=4966985d-d2df-489f-9d6f-6c5b6e16040a"]},{"id":"ITEM-2","itemData":{"DOI":"10.1016/j.rser.2014.12.002","ISBN":"13640321","ISSN":"13640321","abstract":"Application of seasonal thermal energy storage with heat pumps for heating and cooling buildings has received much consideration in recent decades, as it can help to cover gaps between energy availability and demand, e.g. from summer to winter. This has the potential to reduce the large proportion of energy consumed by buildings, especially in colder climate countries. The problem with seasonal storage, however, is heat loss. This can be reduced by low-temperature storage but a heat pump is then recommended to adjust temperatures as needed by buildings in use. The aim of this paper was to compare different seasonal thermal energy storage methods using a heat pump in terms of coefficient of performance (COP) of heat pump and solar fraction, and further, to investigate the relationship between those factors and the size of the system, i.e. collector area and storage volume based on past building projects including residences, offices and schools.","author":[{"dropping-particle":"","family":"Hesaraki","given":"Arefeh","non-dropping-particle":"","parse-names":false,"suffix":""},{"dropping-particle":"","family":"Holmberg","given":"Sture","non-dropping-particle":"","parse-names":false,"suffix":""},{"dropping-particle":"","family":"Haghighat","given":"Fariborz","non-dropping-particle":"","parse-names":false,"suffix":""}],"container-title":"Renewable and Sustainable Energy Reviews","id":"ITEM-2","issued":{"date-parts":[["2015"]]},"page":"1199-1213","publisher":"Elsevier","title":"Seasonal thermal energy storage with heat pumps and low temperatures in building projects - A comparative review","type":"article-journal","volume":"43"},"uris":["http://www.mendeley.com/documents/?uuid=24f2ebc5-0b09-43db-aaf1-106c7815b833"]}],"mendeley":{"formattedCitation":"(Raine &lt;i&gt;et al.&lt;/i&gt;, 2014; Hesaraki &lt;i&gt;et al.&lt;/i&gt;, 2015)","plainTextFormattedCitation":"(Raine et al., 2014; Hesaraki et al., 2015)","previouslyFormattedCitation":"(Raine &lt;i&gt;et al.&lt;/i&gt;, 2014; Hesaraki &lt;i&gt;et al.&lt;/i&gt;, 2015)"},"properties":{"noteIndex":0},"schema":"https://github.com/citation-style-language/schema/raw/master/csl-citation.json"}</w:instrText>
      </w:r>
      <w:r>
        <w:fldChar w:fldCharType="separate"/>
      </w:r>
      <w:r w:rsidR="005F544E" w:rsidRPr="005F544E">
        <w:rPr>
          <w:noProof/>
        </w:rPr>
        <w:t xml:space="preserve">(Raine </w:t>
      </w:r>
      <w:r w:rsidR="005F544E" w:rsidRPr="005F544E">
        <w:rPr>
          <w:i/>
          <w:noProof/>
        </w:rPr>
        <w:t>et al.</w:t>
      </w:r>
      <w:r w:rsidR="005F544E" w:rsidRPr="005F544E">
        <w:rPr>
          <w:noProof/>
        </w:rPr>
        <w:t xml:space="preserve">, 2014; Hesaraki </w:t>
      </w:r>
      <w:r w:rsidR="005F544E" w:rsidRPr="005F544E">
        <w:rPr>
          <w:i/>
          <w:noProof/>
        </w:rPr>
        <w:t>et al.</w:t>
      </w:r>
      <w:r w:rsidR="005F544E" w:rsidRPr="005F544E">
        <w:rPr>
          <w:noProof/>
        </w:rPr>
        <w:t>, 2015)</w:t>
      </w:r>
      <w:r>
        <w:fldChar w:fldCharType="end"/>
      </w:r>
      <w:r>
        <w:t>. Seasonal TES generally uses one of two storage mediums: water, or soil and rocks. Water is used as it has a high thermal capacity, making it easier to exchange heat. As water is commonly also the HTF used in a DHN, heat does not need to be transferred from one medium to another. Soil and rocks are used as the materials can withstand a large range of temperatures and do not undergo freezing or boiling.</w:t>
      </w:r>
    </w:p>
    <w:p w14:paraId="00212065" w14:textId="4A81D406" w:rsidR="000F16EB" w:rsidRDefault="000F16EB" w:rsidP="000F16EB">
      <w:pPr>
        <w:rPr>
          <w:noProof/>
        </w:rPr>
      </w:pPr>
      <w:r>
        <w:t xml:space="preserve">A number of researchers have reviewed the use of seasonal TES in DHNs. </w:t>
      </w:r>
      <w:r w:rsidRPr="00D920FD">
        <w:rPr>
          <w:noProof/>
        </w:rPr>
        <w:t>Hesaraki</w:t>
      </w:r>
      <w:r>
        <w:t xml:space="preserve"> </w:t>
      </w:r>
      <w:r w:rsidRPr="00F66C0D">
        <w:rPr>
          <w:i/>
        </w:rPr>
        <w:t>et al</w:t>
      </w:r>
      <w:r>
        <w:t>. compared the use of a variety seasonal technologies: HWT storage,</w:t>
      </w:r>
      <w:r w:rsidRPr="00912D7D">
        <w:t xml:space="preserve"> </w:t>
      </w:r>
      <w:r>
        <w:t>water-gravel pit storage, duct storage, and aquifer storage in building projects</w:t>
      </w:r>
      <w:r w:rsidR="00F66C0D">
        <w:t xml:space="preserve"> </w:t>
      </w:r>
      <w:r w:rsidR="00F66C0D">
        <w:fldChar w:fldCharType="begin" w:fldLock="1"/>
      </w:r>
      <w:r w:rsidR="00FF4B5D">
        <w:instrText>ADDIN CSL_CITATION {"citationItems":[{"id":"ITEM-1","itemData":{"DOI":"10.1016/j.rser.2014.12.002","ISBN":"13640321","ISSN":"13640321","abstract":"Application of seasonal thermal energy storage with heat pumps for heating and cooling buildings has received much consideration in recent decades, as it can help to cover gaps between energy availability and demand, e.g. from summer to winter. This has the potential to reduce the large proportion of energy consumed by buildings, especially in colder climate countries. The problem with seasonal storage, however, is heat loss. This can be reduced by low-temperature storage but a heat pump is then recommended to adjust temperatures as needed by buildings in use. The aim of this paper was to compare different seasonal thermal energy storage methods using a heat pump in terms of coefficient of performance (COP) of heat pump and solar fraction, and further, to investigate the relationship between those factors and the size of the system, i.e. collector area and storage volume based on past building projects including residences, offices and schools.","author":[{"dropping-particle":"","family":"Hesaraki","given":"Arefeh","non-dropping-particle":"","parse-names":false,"suffix":""},{"dropping-particle":"","family":"Holmberg","given":"Sture","non-dropping-particle":"","parse-names":false,"suffix":""},{"dropping-particle":"","family":"Haghighat","given":"Fariborz","non-dropping-particle":"","parse-names":false,"suffix":""}],"container-title":"Renewable and Sustainable Energy Reviews","id":"ITEM-1","issued":{"date-parts":[["2015"]]},"page":"1199-1213","publisher":"Elsevier","title":"Seasonal thermal energy storage with heat pumps and low temperatures in building projects - A comparative review","type":"article-journal","volume":"43"},"uris":["http://www.mendeley.com/documents/?uuid=24f2ebc5-0b09-43db-aaf1-106c7815b833"]}],"mendeley":{"formattedCitation":"(Hesaraki &lt;i&gt;et al.&lt;/i&gt;, 2015)","plainTextFormattedCitation":"(Hesaraki et al., 2015)","previouslyFormattedCitation":"(Hesaraki &lt;i&gt;et al.&lt;/i&gt;, 2015)"},"properties":{"noteIndex":0},"schema":"https://github.com/citation-style-language/schema/raw/master/csl-citation.json"}</w:instrText>
      </w:r>
      <w:r w:rsidR="00F66C0D">
        <w:fldChar w:fldCharType="separate"/>
      </w:r>
      <w:r w:rsidR="00F66C0D" w:rsidRPr="005F544E">
        <w:rPr>
          <w:noProof/>
        </w:rPr>
        <w:t xml:space="preserve">(Hesaraki </w:t>
      </w:r>
      <w:r w:rsidR="00F66C0D" w:rsidRPr="005F544E">
        <w:rPr>
          <w:i/>
          <w:noProof/>
        </w:rPr>
        <w:t>et al.</w:t>
      </w:r>
      <w:r w:rsidR="00F66C0D" w:rsidRPr="005F544E">
        <w:rPr>
          <w:noProof/>
        </w:rPr>
        <w:t>, 2015)</w:t>
      </w:r>
      <w:r w:rsidR="00F66C0D">
        <w:fldChar w:fldCharType="end"/>
      </w:r>
      <w:r>
        <w:t xml:space="preserve">. The results of the study showed that seasonal TES systems are a promising series of technologies but can easily be cost prohibitive for small DHNs. The authors concluded that seasonal TES should be used for large DHNs located in areas of high latitude. </w:t>
      </w:r>
      <w:r w:rsidRPr="00912D7D">
        <w:rPr>
          <w:noProof/>
        </w:rPr>
        <w:t>Dominković</w:t>
      </w:r>
      <w:r>
        <w:rPr>
          <w:noProof/>
        </w:rPr>
        <w:t xml:space="preserve"> </w:t>
      </w:r>
      <w:r w:rsidRPr="00F66C0D">
        <w:rPr>
          <w:i/>
          <w:noProof/>
        </w:rPr>
        <w:t>et al</w:t>
      </w:r>
      <w:r>
        <w:rPr>
          <w:noProof/>
        </w:rPr>
        <w:t>. built a hybrid optimisation model of a biomass trigeneration system combined with a seasonal water pit TES system</w:t>
      </w:r>
      <w:r w:rsidR="00FF4B5D">
        <w:rPr>
          <w:noProof/>
        </w:rPr>
        <w:t xml:space="preserve"> </w:t>
      </w:r>
      <w:r w:rsidR="00FF4B5D">
        <w:rPr>
          <w:noProof/>
        </w:rPr>
        <w:fldChar w:fldCharType="begin" w:fldLock="1"/>
      </w:r>
      <w:r w:rsidR="00FF4B5D">
        <w:rPr>
          <w:noProof/>
        </w:rPr>
        <w:instrText>ADDIN CSL_CITATION {"citationItems":[{"id":"ITEM-1","itemData":{"DOI":"10.1016/j.enconman.2015.03.056","ISBN":"0196-8904","ISSN":"01968904","abstract":"This paper provides a solution for managing excess heat production in trigeneration and thus, increases the power plant yearly efficiency. An optimization model for combining biomass trigeneration energy system and pit thermal energy storage has been developed. Furthermore, double piping district heating and cooling network in the residential area without industry consumers was assumed, thus allowing simultaneous flow of the heating and cooling energy. As a consequence, the model is easy to adopt in different regions. Degree-hour method was used for calculation of hourly heating and cooling energy demand. The system covers all the yearly heating and cooling energy needs, while it is assumed that all the electricity can be transferred to the grid due to its renewable origin. The system was modeled in Matlab© on hourly basis and hybrid optimization model was used to maximize the net present value (NPV), which was the objective function of the optimization. Economic figures become favorable if the economy-of-scale of both power plant and pit thermal energy storage can be utilized. The results show that the pit thermal energy storage was an excellent option for storing energy and shaving peaks in energy demand. Finally, possible switch from feed-in tariffs to feed-in premiums was assessed and possible subsidy savings have been calculated. The savings are potentially large and can be used for supporting other renewable energy projects.","author":[{"dropping-particle":"","family":"Dominković","given":"D. F.","non-dropping-particle":"","parse-names":false,"suffix":""},{"dropping-particle":"","family":"Ćosić","given":"B.","non-dropping-particle":"","parse-names":false,"suffix":""},{"dropping-particle":"","family":"Bačelić Medić","given":"Z.","non-dropping-particle":"","parse-names":false,"suffix":""},{"dropping-particle":"","family":"Duić","given":"N.","non-dropping-particle":"","parse-names":false,"suffix":""}],"container-title":"Energy Conversion and Management","id":"ITEM-1","issued":{"date-parts":[["2015"]]},"page":"90-99","title":"A hybrid optimization model of biomass trigeneration system combined with pit thermal energy storage","type":"article-journal","volume":"104"},"uris":["http://www.mendeley.com/documents/?uuid=00ad1afc-d823-4f6e-9083-8fc9fec920b6"]}],"mendeley":{"formattedCitation":"(Dominković &lt;i&gt;et al.&lt;/i&gt;, 2015)","plainTextFormattedCitation":"(Dominković et al., 2015)","previouslyFormattedCitation":"(Dominković &lt;i&gt;et al.&lt;/i&gt;, 2015)"},"properties":{"noteIndex":0},"schema":"https://github.com/citation-style-language/schema/raw/master/csl-citation.json"}</w:instrText>
      </w:r>
      <w:r w:rsidR="00FF4B5D">
        <w:rPr>
          <w:noProof/>
        </w:rPr>
        <w:fldChar w:fldCharType="separate"/>
      </w:r>
      <w:r w:rsidR="00FF4B5D" w:rsidRPr="002A6A73">
        <w:rPr>
          <w:noProof/>
        </w:rPr>
        <w:t xml:space="preserve">(Dominković </w:t>
      </w:r>
      <w:r w:rsidR="00FF4B5D" w:rsidRPr="002A6A73">
        <w:rPr>
          <w:i/>
          <w:noProof/>
        </w:rPr>
        <w:t>et al.</w:t>
      </w:r>
      <w:r w:rsidR="00FF4B5D" w:rsidRPr="002A6A73">
        <w:rPr>
          <w:noProof/>
        </w:rPr>
        <w:t>, 2015)</w:t>
      </w:r>
      <w:r w:rsidR="00FF4B5D">
        <w:rPr>
          <w:noProof/>
        </w:rPr>
        <w:fldChar w:fldCharType="end"/>
      </w:r>
      <w:r>
        <w:rPr>
          <w:noProof/>
        </w:rPr>
        <w:t xml:space="preserve">. The study found that the pit TES system was only economically feasible if the economies of scale could be utilised. </w:t>
      </w:r>
    </w:p>
    <w:p w14:paraId="11E46191" w14:textId="3AF5B03C" w:rsidR="000F16EB" w:rsidRDefault="000F16EB" w:rsidP="000F16EB">
      <w:pPr>
        <w:rPr>
          <w:noProof/>
        </w:rPr>
      </w:pPr>
      <w:r>
        <w:rPr>
          <w:noProof/>
        </w:rPr>
        <w:t xml:space="preserve">Safaei and Keith as well as </w:t>
      </w:r>
      <w:r w:rsidRPr="00912D7D">
        <w:rPr>
          <w:noProof/>
        </w:rPr>
        <w:t>Dominković</w:t>
      </w:r>
      <w:r>
        <w:rPr>
          <w:noProof/>
        </w:rPr>
        <w:t xml:space="preserve"> </w:t>
      </w:r>
      <w:r w:rsidRPr="00FF4B5D">
        <w:rPr>
          <w:i/>
          <w:noProof/>
        </w:rPr>
        <w:t>et al</w:t>
      </w:r>
      <w:r>
        <w:rPr>
          <w:noProof/>
        </w:rPr>
        <w:t>. proposed the use of compressed air energy storage (CAES), installing the CAES in underground gas reservoirs</w:t>
      </w:r>
      <w:r w:rsidR="00FF4B5D">
        <w:rPr>
          <w:noProof/>
        </w:rPr>
        <w:t xml:space="preserve">  </w:t>
      </w:r>
      <w:r w:rsidR="00FF4B5D">
        <w:rPr>
          <w:noProof/>
        </w:rPr>
        <w:fldChar w:fldCharType="begin" w:fldLock="1"/>
      </w:r>
      <w:r w:rsidR="006B360F">
        <w:rPr>
          <w:noProof/>
        </w:rPr>
        <w:instrText>ADDIN CSL_CITATION {"citationItems":[{"id":"ITEM-1","itemData":{"DOI":"10.1016/j.enconman.2013.10.043","ISBN":"0196-8904","ISSN":"01968904","abstract":"Interest in compressed air energy storage (CAES) technology has been renewed driven by the need to manage variability form rapidly growing wind and solar capacity. Distributed CAES (D-CAES) design aims to improve the efficiency of conventional CAES through locating the compressor near concentrated heating loads so capturing additional revenue through sales of compression waste heat. A pipeline transports compressed air to the storage facility and expander, co-located at some distance from the compressor. The economics of CAES are strongly dependant on electricity and gas markets in which they are embedded. As a case study, we evaluated the economics of two hypothetical merchant CAES and D-CAES facilities performing energy arbitrage in Alberta, Canada using market data from 2002 to 2011. The annual profit of the D-CAES plant was $1.3 million more on average at a distance of 50 km between the heat load and air storage sites. Superior economic and environmental performance of D-CAES led to a negative abatement cost of -$40/tCO2e. We performed a suite of sensitivity analyses to evaluate the impact of size of heat load, size of air storage, ratio of expander to compressor size, and length of pipeline on the economic feasibility of D-CAES. © 2013 Elsevier Ltd. All rights reserved.","author":[{"dropping-particle":"","family":"Safaei","given":"Hossein","non-dropping-particle":"","parse-names":false,"suffix":""},{"dropping-particle":"","family":"Keith","given":"David W.","non-dropping-particle":"","parse-names":false,"suffix":""}],"container-title":"Energy Conversion and Management","id":"ITEM-1","issued":{"date-parts":[["2014"]]},"page":"114-124","publisher":"Elsevier Ltd","title":"Compressed air energy storage with waste heat export: An Alberta case study","type":"article-journal","volume":"78"},"uris":["http://www.mendeley.com/documents/?uuid=d48bca13-41fe-4aab-abd0-19b833a6a3f1"]},{"id":"ITEM-2","itemData":{"DOI":"10.1016/j.enconman.2015.03.056","ISBN":"0196-8904","ISSN":"01968904","abstract":"This paper provides a solution for managing excess heat production in trigeneration and thus, increases the power plant yearly efficiency. An optimization model for combining biomass trigeneration energy system and pit thermal energy storage has been developed. Furthermore, double piping district heating and cooling network in the residential area without industry consumers was assumed, thus allowing simultaneous flow of the heating and cooling energy. As a consequence, the model is easy to adopt in different regions. Degree-hour method was used for calculation of hourly heating and cooling energy demand. The system covers all the yearly heating and cooling energy needs, while it is assumed that all the electricity can be transferred to the grid due to its renewable origin. The system was modeled in Matlab© on hourly basis and hybrid optimization model was used to maximize the net present value (NPV), which was the objective function of the optimization. Economic figures become favorable if the economy-of-scale of both power plant and pit thermal energy storage can be utilized. The results show that the pit thermal energy storage was an excellent option for storing energy and shaving peaks in energy demand. Finally, possible switch from feed-in tariffs to feed-in premiums was assessed and possible subsidy savings have been calculated. The savings are potentially large and can be used for supporting other renewable energy projects.","author":[{"dropping-particle":"","family":"Dominković","given":"D. F.","non-dropping-particle":"","parse-names":false,"suffix":""},{"dropping-particle":"","family":"Ćosić","given":"B.","non-dropping-particle":"","parse-names":false,"suffix":""},{"dropping-particle":"","family":"Bačelić Medić","given":"Z.","non-dropping-particle":"","parse-names":false,"suffix":""},{"dropping-particle":"","family":"Duić","given":"N.","non-dropping-particle":"","parse-names":false,"suffix":""}],"container-title":"Energy Conversion and Management","id":"ITEM-2","issued":{"date-parts":[["2015"]]},"page":"90-99","title":"A hybrid optimization model of biomass trigeneration system combined with pit thermal energy storage","type":"article-journal","volume":"104"},"uris":["http://www.mendeley.com/documents/?uuid=00ad1afc-d823-4f6e-9083-8fc9fec920b6"]}],"mendeley":{"formattedCitation":"(Safaei and Keith, 2014; Dominković &lt;i&gt;et al.&lt;/i&gt;, 2015)","plainTextFormattedCitation":"(Safaei and Keith, 2014; Dominković et al., 2015)","previouslyFormattedCitation":"(Safaei and Keith, 2014; Dominković &lt;i&gt;et al.&lt;/i&gt;, 2015)"},"properties":{"noteIndex":0},"schema":"https://github.com/citation-style-language/schema/raw/master/csl-citation.json"}</w:instrText>
      </w:r>
      <w:r w:rsidR="00FF4B5D">
        <w:rPr>
          <w:noProof/>
        </w:rPr>
        <w:fldChar w:fldCharType="separate"/>
      </w:r>
      <w:r w:rsidR="00FF4B5D" w:rsidRPr="00FF4B5D">
        <w:rPr>
          <w:noProof/>
        </w:rPr>
        <w:t xml:space="preserve">(Safaei and Keith, 2014; Dominković </w:t>
      </w:r>
      <w:r w:rsidR="00FF4B5D" w:rsidRPr="00FF4B5D">
        <w:rPr>
          <w:i/>
          <w:noProof/>
        </w:rPr>
        <w:t>et al.</w:t>
      </w:r>
      <w:r w:rsidR="00FF4B5D" w:rsidRPr="00FF4B5D">
        <w:rPr>
          <w:noProof/>
        </w:rPr>
        <w:t>, 2015)</w:t>
      </w:r>
      <w:r w:rsidR="00FF4B5D">
        <w:rPr>
          <w:noProof/>
        </w:rPr>
        <w:fldChar w:fldCharType="end"/>
      </w:r>
      <w:r>
        <w:rPr>
          <w:noProof/>
        </w:rPr>
        <w:t>. CAES is still a new technology, mainly in the research and development stage; only two examples of utility scale CAES systems can be found globally. In both studies, it was shown that the economic feasibility of the CAES system was strongly dependent on economies of scale and required suitable geological formations to house the technology.</w:t>
      </w:r>
    </w:p>
    <w:p w14:paraId="017FA4DD" w14:textId="77777777" w:rsidR="000F16EB" w:rsidRDefault="000F16EB" w:rsidP="000F16EB">
      <w:pPr>
        <w:pStyle w:val="Heading6"/>
      </w:pPr>
      <w:r>
        <w:t>Phase Change Materials</w:t>
      </w:r>
    </w:p>
    <w:p w14:paraId="18E46213" w14:textId="5CF1ACBE" w:rsidR="000F16EB" w:rsidRDefault="000F16EB" w:rsidP="000F16EB">
      <w:r>
        <w:t xml:space="preserve">PCMs store TE in the latent heat generated during the phase change of a material, commonly solid to liquid </w:t>
      </w:r>
      <w:r>
        <w:fldChar w:fldCharType="begin" w:fldLock="1"/>
      </w:r>
      <w:r w:rsidR="002A6A73">
        <w:instrText>ADDIN CSL_CITATION {"citationItems":[{"id":"ITEM-1","itemData":{"DOI":"10.1016/j.enbuild.2015.06.007","ISBN":"3497300357","ISSN":"03787788","abstract":"It is well known that there is a need to develop technologies to achieve thermal comfort in buildings lowering the cooling and heating demand. Research has shown that thermal energy storage (TES) is a way to do so, but also other purposes can be pursued when using TES in buildings, such as peak shaving or increase of energy efficiency in HVAC systems. This paper reviews TES in buildings using sensible, latent heat and thermochemical energy storage. Sustainable heating and cooling with TES in buildings can be achieved through passive systems in building envelopes, Phase Change Materials (PCM) in active systems, sorption systems, and seasonal storage.","author":[{"dropping-particle":"","family":"Gracia","given":"Alvaro","non-dropping-particle":"De","parse-names":false,"suffix":""},{"dropping-particle":"","family":"Cabeza","given":"Luisa F.","non-dropping-particle":"","parse-names":false,"suffix":""}],"container-title":"Energy and Buildings","id":"ITEM-1","issued":{"date-parts":[["2015"]]},"page":"414-419","publisher":"Elsevier B.V.","title":"Phase change materials and thermal energy storage for buildings","type":"article-journal","volume":"103"},"uris":["http://www.mendeley.com/documents/?uuid=e2f4d89e-6dec-4b78-ad80-e783b0e4f23d"]}],"mendeley":{"formattedCitation":"(De Gracia and Cabeza, 2015)","plainTextFormattedCitation":"(De Gracia and Cabeza, 2015)","previouslyFormattedCitation":"(De Gracia and Cabeza, 2015)"},"properties":{"noteIndex":0},"schema":"https://github.com/citation-style-language/schema/raw/master/csl-citation.json"}</w:instrText>
      </w:r>
      <w:r>
        <w:fldChar w:fldCharType="separate"/>
      </w:r>
      <w:r w:rsidR="002A6A73" w:rsidRPr="002A6A73">
        <w:rPr>
          <w:noProof/>
        </w:rPr>
        <w:t>(De Gracia and Cabeza, 2015)</w:t>
      </w:r>
      <w:r>
        <w:fldChar w:fldCharType="end"/>
      </w:r>
      <w:r>
        <w:t>. PCM based TES systems have high thermal capacities and therefore have a small volume, which could be useful for DH and building heating related activities. However, PCMs require encapsulation, which is hard and expensive to do, otherwise the technology has low thermal conductivities and fire risks. The need for encapsulation limits the practical use of PCMs for DH.</w:t>
      </w:r>
    </w:p>
    <w:p w14:paraId="0C9329E3" w14:textId="77777777" w:rsidR="000F16EB" w:rsidRDefault="000F16EB" w:rsidP="000F16EB">
      <w:pPr>
        <w:pStyle w:val="Heading6"/>
      </w:pPr>
      <w:r>
        <w:t>Chemical Energy Storage</w:t>
      </w:r>
    </w:p>
    <w:p w14:paraId="04BA965F" w14:textId="58D5E1E9" w:rsidR="000F16EB" w:rsidRDefault="000F16EB" w:rsidP="000F16EB">
      <w:r>
        <w:t xml:space="preserve">CES stores and releases TE through the cycling of endothermic and exothermic reversible reactions </w:t>
      </w:r>
      <w:r>
        <w:fldChar w:fldCharType="begin" w:fldLock="1"/>
      </w:r>
      <w:r w:rsidR="002A6A73">
        <w:instrText>ADDIN CSL_CITATION {"citationItems":[{"id":"ITEM-1","itemData":{"DOI":"10.3390/su10010191","ISSN":"2071-1050","author":[{"dropping-particle":"","family":"Sarbu","given":"Ioan","non-dropping-particle":"","parse-names":false,"suffix":""},{"dropping-particle":"","family":"Sebarchievici","given":"Calin","non-dropping-particle":"","parse-names":false,"suffix":""}],"container-title":"Sustainability","id":"ITEM-1","issue":"1","issued":{"date-parts":[["2018"]]},"page":"191","title":"A Comprehensive Review of Thermal Energy Storage","type":"article-journal","volume":"10"},"uris":["http://www.mendeley.com/documents/?uuid=1b67936a-126d-452a-a4e4-f80b76350b3e"]}],"mendeley":{"formattedCitation":"(Sarbu and Sebarchievici, 2018)","plainTextFormattedCitation":"(Sarbu and Sebarchievici, 2018)","previouslyFormattedCitation":"(Sarbu and Sebarchievici, 2018)"},"properties":{"noteIndex":0},"schema":"https://github.com/citation-style-language/schema/raw/master/csl-citation.json"}</w:instrText>
      </w:r>
      <w:r>
        <w:fldChar w:fldCharType="separate"/>
      </w:r>
      <w:r w:rsidR="002A6A73" w:rsidRPr="002A6A73">
        <w:rPr>
          <w:noProof/>
        </w:rPr>
        <w:t>(Sarbu and Sebarchievici, 2018)</w:t>
      </w:r>
      <w:r>
        <w:fldChar w:fldCharType="end"/>
      </w:r>
      <w:r>
        <w:t xml:space="preserve">. CES has high energy storage densities and low thermal losses, suggesting that it would be a good TES technology to use in a DHN </w:t>
      </w:r>
      <w:r>
        <w:fldChar w:fldCharType="begin" w:fldLock="1"/>
      </w:r>
      <w:r w:rsidR="002A6A73">
        <w:instrText>ADDIN CSL_CITATION {"citationItems":[{"id":"ITEM-1","itemData":{"DOI":"10.1016/j.rser.2014.11.015","ISBN":"1364-0321","ISSN":"13640321","abstract":"Thermal energy storage is a necessary technology for the application of renewable energy and low-grade thermal energy. Chemical heat storage has been proved to be a feasible and promising method to store thermal energy. As compared to other thermal energy storage methods, chemical heat storage exhibits high energy storage density as well as feasibility for long-duration energy storage. In this paper, the basic principle of the chemical heat storage is firstly elaborated. Then the selection criteria of the chemical reaction are given. The aim of this review is to provide an insight into the promising candidate reactions for chemical heat storage application. The associated reversible chemical reactions available for thermal energy storage systems are summarized. Ongoing research and development studies illustrate that chemical heat storage is a very favorable option for the different application when diverse promising candidate reactions are selected. As working temperature is one of the key parameters for thermal energy storage systems, emphasis is given to the judgment of application temperature range for chemical heat storage. The determination of applicative temperature range of reversible chemical reactions is discussed. Besides, the challenge and prospect of the chemical heat storage technology are analyzed in the paper.","author":[{"dropping-particle":"","family":"Yan","given":"T.","non-dropping-particle":"","parse-names":false,"suffix":""},{"dropping-particle":"","family":"Wang","given":"R. Z.","non-dropping-particle":"","parse-names":false,"suffix":""},{"dropping-particle":"","family":"Li","given":"T. X.","non-dropping-particle":"","parse-names":false,"suffix":""},{"dropping-particle":"","family":"Wang","given":"L. W.","non-dropping-particle":"","parse-names":false,"suffix":""},{"dropping-particle":"","family":"Fred","given":"Ishugah T.","non-dropping-particle":"","parse-names":false,"suffix":""}],"container-title":"Renewable and Sustainable Energy Reviews","id":"ITEM-1","issued":{"date-parts":[["2015"]]},"page":"13-31","title":"A review of promising candidate reactions for chemical heat storage","type":"article-journal","volume":"43"},"uris":["http://www.mendeley.com/documents/?uuid=f1a549e3-1903-433d-8a99-ba8c74d9dad2"]}],"mendeley":{"formattedCitation":"(Yan &lt;i&gt;et al.&lt;/i&gt;, 2015)","plainTextFormattedCitation":"(Yan et al., 2015)","previouslyFormattedCitation":"(Yan &lt;i&gt;et al.&lt;/i&gt;, 2015)"},"properties":{"noteIndex":0},"schema":"https://github.com/citation-style-language/schema/raw/master/csl-citation.json"}</w:instrText>
      </w:r>
      <w:r>
        <w:fldChar w:fldCharType="separate"/>
      </w:r>
      <w:r w:rsidR="002A6A73" w:rsidRPr="002A6A73">
        <w:rPr>
          <w:noProof/>
        </w:rPr>
        <w:t xml:space="preserve">(Yan </w:t>
      </w:r>
      <w:r w:rsidR="002A6A73" w:rsidRPr="002A6A73">
        <w:rPr>
          <w:i/>
          <w:noProof/>
        </w:rPr>
        <w:t>et al.</w:t>
      </w:r>
      <w:r w:rsidR="002A6A73" w:rsidRPr="002A6A73">
        <w:rPr>
          <w:noProof/>
        </w:rPr>
        <w:t>, 2015)</w:t>
      </w:r>
      <w:r>
        <w:fldChar w:fldCharType="end"/>
      </w:r>
      <w:r>
        <w:t>. However, the use of CES in DH is limited by a number of reasons. A large range of the chemical reactions used present safety concerns and have complex reaction processes that require careful operation. CES requires the use of highly specific catalysts, which can significantly increase the costs of the system. Generally speaking, CES systems can be characterised by large investment costs and low efficiencies.</w:t>
      </w:r>
    </w:p>
    <w:p w14:paraId="05275E93" w14:textId="77777777" w:rsidR="000F16EB" w:rsidRDefault="000F16EB" w:rsidP="000F16EB">
      <w:pPr>
        <w:pStyle w:val="Heading6"/>
      </w:pPr>
      <w:r>
        <w:lastRenderedPageBreak/>
        <w:t>Hot Water Tank Thermal Energy Storage</w:t>
      </w:r>
    </w:p>
    <w:p w14:paraId="5263E731" w14:textId="3F108317" w:rsidR="000F16EB" w:rsidRDefault="000F16EB" w:rsidP="000F16EB">
      <w:r>
        <w:t xml:space="preserve">HWT based TES is used as it takes advantage of water being both the HTF and the storage medium in a DHN </w:t>
      </w:r>
      <w:r>
        <w:fldChar w:fldCharType="begin" w:fldLock="1"/>
      </w:r>
      <w:r w:rsidR="00FF4B5D">
        <w:instrText>ADDIN CSL_CITATION {"citationItems":[{"id":"ITEM-1","itemData":{"DOI":"10.1016/j.enconman.2014.07.022","ISBN":"0196-8904","ISSN":"01968904","abstract":"Reducing carbon emissions from buildings is vital to achieve goals for avoiding dangerous climate change, and supplying them with low-carbon heat is essential. In the UK, the development of heat networks for supplying low-carbon heat is being encouraged for urban areas where there is high heat demand density. This paper investigates heat demand variability, the role of heat networks and combined heat and power (CHP) in satisfying this demand, and finally the advantages of using heat storage in the system. Building heat demands from 50 buildings were analysed at a half-hour resolution with modelling to determine CHP operation patterns with and without heat storage. Daily total heat demand was found to vary from 25% of the full-year average in summer months up to 235% of the average on the coldest days in winter. The heat demand was shown to correlate to outdoor temperatures measured with the degree-day parameter, except for approximately 100 days during the warmest part of the year falling outside the heating season. Sharp spikes in heat demand were seen at the half-hourly time scale coinciding with the switching on of heating systems in some buildings with consequences for building energy supply options. It was shown that for an annual heat demand of 40,000 MW h, the use of thermal storage can significantly increase the running time of a CHP energy centre with 4 MW capacity designed to supply this demand. The cost savings resulting from increased on-site heat and electricity production resulted in a payback period for heat storage investment of under four years with further benefits if it can assist other heat sources on the heat network. Environmental advantages of using heat storage included further carbon dioxide emission reductions of 1000-1500 tonnes per year depending upon the CHP configuration. ?? 2014 Elsevier Ltd. All rights reserved.","author":[{"dropping-particle":"","family":"Raine","given":"Robert D.","non-dropping-particle":"","parse-names":false,"suffix":""},{"dropping-particle":"","family":"Sharifi","given":"Vida N.","non-dropping-particle":"","parse-names":false,"suffix":""},{"dropping-particle":"","family":"Swithenbank","given":"Jim","non-dropping-particle":"","parse-names":false,"suffix":""}],"container-title":"Energy Conversion and Management","id":"ITEM-1","issued":{"date-parts":[["2014"]]},"page":"164-174","publisher":"Elsevier Ltd","title":"Optimisation of combined heat and power production for buildings using heat storage","type":"article-journal","volume":"87"},"uris":["http://www.mendeley.com/documents/?uuid=4966985d-d2df-489f-9d6f-6c5b6e16040a"]}],"mendeley":{"formattedCitation":"(Raine &lt;i&gt;et al.&lt;/i&gt;, 2014)","plainTextFormattedCitation":"(Raine et al., 2014)","previouslyFormattedCitation":"(Raine &lt;i&gt;et al.&lt;/i&gt;, 2014)"},"properties":{"noteIndex":0},"schema":"https://github.com/citation-style-language/schema/raw/master/csl-citation.json"}</w:instrText>
      </w:r>
      <w:r>
        <w:fldChar w:fldCharType="separate"/>
      </w:r>
      <w:r w:rsidR="005F544E" w:rsidRPr="005F544E">
        <w:rPr>
          <w:noProof/>
        </w:rPr>
        <w:t xml:space="preserve">(Raine </w:t>
      </w:r>
      <w:r w:rsidR="005F544E" w:rsidRPr="005F544E">
        <w:rPr>
          <w:i/>
          <w:noProof/>
        </w:rPr>
        <w:t>et al.</w:t>
      </w:r>
      <w:r w:rsidR="005F544E" w:rsidRPr="005F544E">
        <w:rPr>
          <w:noProof/>
        </w:rPr>
        <w:t>, 2014)</w:t>
      </w:r>
      <w:r>
        <w:fldChar w:fldCharType="end"/>
      </w:r>
      <w:r>
        <w:t xml:space="preserve">. Using water for both mediums allows the TES system to be charged and discharged quickly and efficiently. In addition, water is inexpensive, has a high thermal capacity and minimal safety issues. </w:t>
      </w:r>
    </w:p>
    <w:p w14:paraId="5DA91683" w14:textId="35A0E29B" w:rsidR="000F16EB" w:rsidRDefault="000F16EB" w:rsidP="000F16EB">
      <w:r>
        <w:t xml:space="preserve">Bogdan and </w:t>
      </w:r>
      <w:r w:rsidRPr="00D920FD">
        <w:rPr>
          <w:noProof/>
        </w:rPr>
        <w:t>Kopjar</w:t>
      </w:r>
      <w:r>
        <w:t xml:space="preserve">  assessed the economic performance of a HWT-based TES system with the </w:t>
      </w:r>
      <w:proofErr w:type="spellStart"/>
      <w:r w:rsidRPr="0043327D">
        <w:t>Elektrana-Toplana</w:t>
      </w:r>
      <w:proofErr w:type="spellEnd"/>
      <w:r w:rsidRPr="0043327D">
        <w:t xml:space="preserve"> Zagreb </w:t>
      </w:r>
      <w:r>
        <w:t>CHP unit</w:t>
      </w:r>
      <w:r w:rsidR="00FF4B5D">
        <w:t xml:space="preserve"> </w:t>
      </w:r>
      <w:r w:rsidR="00FF4B5D">
        <w:fldChar w:fldCharType="begin" w:fldLock="1"/>
      </w:r>
      <w:r w:rsidR="00FF4B5D">
        <w:instrText>ADDIN CSL_CITATION {"citationItems":[{"id":"ITEM-1","itemData":{"DOI":"10.1016/j.energy.2006.01.012","ISSN":"03605442","abstract":"The optimisation code ACOM (Advanced Cogeneration Optimisation Model) is used with purpose of assessing influence of the district heat accumulator on the Elektrana-Toplana (EL-TO) Zagreb cogeneration plant economic performance. The plant supplies hot water for district heating, steam for industry and electric power. It is possible to achieve economic benefits by charging the accumulator during the day time, when the electricity price is high, and by releasing district heat during cheap night hours, when other parts of equipment may be shut down. The consequences of this strategy are the decrease of total annual electricity production and fuel consumption, whereby the savings of some 1.8 mil Euro/a are achieved with the reduction of CO2 emission by about 23,000 t/a or 6.4% and SOx by about 200 t/a or 16.9%. © 2006 Elsevier Ltd. All rights reserved.","author":[{"dropping-particle":"","family":"Bogdan","given":"Željko","non-dropping-particle":"","parse-names":false,"suffix":""},{"dropping-particle":"","family":"Kopjar","given":"Damir","non-dropping-particle":"","parse-names":false,"suffix":""}],"container-title":"Energy","id":"ITEM-1","issue":"13","issued":{"date-parts":[["2006"]]},"page":"1949-1956","title":"Improvement of the cogeneration plant economy by using heat accumulator","type":"article-journal","volume":"31"},"uris":["http://www.mendeley.com/documents/?uuid=d71dac0c-c1e7-40a3-a8ad-a3b652ad5b15"]}],"mendeley":{"formattedCitation":"(Bogdan and Kopjar, 2006)","plainTextFormattedCitation":"(Bogdan and Kopjar, 2006)","previouslyFormattedCitation":"(Bogdan and Kopjar, 2006)"},"properties":{"noteIndex":0},"schema":"https://github.com/citation-style-language/schema/raw/master/csl-citation.json"}</w:instrText>
      </w:r>
      <w:r w:rsidR="00FF4B5D">
        <w:fldChar w:fldCharType="separate"/>
      </w:r>
      <w:r w:rsidR="00FF4B5D" w:rsidRPr="002A6A73">
        <w:rPr>
          <w:noProof/>
        </w:rPr>
        <w:t>(Bogdan and Kopjar, 2006)</w:t>
      </w:r>
      <w:r w:rsidR="00FF4B5D">
        <w:fldChar w:fldCharType="end"/>
      </w:r>
      <w:r>
        <w:t>. It was shown that the HWT reduced the associated CO</w:t>
      </w:r>
      <w:r>
        <w:rPr>
          <w:vertAlign w:val="subscript"/>
        </w:rPr>
        <w:t>2</w:t>
      </w:r>
      <w:r>
        <w:t xml:space="preserve">e emissions by decoupling the heat and electricity demands and allowing the CHP unit to operate on an electricity led schedule. </w:t>
      </w:r>
      <w:r w:rsidRPr="00D920FD">
        <w:rPr>
          <w:noProof/>
        </w:rPr>
        <w:t xml:space="preserve">Noussan </w:t>
      </w:r>
      <w:r w:rsidRPr="00FF4B5D">
        <w:rPr>
          <w:i/>
        </w:rPr>
        <w:t>et al</w:t>
      </w:r>
      <w:r>
        <w:t>. showed that a HWT based TES system could improve the overall system efficiency of a biomass based CHP unit by 8.6%</w:t>
      </w:r>
      <w:r w:rsidR="00FF4B5D">
        <w:t xml:space="preserve"> </w:t>
      </w:r>
      <w:r w:rsidR="00FF4B5D">
        <w:fldChar w:fldCharType="begin" w:fldLock="1"/>
      </w:r>
      <w:r w:rsidR="00FF4B5D">
        <w:instrText>ADDIN CSL_CITATION {"citationItems":[{"id":"ITEM-1","itemData":{"DOI":"10.1016/j.energy.2017.04.079","ISSN":"0360-5442","author":[{"dropping-particle":"","family":"Noussan","given":"Michel","non-dropping-particle":"","parse-names":false,"suffix":""},{"dropping-particle":"","family":"Jarre","given":"Matteo","non-dropping-particle":"","parse-names":false,"suffix":""},{"dropping-particle":"","family":"Poggio","given":"Alberto","non-dropping-particle":"","parse-names":false,"suffix":""}],"container-title":"Energy","id":"ITEM-1","issued":{"date-parts":[["2017"]]},"page":"70-78","publisher":"Elsevier Ltd","title":"Real operation data analysis on district heating load patterns","type":"article-journal","volume":"129"},"uris":["http://www.mendeley.com/documents/?uuid=1eb84c5d-3aa7-4c60-9560-ecc98fb46631"]}],"mendeley":{"formattedCitation":"(Noussan &lt;i&gt;et al.&lt;/i&gt;, 2017)","plainTextFormattedCitation":"(Noussan et al., 2017)","previouslyFormattedCitation":"(Noussan &lt;i&gt;et al.&lt;/i&gt;, 2017)"},"properties":{"noteIndex":0},"schema":"https://github.com/citation-style-language/schema/raw/master/csl-citation.json"}</w:instrText>
      </w:r>
      <w:r w:rsidR="00FF4B5D">
        <w:fldChar w:fldCharType="separate"/>
      </w:r>
      <w:r w:rsidR="00FF4B5D" w:rsidRPr="005F544E">
        <w:rPr>
          <w:noProof/>
        </w:rPr>
        <w:t xml:space="preserve">(Noussan </w:t>
      </w:r>
      <w:r w:rsidR="00FF4B5D" w:rsidRPr="005F544E">
        <w:rPr>
          <w:i/>
          <w:noProof/>
        </w:rPr>
        <w:t>et al.</w:t>
      </w:r>
      <w:r w:rsidR="00FF4B5D" w:rsidRPr="005F544E">
        <w:rPr>
          <w:noProof/>
        </w:rPr>
        <w:t>, 2017)</w:t>
      </w:r>
      <w:r w:rsidR="00FF4B5D">
        <w:fldChar w:fldCharType="end"/>
      </w:r>
      <w:r>
        <w:t xml:space="preserve">. </w:t>
      </w:r>
      <w:r w:rsidRPr="00D920FD">
        <w:rPr>
          <w:noProof/>
        </w:rPr>
        <w:t xml:space="preserve">Haeseldonckx </w:t>
      </w:r>
      <w:r w:rsidRPr="00FF4B5D">
        <w:rPr>
          <w:i/>
        </w:rPr>
        <w:t>et al</w:t>
      </w:r>
      <w:r>
        <w:t>. investigated the use of HWT based TES and CHP in a DHN</w:t>
      </w:r>
      <w:r w:rsidR="00FF4B5D">
        <w:t xml:space="preserve"> </w:t>
      </w:r>
      <w:r w:rsidR="00FF4B5D">
        <w:fldChar w:fldCharType="begin" w:fldLock="1"/>
      </w:r>
      <w:r w:rsidR="00FF4B5D">
        <w:instrText>ADDIN CSL_CITATION {"citationItems":[{"id":"ITEM-1","itemData":{"DOI":"10.1016/j.rser.2005.09.004","ISBN":"1364-0321","ISSN":"13640321","abstract":"When evaluating the environmental impact of small-scale cogeneration facilities, two important boundary conditions are often overlooked. Firstly, cogeneration units are mostly considered as stand-alone facilities, although, in reality, they will be part of a system that may also contain a thermal-storage tank and back-up boiler. Secondly, usually mainly static and simplified methods are used to calculate the possible reduction of CO2 emissions. In this paper, these issues are discussed in two parts. The dimensioning of cogeneration facilities to fulfil a certain heat demand and the impact of thermal-storage tanks on the operational behaviour of these units are dealt with. It is shown that the use of thermal-storage tanks prolongs the yearly operation time of a CHP facility and allows the cogeneration unit to operate more continuously. Also, it is clarified how to interpret thermal load-duration diagrams in a correct way. Furthermore, the impact of thermal storage on the overall CO2 emissions is investigated. Hereby, the interaction with the expansion of the central power system and the annual use of the cogeneration units are two important parameters. Using a small thermal-storage device causes the net reduction of CO2 emissions, in comparison with a reference scenario without additionally installed cogeneration, to be almost three times higher compared to the case without heat buffer. Finally, it is shown that the operational behaviour of multiple small-scale cogeneration units can be approximated by the behaviour of one large fictitious unit for the determination of the net reduction of CO2 emissions. ?? 2005 Elsevier Ltd. All rights reserved.","author":[{"dropping-particle":"","family":"Haeseldonckx","given":"Dries","non-dropping-particle":"","parse-names":false,"suffix":""},{"dropping-particle":"","family":"Peeters","given":"Leen","non-dropping-particle":"","parse-names":false,"suffix":""},{"dropping-particle":"","family":"Helsen","given":"Lieve","non-dropping-particle":"","parse-names":false,"suffix":""},{"dropping-particle":"","family":"D'haeseleer","given":"William","non-dropping-particle":"","parse-names":false,"suffix":""}],"container-title":"Renewable and Sustainable Energy Reviews","id":"ITEM-1","issue":"6","issued":{"date-parts":[["2007"]]},"page":"1227-1243","title":"The impact of thermal storage on the operational behaviour of residential CHP facilities and the overall CO2 emissions","type":"article-journal","volume":"11"},"uris":["http://www.mendeley.com/documents/?uuid=ff6533d9-0e86-49ea-ae1e-c8430b5760ee"]}],"mendeley":{"formattedCitation":"(Haeseldonckx &lt;i&gt;et al.&lt;/i&gt;, 2007)","plainTextFormattedCitation":"(Haeseldonckx et al., 2007)","previouslyFormattedCitation":"(Haeseldonckx &lt;i&gt;et al.&lt;/i&gt;, 2007)"},"properties":{"noteIndex":0},"schema":"https://github.com/citation-style-language/schema/raw/master/csl-citation.json"}</w:instrText>
      </w:r>
      <w:r w:rsidR="00FF4B5D">
        <w:fldChar w:fldCharType="separate"/>
      </w:r>
      <w:r w:rsidR="00FF4B5D" w:rsidRPr="002A6A73">
        <w:rPr>
          <w:noProof/>
        </w:rPr>
        <w:t xml:space="preserve">(Haeseldonckx </w:t>
      </w:r>
      <w:r w:rsidR="00FF4B5D" w:rsidRPr="002A6A73">
        <w:rPr>
          <w:i/>
          <w:noProof/>
        </w:rPr>
        <w:t>et al.</w:t>
      </w:r>
      <w:r w:rsidR="00FF4B5D" w:rsidRPr="002A6A73">
        <w:rPr>
          <w:noProof/>
        </w:rPr>
        <w:t>, 2007)</w:t>
      </w:r>
      <w:r w:rsidR="00FF4B5D">
        <w:fldChar w:fldCharType="end"/>
      </w:r>
      <w:r>
        <w:t>. It was shown that the CHP and TES improved the DHN efficiency, but only when two important criteria were met. Firstly, both the CHP unit and the TES system should be modelled as part of the DHN, rather than standalone systems. Secondly, the modelling should be based on dynamic methods.</w:t>
      </w:r>
    </w:p>
    <w:p w14:paraId="3AD193CE" w14:textId="77777777" w:rsidR="000F16EB" w:rsidRDefault="000F16EB" w:rsidP="000F16EB">
      <w:pPr>
        <w:pStyle w:val="Heading6"/>
      </w:pPr>
      <w:r>
        <w:t>Thermal Energy Storage Utilising the Thermal Inertia of the Buildings on the Network</w:t>
      </w:r>
    </w:p>
    <w:p w14:paraId="1520151D" w14:textId="3DDAD3D8" w:rsidR="000F16EB" w:rsidRDefault="000F16EB" w:rsidP="000F16EB">
      <w:r>
        <w:t xml:space="preserve">It is possible to store TE utilising the thermal inertia of the buildings connected to a DHN. To do so, demand side management (DSM) measures are needed to change the internal temperature of the building overheating the building to store TE </w:t>
      </w:r>
      <w:r>
        <w:fldChar w:fldCharType="begin" w:fldLock="1"/>
      </w:r>
      <w:r w:rsidR="002A6A73">
        <w:instrText>ADDIN CSL_CITATION {"citationItems":[{"id":"ITEM-1","itemData":{"author":[{"dropping-particle":"","family":"Ingvarson","given":"L C Olsson","non-dropping-particle":"","parse-names":false,"suffix":""},{"dropping-particle":"","family":"Werner","given":"S","non-dropping-particle":"","parse-names":false,"suffix":""}],"container-title":"The 11th International Symposium on District Heating and Cooling","id":"ITEM-1","issued":{"date-parts":[["2008"]]},"publisher-place":"Reykjavik, Iceland","title":"Building mass used as short term heat storage","type":"paper-conference"},"uris":["http://www.mendeley.com/documents/?uuid=1df3c7e1-8a44-4a1a-953b-89532a455c51"]}],"mendeley":{"formattedCitation":"(Ingvarson and Werner, 2008)","plainTextFormattedCitation":"(Ingvarson and Werner, 2008)","previouslyFormattedCitation":"(Ingvarson and Werner, 2008)"},"properties":{"noteIndex":0},"schema":"https://github.com/citation-style-language/schema/raw/master/csl-citation.json"}</w:instrText>
      </w:r>
      <w:r>
        <w:fldChar w:fldCharType="separate"/>
      </w:r>
      <w:r w:rsidR="002A6A73" w:rsidRPr="002A6A73">
        <w:rPr>
          <w:noProof/>
        </w:rPr>
        <w:t>(Ingvarson and Werner, 2008)</w:t>
      </w:r>
      <w:r>
        <w:fldChar w:fldCharType="end"/>
      </w:r>
      <w:r>
        <w:t xml:space="preserve">. The TE is effectively released during periods of under heating, otherwise referred to as periods of heating shut-off. The temperature change should be limited to no more than </w:t>
      </w:r>
      <w:r w:rsidR="00C36B79">
        <w:t>± 0.5</w:t>
      </w:r>
      <w:r>
        <w:t xml:space="preserve"> °C to maintain thermal comfort inside the buildings. The advantage of storing TE in the thermal inertia of the buildings is that no additional, expensive infrastructure is needed; only simple, DSM based controls are needed, costing a maximum of </w:t>
      </w:r>
      <w:r w:rsidR="00527AD2">
        <w:t xml:space="preserve">£225 </w:t>
      </w:r>
      <w:r>
        <w:t xml:space="preserve">per house </w:t>
      </w:r>
      <w:r>
        <w:fldChar w:fldCharType="begin" w:fldLock="1"/>
      </w:r>
      <w:r w:rsidR="002A6A73">
        <w:instrText>ADDIN CSL_CITATION {"citationItems":[{"id":"ITEM-1","itemData":{"DOI":"10.1016/j.energy.2018.04.093","ISSN":"03605442","author":[{"dropping-particle":"","family":"Dominković","given":"D.F.","non-dropping-particle":"","parse-names":false,"suffix":""},{"dropping-particle":"","family":"Gianniou","given":"P.","non-dropping-particle":"","parse-names":false,"suffix":""},{"dropping-particle":"","family":"Münster","given":"M.","non-dropping-particle":"","parse-names":false,"suffix":""},{"dropping-particle":"","family":"Heller","given":"A.","non-dropping-particle":"","parse-names":false,"suffix":""},{"dropping-particle":"","family":"Rode","given":"C.","non-dropping-particle":"","parse-names":false,"suffix":""}],"container-title":"Energy","id":"ITEM-1","issued":{"date-parts":[["2018"]]},"title":"Utilizing thermal building mass for storage in district heating systems: combined building level simulations and system level optimization","type":"article-journal","volume":"153"},"uris":["http://www.mendeley.com/documents/?uuid=7b9aa445-96ee-4117-a077-d3af63c506e0"]}],"mendeley":{"formattedCitation":"(Dominković &lt;i&gt;et al.&lt;/i&gt;, 2018)","plainTextFormattedCitation":"(Dominković et al., 2018)","previouslyFormattedCitation":"(Dominković &lt;i&gt;et al.&lt;/i&gt;, 2018)"},"properties":{"noteIndex":0},"schema":"https://github.com/citation-style-language/schema/raw/master/csl-citation.json"}</w:instrText>
      </w:r>
      <w:r>
        <w:fldChar w:fldCharType="separate"/>
      </w:r>
      <w:r w:rsidR="002A6A73" w:rsidRPr="002A6A73">
        <w:rPr>
          <w:noProof/>
        </w:rPr>
        <w:t xml:space="preserve">(Dominković </w:t>
      </w:r>
      <w:r w:rsidR="002A6A73" w:rsidRPr="002A6A73">
        <w:rPr>
          <w:i/>
          <w:noProof/>
        </w:rPr>
        <w:t>et al.</w:t>
      </w:r>
      <w:r w:rsidR="002A6A73" w:rsidRPr="002A6A73">
        <w:rPr>
          <w:noProof/>
        </w:rPr>
        <w:t>, 2018)</w:t>
      </w:r>
      <w:r>
        <w:fldChar w:fldCharType="end"/>
      </w:r>
      <w:r>
        <w:t xml:space="preserve">. </w:t>
      </w:r>
    </w:p>
    <w:p w14:paraId="0AD6B3C2" w14:textId="62D012D8" w:rsidR="000F16EB" w:rsidRDefault="000F16EB" w:rsidP="000F16EB">
      <w:r>
        <w:t xml:space="preserve">To store energy in the thermal inertia of the buildings consideration must be made to the thermal mass of the building and the interaction between the thermal mass and the heating system. Reynders </w:t>
      </w:r>
      <w:r w:rsidRPr="00FF4B5D">
        <w:rPr>
          <w:i/>
        </w:rPr>
        <w:t>et al</w:t>
      </w:r>
      <w:r>
        <w:t xml:space="preserve">. modelled single family dwellings with electrical heating systems in </w:t>
      </w:r>
      <w:proofErr w:type="spellStart"/>
      <w:r>
        <w:t>Modelica</w:t>
      </w:r>
      <w:proofErr w:type="spellEnd"/>
      <w:r>
        <w:t xml:space="preserve"> to study the abilities of buildings to store TE using their thermal mass</w:t>
      </w:r>
      <w:r w:rsidR="00FF4B5D">
        <w:t xml:space="preserve"> </w:t>
      </w:r>
      <w:r w:rsidR="00FF4B5D">
        <w:fldChar w:fldCharType="begin" w:fldLock="1"/>
      </w:r>
      <w:r w:rsidR="00FF4B5D">
        <w:instrText>ADDIN CSL_CITATION {"citationItems":[{"id":"ITEM-1","itemData":{"DOI":"10.1016/j.buildenv.2013.03.010","ISBN":"0360-1323","ISSN":"03601323","PMID":"89247992","abstract":"In order to avoid grid instability and decreasing production efficiencies of large power plants due to a widespread integration of renewable electricity production, demand-side management (DSM) is proposed as a solution to overcome the possible mismatch between demand and supply. This research evaluates the potential to improve the balance between the electricity use for heating and local electricity production of a nearly zero energy building (nZEB), by active use of structural thermal storage capacity of the building.To quantify the DSM potential of structural thermal storage, the cover factors and peak electricity demand of a single family dwelling equipped with a photovoltaic (PV) system are chosen. Detailed representations of the PV system and the dwelling itself, heated by an air-water heat pump, are implemented in the modeling environment of Modelica and simulated for the heating-dominated climate of Belgium. The influence of the insulation level and the embedded thermal mass of the construction on the DSM potential is evaluated. The impact of the heat emission system is estimated by comparing a floor heating system with a radiator emission system.Results show that although the influence on the cover factors is limited, the use of the structural storage capacity for demand-side management shows strong potential to shift the peak electricity use for heating to off-peak hours. Furthermore, it is shown that not only the availability of the thermal mass, but also the interaction between the heating system and the thermal mass is of significant importance. © 2013 Elsevier Ltd.","author":[{"dropping-particle":"","family":"Reynders","given":"G.","non-dropping-particle":"","parse-names":false,"suffix":""},{"dropping-particle":"","family":"Nuytten","given":"T.","non-dropping-particle":"","parse-names":false,"suffix":""},{"dropping-particle":"","family":"Saelens","given":"D.","non-dropping-particle":"","parse-names":false,"suffix":""}],"container-title":"Building and Environment","id":"ITEM-1","issued":{"date-parts":[["2013"]]},"page":"187-199","publisher":"Elsevier Ltd","title":"Potential of structural thermal mass for demand-side management in dwellings","type":"article-journal","volume":"64"},"uris":["http://www.mendeley.com/documents/?uuid=d203a0b5-d766-4882-a1f3-defbe76ffe98"]}],"mendeley":{"formattedCitation":"(Reynders &lt;i&gt;et al.&lt;/i&gt;, 2013)","plainTextFormattedCitation":"(Reynders et al., 2013)","previouslyFormattedCitation":"(Reynders &lt;i&gt;et al.&lt;/i&gt;, 2013)"},"properties":{"noteIndex":0},"schema":"https://github.com/citation-style-language/schema/raw/master/csl-citation.json"}</w:instrText>
      </w:r>
      <w:r w:rsidR="00FF4B5D">
        <w:fldChar w:fldCharType="separate"/>
      </w:r>
      <w:r w:rsidR="00FF4B5D" w:rsidRPr="005F544E">
        <w:rPr>
          <w:noProof/>
        </w:rPr>
        <w:t xml:space="preserve">(Reynders </w:t>
      </w:r>
      <w:r w:rsidR="00FF4B5D" w:rsidRPr="005F544E">
        <w:rPr>
          <w:i/>
          <w:noProof/>
        </w:rPr>
        <w:t>et al.</w:t>
      </w:r>
      <w:r w:rsidR="00FF4B5D" w:rsidRPr="005F544E">
        <w:rPr>
          <w:noProof/>
        </w:rPr>
        <w:t>, 2013)</w:t>
      </w:r>
      <w:r w:rsidR="00FF4B5D">
        <w:fldChar w:fldCharType="end"/>
      </w:r>
      <w:r>
        <w:t xml:space="preserve">. It was found that the TES in the thermal inertia of the buildings could reduce the electrical heating demand by 75 – 94%, but only in buildings with adequate levels of thermal insulation. Trying to store TE in the thermal inertia of buildings without adequate levels of thermal insulation merely resulted in wasted energy. </w:t>
      </w:r>
    </w:p>
    <w:p w14:paraId="69BAD21F" w14:textId="2B8B303D" w:rsidR="000F16EB" w:rsidRDefault="000F16EB" w:rsidP="000F16EB">
      <w:proofErr w:type="spellStart"/>
      <w:r w:rsidRPr="0041368A">
        <w:t>Romanchenko</w:t>
      </w:r>
      <w:proofErr w:type="spellEnd"/>
      <w:r>
        <w:t xml:space="preserve"> </w:t>
      </w:r>
      <w:r w:rsidRPr="00FF4B5D">
        <w:rPr>
          <w:i/>
        </w:rPr>
        <w:t>et al</w:t>
      </w:r>
      <w:r>
        <w:t>. used a techno-economic optimisation methodology to compare the ability to store TE in the thermal inertia of buildings and in a HWT when connected to a DHN</w:t>
      </w:r>
      <w:r w:rsidR="00FF4B5D">
        <w:t xml:space="preserve"> </w:t>
      </w:r>
      <w:r w:rsidR="00FF4B5D">
        <w:fldChar w:fldCharType="begin" w:fldLock="1"/>
      </w:r>
      <w:r w:rsidR="00FF4B5D">
        <w:instrText>ADDIN CSL_CITATION {"citationItems":[{"id":"ITEM-1","itemData":{"DOI":"10.1016/j.enconman.2018.01.068","ISSN":"01968904","abstract":"Heat load variations in district heating systems lead to increased costs for heat generation and, in most cases, increased greenhouse gas emissions associated with the marginal use of fossil fuels. This work investigates the benefits of applying thermal energy storage in district heating systems to decrease heat load variations, comparing storage using a hot water tank and the thermal inertia of buildings (with similar storage capacity). A detailed techno-economic optimisation model is applied to the district heating system of Göteborg, Sweden. The results show that both the hot water tank and the thermal inertia of buildings benefit the operation of the district heating system and have similar dynamics of utilisation. However, compared to the thermal inertia of buildings, the hot water tank stores more than twice as much heat over the modelled year, owing to lower energy losses. For the same reason, only the hot water tank is used to store heat for periods longer than a few days. Furthermore, the hot water tank has its full capacity available for charging/discharging at all times, whereas the capacity of the thermal inertia of buildings depends on the heat transfer between the building core and its indoor air and internals. Finally, the total system yearly operating cost decreases by 1% when the thermal inertia of buildings and by 2% when the hot water tank is added to the district heating system, as compared to the scenario without any storage.","author":[{"dropping-particle":"","family":"Romanchenko","given":"Dmytro","non-dropping-particle":"","parse-names":false,"suffix":""},{"dropping-particle":"","family":"Kensby","given":"Johan","non-dropping-particle":"","parse-names":false,"suffix":""},{"dropping-particle":"","family":"Odenberger","given":"Mikael","non-dropping-particle":"","parse-names":false,"suffix":""},{"dropping-particle":"","family":"Johnsson","given":"Filip","non-dropping-particle":"","parse-names":false,"suffix":""}],"container-title":"Energy Conversion and Management","id":"ITEM-1","issue":"October 2017","issued":{"date-parts":[["2018"]]},"page":"26-38","publisher":"Elsevier","title":"Thermal energy storage in district heating: Centralised storage vs. storage in thermal inertia of buildings","type":"article-journal","volume":"162"},"uris":["http://www.mendeley.com/documents/?uuid=cb395029-5f1e-49b6-ba70-d706084d23e5"]}],"mendeley":{"formattedCitation":"(Romanchenko &lt;i&gt;et al.&lt;/i&gt;, 2018)","plainTextFormattedCitation":"(Romanchenko et al., 2018)","previouslyFormattedCitation":"(Romanchenko &lt;i&gt;et al.&lt;/i&gt;, 2018)"},"properties":{"noteIndex":0},"schema":"https://github.com/citation-style-language/schema/raw/master/csl-citation.json"}</w:instrText>
      </w:r>
      <w:r w:rsidR="00FF4B5D">
        <w:fldChar w:fldCharType="separate"/>
      </w:r>
      <w:r w:rsidR="00FF4B5D" w:rsidRPr="002A6A73">
        <w:rPr>
          <w:noProof/>
        </w:rPr>
        <w:t xml:space="preserve">(Romanchenko </w:t>
      </w:r>
      <w:r w:rsidR="00FF4B5D" w:rsidRPr="002A6A73">
        <w:rPr>
          <w:i/>
          <w:noProof/>
        </w:rPr>
        <w:t>et al.</w:t>
      </w:r>
      <w:r w:rsidR="00FF4B5D" w:rsidRPr="002A6A73">
        <w:rPr>
          <w:noProof/>
        </w:rPr>
        <w:t>, 2018)</w:t>
      </w:r>
      <w:r w:rsidR="00FF4B5D">
        <w:fldChar w:fldCharType="end"/>
      </w:r>
      <w:r>
        <w:t xml:space="preserve">. Both options were shown to be profitable, but the HWT was shown to be the better long-term TES option. </w:t>
      </w:r>
      <w:proofErr w:type="spellStart"/>
      <w:r w:rsidRPr="0041368A">
        <w:t>Romanchenko</w:t>
      </w:r>
      <w:proofErr w:type="spellEnd"/>
      <w:r>
        <w:t xml:space="preserve"> </w:t>
      </w:r>
      <w:r w:rsidRPr="00FF4B5D">
        <w:rPr>
          <w:i/>
        </w:rPr>
        <w:t>et al</w:t>
      </w:r>
      <w:r>
        <w:t>. theorised that the HWT was the better long-term TES option as TES in the thermal inertia of buildings had higher rates of energy losses and was less flexible in operation. The reduced flexibility was theorised to come from difficulties in transferring the TE from the buildings’ heating system to its’ thermal mass.</w:t>
      </w:r>
    </w:p>
    <w:p w14:paraId="3F1BD564" w14:textId="665DC9C8" w:rsidR="000F16EB" w:rsidRDefault="000F16EB" w:rsidP="000F16EB">
      <w:r>
        <w:lastRenderedPageBreak/>
        <w:t xml:space="preserve">The potential for TES and the type of DSM control strategy vary with the type of building. </w:t>
      </w:r>
      <w:r w:rsidRPr="007E42CC">
        <w:rPr>
          <w:noProof/>
        </w:rPr>
        <w:t>Dominković</w:t>
      </w:r>
      <w:r>
        <w:rPr>
          <w:noProof/>
        </w:rPr>
        <w:t xml:space="preserve"> </w:t>
      </w:r>
      <w:r w:rsidRPr="00FF4B5D">
        <w:rPr>
          <w:i/>
          <w:noProof/>
        </w:rPr>
        <w:t>et al</w:t>
      </w:r>
      <w:r>
        <w:rPr>
          <w:noProof/>
        </w:rPr>
        <w:t>. compared the ability of different building archetypes to store TE</w:t>
      </w:r>
      <w:r w:rsidR="00FF4B5D">
        <w:rPr>
          <w:noProof/>
        </w:rPr>
        <w:t xml:space="preserve"> </w:t>
      </w:r>
      <w:r w:rsidR="00FF4B5D">
        <w:fldChar w:fldCharType="begin" w:fldLock="1"/>
      </w:r>
      <w:r w:rsidR="00FF4B5D">
        <w:instrText>ADDIN CSL_CITATION {"citationItems":[{"id":"ITEM-1","itemData":{"DOI":"10.1016/j.energy.2018.04.093","ISSN":"03605442","author":[{"dropping-particle":"","family":"Dominković","given":"D.F.","non-dropping-particle":"","parse-names":false,"suffix":""},{"dropping-particle":"","family":"Gianniou","given":"P.","non-dropping-particle":"","parse-names":false,"suffix":""},{"dropping-particle":"","family":"Münster","given":"M.","non-dropping-particle":"","parse-names":false,"suffix":""},{"dropping-particle":"","family":"Heller","given":"A.","non-dropping-particle":"","parse-names":false,"suffix":""},{"dropping-particle":"","family":"Rode","given":"C.","non-dropping-particle":"","parse-names":false,"suffix":""}],"container-title":"Energy","id":"ITEM-1","issued":{"date-parts":[["2018"]]},"title":"Utilizing thermal building mass for storage in district heating systems: combined building level simulations and system level optimization","type":"article-journal","volume":"153"},"uris":["http://www.mendeley.com/documents/?uuid=7b9aa445-96ee-4117-a077-d3af63c506e0"]}],"mendeley":{"formattedCitation":"(Dominković &lt;i&gt;et al.&lt;/i&gt;, 2018)","plainTextFormattedCitation":"(Dominković et al., 2018)","previouslyFormattedCitation":"(Dominković &lt;i&gt;et al.&lt;/i&gt;, 2018)"},"properties":{"noteIndex":0},"schema":"https://github.com/citation-style-language/schema/raw/master/csl-citation.json"}</w:instrText>
      </w:r>
      <w:r w:rsidR="00FF4B5D">
        <w:fldChar w:fldCharType="separate"/>
      </w:r>
      <w:r w:rsidR="00FF4B5D" w:rsidRPr="002A6A73">
        <w:rPr>
          <w:noProof/>
        </w:rPr>
        <w:t xml:space="preserve">(Dominković </w:t>
      </w:r>
      <w:r w:rsidR="00FF4B5D" w:rsidRPr="002A6A73">
        <w:rPr>
          <w:i/>
          <w:noProof/>
        </w:rPr>
        <w:t>et al.</w:t>
      </w:r>
      <w:r w:rsidR="00FF4B5D" w:rsidRPr="002A6A73">
        <w:rPr>
          <w:noProof/>
        </w:rPr>
        <w:t>, 2018)</w:t>
      </w:r>
      <w:r w:rsidR="00FF4B5D">
        <w:fldChar w:fldCharType="end"/>
      </w:r>
      <w:r>
        <w:rPr>
          <w:noProof/>
        </w:rPr>
        <w:t>. It was found that newer, better insulated buildings could survive longer periods of heating shut-off, as more TE was stored. It was also found that the longer the period of preheating, and the more TE that was stored in the buildings’ thermal inertia, the longer the period of heating shut-off could be</w:t>
      </w:r>
      <w:r>
        <w:t xml:space="preserve">. </w:t>
      </w:r>
    </w:p>
    <w:p w14:paraId="29D626E9" w14:textId="2D3A5A2E" w:rsidR="000F16EB" w:rsidRDefault="000F16EB" w:rsidP="000F16EB">
      <w:r w:rsidRPr="00D920FD">
        <w:rPr>
          <w:noProof/>
        </w:rPr>
        <w:t>Kensby</w:t>
      </w:r>
      <w:r>
        <w:t xml:space="preserve"> </w:t>
      </w:r>
      <w:r w:rsidRPr="00FF4B5D">
        <w:rPr>
          <w:i/>
        </w:rPr>
        <w:t>et al</w:t>
      </w:r>
      <w:r>
        <w:t>. compared the ability of different building types to store TE, finding that heavier buildings, with large concrete cores, could store more TE</w:t>
      </w:r>
      <w:r w:rsidR="00FF4B5D">
        <w:t xml:space="preserve"> </w:t>
      </w:r>
      <w:r w:rsidR="00FF4B5D">
        <w:fldChar w:fldCharType="begin" w:fldLock="1"/>
      </w:r>
      <w:r w:rsidR="00FF4B5D">
        <w:instrText>ADDIN CSL_CITATION {"citationItems":[{"id":"ITEM-1","itemData":{"DOI":"10.1016/j.apenergy.2014.07.026","ISSN":"03062619","abstract":"Heat demand in a district heating system can have a significant variation within 1day, which produces problematic conditions for efficient heat generation. Short-term thermal energy storage can decrease this daily variation and make the conditions for generating heat more favorable. By periodically overheating and underheating buildings, causing small variations in indoor temperature, building thermal inertia can be utilized for thermal energy storage. This study presents the results from a pilot test where the potential to function as thermal energy storage was tested for five multifamily residential buildings in Gothenburg, Sweden. The signals from the outdoor temperature sensors were adjusted in different cycles during a total of 52weeks. The delivered heat and indoor temperature were measured during the test. The results indicate that heavy buildings, with a structural core of concrete, can tolerate relatively large variations in heat deliveries while still maintaining a good indoor climate. The study also demonstrated that a fixed time constant is not accurate enough to describe the variations in indoor temperature caused by the utilization of the buildings as short-term thermal energy storage. Degree hours is instead proposed as a simple yet adequate measurement for the thermal energy storage capacity in buildings. Storing 0.1kWh/m2floor area of heat will very rarely cause variations in indoor temperature larger than ±0.5°C in a heavy building.","author":[{"dropping-particle":"","family":"Kensby","given":"Johan","non-dropping-particle":"","parse-names":false,"suffix":""},{"dropping-particle":"","family":"Trüschel","given":"Anders","non-dropping-particle":"","parse-names":false,"suffix":""},{"dropping-particle":"","family":"Dalenbäck","given":"Jan Olof","non-dropping-particle":"","parse-names":false,"suffix":""}],"container-title":"Applied Energy","id":"ITEM-1","issued":{"date-parts":[["2015"]]},"page":"773-781","publisher":"Elsevier Ltd","title":"Potential of residential buildings as thermal energy storage in district heating systems - Results from a pilot test","type":"article-journal","volume":"137"},"uris":["http://www.mendeley.com/documents/?uuid=55db3604-10a2-4a05-9da3-f13d6496e0b7"]}],"mendeley":{"formattedCitation":"(Kensby &lt;i&gt;et al.&lt;/i&gt;, 2015)","plainTextFormattedCitation":"(Kensby et al., 2015)","previouslyFormattedCitation":"(Kensby &lt;i&gt;et al.&lt;/i&gt;, 2015)"},"properties":{"noteIndex":0},"schema":"https://github.com/citation-style-language/schema/raw/master/csl-citation.json"}</w:instrText>
      </w:r>
      <w:r w:rsidR="00FF4B5D">
        <w:fldChar w:fldCharType="separate"/>
      </w:r>
      <w:r w:rsidR="00FF4B5D" w:rsidRPr="005F544E">
        <w:rPr>
          <w:noProof/>
        </w:rPr>
        <w:t xml:space="preserve">(Kensby </w:t>
      </w:r>
      <w:r w:rsidR="00FF4B5D" w:rsidRPr="005F544E">
        <w:rPr>
          <w:i/>
          <w:noProof/>
        </w:rPr>
        <w:t>et al.</w:t>
      </w:r>
      <w:r w:rsidR="00FF4B5D" w:rsidRPr="005F544E">
        <w:rPr>
          <w:noProof/>
        </w:rPr>
        <w:t>, 2015)</w:t>
      </w:r>
      <w:r w:rsidR="00FF4B5D">
        <w:fldChar w:fldCharType="end"/>
      </w:r>
      <w:r>
        <w:t>. Heavy buildings were shown to be able to store 0.1 kWh/m</w:t>
      </w:r>
      <w:r>
        <w:rPr>
          <w:vertAlign w:val="superscript"/>
        </w:rPr>
        <w:t>2</w:t>
      </w:r>
      <w:r>
        <w:rPr>
          <w:vertAlign w:val="subscript"/>
        </w:rPr>
        <w:t xml:space="preserve">floor area </w:t>
      </w:r>
      <w:r>
        <w:t xml:space="preserve">of heat without causing internal temperature deviations of greater than ± 0.5 °C. </w:t>
      </w:r>
      <w:r w:rsidR="00FF4B5D">
        <w:t xml:space="preserve">Le </w:t>
      </w:r>
      <w:r w:rsidRPr="00D920FD">
        <w:rPr>
          <w:noProof/>
        </w:rPr>
        <w:t xml:space="preserve">Dréau </w:t>
      </w:r>
      <w:r>
        <w:rPr>
          <w:noProof/>
        </w:rPr>
        <w:t>and</w:t>
      </w:r>
      <w:r w:rsidRPr="00D920FD">
        <w:rPr>
          <w:noProof/>
        </w:rPr>
        <w:t xml:space="preserve"> Heiselberg</w:t>
      </w:r>
      <w:r>
        <w:t xml:space="preserve">  compared the ability of different building types to store TE</w:t>
      </w:r>
      <w:r w:rsidR="00FF4B5D">
        <w:t xml:space="preserve"> </w:t>
      </w:r>
      <w:r w:rsidR="00FF4B5D">
        <w:fldChar w:fldCharType="begin" w:fldLock="1"/>
      </w:r>
      <w:r w:rsidR="00FF4B5D">
        <w:instrText>ADDIN CSL_CITATION {"citationItems":[{"id":"ITEM-1","itemData":{"DOI":"10.1016/j.energy.2016.05.076","ISBN":"0360-5442","ISSN":"03605442","abstract":"The objective of this study is to assess the potential of buildings to modulate the heating power and define simple control strategies to exploit the flexibility potential considering both energy and thermal comfort. Two residential buildings with different levels of insulation and air-tightness have been modelled. This wide range of thermal properties covers the global performance of the residential building stock, and does not only focus on state-of-the-art buildings. Two strategies of modulation have been investigated: heat storage (i.e. increase of set-point) and heat conservation (i.e. decrease of set-point). Additionally, the effect of the time of activation and the type of emitter (radiator or underfloor heating) has been evaluated.A better understanding of the dynamic behaviour of buildings has been achieved in this paper. Contrary to other storage solutions (e.g. battery, hot water tank), the modulation potential of the thermal mass depends on several factors (level of insulation, type of emitter, etc) and varies over time (cold vs. transition season). The autonomy of a poorly-insulated building is relatively short, whereas passive houses have a long time constant. This characteristic implies differences in the control strategy to make use of the flexibility potential without violating comfort.","author":[{"dropping-particle":"","family":"Dréau","given":"J.","non-dropping-particle":"Le","parse-names":false,"suffix":""},{"dropping-particle":"","family":"Heiselberg","given":"P.","non-dropping-particle":"","parse-names":false,"suffix":""}],"container-title":"Energy","id":"ITEM-1","issued":{"date-parts":[["2016"]]},"page":"991-1002","title":"Energy flexibility of residential buildings using short term heat storage in the thermal mass","type":"article-journal","volume":"111"},"uris":["http://www.mendeley.com/documents/?uuid=d3f97c4a-00ab-4a21-9bef-f513d9e30dba"]}],"mendeley":{"formattedCitation":"(Le Dréau and Heiselberg, 2016)","plainTextFormattedCitation":"(Le Dréau and Heiselberg, 2016)","previouslyFormattedCitation":"(Le Dréau and Heiselberg, 2016)"},"properties":{"noteIndex":0},"schema":"https://github.com/citation-style-language/schema/raw/master/csl-citation.json"}</w:instrText>
      </w:r>
      <w:r w:rsidR="00FF4B5D">
        <w:fldChar w:fldCharType="separate"/>
      </w:r>
      <w:r w:rsidR="00FF4B5D" w:rsidRPr="002A6A73">
        <w:rPr>
          <w:noProof/>
        </w:rPr>
        <w:t>(Le Dréau and Heiselberg, 2016)</w:t>
      </w:r>
      <w:r w:rsidR="00FF4B5D">
        <w:fldChar w:fldCharType="end"/>
      </w:r>
      <w:r>
        <w:t xml:space="preserve">. </w:t>
      </w:r>
      <w:r w:rsidR="00FF4B5D">
        <w:t xml:space="preserve">Le </w:t>
      </w:r>
      <w:r w:rsidRPr="00D920FD">
        <w:rPr>
          <w:noProof/>
        </w:rPr>
        <w:t xml:space="preserve">Dréau </w:t>
      </w:r>
      <w:r>
        <w:rPr>
          <w:noProof/>
        </w:rPr>
        <w:t>and</w:t>
      </w:r>
      <w:r w:rsidRPr="00D920FD">
        <w:rPr>
          <w:noProof/>
        </w:rPr>
        <w:t xml:space="preserve"> Heiselberg</w:t>
      </w:r>
      <w:r>
        <w:t xml:space="preserve"> found that poorly insulated buildings could be used to store larger amounts of TE, storing up to 25 kWh/m</w:t>
      </w:r>
      <w:r>
        <w:rPr>
          <w:vertAlign w:val="superscript"/>
        </w:rPr>
        <w:t>2</w:t>
      </w:r>
      <w:r>
        <w:rPr>
          <w:vertAlign w:val="subscript"/>
        </w:rPr>
        <w:t>floor area</w:t>
      </w:r>
      <w:r>
        <w:t xml:space="preserve">, but were unable to store the TE for longer than five hours. By comparison, better insulated buildings could store TE for over 24 hours but could not store the same levels of TE without raising their internal temperature to uncomfortable levels. </w:t>
      </w:r>
      <w:r w:rsidRPr="00D920FD">
        <w:rPr>
          <w:noProof/>
        </w:rPr>
        <w:t xml:space="preserve">Dréau </w:t>
      </w:r>
      <w:r>
        <w:rPr>
          <w:noProof/>
        </w:rPr>
        <w:t>and</w:t>
      </w:r>
      <w:r w:rsidRPr="00D920FD">
        <w:rPr>
          <w:noProof/>
        </w:rPr>
        <w:t xml:space="preserve"> Heiselberg</w:t>
      </w:r>
      <w:r>
        <w:t xml:space="preserve"> concluded that well insulated buildings required complex DSM strategies to avoid overheating.</w:t>
      </w:r>
    </w:p>
    <w:p w14:paraId="179F7A5C" w14:textId="77777777" w:rsidR="000F16EB" w:rsidRDefault="000F16EB" w:rsidP="000F16EB">
      <w:pPr>
        <w:pStyle w:val="Heading6"/>
      </w:pPr>
      <w:r>
        <w:t>Thermal Energy Storage Utilising the Thermal Inertia of the Pipe Network</w:t>
      </w:r>
    </w:p>
    <w:p w14:paraId="5C25DA5C" w14:textId="64F8527F" w:rsidR="000F16EB" w:rsidRDefault="000F16EB" w:rsidP="000F16EB">
      <w:r>
        <w:t xml:space="preserve">Similarly to storing TE in the thermal inertia of buildings, it is possible to store TE utilising the thermal inertia of the pipes in the DHN, using DSM controls </w:t>
      </w:r>
      <w:r>
        <w:fldChar w:fldCharType="begin" w:fldLock="1"/>
      </w:r>
      <w:r w:rsidR="002A6A73">
        <w:instrText>ADDIN CSL_CITATION {"citationItems":[{"id":"ITEM-1","itemData":{"author":[{"dropping-particle":"","family":"Basciotti","given":"Daniele","non-dropping-particle":"","parse-names":false,"suffix":""},{"dropping-particle":"","family":"Judex","given":"Florian","non-dropping-particle":"","parse-names":false,"suffix":""},{"dropping-particle":"","family":"Pol","given":"Olivier","non-dropping-particle":"","parse-names":false,"suffix":""},{"dropping-particle":"","family":"Schmidt","given":"Ralf-roman","non-dropping-particle":"","parse-names":false,"suffix":""}],"container-title":"6th international renewable energy storage conference IRES","id":"ITEM-1","issue":"June","issued":{"date-parts":[["2011"]]},"publisher":"Eurosolar","publisher-place":"Berlin, Germany","title":"Sensible heat storage in district heating networks : a novel control strategy using the network as storage","type":"paper-conference"},"uris":["http://www.mendeley.com/documents/?uuid=706ddf9b-d5cd-480b-bc89-55bc587f4f5d"]}],"mendeley":{"formattedCitation":"(Basciotti &lt;i&gt;et al.&lt;/i&gt;, 2011)","plainTextFormattedCitation":"(Basciotti et al., 2011)","previouslyFormattedCitation":"(Basciotti &lt;i&gt;et al.&lt;/i&gt;, 2011)"},"properties":{"noteIndex":0},"schema":"https://github.com/citation-style-language/schema/raw/master/csl-citation.json"}</w:instrText>
      </w:r>
      <w:r>
        <w:fldChar w:fldCharType="separate"/>
      </w:r>
      <w:r w:rsidR="002A6A73" w:rsidRPr="002A6A73">
        <w:rPr>
          <w:noProof/>
        </w:rPr>
        <w:t xml:space="preserve">(Basciotti </w:t>
      </w:r>
      <w:r w:rsidR="002A6A73" w:rsidRPr="002A6A73">
        <w:rPr>
          <w:i/>
          <w:noProof/>
        </w:rPr>
        <w:t>et al.</w:t>
      </w:r>
      <w:r w:rsidR="002A6A73" w:rsidRPr="002A6A73">
        <w:rPr>
          <w:noProof/>
        </w:rPr>
        <w:t>, 2011)</w:t>
      </w:r>
      <w:r>
        <w:fldChar w:fldCharType="end"/>
      </w:r>
      <w:r>
        <w:t xml:space="preserve">. The TE is stored by increasing the supply temperature of the DHN and it is effectively released by reducing the supply temperature. Utilising the thermal inertia of the pipe network does not require the installation of any new infrastructure and does not require the addition of a new control system per household on the network. Effectively, storing TE in the thermal inertia of the network does not require any additional CAPEX or OPEX, all it requires is a single control loop and a more advanced operating schedule. </w:t>
      </w:r>
    </w:p>
    <w:p w14:paraId="3336EB71" w14:textId="7B6F33AD" w:rsidR="000F16EB" w:rsidRDefault="000F16EB" w:rsidP="000F16EB">
      <w:r>
        <w:t xml:space="preserve">Li </w:t>
      </w:r>
      <w:r w:rsidRPr="00FF4B5D">
        <w:rPr>
          <w:i/>
        </w:rPr>
        <w:t>et al</w:t>
      </w:r>
      <w:r>
        <w:t>. modelled the optimisation of a DHN which used both CHP and renewables as TE sources, using TES in the thermal inertia of the pipe network</w:t>
      </w:r>
      <w:r w:rsidR="00FF4B5D">
        <w:t xml:space="preserve"> </w:t>
      </w:r>
      <w:r w:rsidR="00FF4B5D">
        <w:fldChar w:fldCharType="begin" w:fldLock="1"/>
      </w:r>
      <w:r w:rsidR="00FF4B5D">
        <w:instrText>ADDIN CSL_CITATION {"citationItems":[{"id":"ITEM-1","itemData":{"DOI":"10.1109/TSTE.2015.2467383","ISBN":"1949-3029 VO - 7","ISSN":"19493029","abstract":"—The regional integration of variable wind power could be restricted by a strong coupling of electric power gen-eration dispatch and heat supply of combined heat-and-power (CHP) units. The coupling in cold seasons precludes CHPs from providing the necessary flexibility for managing the wind power dispatch. The lack of flexibility problem can be tackled by exploiting the energy storage capability of a district heating network (DHN) which decouples the strong linkage of electric power and heat supplies. In this paper, a combined heat and power dispatch (CHPD) is formulated to coordinate the operation of electric power system (EPS) and district heating system (DHS). The proposed CHPD model which is solved by an iterative method considers the temperature dynamics of DHN for exploiting energy storage as an option for managing the variability of wind energy. The simulation results are discussed for several test systems to demonstrate the potential benefits of the proposed method in terms of operation economics, wind power utilization, as well as the potential benefits for real systems. Index Terms—Combined heat and power dispatch (CHPD), dis-trict heating system (DHS), energy storage, network-constrained economic dispatch, wind power integration. NOMENCLATURE A. Indices and Sets I bus Set of indices of buses in the electric power network. I CHP Set of indices of combined heat-and-power (CHP) units. I HES Set of indices of heat-exchanger stations. I HS Set of indices of heat stations. I line Set of indices of transmission lines in the electric power network. I nd Set of indices of nodes in the heating network. I pipe Set of indices of pipelines in the heating network. I TU Set of indices of non-CHP thermal units. I wind Set of indices of wind farms.","author":[{"dropping-particle":"","family":"Li","given":"Zhigang","non-dropping-particle":"","parse-names":false,"suffix":""},{"dropping-particle":"","family":"Wu","given":"Wenchuan","non-dropping-particle":"","parse-names":false,"suffix":""},{"dropping-particle":"","family":"Shahidehpour","given":"Mohammad","non-dropping-particle":"","parse-names":false,"suffix":""},{"dropping-particle":"","family":"Wang","given":"Jianhui","non-dropping-particle":"","parse-names":false,"suffix":""},{"dropping-particle":"","family":"Zhang","given":"Boming","non-dropping-particle":"","parse-names":false,"suffix":""}],"container-title":"IEEE Transactions on Sustainable Energy","id":"ITEM-1","issue":"1","issued":{"date-parts":[["2016"]]},"page":"12-22","title":"Combined heat and power dispatch considering pipeline energy storage of district heating network","type":"article-journal","volume":"7"},"uris":["http://www.mendeley.com/documents/?uuid=eb6a69cd-d1dc-4083-9b2e-7b0aac84353b"]}],"mendeley":{"formattedCitation":"(Z. Li &lt;i&gt;et al.&lt;/i&gt;, 2016)","plainTextFormattedCitation":"(Z. Li et al., 2016)","previouslyFormattedCitation":"(Z. Li &lt;i&gt;et al.&lt;/i&gt;, 2016)"},"properties":{"noteIndex":0},"schema":"https://github.com/citation-style-language/schema/raw/master/csl-citation.json"}</w:instrText>
      </w:r>
      <w:r w:rsidR="00FF4B5D">
        <w:fldChar w:fldCharType="separate"/>
      </w:r>
      <w:r w:rsidR="00FF4B5D" w:rsidRPr="002A6A73">
        <w:rPr>
          <w:noProof/>
        </w:rPr>
        <w:t xml:space="preserve">(Z. Li </w:t>
      </w:r>
      <w:r w:rsidR="00FF4B5D" w:rsidRPr="002A6A73">
        <w:rPr>
          <w:i/>
          <w:noProof/>
        </w:rPr>
        <w:t>et al.</w:t>
      </w:r>
      <w:r w:rsidR="00FF4B5D" w:rsidRPr="002A6A73">
        <w:rPr>
          <w:noProof/>
        </w:rPr>
        <w:t>, 2016)</w:t>
      </w:r>
      <w:r w:rsidR="00FF4B5D">
        <w:fldChar w:fldCharType="end"/>
      </w:r>
      <w:r>
        <w:t xml:space="preserve">. The optimisation was done as an iterative process, based around a series of mass and energy balances across the network. The TES in the pipe network increased the flexibility of the system, allowing for a greater utilisation of the renewable based wind TE. </w:t>
      </w:r>
      <w:r w:rsidRPr="00D920FD">
        <w:rPr>
          <w:noProof/>
        </w:rPr>
        <w:t>Basciotti</w:t>
      </w:r>
      <w:r>
        <w:t xml:space="preserve"> </w:t>
      </w:r>
      <w:r w:rsidRPr="00FF4B5D">
        <w:rPr>
          <w:i/>
        </w:rPr>
        <w:t>et al</w:t>
      </w:r>
      <w:r>
        <w:t>. modelled a proposed control strategy for storing TE in the thermal inertia of a pipe network, using a single control loop to vary the supply temperature of the DHN</w:t>
      </w:r>
      <w:r w:rsidR="00FF4B5D">
        <w:t xml:space="preserve"> </w:t>
      </w:r>
      <w:r w:rsidR="00FF4B5D">
        <w:fldChar w:fldCharType="begin" w:fldLock="1"/>
      </w:r>
      <w:r w:rsidR="00FF4B5D">
        <w:instrText>ADDIN CSL_CITATION {"citationItems":[{"id":"ITEM-1","itemData":{"author":[{"dropping-particle":"","family":"Basciotti","given":"Daniele","non-dropping-particle":"","parse-names":false,"suffix":""},{"dropping-particle":"","family":"Judex","given":"Florian","non-dropping-particle":"","parse-names":false,"suffix":""},{"dropping-particle":"","family":"Pol","given":"Olivier","non-dropping-particle":"","parse-names":false,"suffix":""},{"dropping-particle":"","family":"Schmidt","given":"Ralf-roman","non-dropping-particle":"","parse-names":false,"suffix":""}],"container-title":"6th international renewable energy storage conference IRES","id":"ITEM-1","issue":"June","issued":{"date-parts":[["2011"]]},"publisher":"Eurosolar","publisher-place":"Berlin, Germany","title":"Sensible heat storage in district heating networks : a novel control strategy using the network as storage","type":"paper-conference"},"uris":["http://www.mendeley.com/documents/?uuid=706ddf9b-d5cd-480b-bc89-55bc587f4f5d"]}],"mendeley":{"formattedCitation":"(Basciotti &lt;i&gt;et al.&lt;/i&gt;, 2011)","plainTextFormattedCitation":"(Basciotti et al., 2011)","previouslyFormattedCitation":"(Basciotti &lt;i&gt;et al.&lt;/i&gt;, 2011)"},"properties":{"noteIndex":0},"schema":"https://github.com/citation-style-language/schema/raw/master/csl-citation.json"}</w:instrText>
      </w:r>
      <w:r w:rsidR="00FF4B5D">
        <w:fldChar w:fldCharType="separate"/>
      </w:r>
      <w:r w:rsidR="00FF4B5D" w:rsidRPr="002A6A73">
        <w:rPr>
          <w:noProof/>
        </w:rPr>
        <w:t xml:space="preserve">(Basciotti </w:t>
      </w:r>
      <w:r w:rsidR="00FF4B5D" w:rsidRPr="002A6A73">
        <w:rPr>
          <w:i/>
          <w:noProof/>
        </w:rPr>
        <w:t>et al.</w:t>
      </w:r>
      <w:r w:rsidR="00FF4B5D" w:rsidRPr="002A6A73">
        <w:rPr>
          <w:noProof/>
        </w:rPr>
        <w:t>, 2011)</w:t>
      </w:r>
      <w:r w:rsidR="00FF4B5D">
        <w:fldChar w:fldCharType="end"/>
      </w:r>
      <w:r>
        <w:t xml:space="preserve">. The modelling was done using a series of energy balances in </w:t>
      </w:r>
      <w:proofErr w:type="spellStart"/>
      <w:r w:rsidRPr="00FC0CC9">
        <w:t>Modelica</w:t>
      </w:r>
      <w:proofErr w:type="spellEnd"/>
      <w:r>
        <w:t xml:space="preserve"> Fluid library. The network</w:t>
      </w:r>
      <w:r>
        <w:noBreakHyphen/>
        <w:t xml:space="preserve">based TES was shown to reduce the daily peak HD by 15%, fuel costs by 2%, and associated </w:t>
      </w:r>
      <w:r w:rsidRPr="00C17D6F">
        <w:t>CO</w:t>
      </w:r>
      <w:r w:rsidRPr="00EA07C2">
        <w:rPr>
          <w:vertAlign w:val="subscript"/>
        </w:rPr>
        <w:t>2</w:t>
      </w:r>
      <w:r>
        <w:t>e</w:t>
      </w:r>
      <w:r w:rsidRPr="00C17D6F">
        <w:t xml:space="preserve"> emissions by 20%</w:t>
      </w:r>
      <w:r>
        <w:t>.</w:t>
      </w:r>
      <w:r w:rsidRPr="00593DDE">
        <w:t xml:space="preserve"> </w:t>
      </w:r>
    </w:p>
    <w:p w14:paraId="5CF316BB" w14:textId="75F54727" w:rsidR="000F16EB" w:rsidRDefault="000F16EB" w:rsidP="000F16EB">
      <w:r w:rsidRPr="00D920FD">
        <w:rPr>
          <w:noProof/>
        </w:rPr>
        <w:t xml:space="preserve">Leśko </w:t>
      </w:r>
      <w:r>
        <w:t xml:space="preserve">and </w:t>
      </w:r>
      <w:r w:rsidRPr="00D920FD">
        <w:rPr>
          <w:noProof/>
        </w:rPr>
        <w:t xml:space="preserve">Bujalski </w:t>
      </w:r>
      <w:r>
        <w:t xml:space="preserve"> proved that, due to the complexity of a DHN, it would not be possible to model the entire topological distribution of the network</w:t>
      </w:r>
      <w:r w:rsidR="00FF4B5D">
        <w:t xml:space="preserve"> </w:t>
      </w:r>
      <w:r w:rsidR="00FF4B5D">
        <w:fldChar w:fldCharType="begin" w:fldLock="1"/>
      </w:r>
      <w:r w:rsidR="00FF4B5D">
        <w:instrText>ADDIN CSL_CITATION {"citationItems":[{"id":"ITEM-1","itemData":{"DOI":"10.1515/aoter-2017-0029","ISSN":"20836023","abstract":"The aim of this document is to present the topic of modeling district heating systems in order to enable optimization of their operation, with special focus on thermal energy storage in the pipelines. Two mathematical models for simulation of transient behavior of district heating networks have been described, and their results have been compared in a case study. The operational optimization in a DH system, especially if this system is supplied from a combined heat and power plant, is a difficult and complicated task. Finding a global financial optimum requires considering long periods of time and including thermal energy storage possibilities into consideration. One of the most interesting options for thermal energy storage is utilization of thermal inertia of the network itself. This approach requires no additional investment, while providing significant possibilities for heat load shifting. It is not feasible to use full topological models of the networks, comprising thousands of substations and network sections, for the purpose of operational optimization with thermal energy storage, because such models require long calculation times. In order to optimize planned thermal energy storage actions, it is necessary to model the transient behavior of the network in a very simple way - allowing for fast and reliable calculations. Two approaches to building such models have been presented. Both have been tested by comparing the results of simulation of the behavior of the same network. The characteristic features, advantages and disadvantages of both kinds of models have been identified. The results can prove useful for district heating system operators in the near future.","author":[{"dropping-particle":"","family":"Leśko","given":"Michał","non-dropping-particle":"","parse-names":false,"suffix":""},{"dropping-particle":"","family":"Bujalski","given":"Wojciech","non-dropping-particle":"","parse-names":false,"suffix":""}],"container-title":"Archives of Thermodynamics","id":"ITEM-1","issue":"4","issued":{"date-parts":[["2017"]]},"page":"139-163","title":"Modeling of District Heating Networks for the Purpose of Operational Optimization with Thermal Energy Storage","type":"article-journal","volume":"38"},"uris":["http://www.mendeley.com/documents/?uuid=758a62b2-9191-434c-bdfe-bc72201f02ba"]}],"mendeley":{"formattedCitation":"(Leśko and Bujalski, 2017)","plainTextFormattedCitation":"(Leśko and Bujalski, 2017)","previouslyFormattedCitation":"(Leśko and Bujalski, 2017)"},"properties":{"noteIndex":0},"schema":"https://github.com/citation-style-language/schema/raw/master/csl-citation.json"}</w:instrText>
      </w:r>
      <w:r w:rsidR="00FF4B5D">
        <w:fldChar w:fldCharType="separate"/>
      </w:r>
      <w:r w:rsidR="00FF4B5D" w:rsidRPr="002A6A73">
        <w:rPr>
          <w:noProof/>
        </w:rPr>
        <w:t>(Leśko and Bujalski, 2017)</w:t>
      </w:r>
      <w:r w:rsidR="00FF4B5D">
        <w:fldChar w:fldCharType="end"/>
      </w:r>
      <w:r>
        <w:t xml:space="preserve">. Instead, simplified models of network TES were generated that were proven to be accurate. The authors compared two simple model types a whole network model and a wave model. In the whole network </w:t>
      </w:r>
      <w:r w:rsidR="003E2066">
        <w:t>model,</w:t>
      </w:r>
      <w:r>
        <w:t xml:space="preserve"> the entire network was assumed to be comprised of a single pipeline section, allowing for a single energy balance to be carried out across the network. In the </w:t>
      </w:r>
      <w:r>
        <w:lastRenderedPageBreak/>
        <w:t xml:space="preserve">wave model, the network was split into volumes of water, waves, that travelled down the network. Splitting the network into volumes of water created a series of energy balances every time a wave passed a junction in the pipe network. </w:t>
      </w:r>
      <w:r w:rsidRPr="00D920FD">
        <w:rPr>
          <w:noProof/>
        </w:rPr>
        <w:t xml:space="preserve">Leśko </w:t>
      </w:r>
      <w:r>
        <w:t xml:space="preserve">and </w:t>
      </w:r>
      <w:r w:rsidRPr="00D920FD">
        <w:rPr>
          <w:noProof/>
        </w:rPr>
        <w:t xml:space="preserve">Bujalski </w:t>
      </w:r>
      <w:r>
        <w:t>determined that both the whole network and the wave models gave comparable results, but the whole network model was quicker and simpler to operate.</w:t>
      </w:r>
    </w:p>
    <w:p w14:paraId="74BBE51D" w14:textId="77777777" w:rsidR="000F16EB" w:rsidRDefault="000F16EB" w:rsidP="000F16EB">
      <w:pPr>
        <w:pStyle w:val="Heading4"/>
      </w:pPr>
      <w:bookmarkStart w:id="252" w:name="_Toc522192750"/>
      <w:bookmarkStart w:id="253" w:name="_Toc7187479"/>
      <w:r>
        <w:t>Optimisation Modelling Techniques</w:t>
      </w:r>
      <w:bookmarkEnd w:id="252"/>
      <w:bookmarkEnd w:id="253"/>
    </w:p>
    <w:p w14:paraId="675179ED" w14:textId="0DEF00C4" w:rsidR="000F16EB" w:rsidRDefault="000F16EB" w:rsidP="000F16EB">
      <w:r>
        <w:t xml:space="preserve">The optimisation of a DHN using TES is generally modelled using linear or non-linear based techniques </w:t>
      </w:r>
      <w:r>
        <w:fldChar w:fldCharType="begin" w:fldLock="1"/>
      </w:r>
      <w:r w:rsidR="002A6A73">
        <w:instrText>ADDIN CSL_CITATION {"citationItems":[{"id":"ITEM-1","itemData":{"DOI":"10.3389/fbuil.2016.00022","ISSN":"2297-3362","author":[{"dropping-particle":"","family":"Talebi","given":"Behrang","non-dropping-particle":"","parse-names":false,"suffix":""},{"dropping-particle":"","family":"Mirzaei","given":"Parham A.","non-dropping-particle":"","parse-names":false,"suffix":""},{"dropping-particle":"","family":"Bastani","given":"Arash","non-dropping-particle":"","parse-names":false,"suffix":""},{"dropping-particle":"","family":"Haghighat","given":"Fariborz","non-dropping-particle":"","parse-names":false,"suffix":""}],"container-title":"Frontiers in Built Environment","id":"ITEM-1","issue":"October","issued":{"date-parts":[["2016"]]},"page":"1-14","title":"A Review of District Heating Systems: Modeling and Optimization","type":"article-journal","volume":"2"},"uris":["http://www.mendeley.com/documents/?uuid=8c985309-fa60-4cac-b063-aea036b62563"]},{"id":"ITEM-2","itemData":{"DOI":"10.1016/j.enbuild.2017.01.062","ISBN":"0378-7788","ISSN":"03787788","abstract":"Modelling, simulation and optimization of an isolated building separated from the district in which they operate is no longer of interest as a view point of improved efficiency, economic benefits and exploitation of renewable energy resources. Instead, district energy systems have the capacity to obtain several benefits, regarding the practical, environmental and safety by taking advantage of large poly-generation energy conversion technologies. The use of optimization techniques to design such high-efficient systems is strongly motivated by minimizing of the cost for the required infrastructures, minimizing emission, and maximizing the generation or efficiency but is particularly challenging because of the technical characteristics and the size of the real world applications. In this paper, different types of optimization problems, constraints and techniques as well as the optimization tools used in district energy systems are discussed.","author":[{"dropping-particle":"","family":"Sameti","given":"Mohammad","non-dropping-particle":"","parse-names":false,"suffix":""},{"dropping-particle":"","family":"Haghighat","given":"Fariborz","non-dropping-particle":"","parse-names":false,"suffix":""}],"container-title":"Energy and Buildings","id":"ITEM-2","issued":{"date-parts":[["2017"]]},"page":"121-130","publisher":"Elsevier B.V.","title":"Optimization approaches in district heating and cooling thermal network","type":"article-journal","volume":"140"},"uris":["http://www.mendeley.com/documents/?uuid=ce1d30ea-b97a-4c3c-8281-ba64b9b96dae"]}],"mendeley":{"formattedCitation":"(Talebi &lt;i&gt;et al.&lt;/i&gt;, 2016; Sameti and Haghighat, 2017)","plainTextFormattedCitation":"(Talebi et al., 2016; Sameti and Haghighat, 2017)","previouslyFormattedCitation":"(Talebi &lt;i&gt;et al.&lt;/i&gt;, 2016; Sameti and Haghighat, 2017)"},"properties":{"noteIndex":0},"schema":"https://github.com/citation-style-language/schema/raw/master/csl-citation.json"}</w:instrText>
      </w:r>
      <w:r>
        <w:fldChar w:fldCharType="separate"/>
      </w:r>
      <w:r w:rsidR="002A6A73" w:rsidRPr="002A6A73">
        <w:rPr>
          <w:noProof/>
        </w:rPr>
        <w:t xml:space="preserve">(Talebi </w:t>
      </w:r>
      <w:r w:rsidR="002A6A73" w:rsidRPr="002A6A73">
        <w:rPr>
          <w:i/>
          <w:noProof/>
        </w:rPr>
        <w:t>et al.</w:t>
      </w:r>
      <w:r w:rsidR="002A6A73" w:rsidRPr="002A6A73">
        <w:rPr>
          <w:noProof/>
        </w:rPr>
        <w:t>, 2016; Sameti and Haghighat, 2017)</w:t>
      </w:r>
      <w:r>
        <w:fldChar w:fldCharType="end"/>
      </w:r>
      <w:r>
        <w:t>. If the optimisation variable is discrete, the optimisation occurs through mixed integer linear programming (MILP) or mixed non-integer linear programming (MINLP). If the optimisation variable is continuous, the optimisation occurs through linear programming, linear complimentary programming, or non-linear programming.</w:t>
      </w:r>
    </w:p>
    <w:p w14:paraId="3BBF649F" w14:textId="72755718" w:rsidR="000F16EB" w:rsidRDefault="000F16EB" w:rsidP="000F16EB">
      <w:r>
        <w:t xml:space="preserve">Two of the key objectives in DHN optimisation is to determine the ideal size and location of the TES system being proposed. Smith </w:t>
      </w:r>
      <w:r w:rsidRPr="00FF4B5D">
        <w:rPr>
          <w:i/>
        </w:rPr>
        <w:t>et al</w:t>
      </w:r>
      <w:r>
        <w:t>. investigated the use of CHP based heating systems with and without TES for eight different commercial building scenarios</w:t>
      </w:r>
      <w:r w:rsidR="00FF4B5D">
        <w:t xml:space="preserve"> </w:t>
      </w:r>
      <w:r w:rsidR="00FF4B5D">
        <w:fldChar w:fldCharType="begin" w:fldLock="1"/>
      </w:r>
      <w:r w:rsidR="00FF4B5D">
        <w:instrText>ADDIN CSL_CITATION {"citationItems":[{"id":"ITEM-1","itemData":{"DOI":"10.1016/j.seta.2012.11.001","ISBN":"2213-1388","ISSN":"22131388","abstract":"A combined heat and power (CHP) system is investigated with and without a thermal energy storage option for eight different commercial building types located in Chicago, IL. The building's electrical and thermal loads are simulated on an hourly basis over one year and a CHP system operating at a constant base load is modeled. The CHP system alone is compared with a CHP system which incorporates thermal storage in varying amounts. In each case, the CHP system reduces operational cost, primary energy consumption (PEC), and carbon dioxide emissions (CDE) with respect to the reference case without a CHP system. For six of the eight buildings, adding thermal storage provides further reductions in operational cost, PEC, and CDE. More thermal increases these benefits. However, the size of the supplemental boiler required by the building to satisfy the thermal load is not reduced except in the case of the large hotel. In addition, the sizing of the CHP system's power generation unit is not significantly affected by the addition of thermal storage. Buildings which require higher ratios of power to heat will be less likely to benefit from the addition of thermal storage to a CHP system. © 2012 Elsevier Ltd.","author":[{"dropping-particle":"","family":"Smith","given":"Amanda D.","non-dropping-particle":"","parse-names":false,"suffix":""},{"dropping-particle":"","family":"Mago","given":"Pedro J.","non-dropping-particle":"","parse-names":false,"suffix":""},{"dropping-particle":"","family":"Fumo","given":"Nelson","non-dropping-particle":"","parse-names":false,"suffix":""}],"container-title":"Sustainable Energy Technologies and Assessments","id":"ITEM-1","issue":"1","issued":{"date-parts":[["2013"]]},"page":"3-12","title":"Benefits of thermal energy storage option combined with CHP system for different commercial building types","type":"article-journal","volume":"1"},"uris":["http://www.mendeley.com/documents/?uuid=0af88ad2-84af-4c0c-a75e-a378e79df63d"]}],"mendeley":{"formattedCitation":"(Smith &lt;i&gt;et al.&lt;/i&gt;, 2013)","plainTextFormattedCitation":"(Smith et al., 2013)","previouslyFormattedCitation":"(Smith &lt;i&gt;et al.&lt;/i&gt;, 2013)"},"properties":{"noteIndex":0},"schema":"https://github.com/citation-style-language/schema/raw/master/csl-citation.json"}</w:instrText>
      </w:r>
      <w:r w:rsidR="00FF4B5D">
        <w:fldChar w:fldCharType="separate"/>
      </w:r>
      <w:r w:rsidR="00FF4B5D" w:rsidRPr="005F544E">
        <w:rPr>
          <w:noProof/>
        </w:rPr>
        <w:t xml:space="preserve">(Smith </w:t>
      </w:r>
      <w:r w:rsidR="00FF4B5D" w:rsidRPr="005F544E">
        <w:rPr>
          <w:i/>
          <w:noProof/>
        </w:rPr>
        <w:t>et al.</w:t>
      </w:r>
      <w:r w:rsidR="00FF4B5D" w:rsidRPr="005F544E">
        <w:rPr>
          <w:noProof/>
        </w:rPr>
        <w:t>, 2013)</w:t>
      </w:r>
      <w:r w:rsidR="00FF4B5D">
        <w:fldChar w:fldCharType="end"/>
      </w:r>
      <w:r>
        <w:t xml:space="preserve">. The modelling was done based on techniques outlined by the </w:t>
      </w:r>
      <w:r w:rsidRPr="00AD3B5B">
        <w:t>US DOE Building Technologies Program</w:t>
      </w:r>
      <w:r>
        <w:t xml:space="preserve">, using </w:t>
      </w:r>
      <w:proofErr w:type="spellStart"/>
      <w:r>
        <w:t>EnergyPLUS</w:t>
      </w:r>
      <w:proofErr w:type="spellEnd"/>
      <w:r>
        <w:t xml:space="preserve"> software and a series of energy balances. In six of the eight scenarios the TES system was shown to be economically feasible, in two of the eight the TES was shown to not be economically feasible. The authors concluded that the size of the TES system should not be higher than 75% of the maximum hourly thermal requirement. Once the TES system is larger than 75% of the maximum hourly thermal requirement further increasing the size of the system increases the costs without having a significant impact on the CO</w:t>
      </w:r>
      <w:r>
        <w:rPr>
          <w:vertAlign w:val="subscript"/>
        </w:rPr>
        <w:t>2</w:t>
      </w:r>
      <w:r>
        <w:t xml:space="preserve">e savings. A range of researchers have investigated the optimum size of </w:t>
      </w:r>
      <w:proofErr w:type="gramStart"/>
      <w:r>
        <w:t>a</w:t>
      </w:r>
      <w:proofErr w:type="gramEnd"/>
      <w:r>
        <w:t xml:space="preserve"> HWT based TES system when used in a DHN supplied by CHP. The results are shown in </w:t>
      </w:r>
      <w:r>
        <w:fldChar w:fldCharType="begin"/>
      </w:r>
      <w:r>
        <w:instrText xml:space="preserve"> REF _Ref529974276 \h </w:instrText>
      </w:r>
      <w:r>
        <w:fldChar w:fldCharType="separate"/>
      </w:r>
      <w:r w:rsidR="00CB7456">
        <w:t xml:space="preserve">Table </w:t>
      </w:r>
      <w:r w:rsidR="00CB7456">
        <w:rPr>
          <w:noProof/>
        </w:rPr>
        <w:t>2</w:t>
      </w:r>
      <w:r w:rsidR="00CB7456">
        <w:t>.</w:t>
      </w:r>
      <w:r w:rsidR="00CB7456">
        <w:rPr>
          <w:noProof/>
        </w:rPr>
        <w:t>6</w:t>
      </w:r>
      <w:r>
        <w:fldChar w:fldCharType="end"/>
      </w:r>
      <w:r>
        <w:t>.</w:t>
      </w:r>
    </w:p>
    <w:p w14:paraId="3883F457" w14:textId="3BA973CB" w:rsidR="000F16EB" w:rsidRDefault="000F16EB" w:rsidP="000F16EB">
      <w:pPr>
        <w:pStyle w:val="Caption"/>
        <w:keepNext/>
      </w:pPr>
      <w:bookmarkStart w:id="254" w:name="_Ref521667132"/>
      <w:bookmarkStart w:id="255" w:name="_Ref529974276"/>
      <w:bookmarkStart w:id="256" w:name="_Toc525230116"/>
      <w:bookmarkStart w:id="257" w:name="_Toc7187669"/>
      <w:r>
        <w:t xml:space="preserve">Table </w:t>
      </w:r>
      <w:fldSimple w:instr=" STYLEREF 1 \s ">
        <w:r w:rsidR="00CB7456">
          <w:rPr>
            <w:noProof/>
          </w:rPr>
          <w:t>2</w:t>
        </w:r>
      </w:fldSimple>
      <w:r w:rsidR="009E1A67">
        <w:t>.</w:t>
      </w:r>
      <w:fldSimple w:instr=" SEQ Table \* ARABIC \s 1 ">
        <w:r w:rsidR="00CB7456">
          <w:rPr>
            <w:noProof/>
          </w:rPr>
          <w:t>6</w:t>
        </w:r>
      </w:fldSimple>
      <w:bookmarkEnd w:id="254"/>
      <w:bookmarkEnd w:id="255"/>
      <w:r>
        <w:t>: Ideal size of the HWT based TES depending on the size of the CHP unit.</w:t>
      </w:r>
      <w:bookmarkEnd w:id="256"/>
      <w:bookmarkEnd w:id="257"/>
    </w:p>
    <w:tbl>
      <w:tblPr>
        <w:tblStyle w:val="TableGrid"/>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5"/>
        <w:gridCol w:w="2274"/>
      </w:tblGrid>
      <w:tr w:rsidR="000F16EB" w14:paraId="542C1FB8" w14:textId="77777777" w:rsidTr="007318A1">
        <w:trPr>
          <w:jc w:val="center"/>
        </w:trPr>
        <w:tc>
          <w:tcPr>
            <w:tcW w:w="2835" w:type="dxa"/>
            <w:tcBorders>
              <w:bottom w:val="single" w:sz="4" w:space="0" w:color="auto"/>
            </w:tcBorders>
          </w:tcPr>
          <w:p w14:paraId="39417982" w14:textId="77777777" w:rsidR="000F16EB" w:rsidRDefault="000F16EB" w:rsidP="00A7521D">
            <w:pPr>
              <w:jc w:val="center"/>
            </w:pPr>
            <w:r>
              <w:t>Ideal HWT size/ CHP unit size</w:t>
            </w:r>
          </w:p>
        </w:tc>
        <w:tc>
          <w:tcPr>
            <w:tcW w:w="2274" w:type="dxa"/>
            <w:tcBorders>
              <w:bottom w:val="single" w:sz="4" w:space="0" w:color="auto"/>
            </w:tcBorders>
          </w:tcPr>
          <w:p w14:paraId="1FDF4A25" w14:textId="77777777" w:rsidR="000F16EB" w:rsidRDefault="000F16EB" w:rsidP="00A7521D">
            <w:pPr>
              <w:jc w:val="center"/>
            </w:pPr>
            <w:r>
              <w:t>Reference</w:t>
            </w:r>
          </w:p>
        </w:tc>
      </w:tr>
      <w:tr w:rsidR="000F16EB" w14:paraId="65AD74F2" w14:textId="77777777" w:rsidTr="007318A1">
        <w:trPr>
          <w:jc w:val="center"/>
        </w:trPr>
        <w:tc>
          <w:tcPr>
            <w:tcW w:w="2835" w:type="dxa"/>
            <w:tcBorders>
              <w:top w:val="single" w:sz="4" w:space="0" w:color="auto"/>
              <w:bottom w:val="nil"/>
            </w:tcBorders>
          </w:tcPr>
          <w:p w14:paraId="3BC9AB1D" w14:textId="77777777" w:rsidR="000F16EB" w:rsidRDefault="000F16EB" w:rsidP="00A7521D">
            <w:pPr>
              <w:jc w:val="center"/>
            </w:pPr>
            <w:r w:rsidRPr="008819DB">
              <w:t>150 m</w:t>
            </w:r>
            <w:r w:rsidRPr="008819DB">
              <w:rPr>
                <w:vertAlign w:val="superscript"/>
              </w:rPr>
              <w:t>3</w:t>
            </w:r>
            <w:r w:rsidRPr="008819DB">
              <w:t>/</w:t>
            </w:r>
            <w:proofErr w:type="spellStart"/>
            <w:r w:rsidRPr="008819DB">
              <w:t>MW</w:t>
            </w:r>
            <w:r w:rsidRPr="008819DB">
              <w:rPr>
                <w:vertAlign w:val="subscript"/>
              </w:rPr>
              <w:t>th</w:t>
            </w:r>
            <w:proofErr w:type="spellEnd"/>
          </w:p>
        </w:tc>
        <w:tc>
          <w:tcPr>
            <w:tcW w:w="2274" w:type="dxa"/>
            <w:tcBorders>
              <w:top w:val="single" w:sz="4" w:space="0" w:color="auto"/>
              <w:bottom w:val="nil"/>
            </w:tcBorders>
          </w:tcPr>
          <w:p w14:paraId="42B64623" w14:textId="4BDF76A5" w:rsidR="000F16EB" w:rsidRDefault="000F16EB" w:rsidP="00A7521D">
            <w:pPr>
              <w:jc w:val="center"/>
            </w:pPr>
            <w:r>
              <w:fldChar w:fldCharType="begin" w:fldLock="1"/>
            </w:r>
            <w:r w:rsidR="002A6A73">
              <w:instrText>ADDIN CSL_CITATION {"citationItems":[{"id":"ITEM-1","itemData":{"DOI":"10.1016/j.applthermaleng.2013.11.021","ISSN":"13594311","abstract":"The installation of a biomass-fired Organic Rankine Cycle (ORC) unit coupled to a heat storage system (HSS) in an existing district heating (DH) system is proposed and analyzed from both energetic and economic point of view. A real DH system is considered as case study, and the optimal layout configuration is investigated varying the size of the components. The analysis is carried out tuning the heat demand dataset obtained from real data of a different existing DH system with a 6-min time step and ten years of operation. The heat demand is used to match the production from different generation units. The overall efficiency of the system, the primary energy savings related to CHP production, as well as the pay back time of the investment are evaluated. Calculations show that for the considered case study the maximum size of the HSS that gives noticeable advantages is 150 m3/MWth. The optimal configuration is different when considering energetic or economic criteria. Moreover, the current Italian incentive tariff on electricity production from renewable sources appears to promote the choice of low efficiency layouts for the case study under consideration.","author":[{"dropping-particle":"","family":"Noussan","given":"Michel","non-dropping-particle":"","parse-names":false,"suffix":""},{"dropping-particle":"","family":"Cerino Abdin","given":"Giulio","non-dropping-particle":"","parse-names":false,"suffix":""},{"dropping-particle":"","family":"Poggio","given":"Alberto","non-dropping-particle":"","parse-names":false,"suffix":""},{"dropping-particle":"","family":"Roberto","given":"Roberta","non-dropping-particle":"","parse-names":false,"suffix":""}],"container-title":"Applied Thermal Engineering","id":"ITEM-1","issue":"2","issued":{"date-parts":[["2014"]]},"title":"Biomass-fired CHP and heat storage system simulations in existing district heating systems","type":"article-journal","volume":"71"},"uris":["http://www.mendeley.com/documents/?uuid=17078c7f-b59a-3b6a-99c2-b2b5aa8596f7"]}],"mendeley":{"formattedCitation":"(Noussan &lt;i&gt;et al.&lt;/i&gt;, 2014)","plainTextFormattedCitation":"(Noussan et al., 2014)","previouslyFormattedCitation":"(Noussan &lt;i&gt;et al.&lt;/i&gt;, 2014)"},"properties":{"noteIndex":0},"schema":"https://github.com/citation-style-language/schema/raw/master/csl-citation.json"}</w:instrText>
            </w:r>
            <w:r>
              <w:fldChar w:fldCharType="separate"/>
            </w:r>
            <w:r w:rsidR="002A6A73" w:rsidRPr="002A6A73">
              <w:rPr>
                <w:noProof/>
              </w:rPr>
              <w:t xml:space="preserve">(Noussan </w:t>
            </w:r>
            <w:r w:rsidR="002A6A73" w:rsidRPr="002A6A73">
              <w:rPr>
                <w:i/>
                <w:noProof/>
              </w:rPr>
              <w:t>et al.</w:t>
            </w:r>
            <w:r w:rsidR="002A6A73" w:rsidRPr="002A6A73">
              <w:rPr>
                <w:noProof/>
              </w:rPr>
              <w:t>, 2014)</w:t>
            </w:r>
            <w:r>
              <w:fldChar w:fldCharType="end"/>
            </w:r>
          </w:p>
        </w:tc>
      </w:tr>
      <w:tr w:rsidR="000F16EB" w14:paraId="6BAC2CB9" w14:textId="77777777" w:rsidTr="007318A1">
        <w:trPr>
          <w:jc w:val="center"/>
        </w:trPr>
        <w:tc>
          <w:tcPr>
            <w:tcW w:w="2835" w:type="dxa"/>
            <w:tcBorders>
              <w:top w:val="nil"/>
            </w:tcBorders>
          </w:tcPr>
          <w:p w14:paraId="4A6C45A6" w14:textId="77777777" w:rsidR="000F16EB" w:rsidRDefault="000F16EB" w:rsidP="00A7521D">
            <w:pPr>
              <w:jc w:val="center"/>
            </w:pPr>
            <w:r>
              <w:t>7.8 MWh/20,000 MWh</w:t>
            </w:r>
          </w:p>
        </w:tc>
        <w:tc>
          <w:tcPr>
            <w:tcW w:w="2274" w:type="dxa"/>
            <w:tcBorders>
              <w:top w:val="nil"/>
            </w:tcBorders>
          </w:tcPr>
          <w:p w14:paraId="36B8D410" w14:textId="61498AD1" w:rsidR="000F16EB" w:rsidRDefault="000F16EB" w:rsidP="00A7521D">
            <w:pPr>
              <w:jc w:val="center"/>
            </w:pPr>
            <w:r>
              <w:fldChar w:fldCharType="begin" w:fldLock="1"/>
            </w:r>
            <w:r w:rsidR="00FF4B5D">
              <w:instrText>ADDIN CSL_CITATION {"citationItems":[{"id":"ITEM-1","itemData":{"DOI":"10.1016/j.energy.2008.05.011","ISBN":"0360-5442","ISSN":"03605442","abstract":"There has been discussion about the extent to which combined heat and power (CHP) plants with thermal stores are suitable for sustainable energy production. At the moment, in the UK the development of this type of plant is limited. This paper analyses the economics and optimum size of CHP operating with gas engines and thermal stores in British market conditions. This is achieved using energyPRO software. It is shown that, due to the big differences in electricity prices between day and night, the use of thermal stores could be profitable in the UK. The economical size of CHP plant for a district or community heating load of 20,000 MWh per year is found to be a 3 MWe gas engine with a 7.8 MWh thermal store. In this case the analysis reveals that the use of a thermal store more than doubles the return on investments (as measured in net present value) compared with the same size of a plant without a thermal store. It is concluded that thermal stores can improve the overall economics of CHP plants in present British circumstances. ?? 2008 Elsevier Ltd. All rights reserved.","author":[{"dropping-particle":"","family":"Fragaki","given":"Aikaterini","non-dropping-particle":"","parse-names":false,"suffix":""},{"dropping-particle":"","family":"Andersen","given":"Anders N.","non-dropping-particle":"","parse-names":false,"suffix":""},{"dropping-particle":"","family":"Toke","given":"David","non-dropping-particle":"","parse-names":false,"suffix":""}],"container-title":"Energy","id":"ITEM-1","issue":"11","issued":{"date-parts":[["2008"]]},"page":"1659-1670","title":"Exploration of economical sizing of gas engine and thermal store for combined heat and power plants in the UK","type":"article-journal","volume":"33"},"uris":["http://www.mendeley.com/documents/?uuid=09b849c5-2b73-495a-bfa1-3f86aa469458"]}],"mendeley":{"formattedCitation":"(Fragaki &lt;i&gt;et al.&lt;/i&gt;, 2008)","plainTextFormattedCitation":"(Fragaki et al., 2008)","previouslyFormattedCitation":"(Fragaki &lt;i&gt;et al.&lt;/i&gt;, 2008)"},"properties":{"noteIndex":0},"schema":"https://github.com/citation-style-language/schema/raw/master/csl-citation.json"}</w:instrText>
            </w:r>
            <w:r>
              <w:fldChar w:fldCharType="separate"/>
            </w:r>
            <w:r w:rsidR="005F544E" w:rsidRPr="005F544E">
              <w:rPr>
                <w:noProof/>
              </w:rPr>
              <w:t xml:space="preserve">(Fragaki </w:t>
            </w:r>
            <w:r w:rsidR="005F544E" w:rsidRPr="005F544E">
              <w:rPr>
                <w:i/>
                <w:noProof/>
              </w:rPr>
              <w:t>et al.</w:t>
            </w:r>
            <w:r w:rsidR="005F544E" w:rsidRPr="005F544E">
              <w:rPr>
                <w:noProof/>
              </w:rPr>
              <w:t>, 2008)</w:t>
            </w:r>
            <w:r>
              <w:fldChar w:fldCharType="end"/>
            </w:r>
          </w:p>
        </w:tc>
      </w:tr>
      <w:tr w:rsidR="000F16EB" w14:paraId="2AD227D1" w14:textId="77777777" w:rsidTr="007318A1">
        <w:trPr>
          <w:jc w:val="center"/>
        </w:trPr>
        <w:tc>
          <w:tcPr>
            <w:tcW w:w="2835" w:type="dxa"/>
          </w:tcPr>
          <w:p w14:paraId="473C96EA" w14:textId="77777777" w:rsidR="000F16EB" w:rsidRPr="002C6428" w:rsidRDefault="000F16EB" w:rsidP="00A7521D">
            <w:pPr>
              <w:jc w:val="center"/>
            </w:pPr>
            <w:r>
              <w:t>350 m</w:t>
            </w:r>
            <w:r>
              <w:rPr>
                <w:vertAlign w:val="superscript"/>
              </w:rPr>
              <w:t>3</w:t>
            </w:r>
            <w:r>
              <w:t>/14 MWh</w:t>
            </w:r>
          </w:p>
        </w:tc>
        <w:tc>
          <w:tcPr>
            <w:tcW w:w="2274" w:type="dxa"/>
          </w:tcPr>
          <w:p w14:paraId="7A766373" w14:textId="0C3D3BAD" w:rsidR="000F16EB" w:rsidRDefault="000F16EB" w:rsidP="00A7521D">
            <w:pPr>
              <w:jc w:val="center"/>
            </w:pPr>
            <w:r>
              <w:fldChar w:fldCharType="begin" w:fldLock="1"/>
            </w:r>
            <w:r w:rsidR="00FF4B5D">
              <w:instrText>ADDIN CSL_CITATION {"citationItems":[{"id":"ITEM-1","itemData":{"DOI":"10.1016/j.enconman.2014.07.022","ISBN":"0196-8904","ISSN":"01968904","abstract":"Reducing carbon emissions from buildings is vital to achieve goals for avoiding dangerous climate change, and supplying them with low-carbon heat is essential. In the UK, the development of heat networks for supplying low-carbon heat is being encouraged for urban areas where there is high heat demand density. This paper investigates heat demand variability, the role of heat networks and combined heat and power (CHP) in satisfying this demand, and finally the advantages of using heat storage in the system. Building heat demands from 50 buildings were analysed at a half-hour resolution with modelling to determine CHP operation patterns with and without heat storage. Daily total heat demand was found to vary from 25% of the full-year average in summer months up to 235% of the average on the coldest days in winter. The heat demand was shown to correlate to outdoor temperatures measured with the degree-day parameter, except for approximately 100 days during the warmest part of the year falling outside the heating season. Sharp spikes in heat demand were seen at the half-hourly time scale coinciding with the switching on of heating systems in some buildings with consequences for building energy supply options. It was shown that for an annual heat demand of 40,000 MW h, the use of thermal storage can significantly increase the running time of a CHP energy centre with 4 MW capacity designed to supply this demand. The cost savings resulting from increased on-site heat and electricity production resulted in a payback period for heat storage investment of under four years with further benefits if it can assist other heat sources on the heat network. Environmental advantages of using heat storage included further carbon dioxide emission reductions of 1000-1500 tonnes per year depending upon the CHP configuration. ?? 2014 Elsevier Ltd. All rights reserved.","author":[{"dropping-particle":"","family":"Raine","given":"Robert D.","non-dropping-particle":"","parse-names":false,"suffix":""},{"dropping-particle":"","family":"Sharifi","given":"Vida N.","non-dropping-particle":"","parse-names":false,"suffix":""},{"dropping-particle":"","family":"Swithenbank","given":"Jim","non-dropping-particle":"","parse-names":false,"suffix":""}],"container-title":"Energy Conversion and Management","id":"ITEM-1","issued":{"date-parts":[["2014"]]},"page":"164-174","publisher":"Elsevier Ltd","title":"Optimisation of combined heat and power production for buildings using heat storage","type":"article-journal","volume":"87"},"uris":["http://www.mendeley.com/documents/?uuid=4966985d-d2df-489f-9d6f-6c5b6e16040a"]}],"mendeley":{"formattedCitation":"(Raine &lt;i&gt;et al.&lt;/i&gt;, 2014)","plainTextFormattedCitation":"(Raine et al., 2014)","previouslyFormattedCitation":"(Raine &lt;i&gt;et al.&lt;/i&gt;, 2014)"},"properties":{"noteIndex":0},"schema":"https://github.com/citation-style-language/schema/raw/master/csl-citation.json"}</w:instrText>
            </w:r>
            <w:r>
              <w:fldChar w:fldCharType="separate"/>
            </w:r>
            <w:r w:rsidR="005F544E" w:rsidRPr="005F544E">
              <w:rPr>
                <w:noProof/>
              </w:rPr>
              <w:t xml:space="preserve">(Raine </w:t>
            </w:r>
            <w:r w:rsidR="005F544E" w:rsidRPr="005F544E">
              <w:rPr>
                <w:i/>
                <w:noProof/>
              </w:rPr>
              <w:t>et al.</w:t>
            </w:r>
            <w:r w:rsidR="005F544E" w:rsidRPr="005F544E">
              <w:rPr>
                <w:noProof/>
              </w:rPr>
              <w:t>, 2014)</w:t>
            </w:r>
            <w:r>
              <w:fldChar w:fldCharType="end"/>
            </w:r>
          </w:p>
        </w:tc>
      </w:tr>
    </w:tbl>
    <w:p w14:paraId="5B4E4C46" w14:textId="77777777" w:rsidR="000F16EB" w:rsidRDefault="000F16EB" w:rsidP="00196CD6">
      <w:pPr>
        <w:pStyle w:val="NoSpacing"/>
        <w:rPr>
          <w:noProof/>
        </w:rPr>
      </w:pPr>
    </w:p>
    <w:p w14:paraId="65D100FB" w14:textId="0E2D5843" w:rsidR="000F16EB" w:rsidRDefault="000F16EB" w:rsidP="000F16EB">
      <w:r w:rsidRPr="00D85F2F">
        <w:rPr>
          <w:rFonts w:ascii="Calibri" w:hAnsi="Calibri" w:cs="Times New Roman"/>
          <w:noProof/>
          <w:szCs w:val="24"/>
        </w:rPr>
        <w:t>Bachmaier</w:t>
      </w:r>
      <w:r>
        <w:t xml:space="preserve"> </w:t>
      </w:r>
      <w:r w:rsidRPr="00FF4B5D">
        <w:rPr>
          <w:i/>
        </w:rPr>
        <w:t>et al</w:t>
      </w:r>
      <w:r>
        <w:t>. studied possible locations of TES systems in a DHN, finding the ideal location to be next to the heat source</w:t>
      </w:r>
      <w:r w:rsidR="00FF4B5D">
        <w:t xml:space="preserve"> </w:t>
      </w:r>
      <w:r w:rsidR="00FF4B5D">
        <w:fldChar w:fldCharType="begin" w:fldLock="1"/>
      </w:r>
      <w:r w:rsidR="00FF4B5D">
        <w:instrText>ADDIN CSL_CITATION {"citationItems":[{"id":"ITEM-1","itemData":{"DOI":"10.1016/j.est.2016.05.004","ISSN":"2352152X","abstract":"Fluctuating renewable energy sources and its rising share in the electricity grid need to be balanced. Thermal Energy Storages (TES) can buffer surplus thermal energy generated by Combined Heat and Power Plants (CHP) for providing balancing services at the public grid. Surplus heat energy can be demanded at TES systems from households in heating applications. However, installation sites for thermal energy storage systems are rare due to large built-up areas in dense populated urban districts. Hence, the spatial distribution of thermal energy storages in district heating networks (DHN) can increase flexibility options for the operation of central combined heat and power conversion units. The location, the size and the operation of thermal storage systems are determined with a techno-economical optimization tool. The optimization is driven by a cost minimization related to investment, maintenance and hourly fuel consumption. Simultaneously, the revenues for selling electricity at the electricity market are maximized. Technical and economical limitations are implemented in various scenarios in order to analyze the flexibility options with the spatial distribution and operation of thermal energy storage systems. Moreover, a bidirectional driven heating pipe system with spatially distributed entry points for heat is established in a further scenario and its advantage is discussed by the means of a case study.","author":[{"dropping-particle":"","family":"Bachmaier","given":"Andreas","non-dropping-particle":"","parse-names":false,"suffix":""},{"dropping-particle":"","family":"Narmsara","given":"Sattaya","non-dropping-particle":"","parse-names":false,"suffix":""},{"dropping-particle":"","family":"Eggers","given":"Jan-Bleicke","non-dropping-particle":"","parse-names":false,"suffix":""},{"dropping-particle":"","family":"Herkel","given":"Sebastian","non-dropping-particle":"","parse-names":false,"suffix":""}],"container-title":"Journal of Energy Storage","id":"ITEM-1","issued":{"date-parts":[["2016"]]},"page":"349-357","publisher":"Elsevier Ltd","title":"Spatial distribution of thermal energy storage systems in urban areas connected to district heating for grid balancing—A techno-economical optimization based on a case study","type":"article-journal","volume":"8"},"uris":["http://www.mendeley.com/documents/?uuid=5fcdb1a4-2424-4b8b-bf82-e85132f363d2"]}],"mendeley":{"formattedCitation":"(Bachmaier &lt;i&gt;et al.&lt;/i&gt;, 2016)","plainTextFormattedCitation":"(Bachmaier et al., 2016)","previouslyFormattedCitation":"(Bachmaier &lt;i&gt;et al.&lt;/i&gt;, 2016)"},"properties":{"noteIndex":0},"schema":"https://github.com/citation-style-language/schema/raw/master/csl-citation.json"}</w:instrText>
      </w:r>
      <w:r w:rsidR="00FF4B5D">
        <w:fldChar w:fldCharType="separate"/>
      </w:r>
      <w:r w:rsidR="00FF4B5D" w:rsidRPr="002A6A73">
        <w:rPr>
          <w:noProof/>
        </w:rPr>
        <w:t xml:space="preserve">(Bachmaier </w:t>
      </w:r>
      <w:r w:rsidR="00FF4B5D" w:rsidRPr="002A6A73">
        <w:rPr>
          <w:i/>
          <w:noProof/>
        </w:rPr>
        <w:t>et al.</w:t>
      </w:r>
      <w:r w:rsidR="00FF4B5D" w:rsidRPr="002A6A73">
        <w:rPr>
          <w:noProof/>
        </w:rPr>
        <w:t>, 2016)</w:t>
      </w:r>
      <w:r w:rsidR="00FF4B5D">
        <w:fldChar w:fldCharType="end"/>
      </w:r>
      <w:r>
        <w:t>. Locating the TES system next to the heat source may not always be possible for space reasons, which can have a significant impact on the effectiveness of the network. It was found that locating the TES on one network branch required the installation of bi</w:t>
      </w:r>
      <w:r>
        <w:noBreakHyphen/>
        <w:t xml:space="preserve">directional flow pipes, otherwise the network would be unable to provide heat to all other branches. </w:t>
      </w:r>
    </w:p>
    <w:p w14:paraId="1E1F7813" w14:textId="77777777" w:rsidR="000F16EB" w:rsidRDefault="000F16EB" w:rsidP="000F16EB">
      <w:pPr>
        <w:pStyle w:val="Heading6"/>
      </w:pPr>
      <w:r>
        <w:t>Mixed Integer Linear Programming</w:t>
      </w:r>
    </w:p>
    <w:p w14:paraId="384E310B" w14:textId="2756B6BD" w:rsidR="000F16EB" w:rsidRDefault="000F16EB" w:rsidP="000F16EB">
      <w:r>
        <w:t xml:space="preserve">MILP solves a linear function that is bound by linear constraints </w:t>
      </w:r>
      <w:r>
        <w:fldChar w:fldCharType="begin" w:fldLock="1"/>
      </w:r>
      <w:r w:rsidR="002A6A73">
        <w:instrText>ADDIN CSL_CITATION {"citationItems":[{"id":"ITEM-1","itemData":{"DOI":"10.1016/j.apenergy.2015.09.020","ISSN":"03062619","abstract":"Renewable energy source (RES) is playing an increasingly important role to reduce fossil fuels in district heating (DH) and to alleviate the accompanying environmental impact. In this paper, a combined heat and power (CHP) based DH system with RES and energy storage system (ESS) is studied. A modelling and optimization method is developed for planning and operating such CHP-DH systems. The objective of the optimization is to minimize the overall costs of the net acquisition for heat and power in deregulated power market. A planning model consisting of energy balances and constraints for system control and operation is built and an efficient algorithm is developed. We demonstrate the method in a CHP-DH system with a solar thermal plant and a thermal energy storage (TES). Results indicate that the developed method is efficient and flexible for planning and operating CHP-DH systems. To simulate the future situation, we also optimize the same CHP-DH system with a higher share of RES and a bigger TES. Results show that TES is used more intensively in the future with more fluctuating CHP load and a higher share of RES.","author":[{"dropping-particle":"","family":"Wang","given":"Haichao","non-dropping-particle":"","parse-names":false,"suffix":""},{"dropping-particle":"","family":"Yin","given":"Wusong","non-dropping-particle":"","parse-names":false,"suffix":""},{"dropping-particle":"","family":"Abdollahi","given":"Elnaz","non-dropping-particle":"","parse-names":false,"suffix":""},{"dropping-particle":"","family":"Lahdelma","given":"Risto","non-dropping-particle":"","parse-names":false,"suffix":""},{"dropping-particle":"","family":"Jiao","given":"Wenling","non-dropping-particle":"","parse-names":false,"suffix":""}],"container-title":"Applied Energy","id":"ITEM-1","issued":{"date-parts":[["2015"]]},"page":"401-421","title":"Modelling and optimization of CHP based district heating system with renewable energy production and energy storage","type":"article-journal","volume":"159"},"uris":["http://www.mendeley.com/documents/?uuid=3c1430d7-14ab-367b-b383-62297118d409"]}],"mendeley":{"formattedCitation":"(Wang &lt;i&gt;et al.&lt;/i&gt;, 2015)","plainTextFormattedCitation":"(Wang et al., 2015)","previouslyFormattedCitation":"(Wang &lt;i&gt;et al.&lt;/i&gt;, 2015)"},"properties":{"noteIndex":0},"schema":"https://github.com/citation-style-language/schema/raw/master/csl-citation.json"}</w:instrText>
      </w:r>
      <w:r>
        <w:fldChar w:fldCharType="separate"/>
      </w:r>
      <w:r w:rsidR="002A6A73" w:rsidRPr="002A6A73">
        <w:rPr>
          <w:noProof/>
        </w:rPr>
        <w:t xml:space="preserve">(Wang </w:t>
      </w:r>
      <w:r w:rsidR="002A6A73" w:rsidRPr="002A6A73">
        <w:rPr>
          <w:i/>
          <w:noProof/>
        </w:rPr>
        <w:t>et al.</w:t>
      </w:r>
      <w:r w:rsidR="002A6A73" w:rsidRPr="002A6A73">
        <w:rPr>
          <w:noProof/>
        </w:rPr>
        <w:t>, 2015)</w:t>
      </w:r>
      <w:r>
        <w:fldChar w:fldCharType="end"/>
      </w:r>
      <w:r>
        <w:t xml:space="preserve">. Optimisation of DHNs using TES can be based around MILP. MILP is able to solve problems that are small or large scale, producer or consumer focused, or based on stochastic DH scheduling. </w:t>
      </w:r>
      <w:r w:rsidRPr="00D920FD">
        <w:rPr>
          <w:noProof/>
        </w:rPr>
        <w:t xml:space="preserve">Sameti </w:t>
      </w:r>
      <w:r>
        <w:rPr>
          <w:noProof/>
        </w:rPr>
        <w:t>and</w:t>
      </w:r>
      <w:r w:rsidRPr="00D920FD">
        <w:rPr>
          <w:noProof/>
        </w:rPr>
        <w:t xml:space="preserve"> Haghighat</w:t>
      </w:r>
      <w:r>
        <w:t xml:space="preserve"> compared different approaches to the optimisation of a district heating and cooling (DHC) network, including MILP, multi</w:t>
      </w:r>
      <w:r>
        <w:noBreakHyphen/>
        <w:t xml:space="preserve">objective optimisation, </w:t>
      </w:r>
      <w:r>
        <w:lastRenderedPageBreak/>
        <w:t>genetics algorithms, and linearization techniques</w:t>
      </w:r>
      <w:r w:rsidR="00FF4B5D">
        <w:t xml:space="preserve"> </w:t>
      </w:r>
      <w:r w:rsidR="00FF4B5D">
        <w:fldChar w:fldCharType="begin" w:fldLock="1"/>
      </w:r>
      <w:r w:rsidR="00FF4B5D">
        <w:instrText>ADDIN CSL_CITATION {"citationItems":[{"id":"ITEM-1","itemData":{"DOI":"10.1016/j.enbuild.2017.01.062","ISBN":"0378-7788","ISSN":"03787788","abstract":"Modelling, simulation and optimization of an isolated building separated from the district in which they operate is no longer of interest as a view point of improved efficiency, economic benefits and exploitation of renewable energy resources. Instead, district energy systems have the capacity to obtain several benefits, regarding the practical, environmental and safety by taking advantage of large poly-generation energy conversion technologies. The use of optimization techniques to design such high-efficient systems is strongly motivated by minimizing of the cost for the required infrastructures, minimizing emission, and maximizing the generation or efficiency but is particularly challenging because of the technical characteristics and the size of the real world applications. In this paper, different types of optimization problems, constraints and techniques as well as the optimization tools used in district energy systems are discussed.","author":[{"dropping-particle":"","family":"Sameti","given":"Mohammad","non-dropping-particle":"","parse-names":false,"suffix":""},{"dropping-particle":"","family":"Haghighat","given":"Fariborz","non-dropping-particle":"","parse-names":false,"suffix":""}],"container-title":"Energy and Buildings","id":"ITEM-1","issued":{"date-parts":[["2017"]]},"page":"121-130","publisher":"Elsevier B.V.","title":"Optimization approaches in district heating and cooling thermal network","type":"article-journal","volume":"140"},"uris":["http://www.mendeley.com/documents/?uuid=ce1d30ea-b97a-4c3c-8281-ba64b9b96dae"]}],"mendeley":{"formattedCitation":"(Sameti and Haghighat, 2017)","plainTextFormattedCitation":"(Sameti and Haghighat, 2017)","previouslyFormattedCitation":"(Sameti and Haghighat, 2017)"},"properties":{"noteIndex":0},"schema":"https://github.com/citation-style-language/schema/raw/master/csl-citation.json"}</w:instrText>
      </w:r>
      <w:r w:rsidR="00FF4B5D">
        <w:fldChar w:fldCharType="separate"/>
      </w:r>
      <w:r w:rsidR="00FF4B5D" w:rsidRPr="002A6A73">
        <w:rPr>
          <w:noProof/>
        </w:rPr>
        <w:t>(Sameti and Haghighat, 2017)</w:t>
      </w:r>
      <w:r w:rsidR="00FF4B5D">
        <w:fldChar w:fldCharType="end"/>
      </w:r>
      <w:r>
        <w:t xml:space="preserve">. The study found that MILP was </w:t>
      </w:r>
      <w:r w:rsidRPr="003E5F7F">
        <w:t>the most widely applicable approach for</w:t>
      </w:r>
      <w:r>
        <w:t xml:space="preserve"> DH</w:t>
      </w:r>
      <w:r w:rsidRPr="003E5F7F">
        <w:t xml:space="preserve"> optimi</w:t>
      </w:r>
      <w:r>
        <w:t>s</w:t>
      </w:r>
      <w:r w:rsidRPr="003E5F7F">
        <w:t>ation</w:t>
      </w:r>
      <w:r>
        <w:t xml:space="preserve">. </w:t>
      </w:r>
    </w:p>
    <w:p w14:paraId="2ABC390E" w14:textId="235C93D3" w:rsidR="000F16EB" w:rsidRDefault="000F16EB" w:rsidP="000F16EB">
      <w:r>
        <w:t xml:space="preserve">MILP optimisation can be completed using software packages such as </w:t>
      </w:r>
      <w:proofErr w:type="spellStart"/>
      <w:r>
        <w:t>EnergyPRO</w:t>
      </w:r>
      <w:proofErr w:type="spellEnd"/>
      <w:r>
        <w:t xml:space="preserve">. Wang </w:t>
      </w:r>
      <w:r w:rsidRPr="00FF4B5D">
        <w:rPr>
          <w:i/>
        </w:rPr>
        <w:t>et al</w:t>
      </w:r>
      <w:r>
        <w:t>. optimised a DHN supplied by a CHP unit, using TES</w:t>
      </w:r>
      <w:r w:rsidR="00FF4B5D">
        <w:t xml:space="preserve"> </w:t>
      </w:r>
      <w:r w:rsidR="00FF4B5D">
        <w:fldChar w:fldCharType="begin" w:fldLock="1"/>
      </w:r>
      <w:r w:rsidR="00FF4B5D">
        <w:instrText>ADDIN CSL_CITATION {"citationItems":[{"id":"ITEM-1","itemData":{"DOI":"10.1016/j.apenergy.2015.09.020","ISSN":"03062619","abstract":"Renewable energy source (RES) is playing an increasingly important role to reduce fossil fuels in district heating (DH) and to alleviate the accompanying environmental impact. In this paper, a combined heat and power (CHP) based DH system with RES and energy storage system (ESS) is studied. A modelling and optimization method is developed for planning and operating such CHP-DH systems. The objective of the optimization is to minimize the overall costs of the net acquisition for heat and power in deregulated power market. A planning model consisting of energy balances and constraints for system control and operation is built and an efficient algorithm is developed. We demonstrate the method in a CHP-DH system with a solar thermal plant and a thermal energy storage (TES). Results indicate that the developed method is efficient and flexible for planning and operating CHP-DH systems. To simulate the future situation, we also optimize the same CHP-DH system with a higher share of RES and a bigger TES. Results show that TES is used more intensively in the future with more fluctuating CHP load and a higher share of RES.","author":[{"dropping-particle":"","family":"Wang","given":"Haichao","non-dropping-particle":"","parse-names":false,"suffix":""},{"dropping-particle":"","family":"Yin","given":"Wusong","non-dropping-particle":"","parse-names":false,"suffix":""},{"dropping-particle":"","family":"Abdollahi","given":"Elnaz","non-dropping-particle":"","parse-names":false,"suffix":""},{"dropping-particle":"","family":"Lahdelma","given":"Risto","non-dropping-particle":"","parse-names":false,"suffix":""},{"dropping-particle":"","family":"Jiao","given":"Wenling","non-dropping-particle":"","parse-names":false,"suffix":""}],"container-title":"Applied Energy","id":"ITEM-1","issued":{"date-parts":[["2015"]]},"page":"401-421","title":"Modelling and optimization of CHP based district heating system with renewable energy production and energy storage","type":"article-journal","volume":"159"},"uris":["http://www.mendeley.com/documents/?uuid=3c1430d7-14ab-367b-b383-62297118d409"]}],"mendeley":{"formattedCitation":"(Wang &lt;i&gt;et al.&lt;/i&gt;, 2015)","plainTextFormattedCitation":"(Wang et al., 2015)","previouslyFormattedCitation":"(Wang &lt;i&gt;et al.&lt;/i&gt;, 2015)"},"properties":{"noteIndex":0},"schema":"https://github.com/citation-style-language/schema/raw/master/csl-citation.json"}</w:instrText>
      </w:r>
      <w:r w:rsidR="00FF4B5D">
        <w:fldChar w:fldCharType="separate"/>
      </w:r>
      <w:r w:rsidR="00FF4B5D" w:rsidRPr="002A6A73">
        <w:rPr>
          <w:noProof/>
        </w:rPr>
        <w:t xml:space="preserve">(Wang </w:t>
      </w:r>
      <w:r w:rsidR="00FF4B5D" w:rsidRPr="002A6A73">
        <w:rPr>
          <w:i/>
          <w:noProof/>
        </w:rPr>
        <w:t>et al.</w:t>
      </w:r>
      <w:r w:rsidR="00FF4B5D" w:rsidRPr="002A6A73">
        <w:rPr>
          <w:noProof/>
        </w:rPr>
        <w:t>, 2015)</w:t>
      </w:r>
      <w:r w:rsidR="00FF4B5D">
        <w:fldChar w:fldCharType="end"/>
      </w:r>
      <w:r>
        <w:t xml:space="preserve">. </w:t>
      </w:r>
      <w:proofErr w:type="spellStart"/>
      <w:r>
        <w:t>EnergyPRO</w:t>
      </w:r>
      <w:proofErr w:type="spellEnd"/>
      <w:r>
        <w:t xml:space="preserve"> was used for the optimisation, optimising the problem through a series of heat and power balances over the system. Constraints were used setting the maximum and minimum allowable values of the heat and electricity storage levels in the TES, as well as the charging and discharging rates of the TES. The optimisation method was shown to be efficient and flexible for planning and operating DHNs supplied by CHP units. </w:t>
      </w:r>
    </w:p>
    <w:p w14:paraId="11E5A18F" w14:textId="5E69939B" w:rsidR="000F16EB" w:rsidRDefault="000F16EB" w:rsidP="000F16EB">
      <w:r w:rsidRPr="00D920FD">
        <w:rPr>
          <w:noProof/>
        </w:rPr>
        <w:t>Buoro</w:t>
      </w:r>
      <w:r>
        <w:t xml:space="preserve"> </w:t>
      </w:r>
      <w:r w:rsidRPr="00FF4B5D">
        <w:rPr>
          <w:i/>
        </w:rPr>
        <w:t>et al</w:t>
      </w:r>
      <w:r>
        <w:t>. optimised a DHN supplied by a solar CHP unit</w:t>
      </w:r>
      <w:r w:rsidR="00FF4B5D">
        <w:t xml:space="preserve"> </w:t>
      </w:r>
      <w:r w:rsidR="00FF4B5D">
        <w:fldChar w:fldCharType="begin" w:fldLock="1"/>
      </w:r>
      <w:r w:rsidR="00FF4B5D">
        <w:instrText>ADDIN CSL_CITATION {"citationItems":[{"id":"ITEM-1","itemData":{"DOI":"10.1016/j.apenergy.2014.02.062","ISBN":"0306-2619","ISSN":"03062619","abstract":"The aim of the paper is to identify the optimal energy production system and its optimal operation strategy required to satisfy the energy demand of a set of users in an industrial area. A distributed energy supply system is made up of a district heating network, a solar thermal plant with long term heat storage, a set of Combined Heat and Power units and conventional components also, such as boilers and compression chillers. In this way the required heat can be produced by solar thermal modules, by natural gas cogenerators, or by conventional boilers. The decision variable set of the optimization procedure includes the sizes of various components, the solar field extension and the thermal energy recovered in the heat storage, while additional binary decision variables describe the existence/absence of each considered component and its on/off operation status.The optimization algorithm is based on a Mixed Integer Linear Programming (MILP) model that minimizes the total annual cost for owning, maintaining and operating the whole energy supply system. It allows to calculate both the economic and the environmental benefits of the solar thermal plant, cooperating with the cogeneration units, as well as the share of the thermal demand covered by renewable energy, in the optimal solutions.The results obtained analyzing different system configurations show that the minimum value of the average useful heat costs is achieved when cogenerators, district heating network, solar field and heat storage are all included in the energy supply system and optimized consistently. Thus, the integrated solution turns out to be the best from both the economic and environmental points of view. © 2014.","author":[{"dropping-particle":"","family":"Buoro","given":"Dario","non-dropping-particle":"","parse-names":false,"suffix":""},{"dropping-particle":"","family":"Pinamonti","given":"Piero","non-dropping-particle":"","parse-names":false,"suffix":""},{"dropping-particle":"","family":"Reini","given":"Mauro","non-dropping-particle":"","parse-names":false,"suffix":""}],"container-title":"Applied Energy","id":"ITEM-1","issued":{"date-parts":[["2014"]]},"page":"298-308","publisher":"Elsevier Ltd","title":"Optimization of a Distributed Cogeneration System with solar district heating","type":"article-journal","volume":"124"},"uris":["http://www.mendeley.com/documents/?uuid=7d718b23-7913-435c-a96f-825c89bf1f9f"]}],"mendeley":{"formattedCitation":"(Buoro &lt;i&gt;et al.&lt;/i&gt;, 2014)","plainTextFormattedCitation":"(Buoro et al., 2014)","previouslyFormattedCitation":"(Buoro &lt;i&gt;et al.&lt;/i&gt;, 2014)"},"properties":{"noteIndex":0},"schema":"https://github.com/citation-style-language/schema/raw/master/csl-citation.json"}</w:instrText>
      </w:r>
      <w:r w:rsidR="00FF4B5D">
        <w:fldChar w:fldCharType="separate"/>
      </w:r>
      <w:r w:rsidR="00FF4B5D" w:rsidRPr="005F544E">
        <w:rPr>
          <w:noProof/>
        </w:rPr>
        <w:t xml:space="preserve">(Buoro </w:t>
      </w:r>
      <w:r w:rsidR="00FF4B5D" w:rsidRPr="005F544E">
        <w:rPr>
          <w:i/>
          <w:noProof/>
        </w:rPr>
        <w:t>et al.</w:t>
      </w:r>
      <w:r w:rsidR="00FF4B5D" w:rsidRPr="005F544E">
        <w:rPr>
          <w:noProof/>
        </w:rPr>
        <w:t>, 2014)</w:t>
      </w:r>
      <w:r w:rsidR="00FF4B5D">
        <w:fldChar w:fldCharType="end"/>
      </w:r>
      <w:r>
        <w:t>. The optimisation worked by discretising the load curves and approximating the load variation with a series of linear functions. The model was constrained by component constraints, that related the output and input parameters of each component; energy balances, ensuring that energy was conserved; and network constraints, describing the thermal losses and maximum energy transfer from unit to unit. The study found that the most optimum solution was achieved when the CHP units, DHN, solar field, and TES were all included in the same boundary condition and optimised together.</w:t>
      </w:r>
    </w:p>
    <w:p w14:paraId="3173ABC3" w14:textId="77777777" w:rsidR="000F16EB" w:rsidRDefault="000F16EB" w:rsidP="000F16EB">
      <w:pPr>
        <w:pStyle w:val="Heading6"/>
      </w:pPr>
      <w:r>
        <w:t>Mixed Non-Integer Linear Programming</w:t>
      </w:r>
    </w:p>
    <w:p w14:paraId="3D913640" w14:textId="3794494E" w:rsidR="000F16EB" w:rsidRDefault="000F16EB" w:rsidP="000F16EB">
      <w:r>
        <w:t xml:space="preserve">MNILP is used when the optimisation constraints are discrete but cannot be defined by linear functions </w:t>
      </w:r>
      <w:r>
        <w:fldChar w:fldCharType="begin" w:fldLock="1"/>
      </w:r>
      <w:r w:rsidR="00FF4B5D">
        <w:instrText>ADDIN CSL_CITATION {"citationItems":[{"id":"ITEM-1","itemData":{"DOI":"10.1016/j.enbuild.2015.02.031","ISBN":"0378-7788","ISSN":"03787788","abstract":"In this study, four approaches to model stratification in thermal energy storage (TES) units with mixed-integer linear programs are introduced. These stratification models are compared with the widely utilized capacity model, in which TES units are modeled as homogeneous volumes. The approaches are verified with a use case consisting of a single building with a monovalent heating system comprising a combined heat and power (CHP) unit and a TES unit. The objective is the minimization of the total operational costs. The results conclude that both models, capacity and stratification models, generate electricity driven schedules. In the capacity model, the minimum energy content is typically set to a constant value, mostly zero, while the layered storage model allows for implementing more accurate restrictions, such as the required flow temperature based on the building's heating curve. Consequently, the capacity model overrates the system's efficiency, thus underestimating the operating costs by 6-7%.","author":[{"dropping-particle":"","family":"Schütz","given":"Thomas","non-dropping-particle":"","parse-names":false,"suffix":""},{"dropping-particle":"","family":"Streblow","given":"Rita","non-dropping-particle":"","parse-names":false,"suffix":""},{"dropping-particle":"","family":"Müller","given":"Dirk","non-dropping-particle":"","parse-names":false,"suffix":""}],"container-title":"Energy and Buildings","id":"ITEM-1","issued":{"date-parts":[["2015"]]},"page":"23-31","publisher":"Elsevier B.V.","title":"A comparison of thermal energy storage models for building energy system optimization","type":"article-journal","volume":"93"},"uris":["http://www.mendeley.com/documents/?uuid=82eaa1ee-ba34-473a-88cc-2a9bde072fef"]}],"mendeley":{"formattedCitation":"(Schütz &lt;i&gt;et al.&lt;/i&gt;, 2015)","plainTextFormattedCitation":"(Schütz et al., 2015)","previouslyFormattedCitation":"(Schütz &lt;i&gt;et al.&lt;/i&gt;, 2015)"},"properties":{"noteIndex":0},"schema":"https://github.com/citation-style-language/schema/raw/master/csl-citation.json"}</w:instrText>
      </w:r>
      <w:r>
        <w:fldChar w:fldCharType="separate"/>
      </w:r>
      <w:r w:rsidR="005F544E" w:rsidRPr="005F544E">
        <w:rPr>
          <w:noProof/>
        </w:rPr>
        <w:t xml:space="preserve">(Schütz </w:t>
      </w:r>
      <w:r w:rsidR="005F544E" w:rsidRPr="005F544E">
        <w:rPr>
          <w:i/>
          <w:noProof/>
        </w:rPr>
        <w:t>et al.</w:t>
      </w:r>
      <w:r w:rsidR="005F544E" w:rsidRPr="005F544E">
        <w:rPr>
          <w:noProof/>
        </w:rPr>
        <w:t>, 2015)</w:t>
      </w:r>
      <w:r>
        <w:fldChar w:fldCharType="end"/>
      </w:r>
      <w:r>
        <w:t>. A number of problems exist with MNILP optimisation problems. MNILP models are not tractable when applied to large or reasonable sized models; in addition, MNILP models require good initial definitions to run accurately. In many cases, MNILP problems are linearized and solved using MILP methods. MNILP solutions do not significantly improve the accuracy of MILP problems.</w:t>
      </w:r>
    </w:p>
    <w:p w14:paraId="06DB09FF" w14:textId="77777777" w:rsidR="000F16EB" w:rsidRDefault="000F16EB" w:rsidP="000F16EB">
      <w:pPr>
        <w:pStyle w:val="Heading6"/>
      </w:pPr>
      <w:r>
        <w:t>Hot Water Tank Stratification</w:t>
      </w:r>
    </w:p>
    <w:p w14:paraId="1C1B3FD3" w14:textId="37B5939C" w:rsidR="000F16EB" w:rsidRDefault="000F16EB" w:rsidP="000F16EB">
      <w:r>
        <w:t xml:space="preserve">Stratification in HWTs is the process of forming distinctly separate water layers that are separated based on temperature </w:t>
      </w:r>
      <w:r>
        <w:fldChar w:fldCharType="begin" w:fldLock="1"/>
      </w:r>
      <w:r w:rsidR="00FF4B5D">
        <w:instrText>ADDIN CSL_CITATION {"citationItems":[{"id":"ITEM-1","itemData":{"DOI":"10.1016/j.enbuild.2015.02.031","ISBN":"0378-7788","ISSN":"03787788","abstract":"In this study, four approaches to model stratification in thermal energy storage (TES) units with mixed-integer linear programs are introduced. These stratification models are compared with the widely utilized capacity model, in which TES units are modeled as homogeneous volumes. The approaches are verified with a use case consisting of a single building with a monovalent heating system comprising a combined heat and power (CHP) unit and a TES unit. The objective is the minimization of the total operational costs. The results conclude that both models, capacity and stratification models, generate electricity driven schedules. In the capacity model, the minimum energy content is typically set to a constant value, mostly zero, while the layered storage model allows for implementing more accurate restrictions, such as the required flow temperature based on the building's heating curve. Consequently, the capacity model overrates the system's efficiency, thus underestimating the operating costs by 6-7%.","author":[{"dropping-particle":"","family":"Schütz","given":"Thomas","non-dropping-particle":"","parse-names":false,"suffix":""},{"dropping-particle":"","family":"Streblow","given":"Rita","non-dropping-particle":"","parse-names":false,"suffix":""},{"dropping-particle":"","family":"Müller","given":"Dirk","non-dropping-particle":"","parse-names":false,"suffix":""}],"container-title":"Energy and Buildings","id":"ITEM-1","issued":{"date-parts":[["2015"]]},"page":"23-31","publisher":"Elsevier B.V.","title":"A comparison of thermal energy storage models for building energy system optimization","type":"article-journal","volume":"93"},"uris":["http://www.mendeley.com/documents/?uuid=82eaa1ee-ba34-473a-88cc-2a9bde072fef"]}],"mendeley":{"formattedCitation":"(Schütz &lt;i&gt;et al.&lt;/i&gt;, 2015)","plainTextFormattedCitation":"(Schütz et al., 2015)","previouslyFormattedCitation":"(Schütz &lt;i&gt;et al.&lt;/i&gt;, 2015)"},"properties":{"noteIndex":0},"schema":"https://github.com/citation-style-language/schema/raw/master/csl-citation.json"}</w:instrText>
      </w:r>
      <w:r>
        <w:fldChar w:fldCharType="separate"/>
      </w:r>
      <w:r w:rsidR="005F544E" w:rsidRPr="005F544E">
        <w:rPr>
          <w:noProof/>
        </w:rPr>
        <w:t xml:space="preserve">(Schütz </w:t>
      </w:r>
      <w:r w:rsidR="005F544E" w:rsidRPr="005F544E">
        <w:rPr>
          <w:i/>
          <w:noProof/>
        </w:rPr>
        <w:t>et al.</w:t>
      </w:r>
      <w:r w:rsidR="005F544E" w:rsidRPr="005F544E">
        <w:rPr>
          <w:noProof/>
        </w:rPr>
        <w:t>, 2015)</w:t>
      </w:r>
      <w:r>
        <w:fldChar w:fldCharType="end"/>
      </w:r>
      <w:r>
        <w:t xml:space="preserve">. Each layer is considered to be perfectly mixed, unlike non-stratified HWTs where the entire tank is considered to be perfectly mixed. </w:t>
      </w:r>
      <w:r w:rsidRPr="00D920FD">
        <w:rPr>
          <w:noProof/>
        </w:rPr>
        <w:t>Schütz</w:t>
      </w:r>
      <w:r>
        <w:t xml:space="preserve"> </w:t>
      </w:r>
      <w:r w:rsidRPr="00FF4B5D">
        <w:rPr>
          <w:i/>
        </w:rPr>
        <w:t>et al</w:t>
      </w:r>
      <w:r>
        <w:t xml:space="preserve">. compared the modelling of four approaches to stratification to a single approach of a fully mixed HWT. The tanks were vertically stratified into three layers that were modelled using three time-discrete energy balances. The four stratification scenarios varied with the assumptions and parameters used. It was found that all five of the modelled scenarios generated electricity led schedules, but that the stratification approaches were more accurate. The fully mixed scenario was shown to overestimate OPEX by 6 – 7%. </w:t>
      </w:r>
    </w:p>
    <w:p w14:paraId="5C6C405E" w14:textId="22F51DB7" w:rsidR="000F16EB" w:rsidRDefault="000F16EB" w:rsidP="000F16EB">
      <w:r w:rsidRPr="00D920FD">
        <w:rPr>
          <w:noProof/>
        </w:rPr>
        <w:t>Badescu</w:t>
      </w:r>
      <w:r>
        <w:t xml:space="preserve"> also compared stratified to fully mixed HWTs</w:t>
      </w:r>
      <w:r w:rsidR="00FF4B5D">
        <w:t xml:space="preserve"> </w:t>
      </w:r>
      <w:r w:rsidR="00FF4B5D">
        <w:fldChar w:fldCharType="begin" w:fldLock="1"/>
      </w:r>
      <w:r w:rsidR="00FF4B5D">
        <w:instrText>ADDIN CSL_CITATION {"citationItems":[{"id":"ITEM-1","itemData":{"DOI":"10.1016/j.applthermaleng.2004.02.009","ISBN":"4021402942","ISSN":"13594311","abstract":"This paper refers to thermal energy storage units based on fully mixed and stratified liquid storage tanks. The stratified unit was modeled by using three partial differential equations governing the time and space dependence of hot gas, liquid storage medium and pipes wall material, respectively. For the study of fully mixed units a standard approach based on the number of thermal units concept was slightly generalized to take into account the time dependence of the heat transfer coefficients. The performance indicator adopted here is the minimum exergy destruction. All relevant irreversibility sources were considered. Every operation regime has an optimum charging time, which increases by decreasing the hot gas inlet temperature. Also, there is an optimum gas mass flow rate that makes the exergy destruction number a minimum minimorum. The stratified units are normally more effective than the fully mixed units from the point of view of exergy conservation. The standard approach based on the number of thermal units concept tends to overestimate the performance of thermal energy storage systems. Its accuracy is better in case of fully mixed units. © 2004 Elsevier Ltd. All rights reserved.","author":[{"dropping-particle":"","family":"Badescu","given":"Viorel","non-dropping-particle":"","parse-names":false,"suffix":""}],"container-title":"Applied Thermal Engineering","id":"ITEM-1","issue":"14-15","issued":{"date-parts":[["2004"]]},"page":"2101-2116","title":"Optimal operation of thermal energy storage units based on stratified and fully mixed water tanks","type":"article-journal","volume":"24"},"uris":["http://www.mendeley.com/documents/?uuid=dd7a3e30-0349-4266-9657-42d7a8fe630c"]}],"mendeley":{"formattedCitation":"(Badescu, 2004)","plainTextFormattedCitation":"(Badescu, 2004)","previouslyFormattedCitation":"(Badescu, 2004)"},"properties":{"noteIndex":0},"schema":"https://github.com/citation-style-language/schema/raw/master/csl-citation.json"}</w:instrText>
      </w:r>
      <w:r w:rsidR="00FF4B5D">
        <w:fldChar w:fldCharType="separate"/>
      </w:r>
      <w:r w:rsidR="00FF4B5D" w:rsidRPr="002A6A73">
        <w:rPr>
          <w:noProof/>
        </w:rPr>
        <w:t>(Badescu, 2004)</w:t>
      </w:r>
      <w:r w:rsidR="00FF4B5D">
        <w:fldChar w:fldCharType="end"/>
      </w:r>
      <w:r>
        <w:t xml:space="preserve">. The modelling of the stratified tanks assumed that the thermal conductivity of the wall material was finite, and the tank walls were perfectly insulated. The stratified tanks were modelled using an unsteady energy balance per unit length of the storage medium. The fully mixed tanks assumed a constant temperature throughout the tank and were solved using simple HT equations. </w:t>
      </w:r>
      <w:r w:rsidRPr="00D920FD">
        <w:rPr>
          <w:noProof/>
        </w:rPr>
        <w:t xml:space="preserve">Badescu </w:t>
      </w:r>
      <w:r>
        <w:t xml:space="preserve">showed that fully mixed tanks overestimated the necessary size of the TES system and failed to adequately conserve exergy. </w:t>
      </w:r>
      <w:r w:rsidRPr="00D920FD">
        <w:rPr>
          <w:noProof/>
        </w:rPr>
        <w:t xml:space="preserve">Verda </w:t>
      </w:r>
      <w:r>
        <w:t xml:space="preserve">and Colella used computational fluid </w:t>
      </w:r>
      <w:r>
        <w:lastRenderedPageBreak/>
        <w:t>dynamic (CFD) modelling to show that a HWT with baffle plates, to encourage stratification, was able to reduce primary energy consumption by up to 12% and costs by approximately 5%</w:t>
      </w:r>
      <w:r w:rsidR="00FF4B5D">
        <w:t xml:space="preserve"> </w:t>
      </w:r>
      <w:r w:rsidR="00FF4B5D">
        <w:fldChar w:fldCharType="begin" w:fldLock="1"/>
      </w:r>
      <w:r w:rsidR="00FF4B5D">
        <w:instrText>ADDIN CSL_CITATION {"citationItems":[{"id":"ITEM-1","itemData":{"DOI":"10.1016/j.energy.2011.04.015","ISBN":"03605442","ISSN":"03605442","abstract":"District heating is an efficient way to provide heat to residential, tertiary and industrial users. Heat is often produced by CHP (combined heat and power) plants, usually designed to provide the base thermal load (40-50% of the maximum load) while the rest is provided by boilers. The use of storage tanks would permit to increase the annual operating hours of CHP: heat can be produced when the request is low (for instance during the night), stored and then used when the request is high. The use of boilers results partially reduced and the thermal load diagram is flattered. Depending on the type of CHP plant this may also affect the electricity generation. All these considerations are crucial in the free electricity market.In this paper, a multi-scale model of storage tanks is proposed. This model is particularly suitable to analyze the operation of storage systems during the heating season and to predict their effects on the primary energy consumption and cash flows. The analysis is conducted considering the Turin district heating system as case study. Results show that primary energy consumption can be reduced up to 12%, while total costs can be reduced up to about 5%. ?? 2011 Elsevier Ltd.","author":[{"dropping-particle":"","family":"Verda","given":"Vittorio","non-dropping-particle":"","parse-names":false,"suffix":""},{"dropping-particle":"","family":"Colella","given":"Francesco","non-dropping-particle":"","parse-names":false,"suffix":""}],"container-title":"Energy","id":"ITEM-1","issue":"7","issued":{"date-parts":[["2011"]]},"page":"4278-4286","publisher":"Elsevier Ltd","title":"Primary energy savings through thermal storage in district heating networks","type":"article-journal","volume":"36"},"uris":["http://www.mendeley.com/documents/?uuid=188132ee-2773-4629-bfbf-93198361a788"]}],"mendeley":{"formattedCitation":"(Verda and Colella, 2011)","plainTextFormattedCitation":"(Verda and Colella, 2011)","previouslyFormattedCitation":"(Verda and Colella, 2011)"},"properties":{"noteIndex":0},"schema":"https://github.com/citation-style-language/schema/raw/master/csl-citation.json"}</w:instrText>
      </w:r>
      <w:r w:rsidR="00FF4B5D">
        <w:fldChar w:fldCharType="separate"/>
      </w:r>
      <w:r w:rsidR="00FF4B5D" w:rsidRPr="002A6A73">
        <w:rPr>
          <w:noProof/>
        </w:rPr>
        <w:t>(Verda and Colella, 2011)</w:t>
      </w:r>
      <w:r w:rsidR="00FF4B5D">
        <w:fldChar w:fldCharType="end"/>
      </w:r>
      <w:r>
        <w:t xml:space="preserve">. </w:t>
      </w:r>
    </w:p>
    <w:p w14:paraId="3FEE3143" w14:textId="474664DB" w:rsidR="000F16EB" w:rsidRDefault="000F16EB" w:rsidP="000F16EB">
      <w:r>
        <w:t xml:space="preserve">Chen </w:t>
      </w:r>
      <w:r w:rsidRPr="00FF4B5D">
        <w:rPr>
          <w:i/>
        </w:rPr>
        <w:t>et al</w:t>
      </w:r>
      <w:r>
        <w:t>. modelled the use of CHP and TES to balance the flexibility of wind power in China</w:t>
      </w:r>
      <w:r w:rsidR="00FF4B5D">
        <w:t xml:space="preserve"> </w:t>
      </w:r>
      <w:r w:rsidR="00FF4B5D">
        <w:fldChar w:fldCharType="begin" w:fldLock="1"/>
      </w:r>
      <w:r w:rsidR="00FF4B5D">
        <w:instrText>ADDIN CSL_CITATION {"citationItems":[{"id":"ITEM-1","itemData":{"DOI":"10.1109/TPWRS.2014.2356723","ISBN":"0885-8950 VO - 30","ISSN":"08858950","abstract":"With the largest installed capacity in the world, wind power in China is experiencing a ~ 20% curtailment during operation. The large portion of the generation capacity from inflexible combined heat and power (CHP) is the major barrier for integrating this variable power source. This paper explores opportunities for increasing the flexibility of CHP units using electrical boilers and heat storage tanks for better integration of wind power. A linear model is proposed for the centralized dispatch for integrated energy systems considering both heat and power, with detailed modeling of the charging processes of the heat storage tanks. The model balances heat and power demands in multiple areas and time periods with various energy sources, including CHP, wind power, electrical boilers, and heat storage. The impact of introducing electrical boilers and heat storage systems is examined using a simple test system with characteristics similar to those of the power systems in Northern China. Our results show that both electrical boilers and heat storage tanks can improve the flexibility of CHP units: introducing electrical boilers is more effective at reducing wind curtailment, whereas heat storage tanks save more energy in the energy system as a whole, which reflect a different heating efficiency of the two solutions.","author":[{"dropping-particle":"","family":"Chen","given":"Xinyu","non-dropping-particle":"","parse-names":false,"suffix":""},{"dropping-particle":"","family":"Kang","given":"Chongqing","non-dropping-particle":"","parse-names":false,"suffix":""},{"dropping-particle":"","family":"O'Malley","given":"Mark","non-dropping-particle":"","parse-names":false,"suffix":""},{"dropping-particle":"","family":"Xia","given":"Qing","non-dropping-particle":"","parse-names":false,"suffix":""},{"dropping-particle":"","family":"Bai","given":"Jianhua","non-dropping-particle":"","parse-names":false,"suffix":""},{"dropping-particle":"","family":"Liu","given":"Chun","non-dropping-particle":"","parse-names":false,"suffix":""},{"dropping-particle":"","family":"Sun","given":"Rongfu","non-dropping-particle":"","parse-names":false,"suffix":""},{"dropping-particle":"","family":"Wang","given":"Weizhou","non-dropping-particle":"","parse-names":false,"suffix":""},{"dropping-particle":"","family":"Li","given":"Hui","non-dropping-particle":"","parse-names":false,"suffix":""}],"container-title":"IEEE Transactions on Power Systems","id":"ITEM-1","issue":"4","issued":{"date-parts":[["2015"]]},"page":"1848-1857","title":"Increasing the Flexibility of Combined Heat and Power for Wind Power Integration in China: Modeling and Implications","type":"article-journal","volume":"30"},"uris":["http://www.mendeley.com/documents/?uuid=e575daa4-b347-4438-a438-4872e056547a"]}],"mendeley":{"formattedCitation":"(Chen &lt;i&gt;et al.&lt;/i&gt;, 2015)","plainTextFormattedCitation":"(Chen et al., 2015)","previouslyFormattedCitation":"(Chen &lt;i&gt;et al.&lt;/i&gt;, 2015)"},"properties":{"noteIndex":0},"schema":"https://github.com/citation-style-language/schema/raw/master/csl-citation.json"}</w:instrText>
      </w:r>
      <w:r w:rsidR="00FF4B5D">
        <w:fldChar w:fldCharType="separate"/>
      </w:r>
      <w:r w:rsidR="00FF4B5D" w:rsidRPr="002A6A73">
        <w:rPr>
          <w:noProof/>
        </w:rPr>
        <w:t xml:space="preserve">(Chen </w:t>
      </w:r>
      <w:r w:rsidR="00FF4B5D" w:rsidRPr="002A6A73">
        <w:rPr>
          <w:i/>
          <w:noProof/>
        </w:rPr>
        <w:t>et al.</w:t>
      </w:r>
      <w:r w:rsidR="00FF4B5D" w:rsidRPr="002A6A73">
        <w:rPr>
          <w:noProof/>
        </w:rPr>
        <w:t>, 2015)</w:t>
      </w:r>
      <w:r w:rsidR="00FF4B5D">
        <w:fldChar w:fldCharType="end"/>
      </w:r>
      <w:r>
        <w:t xml:space="preserve">. A linear dispatch control model was used that was based around energy losses in the tank and solved using CFD software. An equation was included to change the thickness of the stratified layers in the tanks. The study showed stratified HWTs to be the most economic method of reducing wind curtailment costs in China. </w:t>
      </w:r>
    </w:p>
    <w:p w14:paraId="2FE4AC62" w14:textId="553203B9" w:rsidR="000F16EB" w:rsidRPr="000544FB" w:rsidRDefault="000F16EB" w:rsidP="000F16EB">
      <w:r>
        <w:t xml:space="preserve">Steen </w:t>
      </w:r>
      <w:r w:rsidRPr="00FF4B5D">
        <w:rPr>
          <w:i/>
        </w:rPr>
        <w:t>et al</w:t>
      </w:r>
      <w:r>
        <w:t>. expanded upon an existing model based on MILP, comparing the effects of stratified to non-stratified tanks</w:t>
      </w:r>
      <w:r w:rsidR="00FF4B5D">
        <w:t xml:space="preserve"> </w:t>
      </w:r>
      <w:r w:rsidR="00FF4B5D">
        <w:fldChar w:fldCharType="begin" w:fldLock="1"/>
      </w:r>
      <w:r w:rsidR="00FF4B5D">
        <w:instrText>ADDIN CSL_CITATION {"citationItems":[{"id":"ITEM-1","itemData":{"DOI":"10.1016/j.apenergy.2014.07.036","ISBN":"0306-2619","ISSN":"03062619","abstract":"Thermal energy storage (TES) and distributed generation technologies, such as combined heat and power (CHP) or photovoltaics (PV), can be used to reduce energy costs and decrease CO2emissions from buildings by shifting energy consumption to times with less emissions and/or lower energy prices. To determine the feasibility of investing in TES in combination with other distributed energy resources (DER), mixed integer linear programming (MILP) can be used. Such a MILP model is the well-established Distributed Energy Resources Customer Adoption Model (DER-CAM); however, it currently uses only a simplified TES model to guarantee linearity and short run-times. Loss calculations are based only on the energy contained in the storage. This paper presents a new DER-CAM TES model that allows improved tracking of losses based on ambient and storage temperatures, and compares results with the previous version. A multi-layer TES model is introduced that retains linearity and avoids creating an endogenous optimization problem. The improved model increases the accuracy of the estimated storage losses and enables use of heat pumps for low temperature storage charging. Results indicate that the previous model overestimates the attractiveness of TES investments for cases without possibility to invest in heat pumps and underestimates it for some locations when heat pumps are allowed. Despite a variation in optimal technology selection between the two models, the objective function value stays quite stable, illustrating the complexity of optimal DER sizing problems in buildings and microgrids.","author":[{"dropping-particle":"","family":"Steen","given":"David","non-dropping-particle":"","parse-names":false,"suffix":""},{"dropping-particle":"","family":"Stadler","given":"Michael","non-dropping-particle":"","parse-names":false,"suffix":""},{"dropping-particle":"","family":"Cardoso","given":"Gonçalo","non-dropping-particle":"","parse-names":false,"suffix":""},{"dropping-particle":"","family":"Groissböck","given":"Markus","non-dropping-particle":"","parse-names":false,"suffix":""},{"dropping-particle":"","family":"DeForest","given":"Nicholas","non-dropping-particle":"","parse-names":false,"suffix":""},{"dropping-particle":"","family":"Marnay","given":"Chris","non-dropping-particle":"","parse-names":false,"suffix":""}],"container-title":"Applied Energy","id":"ITEM-1","issued":{"date-parts":[["2015"]]},"page":"782-792","publisher":"Elsevier Ltd","title":"Modeling of thermal storage systems in MILP distributed energy resource models","type":"article-journal","volume":"137"},"uris":["http://www.mendeley.com/documents/?uuid=47e50b11-aef2-4719-b216-38d8e7c8cc30"]}],"mendeley":{"formattedCitation":"(Steen &lt;i&gt;et al.&lt;/i&gt;, 2015)","plainTextFormattedCitation":"(Steen et al., 2015)","previouslyFormattedCitation":"(Steen &lt;i&gt;et al.&lt;/i&gt;, 2015)"},"properties":{"noteIndex":0},"schema":"https://github.com/citation-style-language/schema/raw/master/csl-citation.json"}</w:instrText>
      </w:r>
      <w:r w:rsidR="00FF4B5D">
        <w:fldChar w:fldCharType="separate"/>
      </w:r>
      <w:r w:rsidR="00FF4B5D" w:rsidRPr="002A6A73">
        <w:rPr>
          <w:noProof/>
        </w:rPr>
        <w:t xml:space="preserve">(Steen </w:t>
      </w:r>
      <w:r w:rsidR="00FF4B5D" w:rsidRPr="002A6A73">
        <w:rPr>
          <w:i/>
          <w:noProof/>
        </w:rPr>
        <w:t>et al.</w:t>
      </w:r>
      <w:r w:rsidR="00FF4B5D" w:rsidRPr="002A6A73">
        <w:rPr>
          <w:noProof/>
        </w:rPr>
        <w:t>, 2015)</w:t>
      </w:r>
      <w:r w:rsidR="00FF4B5D">
        <w:fldChar w:fldCharType="end"/>
      </w:r>
      <w:r>
        <w:t xml:space="preserve">. The new model was able to model the storage losses that occurred due to the disruptions that the charging and discharging cycles had on the stratification. Practically, </w:t>
      </w:r>
      <w:proofErr w:type="gramStart"/>
      <w:r>
        <w:t>a</w:t>
      </w:r>
      <w:proofErr w:type="gramEnd"/>
      <w:r>
        <w:t xml:space="preserve"> HWT does not behave either perfectly stratified or perfectly mixed, but in between the two. The study showed that stratification only made a minor difference to the objective function and CO</w:t>
      </w:r>
      <w:r>
        <w:rPr>
          <w:vertAlign w:val="subscript"/>
        </w:rPr>
        <w:t>2</w:t>
      </w:r>
      <w:r>
        <w:t>e emissions, suggesting that stratification is not always necessary, particularly for estimation calculations.</w:t>
      </w:r>
    </w:p>
    <w:p w14:paraId="72B60BA8" w14:textId="77777777" w:rsidR="000F16EB" w:rsidRDefault="000F16EB" w:rsidP="000F16EB">
      <w:pPr>
        <w:pStyle w:val="Heading3"/>
      </w:pPr>
      <w:bookmarkStart w:id="258" w:name="_Toc522192751"/>
      <w:bookmarkStart w:id="259" w:name="_Toc525229965"/>
      <w:bookmarkStart w:id="260" w:name="_Toc529888279"/>
      <w:bookmarkStart w:id="261" w:name="_Toc7187480"/>
      <w:r>
        <w:t>Issues with Current Modelling Procedure</w:t>
      </w:r>
      <w:bookmarkEnd w:id="258"/>
      <w:bookmarkEnd w:id="259"/>
      <w:bookmarkEnd w:id="260"/>
      <w:bookmarkEnd w:id="261"/>
    </w:p>
    <w:p w14:paraId="4CEA26FD" w14:textId="6B4F155A" w:rsidR="000F16EB" w:rsidRDefault="000F16EB" w:rsidP="000F16EB">
      <w:r>
        <w:t xml:space="preserve">Current DH models have limitations which impact DH implementation </w:t>
      </w:r>
      <w:r w:rsidRPr="008D4E2F">
        <w:fldChar w:fldCharType="begin" w:fldLock="1"/>
      </w:r>
      <w:r w:rsidR="002A6A73">
        <w:instrText>ADDIN CSL_CITATION {"citationItems":[{"id":"ITEM-1","itemData":{"DOI":"10.3389/fbuil.2016.00022","ISSN":"2297-3362","author":[{"dropping-particle":"","family":"Talebi","given":"Behrang","non-dropping-particle":"","parse-names":false,"suffix":""},{"dropping-particle":"","family":"Mirzaei","given":"Parham A.","non-dropping-particle":"","parse-names":false,"suffix":""},{"dropping-particle":"","family":"Bastani","given":"Arash","non-dropping-particle":"","parse-names":false,"suffix":""},{"dropping-particle":"","family":"Haghighat","given":"Fariborz","non-dropping-particle":"","parse-names":false,"suffix":""}],"container-title":"Frontiers in Built Environment","id":"ITEM-1","issue":"October","issued":{"date-parts":[["2016"]]},"page":"1-14","title":"A Review of District Heating Systems: Modeling and Optimization","type":"article-journal","volume":"2"},"uris":["http://www.mendeley.com/documents/?uuid=8c985309-fa60-4cac-b063-aea036b62563"]}],"mendeley":{"formattedCitation":"(Talebi &lt;i&gt;et al.&lt;/i&gt;, 2016)","manualFormatting":"(Talebi et al., 2016)","plainTextFormattedCitation":"(Talebi et al., 2016)","previouslyFormattedCitation":"(Talebi &lt;i&gt;et al.&lt;/i&gt;, 2016)"},"properties":{"noteIndex":0},"schema":"https://github.com/citation-style-language/schema/raw/master/csl-citation.json"}</w:instrText>
      </w:r>
      <w:r w:rsidRPr="008D4E2F">
        <w:fldChar w:fldCharType="separate"/>
      </w:r>
      <w:r w:rsidRPr="008D4E2F">
        <w:rPr>
          <w:noProof/>
        </w:rPr>
        <w:t xml:space="preserve">(Talebi </w:t>
      </w:r>
      <w:r w:rsidRPr="006A7FED">
        <w:rPr>
          <w:i/>
          <w:noProof/>
        </w:rPr>
        <w:t>et al</w:t>
      </w:r>
      <w:r w:rsidRPr="008D4E2F">
        <w:rPr>
          <w:noProof/>
        </w:rPr>
        <w:t>., 2016)</w:t>
      </w:r>
      <w:r w:rsidRPr="008D4E2F">
        <w:fldChar w:fldCharType="end"/>
      </w:r>
      <w:r w:rsidRPr="008D4E2F">
        <w:t>.</w:t>
      </w:r>
      <w:r>
        <w:t xml:space="preserve"> A heterogeneous building stock is difficult to accurately model using a single modelling type </w:t>
      </w:r>
      <w:r>
        <w:fldChar w:fldCharType="begin" w:fldLock="1"/>
      </w:r>
      <w:r w:rsidR="002A6A73">
        <w:instrText>ADDIN CSL_CITATION {"citationItems":[{"id":"ITEM-1","itemData":{"DOI":"10.1016/j.apenergy.2014.12.068","ISBN":"0306-2619","ISSN":"03062619","PMID":"24439530","abstract":"We introduce an integrated model for characterization of spatiotemporal building energy consumption patterns in neighborhoods and city districts. The model addresses the need for a comprehensive method to identify present and potential states of building energy consumption in the context of urban transformation. The focus lies on determining the spatiotemporal variability of energy services in both standing and future buildings in the residential, commercial and industrial sectors. This detailed characterization facilitates the assessment of potential energy efficiency measures at the neighborhood and city district scales. In a novel approach we integrated existing methods in urban and energy planning domains such as spatial analysis, dynamic building energy modeling and energy mapping to provide a comprehensive, multi-scale and multi-dimensional model of analysis. The model is part of a geographic information system (GIS), which serves as a platform for the allocation and future dissemination of spatiotemporal data. The model is validated against measured data and a peer model for a city district in Switzerland. In this context, we present practical applications in the analysis of energy efficiency measures in buildings and urban zoning. We furthermore discuss potential applications in educational, urban and energy planning practices.","author":[{"dropping-particle":"","family":"Fonseca","given":"Jimeno A.","non-dropping-particle":"","parse-names":false,"suffix":""},{"dropping-particle":"","family":"Schlueter","given":"Arno","non-dropping-particle":"","parse-names":false,"suffix":""}],"container-title":"Applied Energy","id":"ITEM-1","issued":{"date-parts":[["2015"]]},"page":"247-265","publisher":"Elsevier Ltd","title":"Integrated model for characterization of spatiotemporal building energy consumption patterns in neighborhoods and city districts","type":"article-journal","volume":"142"},"uris":["http://www.mendeley.com/documents/?uuid=78c6e8a4-9311-4495-b38d-abd656a5fb7a"]},{"id":"ITEM-2","itemData":{"abstract":"This paper aims to evaluate the accuracy and strength of a new approach that automatically calculates the heating demand of whole district areas, modelled in 3D with the open standard CityGML. For this purpose, two residential districts in Ludwigsburg and Karlsruhe have been chosen as case studies. To evaluate the accuracy of the model, the simulation results were compared to real measured consumption data and the model uncertainties were analysed. The mean deviations found between simulated and real district heating consumption are 7% and 21% for the two cases. Beside the thermal diagnostics of the existing building stock, the paper shows how 3D city models could play a central role in the development of urban strategies for renewable energy supply and energy efficiency measures on both district and city levels.","author":[{"dropping-particle":"","family":"Nouvel","given":"Romain","non-dropping-particle":"","parse-names":false,"suffix":""},{"dropping-particle":"","family":"Schulte","given":"Claudia","non-dropping-particle":"","parse-names":false,"suffix":""},{"dropping-particle":"","family":"Eicker","given":"Ursula","non-dropping-particle":"","parse-names":false,"suffix":""},{"dropping-particle":"","family":"Pietruschka","given":"Dirk","non-dropping-particle":"","parse-names":false,"suffix":""},{"dropping-particle":"","family":"Coors","given":"Volker","non-dropping-particle":"","parse-names":false,"suffix":""}],"container-title":"Proceedings of BS2013: 13th Conference of International Building Performance Simulation Association","id":"ITEM-2","issue":"August","issued":{"date-parts":[["2013"]]},"page":"218-225","title":"CityGML-Based 3D City Model for Energy Diagnostics and Urban Energy Policy Support","type":"article-journal"},"uris":["http://www.mendeley.com/documents/?uuid=35e5c510-6e61-41e4-8db7-c83b6d0f8cbe"]}],"mendeley":{"formattedCitation":"(Nouvel &lt;i&gt;et al.&lt;/i&gt;, 2013; Fonseca and Schlueter, 2015)","manualFormatting":"(Nouvel et al., 2013; Fonseca and Schlueter, 2015)","plainTextFormattedCitation":"(Nouvel et al., 2013; Fonseca and Schlueter, 2015)","previouslyFormattedCitation":"(Nouvel &lt;i&gt;et al.&lt;/i&gt;, 2013; Fonseca and Schlueter, 2015)"},"properties":{"noteIndex":0},"schema":"https://github.com/citation-style-language/schema/raw/master/csl-citation.json"}</w:instrText>
      </w:r>
      <w:r>
        <w:fldChar w:fldCharType="separate"/>
      </w:r>
      <w:r w:rsidRPr="00636797">
        <w:rPr>
          <w:noProof/>
        </w:rPr>
        <w:t xml:space="preserve">(Nouvel </w:t>
      </w:r>
      <w:r w:rsidRPr="006A7FED">
        <w:rPr>
          <w:i/>
          <w:noProof/>
        </w:rPr>
        <w:t>et al.</w:t>
      </w:r>
      <w:r>
        <w:rPr>
          <w:noProof/>
        </w:rPr>
        <w:t>,</w:t>
      </w:r>
      <w:r w:rsidRPr="00636797">
        <w:rPr>
          <w:noProof/>
        </w:rPr>
        <w:t xml:space="preserve"> 2013</w:t>
      </w:r>
      <w:r>
        <w:rPr>
          <w:noProof/>
        </w:rPr>
        <w:t xml:space="preserve">; </w:t>
      </w:r>
      <w:r w:rsidRPr="00636797">
        <w:rPr>
          <w:noProof/>
        </w:rPr>
        <w:t>Fonseca and Schlueter</w:t>
      </w:r>
      <w:r>
        <w:rPr>
          <w:noProof/>
        </w:rPr>
        <w:t>, 2015</w:t>
      </w:r>
      <w:r w:rsidRPr="00636797">
        <w:rPr>
          <w:noProof/>
        </w:rPr>
        <w:t>)</w:t>
      </w:r>
      <w:r>
        <w:fldChar w:fldCharType="end"/>
      </w:r>
      <w:r w:rsidRPr="008D4E2F">
        <w:t>. Many models only estimate the total yearly energy demand instead of an hourly, or more accurate de</w:t>
      </w:r>
      <w:r>
        <w:t xml:space="preserve">mand profile. The size of the heat source or the network costs can be determined using estimations of yearly energy demand however, matching the hourly supply and demand variation requires a different strategy. Many of the models have errors of up to 20%, with extreme cases having errors up to 60%. Finally, many of the models are highly data intensive, affecting costs and applicability. </w:t>
      </w:r>
    </w:p>
    <w:p w14:paraId="4DE69499" w14:textId="77777777" w:rsidR="000F16EB" w:rsidRDefault="000F16EB" w:rsidP="000F16EB">
      <w:pPr>
        <w:pStyle w:val="Heading2"/>
      </w:pPr>
      <w:bookmarkStart w:id="262" w:name="_Toc522192769"/>
      <w:bookmarkStart w:id="263" w:name="_Toc525229966"/>
      <w:bookmarkStart w:id="264" w:name="_Toc529888280"/>
      <w:bookmarkStart w:id="265" w:name="_Toc522192752"/>
      <w:bookmarkStart w:id="266" w:name="_Toc7187481"/>
      <w:r>
        <w:t>Economic and Environmental Assessments of District Heating</w:t>
      </w:r>
      <w:bookmarkEnd w:id="262"/>
      <w:bookmarkEnd w:id="263"/>
      <w:bookmarkEnd w:id="264"/>
      <w:bookmarkEnd w:id="266"/>
    </w:p>
    <w:p w14:paraId="21DF7F82" w14:textId="77777777" w:rsidR="000F16EB" w:rsidRDefault="000F16EB" w:rsidP="000F16EB">
      <w:r>
        <w:t xml:space="preserve">It is important to be able to compare DH to the incumbent heating technologies, both from an economic and an environmental scale using a methodology that is both quantifiable and replicable. If a DHN is not economically comparable to the incumbent heating system it will need external funding and support, otherwise the customers will likely choose to stick with the incumbent system. Failing to be economically better than the incumbent system will cause a DHN to fail to meet one of its primary goals, tackling fuel poverty. If DH is not environmentally comparable to the incumbent system then DH will not help to reduce the UK emission levels, failing to meet another one of its primary goals. </w:t>
      </w:r>
    </w:p>
    <w:p w14:paraId="162B7479" w14:textId="77777777" w:rsidR="000F16EB" w:rsidRDefault="000F16EB" w:rsidP="000F16EB">
      <w:pPr>
        <w:pStyle w:val="Heading3"/>
      </w:pPr>
      <w:bookmarkStart w:id="267" w:name="_Toc522192770"/>
      <w:bookmarkStart w:id="268" w:name="_Toc525229967"/>
      <w:bookmarkStart w:id="269" w:name="_Toc529888281"/>
      <w:bookmarkStart w:id="270" w:name="_Toc7187482"/>
      <w:r>
        <w:t>Techno-Economic Assessments of District Heating</w:t>
      </w:r>
      <w:bookmarkEnd w:id="267"/>
      <w:bookmarkEnd w:id="268"/>
      <w:bookmarkEnd w:id="269"/>
      <w:bookmarkEnd w:id="270"/>
    </w:p>
    <w:p w14:paraId="1C1FFC0F" w14:textId="1405C62B" w:rsidR="000F16EB" w:rsidRDefault="000F16EB" w:rsidP="000F16EB">
      <w:r>
        <w:t xml:space="preserve">Techno-economic optimisation of DH allows the financial viability of the network to be assessed, whilst simultaneously assessing its technical feasibility. Techno-economic optimisation processes vary from simple assessments to accurate studies and can be implemented by a variety of techniques. </w:t>
      </w:r>
      <w:r w:rsidRPr="003D7103">
        <w:t>The economics behind DH are based on</w:t>
      </w:r>
      <w:r>
        <w:t xml:space="preserve"> the costs of</w:t>
      </w:r>
      <w:r w:rsidRPr="003D7103">
        <w:t xml:space="preserve"> the </w:t>
      </w:r>
      <w:r>
        <w:t>TE</w:t>
      </w:r>
      <w:r w:rsidRPr="003D7103">
        <w:t>, the construction</w:t>
      </w:r>
      <w:r>
        <w:t xml:space="preserve"> process</w:t>
      </w:r>
      <w:r w:rsidRPr="003D7103">
        <w:t>, the customer connection</w:t>
      </w:r>
      <w:r>
        <w:t>s</w:t>
      </w:r>
      <w:r w:rsidRPr="003D7103">
        <w:t>, operation and maintenance</w:t>
      </w:r>
      <w:r>
        <w:t>,</w:t>
      </w:r>
      <w:r w:rsidRPr="003D7103">
        <w:t xml:space="preserve"> as well as efficienc</w:t>
      </w:r>
      <w:r>
        <w:t>ies</w:t>
      </w:r>
      <w:r w:rsidRPr="003D7103">
        <w:t xml:space="preserve"> and losses </w:t>
      </w:r>
      <w:r w:rsidRPr="003D7103">
        <w:fldChar w:fldCharType="begin" w:fldLock="1"/>
      </w:r>
      <w:r w:rsidR="002A6A73">
        <w:instrText>ADDIN CSL_CITATION {"citationItems":[{"id":"ITEM-1","itemData":{"DOI":"10.1016/j.applthermaleng.2006.02.039","ISBN":"1359-4311","ISSN":"13594311","abstract":"The various governmental policies aimed at reducing the dependence on fossil fuels for space heating and the reduction in its associated emission of greenhouse gases such as CO2 demands innovative measures. District heating systems using residual industrial waste heats could provide such an efficient method for house and space heating. In such systems, heat is produced and/or thermally upgraded in a central plant and then distributed to the final consumers through a pipeline network. This paper studies the technical, economic, institutional and environmental feasibilities of using low-level residual industrial waste heat for the district heating of Delft, The Netherlands. An integrated conceptual design approach that takes into account both the technical and institutional design of the system has been adopted and has resulted in a feasible and robust system design. The technical part of the integrated conceptual design consisted in the estimation of the heat demands, the design of the heat upgrading system, equipment sizing, the network morphology and/or spatial connectivity and the exergy losses in the needed infrastructure as well as the economic viability of the system. An isopropanol-hydrogen-acetone chemical heat pump was selected for the process and has been modelled in ASPEN plus??. The conventional cost estimation model has been modified to account for uncompensated system downtimes. ?? 2006 Elsevier Ltd. All rights reserved.","author":[{"dropping-particle":"","family":"Ajah","given":"Augustine N.","non-dropping-particle":"","parse-names":false,"suffix":""},{"dropping-particle":"","family":"Patil","given":"Anish C.","non-dropping-particle":"","parse-names":false,"suffix":""},{"dropping-particle":"","family":"Herder","given":"Paulien M.","non-dropping-particle":"","parse-names":false,"suffix":""},{"dropping-particle":"","family":"Grievink","given":"Johan","non-dropping-particle":"","parse-names":false,"suffix":""}],"container-title":"Applied Thermal Engineering","id":"ITEM-1","issue":"7 SPEC. ISS.","issued":{"date-parts":[["2007"]]},"page":"1158-1164","title":"Integrated conceptual design of a robust and reliable waste-heat district heating system","type":"article-journal","volume":"27"},"uris":["http://www.mendeley.com/documents/?uuid=2d5f73d5-ebd1-4a92-bbb0-5fd633fc8be0"]},{"id":"ITEM-2","itemData":{"DOI":"10.1016/j.apenergy.2011.04.020","ISSN":"03062619","author":[{"dropping-particle":"","family":"Rezaie","given":"Behnaz","non-dropping-particle":"","parse-names":false,"suffix":""},{"dropping-particle":"","family":"Rosen","given":"Marc A.","non-dropping-particle":"","parse-names":false,"suffix":""}],"container-title":"Applied Energy","id":"ITEM-2","issued":{"date-parts":[["2012"]]},"page":"2-10","publisher":"Elsevier Ltd","title":"District heating and cooling: Review of technology and potential enhancements","type":"article-journal","volume":"93"},"uris":["http://www.mendeley.com/documents/?uuid=63528936-06c6-48f1-8143-9a4d5cbdc591"]}],"mendeley":{"formattedCitation":"(Ajah &lt;i&gt;et al.&lt;/i&gt;, 2007; Rezaie and Rosen, 2012)","plainTextFormattedCitation":"(Ajah et al., 2007; Rezaie and Rosen, 2012)","previouslyFormattedCitation":"(Ajah &lt;i&gt;et al.&lt;/i&gt;, 2007; Rezaie and Rosen, 2012)"},"properties":{"noteIndex":0},"schema":"https://github.com/citation-style-language/schema/raw/master/csl-citation.json"}</w:instrText>
      </w:r>
      <w:r w:rsidRPr="003D7103">
        <w:fldChar w:fldCharType="separate"/>
      </w:r>
      <w:r w:rsidR="002A6A73" w:rsidRPr="002A6A73">
        <w:rPr>
          <w:noProof/>
        </w:rPr>
        <w:t xml:space="preserve">(Ajah </w:t>
      </w:r>
      <w:r w:rsidR="002A6A73" w:rsidRPr="002A6A73">
        <w:rPr>
          <w:i/>
          <w:noProof/>
        </w:rPr>
        <w:t>et al.</w:t>
      </w:r>
      <w:r w:rsidR="002A6A73" w:rsidRPr="002A6A73">
        <w:rPr>
          <w:noProof/>
        </w:rPr>
        <w:t>, 2007; Rezaie and Rosen, 2012)</w:t>
      </w:r>
      <w:r w:rsidRPr="003D7103">
        <w:fldChar w:fldCharType="end"/>
      </w:r>
      <w:r w:rsidRPr="003D7103">
        <w:t xml:space="preserve">. DECC has </w:t>
      </w:r>
      <w:r w:rsidRPr="003D7103">
        <w:lastRenderedPageBreak/>
        <w:t xml:space="preserve">investigated the costs </w:t>
      </w:r>
      <w:r>
        <w:t>of</w:t>
      </w:r>
      <w:r w:rsidRPr="003D7103">
        <w:t xml:space="preserve"> bulk </w:t>
      </w:r>
      <w:r>
        <w:t xml:space="preserve">DH </w:t>
      </w:r>
      <w:r w:rsidRPr="003D7103">
        <w:t>schemes</w:t>
      </w:r>
      <w:r>
        <w:t xml:space="preserve">, </w:t>
      </w:r>
      <w:r w:rsidRPr="003D7103">
        <w:t>where energy is delivered to a distribution point</w:t>
      </w:r>
      <w:r>
        <w:t>,</w:t>
      </w:r>
      <w:r w:rsidRPr="003D7103">
        <w:t xml:space="preserve"> and non-bulk</w:t>
      </w:r>
      <w:r>
        <w:t xml:space="preserve"> DH</w:t>
      </w:r>
      <w:r w:rsidRPr="003D7103">
        <w:t xml:space="preserve"> schemes</w:t>
      </w:r>
      <w:r>
        <w:t>,</w:t>
      </w:r>
      <w:r w:rsidRPr="003D7103">
        <w:t xml:space="preserve"> where energy is delivered to customers</w:t>
      </w:r>
      <w:r>
        <w:t xml:space="preserve">, as shown in </w:t>
      </w:r>
      <w:r>
        <w:fldChar w:fldCharType="begin"/>
      </w:r>
      <w:r>
        <w:instrText xml:space="preserve"> REF _Ref529351838 \h </w:instrText>
      </w:r>
      <w:r>
        <w:fldChar w:fldCharType="separate"/>
      </w:r>
      <w:r w:rsidR="00CB7456">
        <w:t xml:space="preserve">Table </w:t>
      </w:r>
      <w:r w:rsidR="00CB7456">
        <w:rPr>
          <w:noProof/>
        </w:rPr>
        <w:t>2</w:t>
      </w:r>
      <w:r w:rsidR="00CB7456">
        <w:t>.</w:t>
      </w:r>
      <w:r w:rsidR="00CB7456">
        <w:rPr>
          <w:noProof/>
        </w:rPr>
        <w:t>7</w:t>
      </w:r>
      <w:r>
        <w:fldChar w:fldCharType="end"/>
      </w:r>
      <w:r>
        <w:t xml:space="preserve"> </w:t>
      </w:r>
      <w:r w:rsidRPr="003D7103">
        <w:fldChar w:fldCharType="begin" w:fldLock="1"/>
      </w:r>
      <w:r w:rsidR="002A6A73">
        <w:instrText>ADDIN CSL_CITATION {"citationItems":[{"id":"ITEM-1","itemData":{"author":[{"dropping-particle":"","family":"DECC","given":"","non-dropping-particle":"","parse-names":false,"suffix":""}],"id":"ITEM-1","issued":{"date-parts":[["2015"]]},"publisher-place":"London, England","title":"Assessment of the Costs, Performance, and Characteristics of UK Heat Networks","type":"report"},"uris":["http://www.mendeley.com/documents/?uuid=fa96b1e4-69b1-4e0e-ba67-0101ca328647"]}],"mendeley":{"formattedCitation":"(DECC, 2015a)","plainTextFormattedCitation":"(DECC, 2015a)","previouslyFormattedCitation":"(DECC, 2015a)"},"properties":{"noteIndex":0},"schema":"https://github.com/citation-style-language/schema/raw/master/csl-citation.json"}</w:instrText>
      </w:r>
      <w:r w:rsidRPr="003D7103">
        <w:fldChar w:fldCharType="separate"/>
      </w:r>
      <w:r w:rsidR="002A6A73" w:rsidRPr="002A6A73">
        <w:rPr>
          <w:noProof/>
        </w:rPr>
        <w:t>(DECC, 2015a)</w:t>
      </w:r>
      <w:r w:rsidRPr="003D7103">
        <w:fldChar w:fldCharType="end"/>
      </w:r>
      <w:r w:rsidRPr="003D7103">
        <w:t>.</w:t>
      </w:r>
      <w:bookmarkStart w:id="271" w:name="_Ref451333003"/>
      <w:bookmarkStart w:id="272" w:name="_Ref467835471"/>
    </w:p>
    <w:p w14:paraId="12158479" w14:textId="48D51497" w:rsidR="000F16EB" w:rsidRDefault="000F16EB" w:rsidP="000F16EB">
      <w:pPr>
        <w:pStyle w:val="Caption"/>
        <w:keepNext/>
      </w:pPr>
      <w:bookmarkStart w:id="273" w:name="_Ref522098281"/>
      <w:bookmarkStart w:id="274" w:name="_Ref525137110"/>
      <w:bookmarkStart w:id="275" w:name="_Ref529351838"/>
      <w:bookmarkStart w:id="276" w:name="_Toc525230117"/>
      <w:bookmarkStart w:id="277" w:name="_Toc7187670"/>
      <w:r>
        <w:t xml:space="preserve">Table </w:t>
      </w:r>
      <w:fldSimple w:instr=" STYLEREF 1 \s ">
        <w:r w:rsidR="00CB7456">
          <w:rPr>
            <w:noProof/>
          </w:rPr>
          <w:t>2</w:t>
        </w:r>
      </w:fldSimple>
      <w:r w:rsidR="009E1A67">
        <w:t>.</w:t>
      </w:r>
      <w:fldSimple w:instr=" SEQ Table \* ARABIC \s 1 ">
        <w:r w:rsidR="00CB7456">
          <w:rPr>
            <w:noProof/>
          </w:rPr>
          <w:t>7</w:t>
        </w:r>
      </w:fldSimple>
      <w:bookmarkEnd w:id="273"/>
      <w:bookmarkEnd w:id="274"/>
      <w:bookmarkEnd w:id="275"/>
      <w:r>
        <w:t xml:space="preserve">: </w:t>
      </w:r>
      <w:r w:rsidRPr="00DF4536">
        <w:t xml:space="preserve">Breakdown of DHN </w:t>
      </w:r>
      <w:r w:rsidRPr="0022640E">
        <w:t xml:space="preserve">costs </w:t>
      </w:r>
      <w:r w:rsidRPr="0022640E">
        <w:fldChar w:fldCharType="begin" w:fldLock="1"/>
      </w:r>
      <w:r w:rsidR="002A6A73" w:rsidRPr="0022640E">
        <w:instrText>ADDIN CSL_CITATION {"citationItems":[{"id":"ITEM-1","itemData":{"author":[{"dropping-particle":"","family":"DECC","given":"","non-dropping-particle":"","parse-names":false,"suffix":""}],"id":"ITEM-1","issued":{"date-parts":[["2015"]]},"publisher-place":"London, England","title":"Assessment of the Costs, Performance, and Characteristics of UK Heat Networks","type":"report"},"uris":["http://www.mendeley.com/documents/?uuid=fa96b1e4-69b1-4e0e-ba67-0101ca328647"]}],"mendeley":{"formattedCitation":"(DECC, 2015a)","plainTextFormattedCitation":"(DECC, 2015a)","previouslyFormattedCitation":"(DECC, 2015a)"},"properties":{"noteIndex":0},"schema":"https://github.com/citation-style-language/schema/raw/master/csl-citation.json"}</w:instrText>
      </w:r>
      <w:r w:rsidRPr="0022640E">
        <w:fldChar w:fldCharType="separate"/>
      </w:r>
      <w:r w:rsidR="002A6A73" w:rsidRPr="0022640E">
        <w:rPr>
          <w:noProof/>
        </w:rPr>
        <w:t>(DECC, 2015a)</w:t>
      </w:r>
      <w:r w:rsidRPr="0022640E">
        <w:fldChar w:fldCharType="end"/>
      </w:r>
      <w:r w:rsidRPr="0022640E">
        <w:t>.</w:t>
      </w:r>
      <w:bookmarkEnd w:id="276"/>
      <w:bookmarkEnd w:id="277"/>
    </w:p>
    <w:tbl>
      <w:tblPr>
        <w:tblStyle w:val="TableGrid"/>
        <w:tblW w:w="85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694"/>
        <w:gridCol w:w="992"/>
        <w:gridCol w:w="992"/>
        <w:gridCol w:w="1418"/>
        <w:gridCol w:w="992"/>
        <w:gridCol w:w="1417"/>
      </w:tblGrid>
      <w:tr w:rsidR="000F16EB" w:rsidRPr="003D7103" w14:paraId="441DD97E" w14:textId="77777777" w:rsidTr="00A7521D">
        <w:tc>
          <w:tcPr>
            <w:tcW w:w="2694" w:type="dxa"/>
            <w:tcBorders>
              <w:top w:val="single" w:sz="4" w:space="0" w:color="auto"/>
            </w:tcBorders>
          </w:tcPr>
          <w:p w14:paraId="5E87D233" w14:textId="77777777" w:rsidR="000F16EB" w:rsidRPr="003D7103" w:rsidRDefault="000F16EB" w:rsidP="00A7521D">
            <w:pPr>
              <w:jc w:val="center"/>
            </w:pPr>
            <w:r>
              <w:t>CAPEX</w:t>
            </w:r>
            <w:r w:rsidRPr="003D7103">
              <w:t xml:space="preserve"> (£</w:t>
            </w:r>
            <w:r>
              <w:t>/</w:t>
            </w:r>
            <w:r w:rsidRPr="003D7103">
              <w:t>MWh)</w:t>
            </w:r>
          </w:p>
        </w:tc>
        <w:tc>
          <w:tcPr>
            <w:tcW w:w="992" w:type="dxa"/>
            <w:tcBorders>
              <w:top w:val="single" w:sz="4" w:space="0" w:color="auto"/>
            </w:tcBorders>
          </w:tcPr>
          <w:p w14:paraId="1B97C9DE" w14:textId="77777777" w:rsidR="000F16EB" w:rsidRPr="003D7103" w:rsidRDefault="000F16EB" w:rsidP="00A7521D">
            <w:pPr>
              <w:jc w:val="center"/>
            </w:pPr>
            <w:r w:rsidRPr="003D7103">
              <w:t>Overall</w:t>
            </w:r>
          </w:p>
        </w:tc>
        <w:tc>
          <w:tcPr>
            <w:tcW w:w="2410" w:type="dxa"/>
            <w:gridSpan w:val="2"/>
            <w:tcBorders>
              <w:top w:val="single" w:sz="4" w:space="0" w:color="auto"/>
            </w:tcBorders>
          </w:tcPr>
          <w:p w14:paraId="29280D3C" w14:textId="77777777" w:rsidR="000F16EB" w:rsidRPr="003D7103" w:rsidRDefault="000F16EB" w:rsidP="00A7521D">
            <w:pPr>
              <w:jc w:val="center"/>
            </w:pPr>
            <w:r w:rsidRPr="003D7103">
              <w:t>Bulk schemes</w:t>
            </w:r>
          </w:p>
        </w:tc>
        <w:tc>
          <w:tcPr>
            <w:tcW w:w="2409" w:type="dxa"/>
            <w:gridSpan w:val="2"/>
            <w:tcBorders>
              <w:top w:val="single" w:sz="4" w:space="0" w:color="auto"/>
            </w:tcBorders>
          </w:tcPr>
          <w:p w14:paraId="00908A7F" w14:textId="77777777" w:rsidR="000F16EB" w:rsidRPr="003D7103" w:rsidRDefault="000F16EB" w:rsidP="00A7521D">
            <w:pPr>
              <w:jc w:val="center"/>
            </w:pPr>
            <w:r w:rsidRPr="003D7103">
              <w:t>Non-bulk schemes</w:t>
            </w:r>
          </w:p>
        </w:tc>
      </w:tr>
      <w:tr w:rsidR="000F16EB" w:rsidRPr="003D7103" w14:paraId="4006A433" w14:textId="77777777" w:rsidTr="00A7521D">
        <w:tc>
          <w:tcPr>
            <w:tcW w:w="2694" w:type="dxa"/>
            <w:tcBorders>
              <w:bottom w:val="single" w:sz="4" w:space="0" w:color="auto"/>
            </w:tcBorders>
          </w:tcPr>
          <w:p w14:paraId="482D88D2" w14:textId="77777777" w:rsidR="000F16EB" w:rsidRPr="003D7103" w:rsidRDefault="000F16EB" w:rsidP="00A7521D">
            <w:pPr>
              <w:jc w:val="center"/>
            </w:pPr>
          </w:p>
        </w:tc>
        <w:tc>
          <w:tcPr>
            <w:tcW w:w="992" w:type="dxa"/>
            <w:tcBorders>
              <w:bottom w:val="single" w:sz="4" w:space="0" w:color="auto"/>
            </w:tcBorders>
          </w:tcPr>
          <w:p w14:paraId="15E6C1A0" w14:textId="77777777" w:rsidR="000F16EB" w:rsidRPr="003D7103" w:rsidRDefault="000F16EB" w:rsidP="00A7521D">
            <w:pPr>
              <w:jc w:val="center"/>
            </w:pPr>
            <w:r w:rsidRPr="003D7103">
              <w:t>Average</w:t>
            </w:r>
          </w:p>
        </w:tc>
        <w:tc>
          <w:tcPr>
            <w:tcW w:w="992" w:type="dxa"/>
            <w:tcBorders>
              <w:bottom w:val="single" w:sz="4" w:space="0" w:color="auto"/>
            </w:tcBorders>
          </w:tcPr>
          <w:p w14:paraId="509EC8BA" w14:textId="77777777" w:rsidR="000F16EB" w:rsidRPr="003D7103" w:rsidRDefault="000F16EB" w:rsidP="00A7521D">
            <w:pPr>
              <w:jc w:val="center"/>
            </w:pPr>
            <w:r w:rsidRPr="003D7103">
              <w:t>Average</w:t>
            </w:r>
          </w:p>
        </w:tc>
        <w:tc>
          <w:tcPr>
            <w:tcW w:w="1418" w:type="dxa"/>
            <w:tcBorders>
              <w:bottom w:val="single" w:sz="4" w:space="0" w:color="auto"/>
            </w:tcBorders>
          </w:tcPr>
          <w:p w14:paraId="76876AD9" w14:textId="77777777" w:rsidR="000F16EB" w:rsidRPr="003D7103" w:rsidRDefault="000F16EB" w:rsidP="00A7521D">
            <w:pPr>
              <w:jc w:val="center"/>
            </w:pPr>
            <w:r w:rsidRPr="003D7103">
              <w:t>Respondents</w:t>
            </w:r>
          </w:p>
        </w:tc>
        <w:tc>
          <w:tcPr>
            <w:tcW w:w="992" w:type="dxa"/>
            <w:tcBorders>
              <w:bottom w:val="single" w:sz="4" w:space="0" w:color="auto"/>
            </w:tcBorders>
          </w:tcPr>
          <w:p w14:paraId="441AFA85" w14:textId="77777777" w:rsidR="000F16EB" w:rsidRPr="003D7103" w:rsidRDefault="000F16EB" w:rsidP="00A7521D">
            <w:pPr>
              <w:jc w:val="center"/>
            </w:pPr>
            <w:r w:rsidRPr="003D7103">
              <w:t>Average</w:t>
            </w:r>
          </w:p>
        </w:tc>
        <w:tc>
          <w:tcPr>
            <w:tcW w:w="1417" w:type="dxa"/>
            <w:tcBorders>
              <w:bottom w:val="single" w:sz="4" w:space="0" w:color="auto"/>
            </w:tcBorders>
          </w:tcPr>
          <w:p w14:paraId="5A09AB8A" w14:textId="77777777" w:rsidR="000F16EB" w:rsidRPr="003D7103" w:rsidRDefault="000F16EB" w:rsidP="00A7521D">
            <w:pPr>
              <w:jc w:val="center"/>
            </w:pPr>
            <w:r w:rsidRPr="003D7103">
              <w:t>Respondents</w:t>
            </w:r>
          </w:p>
        </w:tc>
      </w:tr>
      <w:tr w:rsidR="000F16EB" w:rsidRPr="003D7103" w14:paraId="2C3EB8AE" w14:textId="77777777" w:rsidTr="00A7521D">
        <w:tc>
          <w:tcPr>
            <w:tcW w:w="2694" w:type="dxa"/>
            <w:tcBorders>
              <w:top w:val="single" w:sz="4" w:space="0" w:color="auto"/>
              <w:bottom w:val="single" w:sz="4" w:space="0" w:color="auto"/>
            </w:tcBorders>
          </w:tcPr>
          <w:p w14:paraId="59D614EA" w14:textId="77777777" w:rsidR="000F16EB" w:rsidRPr="003D7103" w:rsidRDefault="000F16EB" w:rsidP="00A7521D">
            <w:pPr>
              <w:jc w:val="center"/>
            </w:pPr>
            <w:r w:rsidRPr="003D7103">
              <w:t>Heat connections</w:t>
            </w:r>
          </w:p>
        </w:tc>
        <w:tc>
          <w:tcPr>
            <w:tcW w:w="992" w:type="dxa"/>
            <w:tcBorders>
              <w:top w:val="single" w:sz="4" w:space="0" w:color="auto"/>
              <w:bottom w:val="single" w:sz="4" w:space="0" w:color="auto"/>
            </w:tcBorders>
          </w:tcPr>
          <w:p w14:paraId="04ED2D6D" w14:textId="77777777" w:rsidR="000F16EB" w:rsidRPr="003D7103" w:rsidRDefault="000F16EB" w:rsidP="00A7521D">
            <w:pPr>
              <w:jc w:val="center"/>
            </w:pPr>
          </w:p>
        </w:tc>
        <w:tc>
          <w:tcPr>
            <w:tcW w:w="992" w:type="dxa"/>
            <w:tcBorders>
              <w:top w:val="single" w:sz="4" w:space="0" w:color="auto"/>
              <w:bottom w:val="single" w:sz="4" w:space="0" w:color="auto"/>
            </w:tcBorders>
          </w:tcPr>
          <w:p w14:paraId="19F46EF7" w14:textId="77777777" w:rsidR="000F16EB" w:rsidRPr="003D7103" w:rsidRDefault="000F16EB" w:rsidP="00A7521D">
            <w:pPr>
              <w:jc w:val="center"/>
            </w:pPr>
          </w:p>
        </w:tc>
        <w:tc>
          <w:tcPr>
            <w:tcW w:w="1418" w:type="dxa"/>
            <w:tcBorders>
              <w:top w:val="single" w:sz="4" w:space="0" w:color="auto"/>
              <w:bottom w:val="single" w:sz="4" w:space="0" w:color="auto"/>
            </w:tcBorders>
          </w:tcPr>
          <w:p w14:paraId="5151AE54" w14:textId="77777777" w:rsidR="000F16EB" w:rsidRPr="003D7103" w:rsidRDefault="000F16EB" w:rsidP="00A7521D">
            <w:pPr>
              <w:jc w:val="center"/>
            </w:pPr>
          </w:p>
        </w:tc>
        <w:tc>
          <w:tcPr>
            <w:tcW w:w="992" w:type="dxa"/>
            <w:tcBorders>
              <w:top w:val="single" w:sz="4" w:space="0" w:color="auto"/>
              <w:bottom w:val="single" w:sz="4" w:space="0" w:color="auto"/>
            </w:tcBorders>
          </w:tcPr>
          <w:p w14:paraId="4599B9FC" w14:textId="77777777" w:rsidR="000F16EB" w:rsidRPr="003D7103" w:rsidRDefault="000F16EB" w:rsidP="00A7521D">
            <w:pPr>
              <w:jc w:val="center"/>
            </w:pPr>
          </w:p>
        </w:tc>
        <w:tc>
          <w:tcPr>
            <w:tcW w:w="1417" w:type="dxa"/>
            <w:tcBorders>
              <w:top w:val="single" w:sz="4" w:space="0" w:color="auto"/>
              <w:bottom w:val="single" w:sz="4" w:space="0" w:color="auto"/>
            </w:tcBorders>
          </w:tcPr>
          <w:p w14:paraId="3580E0D9" w14:textId="77777777" w:rsidR="000F16EB" w:rsidRPr="003D7103" w:rsidRDefault="000F16EB" w:rsidP="00A7521D">
            <w:pPr>
              <w:jc w:val="center"/>
            </w:pPr>
          </w:p>
        </w:tc>
      </w:tr>
      <w:tr w:rsidR="000F16EB" w:rsidRPr="003D7103" w14:paraId="4BA7B32F" w14:textId="77777777" w:rsidTr="00A7521D">
        <w:tc>
          <w:tcPr>
            <w:tcW w:w="2694" w:type="dxa"/>
            <w:tcBorders>
              <w:top w:val="single" w:sz="4" w:space="0" w:color="auto"/>
            </w:tcBorders>
          </w:tcPr>
          <w:p w14:paraId="7D3FA880" w14:textId="77777777" w:rsidR="000F16EB" w:rsidRPr="003D7103" w:rsidRDefault="000F16EB" w:rsidP="00A7521D">
            <w:pPr>
              <w:jc w:val="center"/>
            </w:pPr>
            <w:r w:rsidRPr="003D7103">
              <w:t>Substations</w:t>
            </w:r>
          </w:p>
        </w:tc>
        <w:tc>
          <w:tcPr>
            <w:tcW w:w="992" w:type="dxa"/>
            <w:tcBorders>
              <w:top w:val="single" w:sz="4" w:space="0" w:color="auto"/>
            </w:tcBorders>
          </w:tcPr>
          <w:p w14:paraId="0E3026AC" w14:textId="77777777" w:rsidR="000F16EB" w:rsidRPr="003D7103" w:rsidRDefault="000F16EB" w:rsidP="00A7521D">
            <w:pPr>
              <w:jc w:val="center"/>
            </w:pPr>
            <w:r w:rsidRPr="003D7103">
              <w:t>16</w:t>
            </w:r>
          </w:p>
        </w:tc>
        <w:tc>
          <w:tcPr>
            <w:tcW w:w="992" w:type="dxa"/>
            <w:tcBorders>
              <w:top w:val="single" w:sz="4" w:space="0" w:color="auto"/>
            </w:tcBorders>
          </w:tcPr>
          <w:p w14:paraId="684844D0" w14:textId="77777777" w:rsidR="000F16EB" w:rsidRPr="003D7103" w:rsidRDefault="000F16EB" w:rsidP="00A7521D">
            <w:pPr>
              <w:jc w:val="center"/>
            </w:pPr>
            <w:r w:rsidRPr="003D7103">
              <w:t>12</w:t>
            </w:r>
          </w:p>
        </w:tc>
        <w:tc>
          <w:tcPr>
            <w:tcW w:w="1418" w:type="dxa"/>
            <w:tcBorders>
              <w:top w:val="single" w:sz="4" w:space="0" w:color="auto"/>
            </w:tcBorders>
          </w:tcPr>
          <w:p w14:paraId="3784BF79" w14:textId="77777777" w:rsidR="000F16EB" w:rsidRPr="003D7103" w:rsidRDefault="000F16EB" w:rsidP="00A7521D">
            <w:pPr>
              <w:jc w:val="center"/>
            </w:pPr>
            <w:r w:rsidRPr="003D7103">
              <w:t>2</w:t>
            </w:r>
          </w:p>
        </w:tc>
        <w:tc>
          <w:tcPr>
            <w:tcW w:w="992" w:type="dxa"/>
            <w:tcBorders>
              <w:top w:val="single" w:sz="4" w:space="0" w:color="auto"/>
            </w:tcBorders>
          </w:tcPr>
          <w:p w14:paraId="7AB24B9C" w14:textId="77777777" w:rsidR="000F16EB" w:rsidRPr="003D7103" w:rsidRDefault="000F16EB" w:rsidP="00A7521D">
            <w:pPr>
              <w:jc w:val="center"/>
            </w:pPr>
            <w:r w:rsidRPr="003D7103">
              <w:t>19</w:t>
            </w:r>
          </w:p>
        </w:tc>
        <w:tc>
          <w:tcPr>
            <w:tcW w:w="1417" w:type="dxa"/>
            <w:tcBorders>
              <w:top w:val="single" w:sz="4" w:space="0" w:color="auto"/>
            </w:tcBorders>
          </w:tcPr>
          <w:p w14:paraId="250BAAE4" w14:textId="77777777" w:rsidR="000F16EB" w:rsidRPr="003D7103" w:rsidRDefault="000F16EB" w:rsidP="00A7521D">
            <w:pPr>
              <w:jc w:val="center"/>
            </w:pPr>
            <w:r w:rsidRPr="003D7103">
              <w:t>3</w:t>
            </w:r>
          </w:p>
        </w:tc>
      </w:tr>
      <w:tr w:rsidR="000F16EB" w:rsidRPr="003D7103" w14:paraId="583775F2" w14:textId="77777777" w:rsidTr="00A7521D">
        <w:tc>
          <w:tcPr>
            <w:tcW w:w="2694" w:type="dxa"/>
          </w:tcPr>
          <w:p w14:paraId="7B92016A" w14:textId="77777777" w:rsidR="000F16EB" w:rsidRPr="003D7103" w:rsidRDefault="000F16EB" w:rsidP="00A7521D">
            <w:pPr>
              <w:jc w:val="center"/>
            </w:pPr>
            <w:r w:rsidRPr="003D7103">
              <w:t>Heat meters</w:t>
            </w:r>
          </w:p>
        </w:tc>
        <w:tc>
          <w:tcPr>
            <w:tcW w:w="992" w:type="dxa"/>
          </w:tcPr>
          <w:p w14:paraId="2B4D3C91" w14:textId="77777777" w:rsidR="000F16EB" w:rsidRPr="003D7103" w:rsidRDefault="000F16EB" w:rsidP="00A7521D">
            <w:pPr>
              <w:jc w:val="center"/>
            </w:pPr>
            <w:r w:rsidRPr="003D7103">
              <w:t>4</w:t>
            </w:r>
          </w:p>
        </w:tc>
        <w:tc>
          <w:tcPr>
            <w:tcW w:w="992" w:type="dxa"/>
          </w:tcPr>
          <w:p w14:paraId="4D19404C" w14:textId="77777777" w:rsidR="000F16EB" w:rsidRPr="003D7103" w:rsidRDefault="000F16EB" w:rsidP="00A7521D">
            <w:pPr>
              <w:jc w:val="center"/>
            </w:pPr>
            <w:r w:rsidRPr="003D7103">
              <w:t>3.7</w:t>
            </w:r>
          </w:p>
        </w:tc>
        <w:tc>
          <w:tcPr>
            <w:tcW w:w="1418" w:type="dxa"/>
          </w:tcPr>
          <w:p w14:paraId="5CC4713C" w14:textId="77777777" w:rsidR="000F16EB" w:rsidRPr="003D7103" w:rsidRDefault="000F16EB" w:rsidP="00A7521D">
            <w:pPr>
              <w:jc w:val="center"/>
            </w:pPr>
            <w:r w:rsidRPr="003D7103">
              <w:t>1</w:t>
            </w:r>
          </w:p>
        </w:tc>
        <w:tc>
          <w:tcPr>
            <w:tcW w:w="992" w:type="dxa"/>
          </w:tcPr>
          <w:p w14:paraId="7738EB87" w14:textId="77777777" w:rsidR="000F16EB" w:rsidRPr="003D7103" w:rsidRDefault="000F16EB" w:rsidP="00A7521D">
            <w:pPr>
              <w:jc w:val="center"/>
            </w:pPr>
            <w:r w:rsidRPr="003D7103">
              <w:t>4.4</w:t>
            </w:r>
          </w:p>
        </w:tc>
        <w:tc>
          <w:tcPr>
            <w:tcW w:w="1417" w:type="dxa"/>
          </w:tcPr>
          <w:p w14:paraId="5DB086FD" w14:textId="77777777" w:rsidR="000F16EB" w:rsidRPr="003D7103" w:rsidRDefault="000F16EB" w:rsidP="00A7521D">
            <w:pPr>
              <w:jc w:val="center"/>
            </w:pPr>
            <w:r w:rsidRPr="003D7103">
              <w:t>2</w:t>
            </w:r>
          </w:p>
        </w:tc>
      </w:tr>
      <w:tr w:rsidR="000F16EB" w:rsidRPr="003D7103" w14:paraId="3E0A5597" w14:textId="77777777" w:rsidTr="00A7521D">
        <w:tc>
          <w:tcPr>
            <w:tcW w:w="2694" w:type="dxa"/>
          </w:tcPr>
          <w:p w14:paraId="62B49D2E" w14:textId="77777777" w:rsidR="000F16EB" w:rsidRPr="003D7103" w:rsidRDefault="000F16EB" w:rsidP="00A7521D">
            <w:pPr>
              <w:jc w:val="center"/>
            </w:pPr>
            <w:r w:rsidRPr="003D7103">
              <w:t>Heat interface units (HIUs)</w:t>
            </w:r>
            <w:r w:rsidRPr="000A5296">
              <w:rPr>
                <w:vertAlign w:val="superscript"/>
              </w:rPr>
              <w:t>1</w:t>
            </w:r>
          </w:p>
        </w:tc>
        <w:tc>
          <w:tcPr>
            <w:tcW w:w="992" w:type="dxa"/>
          </w:tcPr>
          <w:p w14:paraId="45FEC680" w14:textId="77777777" w:rsidR="000F16EB" w:rsidRPr="003D7103" w:rsidRDefault="000F16EB" w:rsidP="00A7521D">
            <w:pPr>
              <w:jc w:val="center"/>
            </w:pPr>
            <w:r w:rsidRPr="003D7103">
              <w:t>253</w:t>
            </w:r>
          </w:p>
        </w:tc>
        <w:tc>
          <w:tcPr>
            <w:tcW w:w="992" w:type="dxa"/>
          </w:tcPr>
          <w:p w14:paraId="5A11FFB4" w14:textId="77777777" w:rsidR="000F16EB" w:rsidRPr="003D7103" w:rsidRDefault="000F16EB" w:rsidP="00A7521D">
            <w:pPr>
              <w:jc w:val="center"/>
            </w:pPr>
            <w:r w:rsidRPr="003D7103">
              <w:t>-</w:t>
            </w:r>
          </w:p>
        </w:tc>
        <w:tc>
          <w:tcPr>
            <w:tcW w:w="1418" w:type="dxa"/>
          </w:tcPr>
          <w:p w14:paraId="7F8B891C" w14:textId="77777777" w:rsidR="000F16EB" w:rsidRPr="003D7103" w:rsidRDefault="000F16EB" w:rsidP="00A7521D">
            <w:pPr>
              <w:jc w:val="center"/>
            </w:pPr>
            <w:r w:rsidRPr="003D7103">
              <w:t>0</w:t>
            </w:r>
          </w:p>
        </w:tc>
        <w:tc>
          <w:tcPr>
            <w:tcW w:w="992" w:type="dxa"/>
          </w:tcPr>
          <w:p w14:paraId="2717E684" w14:textId="77777777" w:rsidR="000F16EB" w:rsidRPr="003D7103" w:rsidRDefault="000F16EB" w:rsidP="00A7521D">
            <w:pPr>
              <w:jc w:val="center"/>
            </w:pPr>
            <w:r w:rsidRPr="003D7103">
              <w:t>253</w:t>
            </w:r>
          </w:p>
        </w:tc>
        <w:tc>
          <w:tcPr>
            <w:tcW w:w="1417" w:type="dxa"/>
          </w:tcPr>
          <w:p w14:paraId="5AF32CCB" w14:textId="77777777" w:rsidR="000F16EB" w:rsidRPr="003D7103" w:rsidRDefault="000F16EB" w:rsidP="00A7521D">
            <w:pPr>
              <w:jc w:val="center"/>
            </w:pPr>
            <w:r w:rsidRPr="003D7103">
              <w:t>3</w:t>
            </w:r>
          </w:p>
        </w:tc>
      </w:tr>
      <w:tr w:rsidR="000F16EB" w:rsidRPr="003D7103" w14:paraId="38AA8362" w14:textId="77777777" w:rsidTr="00A7521D">
        <w:tc>
          <w:tcPr>
            <w:tcW w:w="2694" w:type="dxa"/>
          </w:tcPr>
          <w:p w14:paraId="2D8266A3" w14:textId="77777777" w:rsidR="000F16EB" w:rsidRPr="003D7103" w:rsidRDefault="000F16EB" w:rsidP="00A7521D">
            <w:pPr>
              <w:jc w:val="center"/>
            </w:pPr>
            <w:r w:rsidRPr="003D7103">
              <w:t>Heat meters for dwellings</w:t>
            </w:r>
            <w:r w:rsidRPr="000A5296">
              <w:rPr>
                <w:vertAlign w:val="superscript"/>
              </w:rPr>
              <w:t>1</w:t>
            </w:r>
          </w:p>
        </w:tc>
        <w:tc>
          <w:tcPr>
            <w:tcW w:w="992" w:type="dxa"/>
          </w:tcPr>
          <w:p w14:paraId="7EA83A73" w14:textId="77777777" w:rsidR="000F16EB" w:rsidRPr="003D7103" w:rsidRDefault="000F16EB" w:rsidP="00A7521D">
            <w:pPr>
              <w:jc w:val="center"/>
            </w:pPr>
            <w:r w:rsidRPr="003D7103">
              <w:t>170</w:t>
            </w:r>
          </w:p>
        </w:tc>
        <w:tc>
          <w:tcPr>
            <w:tcW w:w="992" w:type="dxa"/>
          </w:tcPr>
          <w:p w14:paraId="16D759AC" w14:textId="77777777" w:rsidR="000F16EB" w:rsidRPr="003D7103" w:rsidRDefault="000F16EB" w:rsidP="00A7521D">
            <w:pPr>
              <w:jc w:val="center"/>
            </w:pPr>
            <w:r w:rsidRPr="003D7103">
              <w:t>-</w:t>
            </w:r>
          </w:p>
        </w:tc>
        <w:tc>
          <w:tcPr>
            <w:tcW w:w="1418" w:type="dxa"/>
          </w:tcPr>
          <w:p w14:paraId="5E97D3C1" w14:textId="77777777" w:rsidR="000F16EB" w:rsidRPr="003D7103" w:rsidRDefault="000F16EB" w:rsidP="00A7521D">
            <w:pPr>
              <w:jc w:val="center"/>
            </w:pPr>
            <w:r w:rsidRPr="003D7103">
              <w:t>0</w:t>
            </w:r>
          </w:p>
        </w:tc>
        <w:tc>
          <w:tcPr>
            <w:tcW w:w="992" w:type="dxa"/>
          </w:tcPr>
          <w:p w14:paraId="01A37CC4" w14:textId="77777777" w:rsidR="000F16EB" w:rsidRPr="003D7103" w:rsidRDefault="000F16EB" w:rsidP="00A7521D">
            <w:pPr>
              <w:jc w:val="center"/>
            </w:pPr>
            <w:r w:rsidRPr="003D7103">
              <w:t>170</w:t>
            </w:r>
          </w:p>
        </w:tc>
        <w:tc>
          <w:tcPr>
            <w:tcW w:w="1417" w:type="dxa"/>
          </w:tcPr>
          <w:p w14:paraId="77F62306" w14:textId="77777777" w:rsidR="000F16EB" w:rsidRPr="003D7103" w:rsidRDefault="000F16EB" w:rsidP="00A7521D">
            <w:pPr>
              <w:jc w:val="center"/>
            </w:pPr>
            <w:r w:rsidRPr="003D7103">
              <w:t>2</w:t>
            </w:r>
          </w:p>
        </w:tc>
      </w:tr>
      <w:tr w:rsidR="000F16EB" w:rsidRPr="003D7103" w14:paraId="58DB6A18" w14:textId="77777777" w:rsidTr="00A7521D">
        <w:tc>
          <w:tcPr>
            <w:tcW w:w="2694" w:type="dxa"/>
            <w:tcBorders>
              <w:bottom w:val="single" w:sz="4" w:space="0" w:color="auto"/>
            </w:tcBorders>
          </w:tcPr>
          <w:p w14:paraId="007F22B1" w14:textId="77777777" w:rsidR="000F16EB" w:rsidRPr="003D7103" w:rsidRDefault="000F16EB" w:rsidP="00A7521D">
            <w:pPr>
              <w:jc w:val="center"/>
            </w:pPr>
            <w:r w:rsidRPr="003D7103">
              <w:t>Internal pipework needed for HIUs</w:t>
            </w:r>
            <w:r w:rsidRPr="000A5296">
              <w:rPr>
                <w:vertAlign w:val="superscript"/>
              </w:rPr>
              <w:t>1</w:t>
            </w:r>
          </w:p>
        </w:tc>
        <w:tc>
          <w:tcPr>
            <w:tcW w:w="992" w:type="dxa"/>
            <w:tcBorders>
              <w:bottom w:val="single" w:sz="4" w:space="0" w:color="auto"/>
            </w:tcBorders>
          </w:tcPr>
          <w:p w14:paraId="28629CD8" w14:textId="77777777" w:rsidR="000F16EB" w:rsidRPr="003D7103" w:rsidRDefault="000F16EB" w:rsidP="00A7521D">
            <w:pPr>
              <w:jc w:val="center"/>
            </w:pPr>
            <w:r w:rsidRPr="003D7103">
              <w:t>492</w:t>
            </w:r>
          </w:p>
        </w:tc>
        <w:tc>
          <w:tcPr>
            <w:tcW w:w="992" w:type="dxa"/>
            <w:tcBorders>
              <w:bottom w:val="single" w:sz="4" w:space="0" w:color="auto"/>
            </w:tcBorders>
          </w:tcPr>
          <w:p w14:paraId="6A27DB51" w14:textId="77777777" w:rsidR="000F16EB" w:rsidRPr="003D7103" w:rsidRDefault="000F16EB" w:rsidP="00A7521D">
            <w:pPr>
              <w:jc w:val="center"/>
            </w:pPr>
            <w:r w:rsidRPr="003D7103">
              <w:t>-</w:t>
            </w:r>
          </w:p>
        </w:tc>
        <w:tc>
          <w:tcPr>
            <w:tcW w:w="1418" w:type="dxa"/>
            <w:tcBorders>
              <w:bottom w:val="single" w:sz="4" w:space="0" w:color="auto"/>
            </w:tcBorders>
          </w:tcPr>
          <w:p w14:paraId="16159765" w14:textId="77777777" w:rsidR="000F16EB" w:rsidRPr="003D7103" w:rsidRDefault="000F16EB" w:rsidP="00A7521D">
            <w:pPr>
              <w:jc w:val="center"/>
            </w:pPr>
            <w:r w:rsidRPr="003D7103">
              <w:t>0</w:t>
            </w:r>
          </w:p>
        </w:tc>
        <w:tc>
          <w:tcPr>
            <w:tcW w:w="992" w:type="dxa"/>
            <w:tcBorders>
              <w:bottom w:val="single" w:sz="4" w:space="0" w:color="auto"/>
            </w:tcBorders>
          </w:tcPr>
          <w:p w14:paraId="555DBB22" w14:textId="77777777" w:rsidR="000F16EB" w:rsidRPr="003D7103" w:rsidRDefault="000F16EB" w:rsidP="00A7521D">
            <w:pPr>
              <w:jc w:val="center"/>
            </w:pPr>
            <w:r w:rsidRPr="003D7103">
              <w:t>492</w:t>
            </w:r>
          </w:p>
        </w:tc>
        <w:tc>
          <w:tcPr>
            <w:tcW w:w="1417" w:type="dxa"/>
            <w:tcBorders>
              <w:bottom w:val="single" w:sz="4" w:space="0" w:color="auto"/>
            </w:tcBorders>
          </w:tcPr>
          <w:p w14:paraId="07E0DF19" w14:textId="77777777" w:rsidR="000F16EB" w:rsidRPr="003D7103" w:rsidRDefault="000F16EB" w:rsidP="00A7521D">
            <w:pPr>
              <w:jc w:val="center"/>
            </w:pPr>
            <w:r w:rsidRPr="003D7103">
              <w:t>2</w:t>
            </w:r>
          </w:p>
        </w:tc>
      </w:tr>
      <w:tr w:rsidR="000F16EB" w:rsidRPr="003D7103" w14:paraId="2F5999E7" w14:textId="77777777" w:rsidTr="00A7521D">
        <w:tc>
          <w:tcPr>
            <w:tcW w:w="2694" w:type="dxa"/>
            <w:tcBorders>
              <w:top w:val="single" w:sz="4" w:space="0" w:color="auto"/>
              <w:bottom w:val="single" w:sz="4" w:space="0" w:color="auto"/>
            </w:tcBorders>
          </w:tcPr>
          <w:p w14:paraId="7481F468" w14:textId="77777777" w:rsidR="000F16EB" w:rsidRPr="003D7103" w:rsidRDefault="000F16EB" w:rsidP="00A7521D">
            <w:pPr>
              <w:jc w:val="center"/>
            </w:pPr>
            <w:r w:rsidRPr="003D7103">
              <w:t>Sum of heat connections</w:t>
            </w:r>
          </w:p>
        </w:tc>
        <w:tc>
          <w:tcPr>
            <w:tcW w:w="992" w:type="dxa"/>
            <w:tcBorders>
              <w:top w:val="single" w:sz="4" w:space="0" w:color="auto"/>
              <w:bottom w:val="single" w:sz="4" w:space="0" w:color="auto"/>
            </w:tcBorders>
          </w:tcPr>
          <w:p w14:paraId="388A23E1" w14:textId="77777777" w:rsidR="000F16EB" w:rsidRPr="003D7103" w:rsidRDefault="000F16EB" w:rsidP="00A7521D">
            <w:pPr>
              <w:jc w:val="center"/>
            </w:pPr>
            <w:r w:rsidRPr="003D7103">
              <w:t>935</w:t>
            </w:r>
          </w:p>
        </w:tc>
        <w:tc>
          <w:tcPr>
            <w:tcW w:w="992" w:type="dxa"/>
            <w:tcBorders>
              <w:top w:val="single" w:sz="4" w:space="0" w:color="auto"/>
              <w:bottom w:val="single" w:sz="4" w:space="0" w:color="auto"/>
            </w:tcBorders>
          </w:tcPr>
          <w:p w14:paraId="268F505F" w14:textId="77777777" w:rsidR="000F16EB" w:rsidRPr="003D7103" w:rsidRDefault="000F16EB" w:rsidP="00A7521D">
            <w:pPr>
              <w:jc w:val="center"/>
            </w:pPr>
            <w:r w:rsidRPr="003D7103">
              <w:t>n/a</w:t>
            </w:r>
          </w:p>
        </w:tc>
        <w:tc>
          <w:tcPr>
            <w:tcW w:w="1418" w:type="dxa"/>
            <w:tcBorders>
              <w:top w:val="single" w:sz="4" w:space="0" w:color="auto"/>
              <w:bottom w:val="single" w:sz="4" w:space="0" w:color="auto"/>
            </w:tcBorders>
          </w:tcPr>
          <w:p w14:paraId="630B19FC" w14:textId="77777777" w:rsidR="000F16EB" w:rsidRPr="003D7103" w:rsidRDefault="000F16EB" w:rsidP="00A7521D">
            <w:pPr>
              <w:jc w:val="center"/>
            </w:pPr>
            <w:r w:rsidRPr="003D7103">
              <w:t>-</w:t>
            </w:r>
          </w:p>
        </w:tc>
        <w:tc>
          <w:tcPr>
            <w:tcW w:w="992" w:type="dxa"/>
            <w:tcBorders>
              <w:top w:val="single" w:sz="4" w:space="0" w:color="auto"/>
              <w:bottom w:val="single" w:sz="4" w:space="0" w:color="auto"/>
            </w:tcBorders>
          </w:tcPr>
          <w:p w14:paraId="3BF0D1B5" w14:textId="77777777" w:rsidR="000F16EB" w:rsidRPr="003D7103" w:rsidRDefault="000F16EB" w:rsidP="00A7521D">
            <w:pPr>
              <w:jc w:val="center"/>
            </w:pPr>
            <w:r>
              <w:t>939</w:t>
            </w:r>
          </w:p>
        </w:tc>
        <w:tc>
          <w:tcPr>
            <w:tcW w:w="1417" w:type="dxa"/>
            <w:tcBorders>
              <w:top w:val="single" w:sz="4" w:space="0" w:color="auto"/>
              <w:bottom w:val="single" w:sz="4" w:space="0" w:color="auto"/>
            </w:tcBorders>
          </w:tcPr>
          <w:p w14:paraId="20A9DB95" w14:textId="77777777" w:rsidR="000F16EB" w:rsidRPr="003D7103" w:rsidRDefault="000F16EB" w:rsidP="00A7521D">
            <w:pPr>
              <w:jc w:val="center"/>
            </w:pPr>
            <w:r w:rsidRPr="003D7103">
              <w:t>-</w:t>
            </w:r>
          </w:p>
        </w:tc>
      </w:tr>
      <w:tr w:rsidR="000F16EB" w:rsidRPr="003D7103" w14:paraId="1DC480BF" w14:textId="77777777" w:rsidTr="00A7521D">
        <w:tc>
          <w:tcPr>
            <w:tcW w:w="2694" w:type="dxa"/>
            <w:tcBorders>
              <w:top w:val="single" w:sz="4" w:space="0" w:color="auto"/>
              <w:bottom w:val="single" w:sz="4" w:space="0" w:color="auto"/>
            </w:tcBorders>
          </w:tcPr>
          <w:p w14:paraId="1B72044B" w14:textId="77777777" w:rsidR="000F16EB" w:rsidRPr="003D7103" w:rsidRDefault="000F16EB" w:rsidP="00A7521D">
            <w:pPr>
              <w:jc w:val="center"/>
            </w:pPr>
            <w:r w:rsidRPr="003D7103">
              <w:t>Heat network</w:t>
            </w:r>
          </w:p>
        </w:tc>
        <w:tc>
          <w:tcPr>
            <w:tcW w:w="992" w:type="dxa"/>
            <w:tcBorders>
              <w:top w:val="single" w:sz="4" w:space="0" w:color="auto"/>
              <w:bottom w:val="single" w:sz="4" w:space="0" w:color="auto"/>
            </w:tcBorders>
          </w:tcPr>
          <w:p w14:paraId="001B6EC4" w14:textId="77777777" w:rsidR="000F16EB" w:rsidRPr="003D7103" w:rsidRDefault="000F16EB" w:rsidP="00A7521D">
            <w:pPr>
              <w:jc w:val="center"/>
            </w:pPr>
          </w:p>
        </w:tc>
        <w:tc>
          <w:tcPr>
            <w:tcW w:w="992" w:type="dxa"/>
            <w:tcBorders>
              <w:top w:val="single" w:sz="4" w:space="0" w:color="auto"/>
              <w:bottom w:val="single" w:sz="4" w:space="0" w:color="auto"/>
            </w:tcBorders>
          </w:tcPr>
          <w:p w14:paraId="37750D8D" w14:textId="77777777" w:rsidR="000F16EB" w:rsidRPr="003D7103" w:rsidRDefault="000F16EB" w:rsidP="00A7521D">
            <w:pPr>
              <w:jc w:val="center"/>
            </w:pPr>
          </w:p>
        </w:tc>
        <w:tc>
          <w:tcPr>
            <w:tcW w:w="1418" w:type="dxa"/>
            <w:tcBorders>
              <w:top w:val="single" w:sz="4" w:space="0" w:color="auto"/>
              <w:bottom w:val="single" w:sz="4" w:space="0" w:color="auto"/>
            </w:tcBorders>
          </w:tcPr>
          <w:p w14:paraId="2095A47B" w14:textId="77777777" w:rsidR="000F16EB" w:rsidRPr="003D7103" w:rsidRDefault="000F16EB" w:rsidP="00A7521D">
            <w:pPr>
              <w:jc w:val="center"/>
            </w:pPr>
          </w:p>
        </w:tc>
        <w:tc>
          <w:tcPr>
            <w:tcW w:w="992" w:type="dxa"/>
            <w:tcBorders>
              <w:top w:val="single" w:sz="4" w:space="0" w:color="auto"/>
              <w:bottom w:val="single" w:sz="4" w:space="0" w:color="auto"/>
            </w:tcBorders>
          </w:tcPr>
          <w:p w14:paraId="27D3C4C6" w14:textId="77777777" w:rsidR="000F16EB" w:rsidRPr="003D7103" w:rsidRDefault="000F16EB" w:rsidP="00A7521D">
            <w:pPr>
              <w:jc w:val="center"/>
            </w:pPr>
          </w:p>
        </w:tc>
        <w:tc>
          <w:tcPr>
            <w:tcW w:w="1417" w:type="dxa"/>
            <w:tcBorders>
              <w:top w:val="single" w:sz="4" w:space="0" w:color="auto"/>
              <w:bottom w:val="single" w:sz="4" w:space="0" w:color="auto"/>
            </w:tcBorders>
          </w:tcPr>
          <w:p w14:paraId="02309B5A" w14:textId="77777777" w:rsidR="000F16EB" w:rsidRPr="003D7103" w:rsidRDefault="000F16EB" w:rsidP="00A7521D">
            <w:pPr>
              <w:jc w:val="center"/>
            </w:pPr>
          </w:p>
        </w:tc>
      </w:tr>
      <w:tr w:rsidR="000F16EB" w:rsidRPr="003D7103" w14:paraId="0B389BAE" w14:textId="77777777" w:rsidTr="00A7521D">
        <w:tc>
          <w:tcPr>
            <w:tcW w:w="2694" w:type="dxa"/>
            <w:tcBorders>
              <w:top w:val="single" w:sz="4" w:space="0" w:color="auto"/>
            </w:tcBorders>
          </w:tcPr>
          <w:p w14:paraId="168BE9F2" w14:textId="77777777" w:rsidR="000F16EB" w:rsidRPr="003D7103" w:rsidRDefault="000F16EB" w:rsidP="00A7521D">
            <w:pPr>
              <w:jc w:val="center"/>
            </w:pPr>
            <w:r w:rsidRPr="003D7103">
              <w:t xml:space="preserve">Mechanical </w:t>
            </w:r>
            <w:r>
              <w:t>CAPEX</w:t>
            </w:r>
          </w:p>
        </w:tc>
        <w:tc>
          <w:tcPr>
            <w:tcW w:w="992" w:type="dxa"/>
            <w:tcBorders>
              <w:top w:val="single" w:sz="4" w:space="0" w:color="auto"/>
            </w:tcBorders>
          </w:tcPr>
          <w:p w14:paraId="109AA921" w14:textId="77777777" w:rsidR="000F16EB" w:rsidRPr="003D7103" w:rsidRDefault="000F16EB" w:rsidP="00A7521D">
            <w:pPr>
              <w:jc w:val="center"/>
            </w:pPr>
            <w:r w:rsidRPr="003D7103">
              <w:t>70</w:t>
            </w:r>
          </w:p>
        </w:tc>
        <w:tc>
          <w:tcPr>
            <w:tcW w:w="992" w:type="dxa"/>
            <w:tcBorders>
              <w:top w:val="single" w:sz="4" w:space="0" w:color="auto"/>
            </w:tcBorders>
          </w:tcPr>
          <w:p w14:paraId="18572404" w14:textId="77777777" w:rsidR="000F16EB" w:rsidRPr="003D7103" w:rsidRDefault="000F16EB" w:rsidP="00A7521D">
            <w:pPr>
              <w:jc w:val="center"/>
            </w:pPr>
            <w:r w:rsidRPr="003D7103">
              <w:t>62</w:t>
            </w:r>
          </w:p>
        </w:tc>
        <w:tc>
          <w:tcPr>
            <w:tcW w:w="1418" w:type="dxa"/>
            <w:tcBorders>
              <w:top w:val="single" w:sz="4" w:space="0" w:color="auto"/>
            </w:tcBorders>
          </w:tcPr>
          <w:p w14:paraId="620D7CCD" w14:textId="77777777" w:rsidR="000F16EB" w:rsidRPr="003D7103" w:rsidRDefault="000F16EB" w:rsidP="00A7521D">
            <w:pPr>
              <w:jc w:val="center"/>
            </w:pPr>
            <w:r w:rsidRPr="003D7103">
              <w:t>4</w:t>
            </w:r>
          </w:p>
        </w:tc>
        <w:tc>
          <w:tcPr>
            <w:tcW w:w="992" w:type="dxa"/>
            <w:tcBorders>
              <w:top w:val="single" w:sz="4" w:space="0" w:color="auto"/>
            </w:tcBorders>
          </w:tcPr>
          <w:p w14:paraId="3A79AC06" w14:textId="77777777" w:rsidR="000F16EB" w:rsidRPr="003D7103" w:rsidRDefault="000F16EB" w:rsidP="00A7521D">
            <w:pPr>
              <w:jc w:val="center"/>
            </w:pPr>
            <w:r w:rsidRPr="003D7103">
              <w:t>80</w:t>
            </w:r>
          </w:p>
        </w:tc>
        <w:tc>
          <w:tcPr>
            <w:tcW w:w="1417" w:type="dxa"/>
            <w:tcBorders>
              <w:top w:val="single" w:sz="4" w:space="0" w:color="auto"/>
            </w:tcBorders>
          </w:tcPr>
          <w:p w14:paraId="68C93D11" w14:textId="77777777" w:rsidR="000F16EB" w:rsidRPr="003D7103" w:rsidRDefault="000F16EB" w:rsidP="00A7521D">
            <w:pPr>
              <w:jc w:val="center"/>
            </w:pPr>
            <w:r w:rsidRPr="003D7103">
              <w:t>3</w:t>
            </w:r>
          </w:p>
        </w:tc>
      </w:tr>
      <w:tr w:rsidR="000F16EB" w:rsidRPr="003D7103" w14:paraId="5EA206D5" w14:textId="77777777" w:rsidTr="00A7521D">
        <w:tc>
          <w:tcPr>
            <w:tcW w:w="2694" w:type="dxa"/>
          </w:tcPr>
          <w:p w14:paraId="15B92846" w14:textId="77777777" w:rsidR="000F16EB" w:rsidRPr="003D7103" w:rsidRDefault="000F16EB" w:rsidP="00A7521D">
            <w:pPr>
              <w:jc w:val="center"/>
            </w:pPr>
            <w:r w:rsidRPr="003D7103">
              <w:t xml:space="preserve">Civil </w:t>
            </w:r>
            <w:r>
              <w:t>CAPEX</w:t>
            </w:r>
          </w:p>
        </w:tc>
        <w:tc>
          <w:tcPr>
            <w:tcW w:w="992" w:type="dxa"/>
          </w:tcPr>
          <w:p w14:paraId="7B4AB289" w14:textId="77777777" w:rsidR="000F16EB" w:rsidRPr="003D7103" w:rsidRDefault="000F16EB" w:rsidP="00A7521D">
            <w:pPr>
              <w:jc w:val="center"/>
            </w:pPr>
            <w:r w:rsidRPr="003D7103">
              <w:t>74</w:t>
            </w:r>
          </w:p>
        </w:tc>
        <w:tc>
          <w:tcPr>
            <w:tcW w:w="992" w:type="dxa"/>
          </w:tcPr>
          <w:p w14:paraId="7BB018F1" w14:textId="77777777" w:rsidR="000F16EB" w:rsidRPr="003D7103" w:rsidRDefault="000F16EB" w:rsidP="00A7521D">
            <w:pPr>
              <w:jc w:val="center"/>
            </w:pPr>
            <w:r w:rsidRPr="003D7103">
              <w:t>79</w:t>
            </w:r>
          </w:p>
        </w:tc>
        <w:tc>
          <w:tcPr>
            <w:tcW w:w="1418" w:type="dxa"/>
          </w:tcPr>
          <w:p w14:paraId="2DB9DA66" w14:textId="77777777" w:rsidR="000F16EB" w:rsidRPr="003D7103" w:rsidRDefault="000F16EB" w:rsidP="00A7521D">
            <w:pPr>
              <w:jc w:val="center"/>
            </w:pPr>
            <w:r w:rsidRPr="003D7103">
              <w:t>4</w:t>
            </w:r>
          </w:p>
        </w:tc>
        <w:tc>
          <w:tcPr>
            <w:tcW w:w="992" w:type="dxa"/>
          </w:tcPr>
          <w:p w14:paraId="4DFC56D7" w14:textId="77777777" w:rsidR="000F16EB" w:rsidRPr="003D7103" w:rsidRDefault="000F16EB" w:rsidP="00A7521D">
            <w:pPr>
              <w:jc w:val="center"/>
            </w:pPr>
            <w:r w:rsidRPr="003D7103">
              <w:t>64</w:t>
            </w:r>
          </w:p>
        </w:tc>
        <w:tc>
          <w:tcPr>
            <w:tcW w:w="1417" w:type="dxa"/>
          </w:tcPr>
          <w:p w14:paraId="649C6380" w14:textId="77777777" w:rsidR="000F16EB" w:rsidRPr="003D7103" w:rsidRDefault="000F16EB" w:rsidP="00A7521D">
            <w:pPr>
              <w:jc w:val="center"/>
            </w:pPr>
            <w:r w:rsidRPr="003D7103">
              <w:t>2</w:t>
            </w:r>
          </w:p>
        </w:tc>
      </w:tr>
      <w:tr w:rsidR="000F16EB" w:rsidRPr="003D7103" w14:paraId="07A584DB" w14:textId="77777777" w:rsidTr="00A7521D">
        <w:tc>
          <w:tcPr>
            <w:tcW w:w="2694" w:type="dxa"/>
          </w:tcPr>
          <w:p w14:paraId="08ECF159" w14:textId="77777777" w:rsidR="000F16EB" w:rsidRPr="003D7103" w:rsidRDefault="000F16EB" w:rsidP="00A7521D">
            <w:pPr>
              <w:jc w:val="center"/>
            </w:pPr>
            <w:r w:rsidRPr="003D7103">
              <w:t xml:space="preserve">Preliminary </w:t>
            </w:r>
            <w:r>
              <w:t>CAPEX</w:t>
            </w:r>
            <w:r w:rsidRPr="000A5296">
              <w:rPr>
                <w:vertAlign w:val="superscript"/>
              </w:rPr>
              <w:t>2</w:t>
            </w:r>
          </w:p>
        </w:tc>
        <w:tc>
          <w:tcPr>
            <w:tcW w:w="992" w:type="dxa"/>
          </w:tcPr>
          <w:p w14:paraId="04F3A041" w14:textId="77777777" w:rsidR="000F16EB" w:rsidRPr="003D7103" w:rsidRDefault="000F16EB" w:rsidP="00A7521D">
            <w:pPr>
              <w:jc w:val="center"/>
            </w:pPr>
            <w:r w:rsidRPr="003D7103">
              <w:t>8</w:t>
            </w:r>
          </w:p>
        </w:tc>
        <w:tc>
          <w:tcPr>
            <w:tcW w:w="992" w:type="dxa"/>
          </w:tcPr>
          <w:p w14:paraId="11578494" w14:textId="77777777" w:rsidR="000F16EB" w:rsidRPr="003D7103" w:rsidRDefault="000F16EB" w:rsidP="00A7521D">
            <w:pPr>
              <w:jc w:val="center"/>
            </w:pPr>
            <w:r w:rsidRPr="003D7103">
              <w:t>10</w:t>
            </w:r>
          </w:p>
        </w:tc>
        <w:tc>
          <w:tcPr>
            <w:tcW w:w="1418" w:type="dxa"/>
          </w:tcPr>
          <w:p w14:paraId="6585E69F" w14:textId="77777777" w:rsidR="000F16EB" w:rsidRPr="003D7103" w:rsidRDefault="000F16EB" w:rsidP="00A7521D">
            <w:pPr>
              <w:jc w:val="center"/>
            </w:pPr>
            <w:r w:rsidRPr="003D7103">
              <w:t>2</w:t>
            </w:r>
          </w:p>
        </w:tc>
        <w:tc>
          <w:tcPr>
            <w:tcW w:w="992" w:type="dxa"/>
          </w:tcPr>
          <w:p w14:paraId="5CED5F31" w14:textId="77777777" w:rsidR="000F16EB" w:rsidRPr="003D7103" w:rsidRDefault="000F16EB" w:rsidP="00A7521D">
            <w:pPr>
              <w:jc w:val="center"/>
            </w:pPr>
            <w:r w:rsidRPr="003D7103">
              <w:t>3</w:t>
            </w:r>
          </w:p>
        </w:tc>
        <w:tc>
          <w:tcPr>
            <w:tcW w:w="1417" w:type="dxa"/>
          </w:tcPr>
          <w:p w14:paraId="1969B731" w14:textId="77777777" w:rsidR="000F16EB" w:rsidRPr="003D7103" w:rsidRDefault="000F16EB" w:rsidP="00A7521D">
            <w:pPr>
              <w:jc w:val="center"/>
            </w:pPr>
            <w:r w:rsidRPr="003D7103">
              <w:t>1</w:t>
            </w:r>
          </w:p>
        </w:tc>
      </w:tr>
      <w:tr w:rsidR="000F16EB" w:rsidRPr="003D7103" w14:paraId="0FD843A3" w14:textId="77777777" w:rsidTr="00A7521D">
        <w:tc>
          <w:tcPr>
            <w:tcW w:w="2694" w:type="dxa"/>
            <w:tcBorders>
              <w:bottom w:val="single" w:sz="4" w:space="0" w:color="auto"/>
            </w:tcBorders>
          </w:tcPr>
          <w:p w14:paraId="73E685EB" w14:textId="77777777" w:rsidR="000F16EB" w:rsidRPr="003D7103" w:rsidRDefault="000F16EB" w:rsidP="00A7521D">
            <w:pPr>
              <w:jc w:val="center"/>
            </w:pPr>
            <w:r w:rsidRPr="003D7103">
              <w:t>Overhead and profit total</w:t>
            </w:r>
          </w:p>
        </w:tc>
        <w:tc>
          <w:tcPr>
            <w:tcW w:w="992" w:type="dxa"/>
            <w:tcBorders>
              <w:bottom w:val="single" w:sz="4" w:space="0" w:color="auto"/>
            </w:tcBorders>
          </w:tcPr>
          <w:p w14:paraId="6DAC89B2" w14:textId="77777777" w:rsidR="000F16EB" w:rsidRPr="003D7103" w:rsidRDefault="000F16EB" w:rsidP="00A7521D">
            <w:pPr>
              <w:jc w:val="center"/>
            </w:pPr>
            <w:r w:rsidRPr="003D7103">
              <w:t>10</w:t>
            </w:r>
          </w:p>
        </w:tc>
        <w:tc>
          <w:tcPr>
            <w:tcW w:w="992" w:type="dxa"/>
            <w:tcBorders>
              <w:bottom w:val="single" w:sz="4" w:space="0" w:color="auto"/>
            </w:tcBorders>
          </w:tcPr>
          <w:p w14:paraId="0F2B5F4A" w14:textId="77777777" w:rsidR="000F16EB" w:rsidRPr="003D7103" w:rsidRDefault="000F16EB" w:rsidP="00A7521D">
            <w:pPr>
              <w:jc w:val="center"/>
            </w:pPr>
            <w:r w:rsidRPr="003D7103">
              <w:t>10</w:t>
            </w:r>
          </w:p>
        </w:tc>
        <w:tc>
          <w:tcPr>
            <w:tcW w:w="1418" w:type="dxa"/>
            <w:tcBorders>
              <w:bottom w:val="single" w:sz="4" w:space="0" w:color="auto"/>
            </w:tcBorders>
          </w:tcPr>
          <w:p w14:paraId="0DF34379" w14:textId="77777777" w:rsidR="000F16EB" w:rsidRPr="003D7103" w:rsidRDefault="000F16EB" w:rsidP="00A7521D">
            <w:pPr>
              <w:jc w:val="center"/>
            </w:pPr>
            <w:r w:rsidRPr="003D7103">
              <w:t>2</w:t>
            </w:r>
          </w:p>
        </w:tc>
        <w:tc>
          <w:tcPr>
            <w:tcW w:w="992" w:type="dxa"/>
            <w:tcBorders>
              <w:bottom w:val="single" w:sz="4" w:space="0" w:color="auto"/>
            </w:tcBorders>
          </w:tcPr>
          <w:p w14:paraId="4870252A" w14:textId="77777777" w:rsidR="000F16EB" w:rsidRPr="003D7103" w:rsidRDefault="000F16EB" w:rsidP="00A7521D">
            <w:pPr>
              <w:jc w:val="center"/>
            </w:pPr>
            <w:r w:rsidRPr="003D7103">
              <w:t>-</w:t>
            </w:r>
          </w:p>
        </w:tc>
        <w:tc>
          <w:tcPr>
            <w:tcW w:w="1417" w:type="dxa"/>
            <w:tcBorders>
              <w:bottom w:val="single" w:sz="4" w:space="0" w:color="auto"/>
            </w:tcBorders>
          </w:tcPr>
          <w:p w14:paraId="114E9C8B" w14:textId="77777777" w:rsidR="000F16EB" w:rsidRPr="003D7103" w:rsidRDefault="000F16EB" w:rsidP="00A7521D">
            <w:pPr>
              <w:jc w:val="center"/>
            </w:pPr>
            <w:r w:rsidRPr="003D7103">
              <w:t>0</w:t>
            </w:r>
          </w:p>
        </w:tc>
      </w:tr>
      <w:tr w:rsidR="000F16EB" w:rsidRPr="003D7103" w14:paraId="11442380" w14:textId="77777777" w:rsidTr="00A7521D">
        <w:tc>
          <w:tcPr>
            <w:tcW w:w="2694" w:type="dxa"/>
            <w:tcBorders>
              <w:top w:val="single" w:sz="4" w:space="0" w:color="auto"/>
              <w:bottom w:val="single" w:sz="4" w:space="0" w:color="auto"/>
            </w:tcBorders>
          </w:tcPr>
          <w:p w14:paraId="76A76E19" w14:textId="77777777" w:rsidR="000F16EB" w:rsidRPr="003D7103" w:rsidRDefault="000F16EB" w:rsidP="00A7521D">
            <w:pPr>
              <w:jc w:val="center"/>
            </w:pPr>
            <w:r w:rsidRPr="003D7103">
              <w:t>Sum of heat network costs</w:t>
            </w:r>
          </w:p>
        </w:tc>
        <w:tc>
          <w:tcPr>
            <w:tcW w:w="992" w:type="dxa"/>
            <w:tcBorders>
              <w:top w:val="single" w:sz="4" w:space="0" w:color="auto"/>
              <w:bottom w:val="single" w:sz="4" w:space="0" w:color="auto"/>
            </w:tcBorders>
          </w:tcPr>
          <w:p w14:paraId="1037A388" w14:textId="77777777" w:rsidR="000F16EB" w:rsidRPr="003D7103" w:rsidRDefault="000F16EB" w:rsidP="00A7521D">
            <w:pPr>
              <w:jc w:val="center"/>
            </w:pPr>
            <w:r w:rsidRPr="003D7103">
              <w:t>162</w:t>
            </w:r>
          </w:p>
        </w:tc>
        <w:tc>
          <w:tcPr>
            <w:tcW w:w="992" w:type="dxa"/>
            <w:tcBorders>
              <w:top w:val="single" w:sz="4" w:space="0" w:color="auto"/>
              <w:bottom w:val="single" w:sz="4" w:space="0" w:color="auto"/>
            </w:tcBorders>
          </w:tcPr>
          <w:p w14:paraId="418941FE" w14:textId="77777777" w:rsidR="000F16EB" w:rsidRPr="003D7103" w:rsidRDefault="000F16EB" w:rsidP="00A7521D">
            <w:pPr>
              <w:jc w:val="center"/>
            </w:pPr>
            <w:r w:rsidRPr="003D7103">
              <w:t>161</w:t>
            </w:r>
          </w:p>
        </w:tc>
        <w:tc>
          <w:tcPr>
            <w:tcW w:w="1418" w:type="dxa"/>
            <w:tcBorders>
              <w:top w:val="single" w:sz="4" w:space="0" w:color="auto"/>
              <w:bottom w:val="single" w:sz="4" w:space="0" w:color="auto"/>
            </w:tcBorders>
          </w:tcPr>
          <w:p w14:paraId="49B57FD8" w14:textId="77777777" w:rsidR="000F16EB" w:rsidRPr="003D7103" w:rsidRDefault="000F16EB" w:rsidP="00A7521D">
            <w:pPr>
              <w:jc w:val="center"/>
            </w:pPr>
            <w:r w:rsidRPr="003D7103">
              <w:t>-</w:t>
            </w:r>
          </w:p>
        </w:tc>
        <w:tc>
          <w:tcPr>
            <w:tcW w:w="992" w:type="dxa"/>
            <w:tcBorders>
              <w:top w:val="single" w:sz="4" w:space="0" w:color="auto"/>
              <w:bottom w:val="single" w:sz="4" w:space="0" w:color="auto"/>
            </w:tcBorders>
          </w:tcPr>
          <w:p w14:paraId="52F661C0" w14:textId="77777777" w:rsidR="000F16EB" w:rsidRPr="003D7103" w:rsidRDefault="000F16EB" w:rsidP="00A7521D">
            <w:pPr>
              <w:jc w:val="center"/>
            </w:pPr>
            <w:r w:rsidRPr="003D7103">
              <w:t>147</w:t>
            </w:r>
          </w:p>
        </w:tc>
        <w:tc>
          <w:tcPr>
            <w:tcW w:w="1417" w:type="dxa"/>
            <w:tcBorders>
              <w:top w:val="single" w:sz="4" w:space="0" w:color="auto"/>
              <w:bottom w:val="single" w:sz="4" w:space="0" w:color="auto"/>
            </w:tcBorders>
          </w:tcPr>
          <w:p w14:paraId="5110EC40" w14:textId="77777777" w:rsidR="000F16EB" w:rsidRPr="003D7103" w:rsidRDefault="000F16EB" w:rsidP="00A7521D">
            <w:pPr>
              <w:jc w:val="center"/>
            </w:pPr>
            <w:r w:rsidRPr="003D7103">
              <w:t>-</w:t>
            </w:r>
          </w:p>
        </w:tc>
      </w:tr>
      <w:tr w:rsidR="000F16EB" w:rsidRPr="003D7103" w14:paraId="07BC5A82" w14:textId="77777777" w:rsidTr="00A7521D">
        <w:tc>
          <w:tcPr>
            <w:tcW w:w="2694" w:type="dxa"/>
            <w:tcBorders>
              <w:top w:val="single" w:sz="4" w:space="0" w:color="auto"/>
              <w:bottom w:val="single" w:sz="4" w:space="0" w:color="auto"/>
            </w:tcBorders>
          </w:tcPr>
          <w:p w14:paraId="7E12AD94" w14:textId="77777777" w:rsidR="000F16EB" w:rsidRPr="003D7103" w:rsidRDefault="000F16EB" w:rsidP="00A7521D">
            <w:pPr>
              <w:jc w:val="center"/>
            </w:pPr>
            <w:r w:rsidRPr="003D7103">
              <w:t>Ancillary plant associated with network</w:t>
            </w:r>
          </w:p>
        </w:tc>
        <w:tc>
          <w:tcPr>
            <w:tcW w:w="992" w:type="dxa"/>
            <w:tcBorders>
              <w:top w:val="single" w:sz="4" w:space="0" w:color="auto"/>
              <w:bottom w:val="single" w:sz="4" w:space="0" w:color="auto"/>
            </w:tcBorders>
          </w:tcPr>
          <w:p w14:paraId="2D99FCEE" w14:textId="77777777" w:rsidR="000F16EB" w:rsidRPr="003D7103" w:rsidRDefault="000F16EB" w:rsidP="00A7521D">
            <w:pPr>
              <w:jc w:val="center"/>
            </w:pPr>
            <w:r w:rsidRPr="003D7103">
              <w:t>n/a</w:t>
            </w:r>
          </w:p>
        </w:tc>
        <w:tc>
          <w:tcPr>
            <w:tcW w:w="992" w:type="dxa"/>
            <w:tcBorders>
              <w:top w:val="single" w:sz="4" w:space="0" w:color="auto"/>
              <w:bottom w:val="single" w:sz="4" w:space="0" w:color="auto"/>
            </w:tcBorders>
          </w:tcPr>
          <w:p w14:paraId="0788FB2D" w14:textId="77777777" w:rsidR="000F16EB" w:rsidRPr="003D7103" w:rsidRDefault="000F16EB" w:rsidP="00A7521D">
            <w:pPr>
              <w:jc w:val="center"/>
            </w:pPr>
            <w:r w:rsidRPr="003D7103">
              <w:t>68</w:t>
            </w:r>
          </w:p>
        </w:tc>
        <w:tc>
          <w:tcPr>
            <w:tcW w:w="1418" w:type="dxa"/>
            <w:tcBorders>
              <w:top w:val="single" w:sz="4" w:space="0" w:color="auto"/>
              <w:bottom w:val="single" w:sz="4" w:space="0" w:color="auto"/>
            </w:tcBorders>
          </w:tcPr>
          <w:p w14:paraId="2D18901E" w14:textId="77777777" w:rsidR="000F16EB" w:rsidRPr="003D7103" w:rsidRDefault="000F16EB" w:rsidP="00A7521D">
            <w:pPr>
              <w:jc w:val="center"/>
            </w:pPr>
            <w:r w:rsidRPr="003D7103">
              <w:t>1</w:t>
            </w:r>
          </w:p>
        </w:tc>
        <w:tc>
          <w:tcPr>
            <w:tcW w:w="992" w:type="dxa"/>
            <w:tcBorders>
              <w:top w:val="single" w:sz="4" w:space="0" w:color="auto"/>
              <w:bottom w:val="single" w:sz="4" w:space="0" w:color="auto"/>
            </w:tcBorders>
          </w:tcPr>
          <w:p w14:paraId="225D8D2A" w14:textId="77777777" w:rsidR="000F16EB" w:rsidRPr="003D7103" w:rsidRDefault="000F16EB" w:rsidP="00A7521D">
            <w:pPr>
              <w:jc w:val="center"/>
            </w:pPr>
            <w:r w:rsidRPr="003D7103">
              <w:t>137</w:t>
            </w:r>
          </w:p>
        </w:tc>
        <w:tc>
          <w:tcPr>
            <w:tcW w:w="1417" w:type="dxa"/>
            <w:tcBorders>
              <w:top w:val="single" w:sz="4" w:space="0" w:color="auto"/>
              <w:bottom w:val="single" w:sz="4" w:space="0" w:color="auto"/>
            </w:tcBorders>
          </w:tcPr>
          <w:p w14:paraId="79FD5BEC" w14:textId="77777777" w:rsidR="000F16EB" w:rsidRPr="003D7103" w:rsidRDefault="000F16EB" w:rsidP="00A7521D">
            <w:pPr>
              <w:jc w:val="center"/>
            </w:pPr>
            <w:r w:rsidRPr="003D7103">
              <w:t>1</w:t>
            </w:r>
          </w:p>
        </w:tc>
      </w:tr>
      <w:tr w:rsidR="000F16EB" w:rsidRPr="003D7103" w14:paraId="409775D1" w14:textId="77777777" w:rsidTr="00A7521D">
        <w:tc>
          <w:tcPr>
            <w:tcW w:w="2694" w:type="dxa"/>
            <w:tcBorders>
              <w:top w:val="single" w:sz="4" w:space="0" w:color="auto"/>
              <w:bottom w:val="single" w:sz="4" w:space="0" w:color="auto"/>
            </w:tcBorders>
          </w:tcPr>
          <w:p w14:paraId="5FE8E4BF" w14:textId="77777777" w:rsidR="000F16EB" w:rsidRPr="003D7103" w:rsidRDefault="000F16EB" w:rsidP="00A7521D">
            <w:pPr>
              <w:jc w:val="center"/>
            </w:pPr>
            <w:r w:rsidRPr="003D7103">
              <w:t>Thermal store</w:t>
            </w:r>
          </w:p>
        </w:tc>
        <w:tc>
          <w:tcPr>
            <w:tcW w:w="992" w:type="dxa"/>
            <w:tcBorders>
              <w:top w:val="single" w:sz="4" w:space="0" w:color="auto"/>
              <w:bottom w:val="single" w:sz="4" w:space="0" w:color="auto"/>
            </w:tcBorders>
          </w:tcPr>
          <w:p w14:paraId="049C6415" w14:textId="77777777" w:rsidR="000F16EB" w:rsidRPr="003D7103" w:rsidRDefault="000F16EB" w:rsidP="00A7521D">
            <w:pPr>
              <w:jc w:val="center"/>
            </w:pPr>
            <w:r w:rsidRPr="003D7103">
              <w:t>n/a</w:t>
            </w:r>
          </w:p>
        </w:tc>
        <w:tc>
          <w:tcPr>
            <w:tcW w:w="992" w:type="dxa"/>
            <w:tcBorders>
              <w:top w:val="single" w:sz="4" w:space="0" w:color="auto"/>
              <w:bottom w:val="single" w:sz="4" w:space="0" w:color="auto"/>
            </w:tcBorders>
          </w:tcPr>
          <w:p w14:paraId="7EB8344B" w14:textId="77777777" w:rsidR="000F16EB" w:rsidRPr="003D7103" w:rsidRDefault="000F16EB" w:rsidP="00A7521D">
            <w:pPr>
              <w:jc w:val="center"/>
            </w:pPr>
            <w:r w:rsidRPr="003D7103">
              <w:t>17</w:t>
            </w:r>
          </w:p>
        </w:tc>
        <w:tc>
          <w:tcPr>
            <w:tcW w:w="1418" w:type="dxa"/>
            <w:tcBorders>
              <w:top w:val="single" w:sz="4" w:space="0" w:color="auto"/>
              <w:bottom w:val="single" w:sz="4" w:space="0" w:color="auto"/>
            </w:tcBorders>
          </w:tcPr>
          <w:p w14:paraId="7BBB2A10" w14:textId="77777777" w:rsidR="000F16EB" w:rsidRPr="003D7103" w:rsidRDefault="000F16EB" w:rsidP="00A7521D">
            <w:pPr>
              <w:jc w:val="center"/>
            </w:pPr>
            <w:r w:rsidRPr="003D7103">
              <w:t>1</w:t>
            </w:r>
          </w:p>
        </w:tc>
        <w:tc>
          <w:tcPr>
            <w:tcW w:w="992" w:type="dxa"/>
            <w:tcBorders>
              <w:top w:val="single" w:sz="4" w:space="0" w:color="auto"/>
              <w:bottom w:val="single" w:sz="4" w:space="0" w:color="auto"/>
            </w:tcBorders>
          </w:tcPr>
          <w:p w14:paraId="56499BBA" w14:textId="77777777" w:rsidR="000F16EB" w:rsidRPr="003D7103" w:rsidRDefault="000F16EB" w:rsidP="00A7521D">
            <w:pPr>
              <w:jc w:val="center"/>
            </w:pPr>
            <w:r w:rsidRPr="003D7103">
              <w:t>14</w:t>
            </w:r>
          </w:p>
        </w:tc>
        <w:tc>
          <w:tcPr>
            <w:tcW w:w="1417" w:type="dxa"/>
            <w:tcBorders>
              <w:top w:val="single" w:sz="4" w:space="0" w:color="auto"/>
              <w:bottom w:val="single" w:sz="4" w:space="0" w:color="auto"/>
            </w:tcBorders>
          </w:tcPr>
          <w:p w14:paraId="60E80868" w14:textId="77777777" w:rsidR="000F16EB" w:rsidRPr="003D7103" w:rsidRDefault="000F16EB" w:rsidP="00A7521D">
            <w:pPr>
              <w:jc w:val="center"/>
            </w:pPr>
            <w:r w:rsidRPr="003D7103">
              <w:t>1</w:t>
            </w:r>
          </w:p>
        </w:tc>
      </w:tr>
      <w:tr w:rsidR="000F16EB" w:rsidRPr="003D7103" w14:paraId="32C56B6C" w14:textId="77777777" w:rsidTr="003E2066">
        <w:tc>
          <w:tcPr>
            <w:tcW w:w="8505" w:type="dxa"/>
            <w:gridSpan w:val="6"/>
            <w:tcBorders>
              <w:top w:val="single" w:sz="4" w:space="0" w:color="auto"/>
            </w:tcBorders>
          </w:tcPr>
          <w:p w14:paraId="0D8FAC52" w14:textId="77777777" w:rsidR="000F16EB" w:rsidRPr="000A5296" w:rsidRDefault="000F16EB" w:rsidP="003E2066">
            <w:pPr>
              <w:jc w:val="left"/>
              <w:rPr>
                <w:vertAlign w:val="superscript"/>
              </w:rPr>
            </w:pPr>
            <w:r w:rsidRPr="000A5296">
              <w:rPr>
                <w:vertAlign w:val="superscript"/>
              </w:rPr>
              <w:t>1 Only applicable to non-bulk schemes that supply individual dwellings</w:t>
            </w:r>
          </w:p>
          <w:p w14:paraId="5BD26DA6" w14:textId="77777777" w:rsidR="000F16EB" w:rsidRPr="003D7103" w:rsidRDefault="000F16EB" w:rsidP="003E2066">
            <w:pPr>
              <w:jc w:val="left"/>
            </w:pPr>
            <w:r w:rsidRPr="000A5296">
              <w:rPr>
                <w:vertAlign w:val="superscript"/>
              </w:rPr>
              <w:t xml:space="preserve">2 Preliminary costs are believed to mainly be included in mechanical and civil </w:t>
            </w:r>
            <w:r>
              <w:rPr>
                <w:vertAlign w:val="superscript"/>
              </w:rPr>
              <w:t>CAPEX</w:t>
            </w:r>
            <w:r w:rsidRPr="000A5296">
              <w:rPr>
                <w:vertAlign w:val="superscript"/>
              </w:rPr>
              <w:t xml:space="preserve"> and total costs</w:t>
            </w:r>
          </w:p>
        </w:tc>
      </w:tr>
    </w:tbl>
    <w:p w14:paraId="5AB6DA36" w14:textId="77777777" w:rsidR="000F16EB" w:rsidRDefault="000F16EB" w:rsidP="00196CD6">
      <w:pPr>
        <w:pStyle w:val="NoSpacing"/>
      </w:pPr>
    </w:p>
    <w:p w14:paraId="33DE2A80" w14:textId="6208F12B" w:rsidR="000F16EB" w:rsidRDefault="000F16EB" w:rsidP="000F16EB">
      <w:r>
        <w:t>Parsons Brinckerhoff completed a simple techno-economic optimisation of a potential new DHN in Newcastle, England</w:t>
      </w:r>
      <w:r w:rsidR="00FF4B5D">
        <w:t xml:space="preserve"> </w:t>
      </w:r>
      <w:r w:rsidR="00FF4B5D">
        <w:fldChar w:fldCharType="begin" w:fldLock="1"/>
      </w:r>
      <w:r w:rsidR="00FF4B5D">
        <w:instrText>ADDIN CSL_CITATION {"citationItems":[{"id":"ITEM-1","itemData":{"author":[{"dropping-particle":"","family":"Parsons Brinckerhoff","given":"","non-dropping-particle":"","parse-names":false,"suffix":""}],"id":"ITEM-1","issue":"May","issued":{"date-parts":[["2011"]]},"publisher-place":"London, England","title":"A District Heating Utility for the Tees Valley: Study into the strategic use of waste heat and supply of private sector customers","type":"report"},"uris":["http://www.mendeley.com/documents/?uuid=5e08822c-bb7b-4846-8fd8-71bc94ccfc29"]}],"mendeley":{"formattedCitation":"(Parsons Brinckerhoff, 2011)","plainTextFormattedCitation":"(Parsons Brinckerhoff, 2011)","previouslyFormattedCitation":"(Parsons Brinckerhoff, 2011)"},"properties":{"noteIndex":0},"schema":"https://github.com/citation-style-language/schema/raw/master/csl-citation.json"}</w:instrText>
      </w:r>
      <w:r w:rsidR="00FF4B5D">
        <w:fldChar w:fldCharType="separate"/>
      </w:r>
      <w:r w:rsidR="00FF4B5D" w:rsidRPr="002A6A73">
        <w:rPr>
          <w:noProof/>
        </w:rPr>
        <w:t>(Parsons Brinckerhoff, 2011)</w:t>
      </w:r>
      <w:r w:rsidR="00FF4B5D">
        <w:fldChar w:fldCharType="end"/>
      </w:r>
      <w:r>
        <w:t xml:space="preserve">. The study assumed the use of an </w:t>
      </w:r>
      <w:proofErr w:type="spellStart"/>
      <w:r>
        <w:t>ESCo</w:t>
      </w:r>
      <w:proofErr w:type="spellEnd"/>
      <w:r>
        <w:t xml:space="preserve"> energy company to run the DHN. The DHN costs were split into three categories heat sales prices, infrastructure costs, and </w:t>
      </w:r>
      <w:proofErr w:type="spellStart"/>
      <w:r>
        <w:t>ESCo</w:t>
      </w:r>
      <w:proofErr w:type="spellEnd"/>
      <w:r>
        <w:t xml:space="preserve"> operational costs. The heat sales prices were based around a 15% reduction of the existing cost of heat in the area, as a method of motivating customers to connect to the new network. Infrastructure costs were incurred for every part of the overall network that required installation and were based on UK standard figures. The </w:t>
      </w:r>
      <w:proofErr w:type="spellStart"/>
      <w:r>
        <w:t>ESCo</w:t>
      </w:r>
      <w:proofErr w:type="spellEnd"/>
      <w:r>
        <w:t xml:space="preserve"> operational costs were based around the costs of buying the heat and fuel, maintenance costs and customer management costs. </w:t>
      </w:r>
    </w:p>
    <w:p w14:paraId="6D114504" w14:textId="61B2BD55" w:rsidR="000F16EB" w:rsidRDefault="000F16EB" w:rsidP="000F16EB">
      <w:r>
        <w:t xml:space="preserve">Flores </w:t>
      </w:r>
      <w:r w:rsidRPr="00FF4B5D">
        <w:rPr>
          <w:i/>
        </w:rPr>
        <w:t>et al</w:t>
      </w:r>
      <w:r>
        <w:t>. used a more complex techno-economic optimisation process to estimate the savings associated with the installation of a low temperature DHN</w:t>
      </w:r>
      <w:r w:rsidR="00FF4B5D">
        <w:t xml:space="preserve"> </w:t>
      </w:r>
      <w:r w:rsidR="00FF4B5D">
        <w:fldChar w:fldCharType="begin" w:fldLock="1"/>
      </w:r>
      <w:r w:rsidR="00FF4B5D">
        <w:instrText>ADDIN CSL_CITATION {"citationItems":[{"id":"ITEM-1","itemData":{"DOI":"10.1016/j.egypro.2017.05.073","ISSN":"18766102","abstract":"The 4th generation Low-Temperature District Heating (LTDH) is envisioned as a more efficient and environmentally friendly solution to provide heating services to the building stock. Specifically, in countries already with a large share of well-established DH systems, conventional DH and LTDH technologies will be operating simultaneously in the near future. Newly built or refurbished buildings have lower heat demands, which in combination with LTDH brings potential savings compared to conventional DH. This work explores the advantages in DH operation by connecting these loads via LTDH subnets to a conventional DH system, supplied by a Combined Heat and Power (CHP) plant. A techno-economic analysis was performed, through modelling and simulation, by estimating the annual DH operating costs and revenues achieved by the reduction in return temperatures that LTDH would bring. The savings are related to: (1) the reduction in distribution heat losses in the return pipe; and (2) lower pumping power demand. Likewise, additional revenues are assessed from: (3) improved Power-to-Heat ratio for electricity production; and (4) enhanced heat recovery through Flue Gas Condensation (FGC). The annual savings per kWh of delivered heat are estimated as a function of the penetration percentage of 'energy efficient' loads over the conventional DH network. Key outcomes show the trade-offs between the potential savings in operating costs and the reduction in heat demand: relative losses in this scenario are maintained at 13.1% compared to 15.3% expected with conventional DH; and relative pumping power demand decreased as well. In other words, the costs of supplying heat decrease, even though the total heat supplied is less.","author":[{"dropping-particle":"","family":"Flores","given":"J. F.Castro","non-dropping-particle":"","parse-names":false,"suffix":""},{"dropping-particle":"","family":"Lacarrière","given":"B.","non-dropping-particle":"","parse-names":false,"suffix":""},{"dropping-particle":"","family":"Chiu","given":"J. N.W.","non-dropping-particle":"","parse-names":false,"suffix":""},{"dropping-particle":"","family":"Martin","given":"V.","non-dropping-particle":"","parse-names":false,"suffix":""}],"container-title":"Energy Procedia","id":"ITEM-1","issued":{"date-parts":[["2017"]]},"page":"260-272","publisher":"Elsevier B.V.","title":"Assessing the techno-economic impact of low-temperature subnets in conventional district heating networks","type":"article-journal","volume":"116"},"uris":["http://www.mendeley.com/documents/?uuid=92f9facf-82d7-43d0-8848-64b17941ccc2"]}],"mendeley":{"formattedCitation":"(Flores &lt;i&gt;et al.&lt;/i&gt;, 2017)","plainTextFormattedCitation":"(Flores et al., 2017)","previouslyFormattedCitation":"(Flores &lt;i&gt;et al.&lt;/i&gt;, 2017)"},"properties":{"noteIndex":0},"schema":"https://github.com/citation-style-language/schema/raw/master/csl-citation.json"}</w:instrText>
      </w:r>
      <w:r w:rsidR="00FF4B5D">
        <w:fldChar w:fldCharType="separate"/>
      </w:r>
      <w:r w:rsidR="00FF4B5D" w:rsidRPr="002A6A73">
        <w:rPr>
          <w:noProof/>
        </w:rPr>
        <w:t xml:space="preserve">(Flores </w:t>
      </w:r>
      <w:r w:rsidR="00FF4B5D" w:rsidRPr="002A6A73">
        <w:rPr>
          <w:i/>
          <w:noProof/>
        </w:rPr>
        <w:t>et al.</w:t>
      </w:r>
      <w:r w:rsidR="00FF4B5D" w:rsidRPr="002A6A73">
        <w:rPr>
          <w:noProof/>
        </w:rPr>
        <w:t>, 2017)</w:t>
      </w:r>
      <w:r w:rsidR="00FF4B5D">
        <w:fldChar w:fldCharType="end"/>
      </w:r>
      <w:r>
        <w:t>. The work was modelled in MATLAB based around mass and energy balances across the network. Steady state flow conditions were used to calculate the distribution losses. The techno</w:t>
      </w:r>
      <w:r>
        <w:noBreakHyphen/>
        <w:t>economic optimisation was based on the heat or energy savings of each component of the DHN and the sale or purchase price of that heat or energy.</w:t>
      </w:r>
    </w:p>
    <w:bookmarkEnd w:id="271"/>
    <w:bookmarkEnd w:id="272"/>
    <w:p w14:paraId="4A91A676" w14:textId="77777777" w:rsidR="000F16EB" w:rsidRDefault="000F16EB" w:rsidP="000F16EB">
      <w:pPr>
        <w:pStyle w:val="Heading6"/>
      </w:pPr>
      <w:r>
        <w:t>Net Present Value</w:t>
      </w:r>
    </w:p>
    <w:p w14:paraId="50ABC805" w14:textId="3C875923" w:rsidR="000F16EB" w:rsidRPr="003D7103" w:rsidRDefault="000F16EB" w:rsidP="000F16EB">
      <w:r w:rsidRPr="003D7103">
        <w:t>The net present value</w:t>
      </w:r>
      <w:r>
        <w:t xml:space="preserve"> (NPV)</w:t>
      </w:r>
      <w:r w:rsidRPr="003D7103">
        <w:t xml:space="preserve"> of a system is given by</w:t>
      </w:r>
      <w:r>
        <w:t xml:space="preserve"> Equation</w:t>
      </w:r>
      <w:r w:rsidRPr="003D7103">
        <w:t xml:space="preserve"> </w:t>
      </w:r>
      <w:r>
        <w:fldChar w:fldCharType="begin"/>
      </w:r>
      <w:r>
        <w:instrText xml:space="preserve"> REF _Ref531101019 \h </w:instrText>
      </w:r>
      <w:r>
        <w:fldChar w:fldCharType="separate"/>
      </w:r>
      <w:r w:rsidR="00CB7456">
        <w:rPr>
          <w:noProof/>
        </w:rPr>
        <w:t>2</w:t>
      </w:r>
      <w:r w:rsidR="00CB7456">
        <w:t>.</w:t>
      </w:r>
      <w:r w:rsidR="00CB7456">
        <w:rPr>
          <w:noProof/>
        </w:rPr>
        <w:t>7</w:t>
      </w:r>
      <w:r>
        <w:fldChar w:fldCharType="end"/>
      </w:r>
      <w:r>
        <w:t xml:space="preserve"> </w:t>
      </w:r>
      <w:r w:rsidRPr="003D7103">
        <w:fldChar w:fldCharType="begin" w:fldLock="1"/>
      </w:r>
      <w:r w:rsidR="002A6A73">
        <w:instrText>ADDIN CSL_CITATION {"citationItems":[{"id":"ITEM-1","itemData":{"ISBN":"9789144085302","author":[{"dropping-particle":"","family":"Frederiksen","given":"Svend","non-dropping-particle":"","parse-names":false,"suffix":""},{"dropping-particle":"","family":"Werner","given":"Sven","non-dropping-particle":"","parse-names":false,"suffix":""}],"edition":"1","id":"ITEM-1","issued":{"date-parts":[["2013"]]},"publisher":"Studentlitteratur","publisher-place":"Lund, Sweden","title":"District Heating and Cooling","type":"book"},"uris":["http://www.mendeley.com/documents/?uuid=515e9b02-9146-44d2-add6-552d6c8dccbe"]}],"mendeley":{"formattedCitation":"(Frederiksen and Werner, 2013)","plainTextFormattedCitation":"(Frederiksen and Werner, 2013)","previouslyFormattedCitation":"(Frederiksen and Werner, 2013)"},"properties":{"noteIndex":0},"schema":"https://github.com/citation-style-language/schema/raw/master/csl-citation.json"}</w:instrText>
      </w:r>
      <w:r w:rsidRPr="003D7103">
        <w:fldChar w:fldCharType="separate"/>
      </w:r>
      <w:r w:rsidR="002A6A73" w:rsidRPr="002A6A73">
        <w:rPr>
          <w:noProof/>
        </w:rPr>
        <w:t>(Frederiksen and Werner, 2013)</w:t>
      </w:r>
      <w:r w:rsidRPr="003D7103">
        <w:fldChar w:fldCharType="end"/>
      </w:r>
      <w:r w:rsidRPr="003D7103">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5"/>
        <w:gridCol w:w="543"/>
      </w:tblGrid>
      <w:tr w:rsidR="000F16EB" w14:paraId="16076D65" w14:textId="77777777" w:rsidTr="00A7521D">
        <w:tc>
          <w:tcPr>
            <w:tcW w:w="7655" w:type="dxa"/>
          </w:tcPr>
          <w:p w14:paraId="692548C5" w14:textId="77777777" w:rsidR="000F16EB" w:rsidRPr="00AC69E9" w:rsidRDefault="000F16EB" w:rsidP="00A7521D">
            <w:pPr>
              <w:keepNext/>
            </w:pPr>
            <m:oMathPara>
              <m:oMathParaPr>
                <m:jc m:val="left"/>
              </m:oMathParaPr>
              <m:oMath>
                <m:r>
                  <w:rPr>
                    <w:rFonts w:ascii="Cambria Math" w:hAnsi="Cambria Math"/>
                  </w:rPr>
                  <w:lastRenderedPageBreak/>
                  <m:t>NPV=</m:t>
                </m:r>
                <m:f>
                  <m:fPr>
                    <m:ctrlPr>
                      <w:rPr>
                        <w:rFonts w:ascii="Cambria Math" w:hAnsi="Cambria Math"/>
                        <w:i/>
                      </w:rPr>
                    </m:ctrlPr>
                  </m:fPr>
                  <m:num>
                    <m:sSub>
                      <m:sSubPr>
                        <m:ctrlPr>
                          <w:rPr>
                            <w:rFonts w:ascii="Cambria Math" w:hAnsi="Cambria Math"/>
                            <w:i/>
                          </w:rPr>
                        </m:ctrlPr>
                      </m:sSubPr>
                      <m:e>
                        <m:r>
                          <w:rPr>
                            <w:rFonts w:ascii="Cambria Math" w:hAnsi="Cambria Math"/>
                          </w:rPr>
                          <m:t>CF</m:t>
                        </m:r>
                      </m:e>
                      <m:sub>
                        <m:r>
                          <w:rPr>
                            <w:rFonts w:ascii="Cambria Math" w:hAnsi="Cambria Math"/>
                          </w:rPr>
                          <m:t>0</m:t>
                        </m:r>
                      </m:sub>
                    </m:sSub>
                  </m:num>
                  <m:den>
                    <m:sSup>
                      <m:sSupPr>
                        <m:ctrlPr>
                          <w:rPr>
                            <w:rFonts w:ascii="Cambria Math" w:hAnsi="Cambria Math"/>
                            <w:i/>
                          </w:rPr>
                        </m:ctrlPr>
                      </m:sSupPr>
                      <m:e>
                        <m:r>
                          <w:rPr>
                            <w:rFonts w:ascii="Cambria Math" w:hAnsi="Cambria Math"/>
                          </w:rPr>
                          <m:t>(1+r)</m:t>
                        </m:r>
                      </m:e>
                      <m:sup>
                        <m:r>
                          <w:rPr>
                            <w:rFonts w:ascii="Cambria Math" w:hAnsi="Cambria Math"/>
                          </w:rPr>
                          <m:t>0</m:t>
                        </m:r>
                      </m:sup>
                    </m:sSup>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CF</m:t>
                        </m:r>
                      </m:e>
                      <m:sub>
                        <m:r>
                          <w:rPr>
                            <w:rFonts w:ascii="Cambria Math" w:hAnsi="Cambria Math"/>
                          </w:rPr>
                          <m:t>1</m:t>
                        </m:r>
                      </m:sub>
                    </m:sSub>
                  </m:num>
                  <m:den>
                    <m:sSup>
                      <m:sSupPr>
                        <m:ctrlPr>
                          <w:rPr>
                            <w:rFonts w:ascii="Cambria Math" w:hAnsi="Cambria Math"/>
                            <w:i/>
                          </w:rPr>
                        </m:ctrlPr>
                      </m:sSupPr>
                      <m:e>
                        <m:r>
                          <w:rPr>
                            <w:rFonts w:ascii="Cambria Math" w:hAnsi="Cambria Math"/>
                          </w:rPr>
                          <m:t>(1+r)</m:t>
                        </m:r>
                      </m:e>
                      <m:sup>
                        <m:r>
                          <w:rPr>
                            <w:rFonts w:ascii="Cambria Math" w:hAnsi="Cambria Math"/>
                          </w:rPr>
                          <m:t>1</m:t>
                        </m:r>
                      </m:sup>
                    </m:sSup>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CF</m:t>
                        </m:r>
                      </m:e>
                      <m:sub>
                        <m:r>
                          <w:rPr>
                            <w:rFonts w:ascii="Cambria Math" w:hAnsi="Cambria Math"/>
                          </w:rPr>
                          <m:t>t</m:t>
                        </m:r>
                      </m:sub>
                    </m:sSub>
                  </m:num>
                  <m:den>
                    <m:sSup>
                      <m:sSupPr>
                        <m:ctrlPr>
                          <w:rPr>
                            <w:rFonts w:ascii="Cambria Math" w:hAnsi="Cambria Math"/>
                            <w:i/>
                          </w:rPr>
                        </m:ctrlPr>
                      </m:sSupPr>
                      <m:e>
                        <m:r>
                          <w:rPr>
                            <w:rFonts w:ascii="Cambria Math" w:hAnsi="Cambria Math"/>
                          </w:rPr>
                          <m:t>(1+r)</m:t>
                        </m:r>
                      </m:e>
                      <m:sup>
                        <m:r>
                          <w:rPr>
                            <w:rFonts w:ascii="Cambria Math" w:hAnsi="Cambria Math"/>
                          </w:rPr>
                          <m:t>t</m:t>
                        </m:r>
                      </m:sup>
                    </m:sSup>
                  </m:den>
                </m:f>
              </m:oMath>
            </m:oMathPara>
          </w:p>
        </w:tc>
        <w:bookmarkStart w:id="278" w:name="_Ref531101019"/>
        <w:tc>
          <w:tcPr>
            <w:tcW w:w="543" w:type="dxa"/>
            <w:vAlign w:val="center"/>
          </w:tcPr>
          <w:p w14:paraId="5665AF6B" w14:textId="1B4E797F" w:rsidR="000F16EB" w:rsidRPr="00F029E0" w:rsidRDefault="000F16EB" w:rsidP="00A7521D">
            <w:pPr>
              <w:pStyle w:val="Caption"/>
              <w:jc w:val="right"/>
              <w:rPr>
                <w:b w:val="0"/>
              </w:rPr>
            </w:pPr>
            <w:r>
              <w:fldChar w:fldCharType="begin"/>
            </w:r>
            <w:r>
              <w:instrText xml:space="preserve"> STYLEREF 1 \s </w:instrText>
            </w:r>
            <w:r>
              <w:fldChar w:fldCharType="separate"/>
            </w:r>
            <w:r w:rsidR="00CB7456">
              <w:rPr>
                <w:noProof/>
              </w:rPr>
              <w:t>2</w:t>
            </w:r>
            <w:r>
              <w:fldChar w:fldCharType="end"/>
            </w:r>
            <w:r>
              <w:t>.</w:t>
            </w:r>
            <w:r>
              <w:rPr>
                <w:noProof/>
              </w:rPr>
              <w:fldChar w:fldCharType="begin"/>
            </w:r>
            <w:r>
              <w:rPr>
                <w:noProof/>
              </w:rPr>
              <w:instrText xml:space="preserve"> SEQ Equation \* ARABIC \s 1 </w:instrText>
            </w:r>
            <w:r>
              <w:rPr>
                <w:noProof/>
              </w:rPr>
              <w:fldChar w:fldCharType="separate"/>
            </w:r>
            <w:r w:rsidR="00CB7456">
              <w:rPr>
                <w:noProof/>
              </w:rPr>
              <w:t>7</w:t>
            </w:r>
            <w:r>
              <w:rPr>
                <w:noProof/>
              </w:rPr>
              <w:fldChar w:fldCharType="end"/>
            </w:r>
            <w:bookmarkEnd w:id="278"/>
          </w:p>
        </w:tc>
      </w:tr>
    </w:tbl>
    <w:p w14:paraId="35FC8725" w14:textId="77777777" w:rsidR="000F16EB" w:rsidRDefault="000F16EB" w:rsidP="00196CD6">
      <w:pPr>
        <w:pStyle w:val="NoSpacing"/>
      </w:pPr>
    </w:p>
    <w:p w14:paraId="33D96CE9" w14:textId="77777777" w:rsidR="000F16EB" w:rsidRDefault="00C73E04" w:rsidP="000F16EB">
      <w:pPr>
        <w:pStyle w:val="NoSpacing"/>
      </w:pPr>
      <m:oMath>
        <m:sSub>
          <m:sSubPr>
            <m:ctrlPr>
              <w:rPr>
                <w:rFonts w:ascii="Cambria Math" w:hAnsi="Cambria Math"/>
                <w:i/>
              </w:rPr>
            </m:ctrlPr>
          </m:sSubPr>
          <m:e>
            <m:r>
              <w:rPr>
                <w:rFonts w:ascii="Cambria Math" w:hAnsi="Cambria Math"/>
              </w:rPr>
              <m:t>CF</m:t>
            </m:r>
          </m:e>
          <m:sub>
            <m:r>
              <w:rPr>
                <w:rFonts w:ascii="Cambria Math" w:hAnsi="Cambria Math"/>
              </w:rPr>
              <m:t>t</m:t>
            </m:r>
          </m:sub>
        </m:sSub>
      </m:oMath>
      <w:r w:rsidR="000F16EB">
        <w:t xml:space="preserve"> is the cash flow in year, </w:t>
      </w:r>
      <w:r w:rsidR="000F16EB">
        <w:rPr>
          <w:i/>
        </w:rPr>
        <w:t>t</w:t>
      </w:r>
      <w:r w:rsidR="000F16EB">
        <w:t>,</w:t>
      </w:r>
    </w:p>
    <w:p w14:paraId="3733F1A6" w14:textId="77777777" w:rsidR="000F16EB" w:rsidRPr="00F777D5" w:rsidRDefault="000F16EB" w:rsidP="000F16EB">
      <m:oMath>
        <m:r>
          <w:rPr>
            <w:rFonts w:ascii="Cambria Math" w:hAnsi="Cambria Math"/>
          </w:rPr>
          <m:t>r</m:t>
        </m:r>
      </m:oMath>
      <w:r>
        <w:t xml:space="preserve"> is the cost of the capital.</w:t>
      </w:r>
    </w:p>
    <w:p w14:paraId="5ECA4053" w14:textId="77777777" w:rsidR="000F16EB" w:rsidRDefault="000F16EB" w:rsidP="000F16EB">
      <w:pPr>
        <w:pStyle w:val="Heading6"/>
      </w:pPr>
      <w:proofErr w:type="spellStart"/>
      <w:r>
        <w:t>Levelised</w:t>
      </w:r>
      <w:proofErr w:type="spellEnd"/>
      <w:r>
        <w:t xml:space="preserve"> Cost of Electricity</w:t>
      </w:r>
    </w:p>
    <w:p w14:paraId="101293E3" w14:textId="3678AB1E" w:rsidR="000F16EB" w:rsidRDefault="000F16EB" w:rsidP="000F16EB">
      <w:r>
        <w:t xml:space="preserve">The </w:t>
      </w:r>
      <w:proofErr w:type="spellStart"/>
      <w:r>
        <w:t>levelised</w:t>
      </w:r>
      <w:proofErr w:type="spellEnd"/>
      <w:r>
        <w:t xml:space="preserve"> cost of electricity (LCOE) is the NPV of the unit costs of the electricity considered over the lifetime of the asset </w:t>
      </w:r>
      <w:r>
        <w:fldChar w:fldCharType="begin" w:fldLock="1"/>
      </w:r>
      <w:r w:rsidR="002A6A73">
        <w:instrText>ADDIN CSL_CITATION {"citationItems":[{"id":"ITEM-1","itemData":{"DOI":"10.1016/j.apenergy.2018.06.105","ISSN":"03062619","abstract":"Recent improvements in low-temperature heat-to-power (LTHtP) technologies have led to an increase in efficiency at lower temperatures and lower cost. LTHtP has so far not been used in district heating. The aim of the study is to establish under what conditions the use of existing LTHtP technology is technically and economically feasible using a district heating system as the heat source. The organic Rankine cycle (ORC) is identified as the most interesting LTHtP technology, due to its high relative efficiency and the commercial availability of devices operating at temperatures in the district heating operating range. The levelised cost of electricity of several ORC devices is calculated for temperatures found in district heating, assuming a zero cost of heat. A case study from Sweden is used to calculate the levelised cost of electricity, the net present value and payback period, based on income from the electricity produced, excluding taxes. Hourly spot market electricity prices from 2017 are used, as well as forecast scenarios for 2020, 2030 and 2040. A sensitivity study tests the importance of electricity price, cost of heat and capital/installation cost. Based on the case study, the best levelised cost of electricity achieved was 26.5 EUR/MWh, with a payback period greater than 30 years. Under current Swedish market conditions, the ORC does not appear to be economically feasible for use in district heating, but the net present value and payback period may be significantly more attractive under other countries’ market conditions or with reduced capital costs. For a positive net present value in the Swedish market the capital cost should be reduced to 1.7 EUR/W installed, or the average electricity price should be at least 35.2 EUR/MWh, if the cost of heat is zero. The cost of heat is an important factor in these calculations and should be developed further in future work.","author":[{"dropping-particle":"","family":"Hennessy","given":"Jay","non-dropping-particle":"","parse-names":false,"suffix":""},{"dropping-particle":"","family":"Li","given":"Hailong","non-dropping-particle":"","parse-names":false,"suffix":""},{"dropping-particle":"","family":"Wallin","given":"Fredrik","non-dropping-particle":"","parse-names":false,"suffix":""},{"dropping-particle":"","family":"Thorin","given":"Eva","non-dropping-particle":"","parse-names":false,"suffix":""}],"container-title":"Applied Energy","id":"ITEM-1","issue":"February","issued":{"date-parts":[["2018"]]},"page":"766-776","publisher":"Elsevier","title":"Towards smart thermal grids: Techno-economic feasibility of commercial heat-to-power technologies for district heating","type":"article-journal","volume":"228"},"uris":["http://www.mendeley.com/documents/?uuid=2d05abbe-16f7-411b-b19f-382a8ae69286"]}],"mendeley":{"formattedCitation":"(Hennessy &lt;i&gt;et al.&lt;/i&gt;, 2018)","plainTextFormattedCitation":"(Hennessy et al., 2018)","previouslyFormattedCitation":"(Hennessy &lt;i&gt;et al.&lt;/i&gt;, 2018)"},"properties":{"noteIndex":0},"schema":"https://github.com/citation-style-language/schema/raw/master/csl-citation.json"}</w:instrText>
      </w:r>
      <w:r>
        <w:fldChar w:fldCharType="separate"/>
      </w:r>
      <w:r w:rsidR="002A6A73" w:rsidRPr="002A6A73">
        <w:rPr>
          <w:noProof/>
        </w:rPr>
        <w:t xml:space="preserve">(Hennessy </w:t>
      </w:r>
      <w:r w:rsidR="002A6A73" w:rsidRPr="002A6A73">
        <w:rPr>
          <w:i/>
          <w:noProof/>
        </w:rPr>
        <w:t>et al.</w:t>
      </w:r>
      <w:r w:rsidR="002A6A73" w:rsidRPr="002A6A73">
        <w:rPr>
          <w:noProof/>
        </w:rPr>
        <w:t>, 2018)</w:t>
      </w:r>
      <w:r>
        <w:fldChar w:fldCharType="end"/>
      </w:r>
      <w:r>
        <w:t xml:space="preserve">. Hennessy </w:t>
      </w:r>
      <w:r w:rsidRPr="006A7FED">
        <w:rPr>
          <w:i/>
        </w:rPr>
        <w:t>et al</w:t>
      </w:r>
      <w:r>
        <w:t xml:space="preserve">. used a LCOE approach to run a techno-economic optimisation of heat-to-power technologies in a DHN. The LCOE was calculated dependent on the following parameters the CAPEX and OPEX of the system, the annual energy output, and the discount rates of capital. It was assumed that the cost of heat was zero. The LCOE was calculated as shown in Equation </w:t>
      </w:r>
      <w:r>
        <w:fldChar w:fldCharType="begin"/>
      </w:r>
      <w:r>
        <w:instrText xml:space="preserve"> REF _Ref531101174 \h </w:instrText>
      </w:r>
      <w:r>
        <w:fldChar w:fldCharType="separate"/>
      </w:r>
      <w:r w:rsidR="00CB7456">
        <w:rPr>
          <w:noProof/>
        </w:rPr>
        <w:t>2</w:t>
      </w:r>
      <w:r w:rsidR="00CB7456">
        <w:t>.</w:t>
      </w:r>
      <w:r w:rsidR="00CB7456">
        <w:rPr>
          <w:noProof/>
        </w:rPr>
        <w:t>8</w:t>
      </w:r>
      <w:r>
        <w:fldChar w:fldCharType="end"/>
      </w:r>
      <w: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5"/>
        <w:gridCol w:w="543"/>
      </w:tblGrid>
      <w:tr w:rsidR="000F16EB" w14:paraId="7A0BB853" w14:textId="77777777" w:rsidTr="00A7521D">
        <w:tc>
          <w:tcPr>
            <w:tcW w:w="7655" w:type="dxa"/>
          </w:tcPr>
          <w:p w14:paraId="33C015E0" w14:textId="77777777" w:rsidR="000F16EB" w:rsidRPr="00AC69E9" w:rsidRDefault="000F16EB" w:rsidP="00A7521D">
            <w:pPr>
              <w:keepNext/>
            </w:pPr>
            <m:oMathPara>
              <m:oMathParaPr>
                <m:jc m:val="left"/>
              </m:oMathParaPr>
              <m:oMath>
                <m:r>
                  <w:rPr>
                    <w:rFonts w:ascii="Cambria Math" w:hAnsi="Cambria Math"/>
                  </w:rPr>
                  <m:t>LCOE=</m:t>
                </m:r>
                <m:f>
                  <m:fPr>
                    <m:ctrlPr>
                      <w:rPr>
                        <w:rFonts w:ascii="Cambria Math" w:hAnsi="Cambria Math"/>
                        <w:i/>
                      </w:rPr>
                    </m:ctrlPr>
                  </m:fPr>
                  <m:num>
                    <m:nary>
                      <m:naryPr>
                        <m:chr m:val="∑"/>
                        <m:limLoc m:val="subSup"/>
                        <m:ctrlPr>
                          <w:rPr>
                            <w:rFonts w:ascii="Cambria Math" w:hAnsi="Cambria Math"/>
                            <w:i/>
                          </w:rPr>
                        </m:ctrlPr>
                      </m:naryPr>
                      <m:sub>
                        <m:r>
                          <w:rPr>
                            <w:rFonts w:ascii="Cambria Math" w:hAnsi="Cambria Math"/>
                          </w:rPr>
                          <m:t>t=0</m:t>
                        </m:r>
                      </m:sub>
                      <m:sup>
                        <m:r>
                          <w:rPr>
                            <w:rFonts w:ascii="Cambria Math" w:hAnsi="Cambria Math"/>
                          </w:rPr>
                          <m:t>T</m:t>
                        </m:r>
                      </m:sup>
                      <m:e>
                        <m:f>
                          <m:fPr>
                            <m:ctrlPr>
                              <w:rPr>
                                <w:rFonts w:ascii="Cambria Math" w:hAnsi="Cambria Math"/>
                                <w:i/>
                              </w:rPr>
                            </m:ctrlPr>
                          </m:fPr>
                          <m:num>
                            <m:sSub>
                              <m:sSubPr>
                                <m:ctrlPr>
                                  <w:rPr>
                                    <w:rFonts w:ascii="Cambria Math" w:hAnsi="Cambria Math"/>
                                    <w:i/>
                                  </w:rPr>
                                </m:ctrlPr>
                              </m:sSubPr>
                              <m:e>
                                <m:r>
                                  <w:rPr>
                                    <w:rFonts w:ascii="Cambria Math" w:hAnsi="Cambria Math"/>
                                  </w:rPr>
                                  <m:t>C</m:t>
                                </m:r>
                              </m:e>
                              <m:sub>
                                <m:r>
                                  <w:rPr>
                                    <w:rFonts w:ascii="Cambria Math" w:hAnsi="Cambria Math"/>
                                  </w:rPr>
                                  <m:t>t</m:t>
                                </m:r>
                              </m:sub>
                            </m:sSub>
                            <m:r>
                              <w:rPr>
                                <w:rFonts w:ascii="Cambria Math" w:hAnsi="Cambria Math"/>
                              </w:rPr>
                              <m:t>+</m:t>
                            </m:r>
                            <m:sSub>
                              <m:sSubPr>
                                <m:ctrlPr>
                                  <w:rPr>
                                    <w:rFonts w:ascii="Cambria Math" w:hAnsi="Cambria Math"/>
                                    <w:i/>
                                  </w:rPr>
                                </m:ctrlPr>
                              </m:sSubPr>
                              <m:e>
                                <m:r>
                                  <w:rPr>
                                    <w:rFonts w:ascii="Cambria Math" w:hAnsi="Cambria Math"/>
                                  </w:rPr>
                                  <m:t>M</m:t>
                                </m:r>
                              </m:e>
                              <m:sub>
                                <m:r>
                                  <w:rPr>
                                    <w:rFonts w:ascii="Cambria Math" w:hAnsi="Cambria Math"/>
                                  </w:rPr>
                                  <m:t>t</m:t>
                                </m:r>
                              </m:sub>
                            </m:sSub>
                          </m:num>
                          <m:den>
                            <m:sSup>
                              <m:sSupPr>
                                <m:ctrlPr>
                                  <w:rPr>
                                    <w:rFonts w:ascii="Cambria Math" w:hAnsi="Cambria Math"/>
                                    <w:i/>
                                  </w:rPr>
                                </m:ctrlPr>
                              </m:sSupPr>
                              <m:e>
                                <m:d>
                                  <m:dPr>
                                    <m:ctrlPr>
                                      <w:rPr>
                                        <w:rFonts w:ascii="Cambria Math" w:hAnsi="Cambria Math"/>
                                        <w:i/>
                                      </w:rPr>
                                    </m:ctrlPr>
                                  </m:dPr>
                                  <m:e>
                                    <m:r>
                                      <w:rPr>
                                        <w:rFonts w:ascii="Cambria Math" w:hAnsi="Cambria Math"/>
                                      </w:rPr>
                                      <m:t>1+r</m:t>
                                    </m:r>
                                  </m:e>
                                </m:d>
                              </m:e>
                              <m:sup>
                                <m:r>
                                  <w:rPr>
                                    <w:rFonts w:ascii="Cambria Math" w:hAnsi="Cambria Math"/>
                                  </w:rPr>
                                  <m:t>t</m:t>
                                </m:r>
                              </m:sup>
                            </m:sSup>
                          </m:den>
                        </m:f>
                      </m:e>
                    </m:nary>
                  </m:num>
                  <m:den>
                    <m:nary>
                      <m:naryPr>
                        <m:chr m:val="∑"/>
                        <m:limLoc m:val="subSup"/>
                        <m:ctrlPr>
                          <w:rPr>
                            <w:rFonts w:ascii="Cambria Math" w:hAnsi="Cambria Math"/>
                            <w:i/>
                          </w:rPr>
                        </m:ctrlPr>
                      </m:naryPr>
                      <m:sub>
                        <m:r>
                          <w:rPr>
                            <w:rFonts w:ascii="Cambria Math" w:hAnsi="Cambria Math"/>
                          </w:rPr>
                          <m:t>t=0</m:t>
                        </m:r>
                      </m:sub>
                      <m:sup>
                        <m:r>
                          <w:rPr>
                            <w:rFonts w:ascii="Cambria Math" w:hAnsi="Cambria Math"/>
                          </w:rPr>
                          <m:t>T</m:t>
                        </m:r>
                      </m:sup>
                      <m:e>
                        <m:f>
                          <m:fPr>
                            <m:ctrlPr>
                              <w:rPr>
                                <w:rFonts w:ascii="Cambria Math" w:hAnsi="Cambria Math"/>
                                <w:i/>
                              </w:rPr>
                            </m:ctrlPr>
                          </m:fPr>
                          <m:num>
                            <m:sSub>
                              <m:sSubPr>
                                <m:ctrlPr>
                                  <w:rPr>
                                    <w:rFonts w:ascii="Cambria Math" w:hAnsi="Cambria Math"/>
                                    <w:i/>
                                  </w:rPr>
                                </m:ctrlPr>
                              </m:sSubPr>
                              <m:e>
                                <m:r>
                                  <w:rPr>
                                    <w:rFonts w:ascii="Cambria Math" w:hAnsi="Cambria Math"/>
                                  </w:rPr>
                                  <m:t>Q</m:t>
                                </m:r>
                              </m:e>
                              <m:sub>
                                <m:r>
                                  <w:rPr>
                                    <w:rFonts w:ascii="Cambria Math" w:hAnsi="Cambria Math"/>
                                  </w:rPr>
                                  <m:t>t</m:t>
                                </m:r>
                              </m:sub>
                            </m:sSub>
                          </m:num>
                          <m:den>
                            <m:sSup>
                              <m:sSupPr>
                                <m:ctrlPr>
                                  <w:rPr>
                                    <w:rFonts w:ascii="Cambria Math" w:hAnsi="Cambria Math"/>
                                    <w:i/>
                                  </w:rPr>
                                </m:ctrlPr>
                              </m:sSupPr>
                              <m:e>
                                <m:d>
                                  <m:dPr>
                                    <m:ctrlPr>
                                      <w:rPr>
                                        <w:rFonts w:ascii="Cambria Math" w:hAnsi="Cambria Math"/>
                                        <w:i/>
                                      </w:rPr>
                                    </m:ctrlPr>
                                  </m:dPr>
                                  <m:e>
                                    <m:r>
                                      <w:rPr>
                                        <w:rFonts w:ascii="Cambria Math" w:hAnsi="Cambria Math"/>
                                      </w:rPr>
                                      <m:t>1+r</m:t>
                                    </m:r>
                                  </m:e>
                                </m:d>
                              </m:e>
                              <m:sup>
                                <m:r>
                                  <w:rPr>
                                    <w:rFonts w:ascii="Cambria Math" w:hAnsi="Cambria Math"/>
                                  </w:rPr>
                                  <m:t>t</m:t>
                                </m:r>
                              </m:sup>
                            </m:sSup>
                          </m:den>
                        </m:f>
                      </m:e>
                    </m:nary>
                  </m:den>
                </m:f>
              </m:oMath>
            </m:oMathPara>
          </w:p>
        </w:tc>
        <w:bookmarkStart w:id="279" w:name="_Ref531101174"/>
        <w:tc>
          <w:tcPr>
            <w:tcW w:w="543" w:type="dxa"/>
            <w:vAlign w:val="center"/>
          </w:tcPr>
          <w:p w14:paraId="6B1404DE" w14:textId="70ABB88E" w:rsidR="000F16EB" w:rsidRPr="00F029E0" w:rsidRDefault="000F16EB" w:rsidP="00A7521D">
            <w:pPr>
              <w:pStyle w:val="Caption"/>
              <w:jc w:val="right"/>
              <w:rPr>
                <w:b w:val="0"/>
              </w:rPr>
            </w:pPr>
            <w:r>
              <w:fldChar w:fldCharType="begin"/>
            </w:r>
            <w:r>
              <w:instrText xml:space="preserve"> STYLEREF 1 \s </w:instrText>
            </w:r>
            <w:r>
              <w:fldChar w:fldCharType="separate"/>
            </w:r>
            <w:r w:rsidR="00CB7456">
              <w:rPr>
                <w:noProof/>
              </w:rPr>
              <w:t>2</w:t>
            </w:r>
            <w:r>
              <w:fldChar w:fldCharType="end"/>
            </w:r>
            <w:r>
              <w:t>.</w:t>
            </w:r>
            <w:r>
              <w:rPr>
                <w:noProof/>
              </w:rPr>
              <w:fldChar w:fldCharType="begin"/>
            </w:r>
            <w:r>
              <w:rPr>
                <w:noProof/>
              </w:rPr>
              <w:instrText xml:space="preserve"> SEQ Equation \* ARABIC \s 1 </w:instrText>
            </w:r>
            <w:r>
              <w:rPr>
                <w:noProof/>
              </w:rPr>
              <w:fldChar w:fldCharType="separate"/>
            </w:r>
            <w:r w:rsidR="00CB7456">
              <w:rPr>
                <w:noProof/>
              </w:rPr>
              <w:t>8</w:t>
            </w:r>
            <w:r>
              <w:rPr>
                <w:noProof/>
              </w:rPr>
              <w:fldChar w:fldCharType="end"/>
            </w:r>
            <w:bookmarkEnd w:id="279"/>
          </w:p>
        </w:tc>
      </w:tr>
    </w:tbl>
    <w:p w14:paraId="2EAB35C6" w14:textId="77777777" w:rsidR="000F16EB" w:rsidRPr="00196CD6" w:rsidRDefault="000F16EB" w:rsidP="00196CD6">
      <w:pPr>
        <w:pStyle w:val="NoSpacing"/>
      </w:pPr>
    </w:p>
    <w:p w14:paraId="793ABCE0" w14:textId="77777777" w:rsidR="000F16EB" w:rsidRDefault="00C73E04" w:rsidP="000F16EB">
      <w:pPr>
        <w:pStyle w:val="NoSpacing"/>
      </w:pPr>
      <m:oMath>
        <m:sSub>
          <m:sSubPr>
            <m:ctrlPr>
              <w:rPr>
                <w:rFonts w:ascii="Cambria Math" w:hAnsi="Cambria Math"/>
                <w:i/>
              </w:rPr>
            </m:ctrlPr>
          </m:sSubPr>
          <m:e>
            <m:r>
              <w:rPr>
                <w:rFonts w:ascii="Cambria Math" w:hAnsi="Cambria Math"/>
              </w:rPr>
              <m:t>C</m:t>
            </m:r>
          </m:e>
          <m:sub>
            <m:r>
              <w:rPr>
                <w:rFonts w:ascii="Cambria Math" w:hAnsi="Cambria Math"/>
              </w:rPr>
              <m:t>t</m:t>
            </m:r>
          </m:sub>
        </m:sSub>
      </m:oMath>
      <w:r w:rsidR="000F16EB">
        <w:t xml:space="preserve"> are the CAPEX in</w:t>
      </w:r>
      <w:r w:rsidR="000F16EB" w:rsidRPr="00D8244A">
        <w:t xml:space="preserve"> </w:t>
      </w:r>
      <w:r w:rsidR="000F16EB">
        <w:t xml:space="preserve">year, </w:t>
      </w:r>
      <w:r w:rsidR="000F16EB">
        <w:rPr>
          <w:i/>
        </w:rPr>
        <w:t>t</w:t>
      </w:r>
      <w:r w:rsidR="000F16EB">
        <w:t>,</w:t>
      </w:r>
    </w:p>
    <w:p w14:paraId="5D6CD64F" w14:textId="77777777" w:rsidR="000F16EB" w:rsidRDefault="00C73E04" w:rsidP="000F16EB">
      <w:pPr>
        <w:pStyle w:val="NoSpacing"/>
      </w:pPr>
      <m:oMath>
        <m:sSub>
          <m:sSubPr>
            <m:ctrlPr>
              <w:rPr>
                <w:rFonts w:ascii="Cambria Math" w:hAnsi="Cambria Math"/>
                <w:i/>
              </w:rPr>
            </m:ctrlPr>
          </m:sSubPr>
          <m:e>
            <m:r>
              <w:rPr>
                <w:rFonts w:ascii="Cambria Math" w:hAnsi="Cambria Math"/>
              </w:rPr>
              <m:t>M</m:t>
            </m:r>
          </m:e>
          <m:sub>
            <m:r>
              <w:rPr>
                <w:rFonts w:ascii="Cambria Math" w:hAnsi="Cambria Math"/>
              </w:rPr>
              <m:t>t</m:t>
            </m:r>
          </m:sub>
        </m:sSub>
      </m:oMath>
      <w:r w:rsidR="000F16EB">
        <w:t xml:space="preserve"> are the maintenance costs in</w:t>
      </w:r>
      <w:r w:rsidR="000F16EB" w:rsidRPr="00D8244A">
        <w:t xml:space="preserve"> </w:t>
      </w:r>
      <w:r w:rsidR="000F16EB">
        <w:t xml:space="preserve">year, </w:t>
      </w:r>
      <w:r w:rsidR="000F16EB">
        <w:rPr>
          <w:i/>
        </w:rPr>
        <w:t>t</w:t>
      </w:r>
      <w:r w:rsidR="000F16EB">
        <w:t>,</w:t>
      </w:r>
    </w:p>
    <w:p w14:paraId="33667522" w14:textId="77777777" w:rsidR="000F16EB" w:rsidRDefault="00C73E04" w:rsidP="000F16EB">
      <w:pPr>
        <w:pStyle w:val="NoSpacing"/>
      </w:pPr>
      <m:oMath>
        <m:sSub>
          <m:sSubPr>
            <m:ctrlPr>
              <w:rPr>
                <w:rFonts w:ascii="Cambria Math" w:hAnsi="Cambria Math"/>
                <w:i/>
              </w:rPr>
            </m:ctrlPr>
          </m:sSubPr>
          <m:e>
            <m:r>
              <w:rPr>
                <w:rFonts w:ascii="Cambria Math" w:hAnsi="Cambria Math"/>
              </w:rPr>
              <m:t>Q</m:t>
            </m:r>
          </m:e>
          <m:sub>
            <m:r>
              <w:rPr>
                <w:rFonts w:ascii="Cambria Math" w:hAnsi="Cambria Math"/>
              </w:rPr>
              <m:t>t</m:t>
            </m:r>
          </m:sub>
        </m:sSub>
      </m:oMath>
      <w:r w:rsidR="000F16EB">
        <w:t xml:space="preserve"> is the annual energy output in</w:t>
      </w:r>
      <w:r w:rsidR="000F16EB" w:rsidRPr="00D8244A">
        <w:t xml:space="preserve"> </w:t>
      </w:r>
      <w:r w:rsidR="000F16EB">
        <w:t xml:space="preserve">year, </w:t>
      </w:r>
      <w:r w:rsidR="000F16EB">
        <w:rPr>
          <w:i/>
        </w:rPr>
        <w:t>t</w:t>
      </w:r>
      <w:r w:rsidR="000F16EB">
        <w:t>,</w:t>
      </w:r>
    </w:p>
    <w:p w14:paraId="7CA86A6C" w14:textId="77777777" w:rsidR="000F16EB" w:rsidRDefault="000F16EB" w:rsidP="000F16EB">
      <m:oMath>
        <m:r>
          <w:rPr>
            <w:rFonts w:ascii="Cambria Math" w:hAnsi="Cambria Math"/>
          </w:rPr>
          <m:t>r</m:t>
        </m:r>
      </m:oMath>
      <w:r>
        <w:t xml:space="preserve"> is the discount rate of capital.</w:t>
      </w:r>
    </w:p>
    <w:p w14:paraId="64079F9A" w14:textId="77777777" w:rsidR="000F16EB" w:rsidRDefault="000F16EB" w:rsidP="000F16EB">
      <w:pPr>
        <w:pStyle w:val="Heading6"/>
      </w:pPr>
      <w:proofErr w:type="spellStart"/>
      <w:r>
        <w:t>Levelised</w:t>
      </w:r>
      <w:proofErr w:type="spellEnd"/>
      <w:r>
        <w:t xml:space="preserve"> Cost of Heat</w:t>
      </w:r>
    </w:p>
    <w:p w14:paraId="1382C638" w14:textId="058C8826" w:rsidR="000F16EB" w:rsidRDefault="000F16EB" w:rsidP="000F16EB">
      <w:r>
        <w:t xml:space="preserve">The </w:t>
      </w:r>
      <w:proofErr w:type="spellStart"/>
      <w:r>
        <w:t>levelised</w:t>
      </w:r>
      <w:proofErr w:type="spellEnd"/>
      <w:r>
        <w:t xml:space="preserve"> cost of heat (LCOH) is the NPV of the unit costs of the heat considered over the lifetime of the asset </w:t>
      </w:r>
      <w:r>
        <w:fldChar w:fldCharType="begin" w:fldLock="1"/>
      </w:r>
      <w:r w:rsidR="002A6A73">
        <w:instrText>ADDIN CSL_CITATION {"citationItems":[{"id":"ITEM-1","itemData":{"DOI":"10.1016/j.apenergy.2018.02.011","ISSN":"03062619","abstract":"District heating will play an important role for heat provision in temperate and cold climate zones in the future. However, in the context of decarbonizing the heating sector, conventional heat sources have to be replaced by renewable energies. This replacement correlates to the necessity to integrate the fluctuating energy source of solar radiation and thus requires seasonal thermal energy storage. More recently, borehole thermal energy storage systems have been integrated into such district heating concepts. Yet, the potential greenhouse gas emission reduction and the financial benefits of these innovative district heating concepts have not been assessed with respect to the environmental burden and the associated investment cost of the modernization. This study presents a comprehensive environmental and economic life cycle assessment of a fictional district heating system with varying shares of shallow to medium deep borehole thermal energy storage and alternative heat sources replacing conventional capacity. In an exemplary district heating system covering 25 GW h of annual heat demand, borehole thermal energy storage can decrease the greenhouse gas emissions of combined heat and power plants and solar thermal collectors by over 40%. Boundary conditions assumed for the development of the energy market and the existence of subsidies have a significant impact on the emission savings and the levelized cost of heat. Considering a probable increase of energy costs and a growing share of renewables in the electricity mix, a combination of solar thermal collectors and borehole thermal energy storage with a small heat and power plant is the best solution, which is economical even without subsidies. The results of the study promote the construction of medium deep borehole thermal energy storage systems that can help to increase the share of renewable energy in the heating sector at reasonable cost.","author":[{"dropping-particle":"","family":"Welsch","given":"Bastian","non-dropping-particle":"","parse-names":false,"suffix":""},{"dropping-particle":"","family":"Göllner-Völker","given":"Laura","non-dropping-particle":"","parse-names":false,"suffix":""},{"dropping-particle":"","family":"Schulte","given":"Daniel O.","non-dropping-particle":"","parse-names":false,"suffix":""},{"dropping-particle":"","family":"Bär","given":"Kristian","non-dropping-particle":"","parse-names":false,"suffix":""},{"dropping-particle":"","family":"Sass","given":"Ingo","non-dropping-particle":"","parse-names":false,"suffix":""},{"dropping-particle":"","family":"Schebek","given":"Liselotte","non-dropping-particle":"","parse-names":false,"suffix":""}],"container-title":"Applied Energy","id":"ITEM-1","issue":"February","issued":{"date-parts":[["2018"]]},"page":"73-90","publisher":"Elsevier","title":"Environmental and economic assessment of borehole thermal energy storage in district heating systems","type":"article-journal","volume":"216"},"uris":["http://www.mendeley.com/documents/?uuid=85c50b08-7dcb-4280-b99b-21ed5dcacce8"]}],"mendeley":{"formattedCitation":"(Welsch &lt;i&gt;et al.&lt;/i&gt;, 2018)","plainTextFormattedCitation":"(Welsch et al., 2018)","previouslyFormattedCitation":"(Welsch &lt;i&gt;et al.&lt;/i&gt;, 2018)"},"properties":{"noteIndex":0},"schema":"https://github.com/citation-style-language/schema/raw/master/csl-citation.json"}</w:instrText>
      </w:r>
      <w:r>
        <w:fldChar w:fldCharType="separate"/>
      </w:r>
      <w:r w:rsidR="002A6A73" w:rsidRPr="002A6A73">
        <w:rPr>
          <w:noProof/>
        </w:rPr>
        <w:t xml:space="preserve">(Welsch </w:t>
      </w:r>
      <w:r w:rsidR="002A6A73" w:rsidRPr="002A6A73">
        <w:rPr>
          <w:i/>
          <w:noProof/>
        </w:rPr>
        <w:t>et al.</w:t>
      </w:r>
      <w:r w:rsidR="002A6A73" w:rsidRPr="002A6A73">
        <w:rPr>
          <w:noProof/>
        </w:rPr>
        <w:t>, 2018)</w:t>
      </w:r>
      <w:r>
        <w:fldChar w:fldCharType="end"/>
      </w:r>
      <w:r>
        <w:t xml:space="preserve">. </w:t>
      </w:r>
      <w:r w:rsidRPr="002B5839">
        <w:rPr>
          <w:noProof/>
        </w:rPr>
        <w:t xml:space="preserve">Welsch </w:t>
      </w:r>
      <w:r w:rsidRPr="00FF4B5D">
        <w:rPr>
          <w:i/>
        </w:rPr>
        <w:t>et al</w:t>
      </w:r>
      <w:r>
        <w:t>. used the LCOH to run a techno</w:t>
      </w:r>
      <w:r>
        <w:noBreakHyphen/>
        <w:t xml:space="preserve">economic optimisation of borehole TES systems in a DHN. The LCOH was calculated as shown in Equation </w:t>
      </w:r>
      <w:r>
        <w:fldChar w:fldCharType="begin"/>
      </w:r>
      <w:r>
        <w:instrText xml:space="preserve"> REF _Ref531101238 \h </w:instrText>
      </w:r>
      <w:r>
        <w:fldChar w:fldCharType="separate"/>
      </w:r>
      <w:r w:rsidR="00CB7456">
        <w:rPr>
          <w:noProof/>
        </w:rPr>
        <w:t>2</w:t>
      </w:r>
      <w:r w:rsidR="00CB7456">
        <w:t>.</w:t>
      </w:r>
      <w:r w:rsidR="00CB7456">
        <w:rPr>
          <w:noProof/>
        </w:rPr>
        <w:t>9</w:t>
      </w:r>
      <w:r>
        <w:fldChar w:fldCharType="end"/>
      </w:r>
      <w: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5"/>
        <w:gridCol w:w="543"/>
      </w:tblGrid>
      <w:tr w:rsidR="000F16EB" w14:paraId="22C45185" w14:textId="77777777" w:rsidTr="00A7521D">
        <w:tc>
          <w:tcPr>
            <w:tcW w:w="7655" w:type="dxa"/>
          </w:tcPr>
          <w:p w14:paraId="1AFAFBB5" w14:textId="77777777" w:rsidR="000F16EB" w:rsidRPr="00AC69E9" w:rsidRDefault="000F16EB" w:rsidP="00A7521D">
            <w:pPr>
              <w:keepNext/>
            </w:pPr>
            <m:oMathPara>
              <m:oMathParaPr>
                <m:jc m:val="left"/>
              </m:oMathParaPr>
              <m:oMath>
                <m:r>
                  <w:rPr>
                    <w:rFonts w:ascii="Cambria Math" w:hAnsi="Cambria Math"/>
                  </w:rPr>
                  <m:t>LCOH=</m:t>
                </m:r>
                <m:f>
                  <m:fPr>
                    <m:ctrlPr>
                      <w:rPr>
                        <w:rFonts w:ascii="Cambria Math" w:hAnsi="Cambria Math"/>
                        <w:i/>
                      </w:rPr>
                    </m:ctrlPr>
                  </m:fPr>
                  <m:num>
                    <m:nary>
                      <m:naryPr>
                        <m:chr m:val="∑"/>
                        <m:limLoc m:val="subSup"/>
                        <m:ctrlPr>
                          <w:rPr>
                            <w:rFonts w:ascii="Cambria Math" w:hAnsi="Cambria Math"/>
                            <w:i/>
                          </w:rPr>
                        </m:ctrlPr>
                      </m:naryPr>
                      <m:sub>
                        <m:r>
                          <w:rPr>
                            <w:rFonts w:ascii="Cambria Math" w:hAnsi="Cambria Math"/>
                          </w:rPr>
                          <m:t>t=0</m:t>
                        </m:r>
                      </m:sub>
                      <m:sup>
                        <m:r>
                          <w:rPr>
                            <w:rFonts w:ascii="Cambria Math" w:hAnsi="Cambria Math"/>
                          </w:rPr>
                          <m:t>T</m:t>
                        </m:r>
                      </m:sup>
                      <m:e>
                        <m:d>
                          <m:dPr>
                            <m:ctrlPr>
                              <w:rPr>
                                <w:rFonts w:ascii="Cambria Math" w:hAnsi="Cambria Math"/>
                                <w:i/>
                              </w:rPr>
                            </m:ctrlPr>
                          </m:dPr>
                          <m:e>
                            <m:sSub>
                              <m:sSubPr>
                                <m:ctrlPr>
                                  <w:rPr>
                                    <w:rFonts w:ascii="Cambria Math" w:hAnsi="Cambria Math"/>
                                    <w:i/>
                                  </w:rPr>
                                </m:ctrlPr>
                              </m:sSubPr>
                              <m:e>
                                <m:r>
                                  <w:rPr>
                                    <w:rFonts w:ascii="Cambria Math" w:hAnsi="Cambria Math"/>
                                  </w:rPr>
                                  <m:t>C</m:t>
                                </m:r>
                              </m:e>
                              <m:sub>
                                <m:r>
                                  <w:rPr>
                                    <w:rFonts w:ascii="Cambria Math" w:hAnsi="Cambria Math"/>
                                  </w:rPr>
                                  <m:t>t</m:t>
                                </m:r>
                              </m:sub>
                            </m:sSub>
                            <m:r>
                              <w:rPr>
                                <w:rFonts w:ascii="Cambria Math" w:hAnsi="Cambria Math"/>
                              </w:rPr>
                              <m:t>+</m:t>
                            </m:r>
                            <m:sSub>
                              <m:sSubPr>
                                <m:ctrlPr>
                                  <w:rPr>
                                    <w:rFonts w:ascii="Cambria Math" w:hAnsi="Cambria Math"/>
                                    <w:i/>
                                  </w:rPr>
                                </m:ctrlPr>
                              </m:sSubPr>
                              <m:e>
                                <m:r>
                                  <w:rPr>
                                    <w:rFonts w:ascii="Cambria Math" w:hAnsi="Cambria Math"/>
                                  </w:rPr>
                                  <m:t>M</m:t>
                                </m:r>
                              </m:e>
                              <m:sub>
                                <m:r>
                                  <w:rPr>
                                    <w:rFonts w:ascii="Cambria Math" w:hAnsi="Cambria Math"/>
                                  </w:rPr>
                                  <m:t>t</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t</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t</m:t>
                                </m:r>
                              </m:sub>
                            </m:sSub>
                          </m:e>
                        </m:d>
                        <m:r>
                          <w:rPr>
                            <w:rFonts w:ascii="Cambria Math" w:hAnsi="Cambria Math"/>
                          </w:rPr>
                          <m:t>.</m:t>
                        </m:r>
                        <m:sSup>
                          <m:sSupPr>
                            <m:ctrlPr>
                              <w:rPr>
                                <w:rFonts w:ascii="Cambria Math" w:hAnsi="Cambria Math"/>
                                <w:i/>
                              </w:rPr>
                            </m:ctrlPr>
                          </m:sSupPr>
                          <m:e>
                            <m:d>
                              <m:dPr>
                                <m:ctrlPr>
                                  <w:rPr>
                                    <w:rFonts w:ascii="Cambria Math" w:hAnsi="Cambria Math"/>
                                    <w:i/>
                                  </w:rPr>
                                </m:ctrlPr>
                              </m:dPr>
                              <m:e>
                                <m:r>
                                  <w:rPr>
                                    <w:rFonts w:ascii="Cambria Math" w:hAnsi="Cambria Math"/>
                                  </w:rPr>
                                  <m:t>1+r</m:t>
                                </m:r>
                              </m:e>
                            </m:d>
                          </m:e>
                          <m:sup>
                            <m:r>
                              <w:rPr>
                                <w:rFonts w:ascii="Cambria Math" w:hAnsi="Cambria Math"/>
                              </w:rPr>
                              <m:t>-t</m:t>
                            </m:r>
                          </m:sup>
                        </m:sSup>
                      </m:e>
                    </m:nary>
                  </m:num>
                  <m:den>
                    <m:nary>
                      <m:naryPr>
                        <m:chr m:val="∑"/>
                        <m:limLoc m:val="subSup"/>
                        <m:ctrlPr>
                          <w:rPr>
                            <w:rFonts w:ascii="Cambria Math" w:hAnsi="Cambria Math"/>
                            <w:i/>
                          </w:rPr>
                        </m:ctrlPr>
                      </m:naryPr>
                      <m:sub>
                        <m:r>
                          <w:rPr>
                            <w:rFonts w:ascii="Cambria Math" w:hAnsi="Cambria Math"/>
                          </w:rPr>
                          <m:t>t=0</m:t>
                        </m:r>
                      </m:sub>
                      <m:sup>
                        <m:r>
                          <w:rPr>
                            <w:rFonts w:ascii="Cambria Math" w:hAnsi="Cambria Math"/>
                          </w:rPr>
                          <m:t>T</m:t>
                        </m:r>
                      </m:sup>
                      <m:e>
                        <m:sSub>
                          <m:sSubPr>
                            <m:ctrlPr>
                              <w:rPr>
                                <w:rFonts w:ascii="Cambria Math" w:hAnsi="Cambria Math"/>
                                <w:i/>
                              </w:rPr>
                            </m:ctrlPr>
                          </m:sSubPr>
                          <m:e>
                            <m:r>
                              <w:rPr>
                                <w:rFonts w:ascii="Cambria Math" w:hAnsi="Cambria Math"/>
                              </w:rPr>
                              <m:t>Q</m:t>
                            </m:r>
                          </m:e>
                          <m:sub>
                            <m:r>
                              <w:rPr>
                                <w:rFonts w:ascii="Cambria Math" w:hAnsi="Cambria Math"/>
                              </w:rPr>
                              <m:t>t</m:t>
                            </m:r>
                          </m:sub>
                        </m:sSub>
                        <m:r>
                          <w:rPr>
                            <w:rFonts w:ascii="Cambria Math" w:hAnsi="Cambria Math"/>
                          </w:rPr>
                          <m:t>.</m:t>
                        </m:r>
                        <m:sSup>
                          <m:sSupPr>
                            <m:ctrlPr>
                              <w:rPr>
                                <w:rFonts w:ascii="Cambria Math" w:hAnsi="Cambria Math"/>
                                <w:i/>
                              </w:rPr>
                            </m:ctrlPr>
                          </m:sSupPr>
                          <m:e>
                            <m:d>
                              <m:dPr>
                                <m:ctrlPr>
                                  <w:rPr>
                                    <w:rFonts w:ascii="Cambria Math" w:hAnsi="Cambria Math"/>
                                    <w:i/>
                                  </w:rPr>
                                </m:ctrlPr>
                              </m:dPr>
                              <m:e>
                                <m:r>
                                  <w:rPr>
                                    <w:rFonts w:ascii="Cambria Math" w:hAnsi="Cambria Math"/>
                                  </w:rPr>
                                  <m:t>1+r</m:t>
                                </m:r>
                              </m:e>
                            </m:d>
                          </m:e>
                          <m:sup>
                            <m:r>
                              <w:rPr>
                                <w:rFonts w:ascii="Cambria Math" w:hAnsi="Cambria Math"/>
                              </w:rPr>
                              <m:t>-t</m:t>
                            </m:r>
                          </m:sup>
                        </m:sSup>
                      </m:e>
                    </m:nary>
                  </m:den>
                </m:f>
                <m:r>
                  <w:rPr>
                    <w:rFonts w:ascii="Cambria Math" w:hAnsi="Cambria Math"/>
                  </w:rPr>
                  <m:t>.100</m:t>
                </m:r>
              </m:oMath>
            </m:oMathPara>
          </w:p>
        </w:tc>
        <w:bookmarkStart w:id="280" w:name="_Ref531101238"/>
        <w:tc>
          <w:tcPr>
            <w:tcW w:w="543" w:type="dxa"/>
            <w:vAlign w:val="center"/>
          </w:tcPr>
          <w:p w14:paraId="29970C6C" w14:textId="2BF77DB3" w:rsidR="000F16EB" w:rsidRPr="00F029E0" w:rsidRDefault="000F16EB" w:rsidP="00A7521D">
            <w:pPr>
              <w:pStyle w:val="Caption"/>
              <w:jc w:val="right"/>
              <w:rPr>
                <w:b w:val="0"/>
              </w:rPr>
            </w:pPr>
            <w:r>
              <w:fldChar w:fldCharType="begin"/>
            </w:r>
            <w:r>
              <w:instrText xml:space="preserve"> STYLEREF 1 \s </w:instrText>
            </w:r>
            <w:r>
              <w:fldChar w:fldCharType="separate"/>
            </w:r>
            <w:r w:rsidR="00CB7456">
              <w:rPr>
                <w:noProof/>
              </w:rPr>
              <w:t>2</w:t>
            </w:r>
            <w:r>
              <w:fldChar w:fldCharType="end"/>
            </w:r>
            <w:r>
              <w:t>.</w:t>
            </w:r>
            <w:r>
              <w:rPr>
                <w:noProof/>
              </w:rPr>
              <w:fldChar w:fldCharType="begin"/>
            </w:r>
            <w:r>
              <w:rPr>
                <w:noProof/>
              </w:rPr>
              <w:instrText xml:space="preserve"> SEQ Equation \* ARABIC \s 1 </w:instrText>
            </w:r>
            <w:r>
              <w:rPr>
                <w:noProof/>
              </w:rPr>
              <w:fldChar w:fldCharType="separate"/>
            </w:r>
            <w:r w:rsidR="00CB7456">
              <w:rPr>
                <w:noProof/>
              </w:rPr>
              <w:t>9</w:t>
            </w:r>
            <w:r>
              <w:rPr>
                <w:noProof/>
              </w:rPr>
              <w:fldChar w:fldCharType="end"/>
            </w:r>
            <w:bookmarkEnd w:id="280"/>
          </w:p>
        </w:tc>
      </w:tr>
    </w:tbl>
    <w:p w14:paraId="60781D54" w14:textId="77777777" w:rsidR="000F16EB" w:rsidRDefault="000F16EB" w:rsidP="00196CD6">
      <w:pPr>
        <w:pStyle w:val="NoSpacing"/>
      </w:pPr>
    </w:p>
    <w:p w14:paraId="7B09FA53" w14:textId="77777777" w:rsidR="000F16EB" w:rsidRDefault="00C73E04" w:rsidP="000F16EB">
      <w:pPr>
        <w:pStyle w:val="NoSpacing"/>
      </w:pPr>
      <m:oMath>
        <m:sSub>
          <m:sSubPr>
            <m:ctrlPr>
              <w:rPr>
                <w:rFonts w:ascii="Cambria Math" w:hAnsi="Cambria Math"/>
                <w:i/>
              </w:rPr>
            </m:ctrlPr>
          </m:sSubPr>
          <m:e>
            <m:r>
              <w:rPr>
                <w:rFonts w:ascii="Cambria Math" w:hAnsi="Cambria Math"/>
              </w:rPr>
              <m:t>F</m:t>
            </m:r>
          </m:e>
          <m:sub>
            <m:r>
              <w:rPr>
                <w:rFonts w:ascii="Cambria Math" w:hAnsi="Cambria Math"/>
              </w:rPr>
              <m:t>t</m:t>
            </m:r>
          </m:sub>
        </m:sSub>
      </m:oMath>
      <w:r w:rsidR="000F16EB">
        <w:t xml:space="preserve"> </w:t>
      </w:r>
      <w:proofErr w:type="gramStart"/>
      <w:r w:rsidR="000F16EB">
        <w:t>is</w:t>
      </w:r>
      <w:proofErr w:type="gramEnd"/>
      <w:r w:rsidR="000F16EB">
        <w:t xml:space="preserve"> the operation costs in</w:t>
      </w:r>
      <w:r w:rsidR="000F16EB" w:rsidRPr="00D8244A">
        <w:t xml:space="preserve"> </w:t>
      </w:r>
      <w:r w:rsidR="000F16EB">
        <w:t xml:space="preserve">year, </w:t>
      </w:r>
      <w:r w:rsidR="000F16EB">
        <w:rPr>
          <w:i/>
        </w:rPr>
        <w:t>t</w:t>
      </w:r>
      <w:r w:rsidR="000F16EB">
        <w:t>,</w:t>
      </w:r>
    </w:p>
    <w:p w14:paraId="48D5480D" w14:textId="70EB0C6A" w:rsidR="000F16EB" w:rsidRDefault="00C73E04" w:rsidP="000F16EB">
      <m:oMath>
        <m:sSub>
          <m:sSubPr>
            <m:ctrlPr>
              <w:rPr>
                <w:rFonts w:ascii="Cambria Math" w:hAnsi="Cambria Math"/>
                <w:i/>
              </w:rPr>
            </m:ctrlPr>
          </m:sSubPr>
          <m:e>
            <m:r>
              <w:rPr>
                <w:rFonts w:ascii="Cambria Math" w:hAnsi="Cambria Math"/>
              </w:rPr>
              <m:t>R</m:t>
            </m:r>
          </m:e>
          <m:sub>
            <m:r>
              <w:rPr>
                <w:rFonts w:ascii="Cambria Math" w:hAnsi="Cambria Math"/>
              </w:rPr>
              <m:t>t</m:t>
            </m:r>
          </m:sub>
        </m:sSub>
      </m:oMath>
      <w:r w:rsidR="000F16EB">
        <w:t xml:space="preserve"> is the revenue in</w:t>
      </w:r>
      <w:r w:rsidR="000F16EB" w:rsidRPr="00D8244A">
        <w:t xml:space="preserve"> </w:t>
      </w:r>
      <w:r w:rsidR="000F16EB">
        <w:t xml:space="preserve">year, </w:t>
      </w:r>
      <w:r w:rsidR="000F16EB">
        <w:rPr>
          <w:i/>
        </w:rPr>
        <w:t>t</w:t>
      </w:r>
      <w:r w:rsidR="000F16EB">
        <w:t>.</w:t>
      </w:r>
    </w:p>
    <w:p w14:paraId="044837D2" w14:textId="743F726B" w:rsidR="00537936" w:rsidRPr="00D8244A" w:rsidRDefault="00537936" w:rsidP="000F16EB">
      <w:pPr>
        <w:rPr>
          <w:b/>
        </w:rPr>
      </w:pPr>
      <w:r>
        <w:t xml:space="preserve">It is worth noting that Equation </w:t>
      </w:r>
      <w:r>
        <w:fldChar w:fldCharType="begin"/>
      </w:r>
      <w:r>
        <w:instrText xml:space="preserve"> REF _Ref531101174 \h </w:instrText>
      </w:r>
      <w:r>
        <w:fldChar w:fldCharType="separate"/>
      </w:r>
      <w:r w:rsidR="00CB7456">
        <w:rPr>
          <w:noProof/>
        </w:rPr>
        <w:t>2</w:t>
      </w:r>
      <w:r w:rsidR="00CB7456">
        <w:t>.</w:t>
      </w:r>
      <w:r w:rsidR="00CB7456">
        <w:rPr>
          <w:noProof/>
        </w:rPr>
        <w:t>8</w:t>
      </w:r>
      <w:r>
        <w:fldChar w:fldCharType="end"/>
      </w:r>
      <w:r>
        <w:t xml:space="preserve"> and Equation </w:t>
      </w:r>
      <w:r>
        <w:fldChar w:fldCharType="begin"/>
      </w:r>
      <w:r>
        <w:instrText xml:space="preserve"> REF _Ref531101238 \h </w:instrText>
      </w:r>
      <w:r>
        <w:fldChar w:fldCharType="separate"/>
      </w:r>
      <w:r w:rsidR="00CB7456">
        <w:rPr>
          <w:noProof/>
        </w:rPr>
        <w:t>2</w:t>
      </w:r>
      <w:r w:rsidR="00CB7456">
        <w:t>.</w:t>
      </w:r>
      <w:r w:rsidR="00CB7456">
        <w:rPr>
          <w:noProof/>
        </w:rPr>
        <w:t>9</w:t>
      </w:r>
      <w:r>
        <w:fldChar w:fldCharType="end"/>
      </w:r>
      <w:r>
        <w:t xml:space="preserve"> are from different sources, explaining why one considers operation costs and the other doesn’t.</w:t>
      </w:r>
    </w:p>
    <w:p w14:paraId="3939E4FA" w14:textId="77777777" w:rsidR="000F16EB" w:rsidRDefault="000F16EB" w:rsidP="000F16EB">
      <w:pPr>
        <w:pStyle w:val="Heading6"/>
      </w:pPr>
      <w:r>
        <w:t>Primary Energy Savings</w:t>
      </w:r>
    </w:p>
    <w:p w14:paraId="7D1224E1" w14:textId="1CD7CD5E" w:rsidR="000F16EB" w:rsidRDefault="000F16EB" w:rsidP="000F16EB">
      <w:r>
        <w:t xml:space="preserve">It is possible to run a techno-economic optimisation based on the primary energy savings (PES). PES calculations need a reference technology as a basis of comparison, in the case of DH the reference technology can be the incumbent heating system </w:t>
      </w:r>
      <w:r>
        <w:fldChar w:fldCharType="begin" w:fldLock="1"/>
      </w:r>
      <w:r w:rsidR="002A6A73">
        <w:instrText>ADDIN CSL_CITATION {"citationItems":[{"id":"ITEM-1","itemData":{"DOI":"10.1016/j.energy.2013.02.034","ISBN":"03605442","ISSN":"03605442","abstract":"Domestic heating represents the most dominant energy function in Dutch households nowadays. Using district heat from CHP (combined heat and power) by means of a NGCC (natural gas-fired combined cycle) plants is generally acknowledged as an effective option to reduce primary energy consumption for heating. However, methods to calculate energy savings from CHP differ widely. This paper compares a number of different methods, including the method from the EU CHP Directive, to estimate primary energy savings in comparison with the typically used domestic gas-fired condensing boiler. Real hourly CHP plant performance data is used. An estimation of the CO2mitigation cost of delivering district heat to Dutch dwellings is made. We find that supplying dwellings with district heat from an NGCC-CHP saves energy, regardless of the calculation method and for a rather wide range of reference efficiencies. CO2mitigation costs are acceptable from a social perspective (at discount rates up to 4%, excluding fuel taxes) and negative from a private perspective (at discount rates up to 10%, including fuel taxes). © 2013 Elsevier Ltd.","author":[{"dropping-particle":"","family":"Klaassen","given":"R. E.","non-dropping-particle":"","parse-names":false,"suffix":""},{"dropping-particle":"","family":"Patel","given":"M. K.","non-dropping-particle":"","parse-names":false,"suffix":""}],"container-title":"Energy","id":"ITEM-1","issued":{"date-parts":[["2013"]]},"page":"63-73","publisher":"Elsevier Ltd","title":"District heating in the Netherlands today: A techno-economic assessment for NGCC-CHP (Natural Gas Combined Cycle combined heat and power)","type":"article-journal","volume":"54"},"uris":["http://www.mendeley.com/documents/?uuid=2832840b-8a50-40c4-a2ee-55c8f41568b6"]}],"mendeley":{"formattedCitation":"(Klaassen and Patel, 2013)","plainTextFormattedCitation":"(Klaassen and Patel, 2013)","previouslyFormattedCitation":"(Klaassen and Patel, 2013)"},"properties":{"noteIndex":0},"schema":"https://github.com/citation-style-language/schema/raw/master/csl-citation.json"}</w:instrText>
      </w:r>
      <w:r>
        <w:fldChar w:fldCharType="separate"/>
      </w:r>
      <w:r w:rsidR="002A6A73" w:rsidRPr="002A6A73">
        <w:rPr>
          <w:noProof/>
        </w:rPr>
        <w:t>(Klaassen and Patel, 2013)</w:t>
      </w:r>
      <w:r>
        <w:fldChar w:fldCharType="end"/>
      </w:r>
      <w:r>
        <w:t xml:space="preserve">. The PES </w:t>
      </w:r>
      <w:proofErr w:type="gramStart"/>
      <w:r w:rsidR="0022640E">
        <w:t>we</w:t>
      </w:r>
      <w:r>
        <w:t>re</w:t>
      </w:r>
      <w:proofErr w:type="gramEnd"/>
      <w:r>
        <w:t xml:space="preserve"> calculated based on the primary energy usage of the system in question compared to the primary energy usage of a reference technology. </w:t>
      </w:r>
      <w:r w:rsidRPr="002B5839">
        <w:rPr>
          <w:noProof/>
        </w:rPr>
        <w:t xml:space="preserve">Klaassen </w:t>
      </w:r>
      <w:r>
        <w:t xml:space="preserve">and Patel used a PES based techno-economic optimisation to assess the viability of a natural gas combined cycle CHP unit. </w:t>
      </w:r>
    </w:p>
    <w:p w14:paraId="3C1DD8AE" w14:textId="77777777" w:rsidR="000F16EB" w:rsidRDefault="000F16EB" w:rsidP="000F16EB">
      <w:pPr>
        <w:pStyle w:val="Heading6"/>
      </w:pPr>
      <w:r>
        <w:lastRenderedPageBreak/>
        <w:t>Mixed Integer Linear Programming</w:t>
      </w:r>
    </w:p>
    <w:p w14:paraId="600E584F" w14:textId="264755D3" w:rsidR="000F16EB" w:rsidRDefault="000F16EB" w:rsidP="000F16EB">
      <w:r>
        <w:t xml:space="preserve">A common method for techno-economic optimisation is MILP. Good </w:t>
      </w:r>
      <w:r w:rsidRPr="00FF4B5D">
        <w:rPr>
          <w:i/>
        </w:rPr>
        <w:t>et al</w:t>
      </w:r>
      <w:r>
        <w:t>. ran a techno</w:t>
      </w:r>
      <w:r w:rsidR="00FF4B5D">
        <w:noBreakHyphen/>
      </w:r>
      <w:r>
        <w:t>economic optimisation based on MILP for a DHN supplied by a CHP unit</w:t>
      </w:r>
      <w:r w:rsidR="00FF4B5D">
        <w:t xml:space="preserve"> </w:t>
      </w:r>
      <w:r w:rsidR="00FF4B5D">
        <w:fldChar w:fldCharType="begin" w:fldLock="1"/>
      </w:r>
      <w:r w:rsidR="00FF4B5D">
        <w:instrText>ADDIN CSL_CITATION {"citationItems":[{"id":"ITEM-1","itemData":{"DOI":"10.1109/PTC.2017.7980906","ISBN":"978-1-5090-4237-1","abstract":"—This paper presents a flexible, multi-energy district/community optimization model which can consider multiple energy service demands (hot water, base electricity, space heating/cooling), thermal and electrical energy storage, and solar photo-voltaic generation. The formulation can model various levels of virtual and physical aggregation and accommodate various different pricing structures (on energy and capacity). The model is used to demonstrate how thermal and electrical storage can alleviate network constraints, and how various commercial arrangements for relieving these constraints are effective under different aggregation options. Peak demand, annual cash flow (by component) and measures of energy independence are presented as assessment metrics.","author":[{"dropping-particle":"","family":"Good","given":"Nicholas","non-dropping-particle":"","parse-names":false,"suffix":""},{"dropping-particle":"","family":"Mancarella","given":"Pierluigi","non-dropping-particle":"","parse-names":false,"suffix":""},{"dropping-particle":"","family":"Lintern","given":"Kerry","non-dropping-particle":"","parse-names":false,"suffix":""}],"container-title":"2017 IEEE Manchester PowerTech","id":"ITEM-1","issued":{"date-parts":[["2017"]]},"page":"1-6","publisher":"IEEE","publisher-place":"Manchester, England","title":"Techno-economic assessment of community energy solutions to network capacity issues","type":"paper-conference"},"uris":["http://www.mendeley.com/documents/?uuid=6a2c551e-24e7-4d62-ad94-c7fd6fdffdd9"]}],"mendeley":{"formattedCitation":"(Good &lt;i&gt;et al.&lt;/i&gt;, 2017)","plainTextFormattedCitation":"(Good et al., 2017)","previouslyFormattedCitation":"(Good &lt;i&gt;et al.&lt;/i&gt;, 2017)"},"properties":{"noteIndex":0},"schema":"https://github.com/citation-style-language/schema/raw/master/csl-citation.json"}</w:instrText>
      </w:r>
      <w:r w:rsidR="00FF4B5D">
        <w:fldChar w:fldCharType="separate"/>
      </w:r>
      <w:r w:rsidR="00FF4B5D" w:rsidRPr="005F544E">
        <w:rPr>
          <w:noProof/>
        </w:rPr>
        <w:t xml:space="preserve">(Good </w:t>
      </w:r>
      <w:r w:rsidR="00FF4B5D" w:rsidRPr="005F544E">
        <w:rPr>
          <w:i/>
          <w:noProof/>
        </w:rPr>
        <w:t>et al.</w:t>
      </w:r>
      <w:r w:rsidR="00FF4B5D" w:rsidRPr="005F544E">
        <w:rPr>
          <w:noProof/>
        </w:rPr>
        <w:t>, 2017)</w:t>
      </w:r>
      <w:r w:rsidR="00FF4B5D">
        <w:fldChar w:fldCharType="end"/>
      </w:r>
      <w:r>
        <w:t>. The MILP ran energy balances over all the individual components with a series of limits applied. The limits were used to ensure that process units did not simultaneously heat and cool, the TES levels did not exceed their capacity, and the thermal comfort in the buildings stayed within the set levels.</w:t>
      </w:r>
      <w:r w:rsidRPr="000B2499">
        <w:t xml:space="preserve"> </w:t>
      </w:r>
      <w:r w:rsidRPr="002B5839">
        <w:rPr>
          <w:noProof/>
        </w:rPr>
        <w:t xml:space="preserve">Capuder </w:t>
      </w:r>
      <w:r>
        <w:t xml:space="preserve">and </w:t>
      </w:r>
      <w:r w:rsidRPr="002B5839">
        <w:rPr>
          <w:noProof/>
        </w:rPr>
        <w:t xml:space="preserve">Mancarella </w:t>
      </w:r>
      <w:r>
        <w:t>ran a techno</w:t>
      </w:r>
      <w:r>
        <w:noBreakHyphen/>
        <w:t>economic optimisation based on MILP for different types of distributed multi</w:t>
      </w:r>
      <w:r>
        <w:noBreakHyphen/>
        <w:t>generation units</w:t>
      </w:r>
      <w:r w:rsidR="00FF4B5D">
        <w:t xml:space="preserve"> </w:t>
      </w:r>
      <w:r w:rsidR="00FF4B5D">
        <w:fldChar w:fldCharType="begin" w:fldLock="1"/>
      </w:r>
      <w:r w:rsidR="00FF4B5D">
        <w:instrText>ADDIN CSL_CITATION {"citationItems":[{"id":"ITEM-1","itemData":{"DOI":"10.1016/j.energy.2014.04.097","ISBN":"0360-5442","ISSN":"03605442","abstract":"It is arguable how much flexibility and efficiency from coupling different energy vectors through available technologies is exploited in current energy systems. In particular, in spite of the growing interest for the multi-energy concept, there are very few models capable of clearly explaining the benefits that can be derived from integration of complementary technologies such as cogeneration, electric heat pumps and thermal storage. In this light, this paper introduces a comprehensive analysis framework and a relevant unified and synthetic Mixed-Integer Linear Programming optimization model suitable for evaluating the techno-economic and environmental characteristics of different Distributed Multi-Generation (DMG) options. Each option's operational performance and flexibility to respond to electricity market signals are analysed in detail and assessed against the needed investment costs in different contexts. Numerical case studies focus on highlighting the flexibility benefits that can be gained in economic terms from multi-energy system integration in district heating (DH) applications. Detailed sensitivity analyses of different DMG configurations also clearly show what economic as well as environmental performance (at both global and local levels) can be expected in current and future scenarios when coupling different energy vectors and complementary technologies in a multi-energy context. © 2014 Elsevier Ltd.","author":[{"dropping-particle":"","family":"Capuder","given":"Tomislav","non-dropping-particle":"","parse-names":false,"suffix":""},{"dropping-particle":"","family":"Mancarella","given":"Pierluigi","non-dropping-particle":"","parse-names":false,"suffix":""}],"container-title":"Energy","id":"ITEM-1","issued":{"date-parts":[["2014"]]},"page":"516-533","publisher":"Elsevier Ltd","title":"Techno-economic and environmental modelling and optimization of flexible distributed multi-generation options","type":"article-journal","volume":"71"},"uris":["http://www.mendeley.com/documents/?uuid=ed525e20-c323-4a69-a626-98974b6bfd28"]}],"mendeley":{"formattedCitation":"(Capuder and Mancarella, 2014)","plainTextFormattedCitation":"(Capuder and Mancarella, 2014)","previouslyFormattedCitation":"(Capuder and Mancarella, 2014)"},"properties":{"noteIndex":0},"schema":"https://github.com/citation-style-language/schema/raw/master/csl-citation.json"}</w:instrText>
      </w:r>
      <w:r w:rsidR="00FF4B5D">
        <w:fldChar w:fldCharType="separate"/>
      </w:r>
      <w:r w:rsidR="00FF4B5D" w:rsidRPr="002A6A73">
        <w:rPr>
          <w:noProof/>
        </w:rPr>
        <w:t>(Capuder and Mancarella, 2014)</w:t>
      </w:r>
      <w:r w:rsidR="00FF4B5D">
        <w:fldChar w:fldCharType="end"/>
      </w:r>
      <w:r>
        <w:t>. For each unit, the optimisation aimed to minimise the costs of buying the heat and electricity, minus the sale cost of the generated electricity.</w:t>
      </w:r>
    </w:p>
    <w:p w14:paraId="215ECB62" w14:textId="77777777" w:rsidR="000F16EB" w:rsidRDefault="000F16EB" w:rsidP="000F16EB">
      <w:pPr>
        <w:pStyle w:val="Heading6"/>
      </w:pPr>
      <w:r>
        <w:t>Simulation Software</w:t>
      </w:r>
    </w:p>
    <w:p w14:paraId="4CAD2BAB" w14:textId="489DF6A2" w:rsidR="000F16EB" w:rsidRDefault="000F16EB" w:rsidP="000F16EB">
      <w:r>
        <w:t xml:space="preserve">Simulation software, such as </w:t>
      </w:r>
      <w:proofErr w:type="spellStart"/>
      <w:r>
        <w:t>EnergyPRO</w:t>
      </w:r>
      <w:proofErr w:type="spellEnd"/>
      <w:r>
        <w:t>, has an inbuilt capability for solving techno</w:t>
      </w:r>
      <w:r>
        <w:noBreakHyphen/>
        <w:t>economic optimisation problems. Rudra and Rosendahl used the techno</w:t>
      </w:r>
      <w:r>
        <w:noBreakHyphen/>
        <w:t xml:space="preserve">economic capability of </w:t>
      </w:r>
      <w:proofErr w:type="spellStart"/>
      <w:r>
        <w:t>EnergyPRO</w:t>
      </w:r>
      <w:proofErr w:type="spellEnd"/>
      <w:r>
        <w:t xml:space="preserve"> to analyse the use of renewable resources in a rural DHN</w:t>
      </w:r>
      <w:r w:rsidR="00FF4B5D">
        <w:t xml:space="preserve"> </w:t>
      </w:r>
      <w:r w:rsidR="00FF4B5D">
        <w:fldChar w:fldCharType="begin" w:fldLock="1"/>
      </w:r>
      <w:r w:rsidR="00FF4B5D">
        <w:instrText>ADDIN CSL_CITATION {"citationItems":[{"id":"ITEM-1","itemData":{"DOI":"10.1007/s12053-016-9475-2","ISBN":"9780791854686","ISSN":"15706478","abstract":"Brovst is a small district in Denmark. Based on the case of Brovst, this paper analyses the role of district heating in future Renewable Energy Systems. The present use of fossil fuels in the Brovst DHP (district heating plant) represents an increasing environmental and climate-related load. So, an investigation has been made to reduce the use of fossil fuels for district heating system and make use of the local renewable resources (Biogas, Solar and Geothermal) for district heating purpose. In this article, the techno-economic assessment is achieved through the development of a suite of models that are combined to give cost and performance data for this district heating system. Different local fuels have been analyzed for different perspectives to find the way to optimize the whole integrated system in accordance with fuel availability and cost. This paper represents the energy system analysis mode energyPRO which has been used to analyses the integration of large scale energy system into the domestic district heating system. A model of the current work on the basis of information from the plant (using fossil fuel) is established and named as a reference model. Then different solutions are calculated for various local fuels in energyPRO. A comparison has been made between the reference model and the basis for individual solutions. The greatest reduction in heat price is obtained by replacing one engine with a new biogas where heat production is divided by 66% of biogas, 13% natural gas engines and 21% natural gas boilers. Copyright © 2011 by ASME.","author":[{"dropping-particle":"","family":"Rudra","given":"Souman","non-dropping-particle":"","parse-names":false,"suffix":""},{"dropping-particle":"","family":"Rosendahl","given":"Lasse","non-dropping-particle":"","parse-names":false,"suffix":""}],"container-title":"Energy Efficiency","id":"ITEM-1","issue":"3","issued":{"date-parts":[["2017"]]},"page":"613-624","publisher":"Energy Efficiency","title":"Techno-economic analysis of a local district heating plant under fuel flexibility and performance","type":"article-journal","volume":"10"},"uris":["http://www.mendeley.com/documents/?uuid=1b5ed054-a3c4-481f-accd-f210b9965dc7"]}],"mendeley":{"formattedCitation":"(Rudra and Rosendahl, 2017)","plainTextFormattedCitation":"(Rudra and Rosendahl, 2017)","previouslyFormattedCitation":"(Rudra and Rosendahl, 2017)"},"properties":{"noteIndex":0},"schema":"https://github.com/citation-style-language/schema/raw/master/csl-citation.json"}</w:instrText>
      </w:r>
      <w:r w:rsidR="00FF4B5D">
        <w:fldChar w:fldCharType="separate"/>
      </w:r>
      <w:r w:rsidR="00FF4B5D" w:rsidRPr="002A6A73">
        <w:rPr>
          <w:noProof/>
        </w:rPr>
        <w:t>(Rudra and Rosendahl, 2017)</w:t>
      </w:r>
      <w:r w:rsidR="00FF4B5D">
        <w:fldChar w:fldCharType="end"/>
      </w:r>
      <w:r>
        <w:t xml:space="preserve">. </w:t>
      </w:r>
      <w:proofErr w:type="spellStart"/>
      <w:r>
        <w:t>EnergyPRO</w:t>
      </w:r>
      <w:proofErr w:type="spellEnd"/>
      <w:r>
        <w:t xml:space="preserve"> required inputs such as user HD profiles, equipment used, fuel and electricity tariffs, and any information on the plant control strategy. </w:t>
      </w:r>
      <w:proofErr w:type="spellStart"/>
      <w:r>
        <w:t>EnergyPRO</w:t>
      </w:r>
      <w:proofErr w:type="spellEnd"/>
      <w:r>
        <w:t xml:space="preserve"> then ran a simultaneous simulation and techno-economic optimisation prioritising the most profitable time periods such as the time period with the highest electricity tariff. Other time periods were optimised later making sure to not disturb the already planned operation.</w:t>
      </w:r>
    </w:p>
    <w:p w14:paraId="2A711A63" w14:textId="77777777" w:rsidR="000F16EB" w:rsidRDefault="000F16EB" w:rsidP="000F16EB">
      <w:pPr>
        <w:pStyle w:val="Heading6"/>
      </w:pPr>
      <w:r>
        <w:t>Industrial Models</w:t>
      </w:r>
    </w:p>
    <w:p w14:paraId="500E0495" w14:textId="0C14CC2C" w:rsidR="000F16EB" w:rsidRDefault="000F16EB" w:rsidP="000F16EB">
      <w:r>
        <w:t xml:space="preserve">Industrial companies, such as Veolia, have access to inhouse techno-economic optimisation tools which may occasionally be made available to researchers </w:t>
      </w:r>
      <w:r>
        <w:fldChar w:fldCharType="begin" w:fldLock="1"/>
      </w:r>
      <w:r w:rsidR="002A6A73">
        <w:instrText>ADDIN CSL_CITATION {"citationItems":[{"id":"ITEM-1","itemData":{"DOI":"10.1016/j.energy.2018.03.027","ISSN":"03605442","abstract":"Due to changing weather conditions caused by the global warming and building renovation measures triggered by new building energy efficiency policies, building heat demand in the future is likely to decrease. This effect could consequently impact the techno-economic parameters, feasibility and environmental performance of district heating (DH) systems. The main goal of this study is to evaluate the impact of global warming and building renovation on operational (heat generation) and economic parameters of district heating systems. As a case study, a prototypical district was created based on the district of St. Félix, which is located in Nantes (France). Weather and building renovation scenarios were developed for the 2010–2050 period, with a ten-year time step. Heat demand for all scenarios was calculated with a model based on thermo-electrical analogy, previously developed and validated by the authors, while the network techno-economic parameters were calculated using a tool developed by Veolia Research and Innovation for the internal corporate use. The results indicated that the decrease of heat demand proved to be the highest after the first year of renovation (2020), decreasing by 52% of the reference value (2010). Accordingly, DH linear heat density decreases bellow the profitability minimum for traditional district heating networks. The participation of natural gas peak boiler in heat production increases over the studied period, while the participation of base load biomass boiler decreases, due to the fact that the number of hours with heat demand bellow the technical limit of the base load boiler was increasing. Consequently, CO2emission levels increased. Heat production costs increased, with higher increase rate for the scenario where the new district heating network is planned, compared to the scenario with an existing network.","author":[{"dropping-particle":"","family":"Andrić","given":"I.","non-dropping-particle":"","parse-names":false,"suffix":""},{"dropping-particle":"","family":"Fournier","given":"J.","non-dropping-particle":"","parse-names":false,"suffix":""},{"dropping-particle":"","family":"Lacarrière","given":"B.","non-dropping-particle":"","parse-names":false,"suffix":""},{"dropping-particle":"","family":"Corre","given":"O.","non-dropping-particle":"Le","parse-names":false,"suffix":""},{"dropping-particle":"","family":"Ferrão","given":"P.","non-dropping-particle":"","parse-names":false,"suffix":""}],"container-title":"Energy","id":"ITEM-1","issued":{"date-parts":[["2018"]]},"page":"926-937","title":"The impact of global warming and building renovation measures on district heating system techno-economic parameters","type":"article-journal","volume":"150"},"uris":["http://www.mendeley.com/documents/?uuid=a6466dbc-b5da-4428-9621-6f1fd7c9c0ba"]}],"mendeley":{"formattedCitation":"(Andrić &lt;i&gt;et al.&lt;/i&gt;, 2018)","plainTextFormattedCitation":"(Andrić et al., 2018)","previouslyFormattedCitation":"(Andrić &lt;i&gt;et al.&lt;/i&gt;, 2018)"},"properties":{"noteIndex":0},"schema":"https://github.com/citation-style-language/schema/raw/master/csl-citation.json"}</w:instrText>
      </w:r>
      <w:r>
        <w:fldChar w:fldCharType="separate"/>
      </w:r>
      <w:r w:rsidR="002A6A73" w:rsidRPr="002A6A73">
        <w:rPr>
          <w:noProof/>
        </w:rPr>
        <w:t xml:space="preserve">(Andrić </w:t>
      </w:r>
      <w:r w:rsidR="002A6A73" w:rsidRPr="002A6A73">
        <w:rPr>
          <w:i/>
          <w:noProof/>
        </w:rPr>
        <w:t>et al.</w:t>
      </w:r>
      <w:r w:rsidR="002A6A73" w:rsidRPr="002A6A73">
        <w:rPr>
          <w:noProof/>
        </w:rPr>
        <w:t>, 2018)</w:t>
      </w:r>
      <w:r>
        <w:fldChar w:fldCharType="end"/>
      </w:r>
      <w:r>
        <w:t xml:space="preserve">. </w:t>
      </w:r>
      <w:r w:rsidRPr="002B5839">
        <w:rPr>
          <w:noProof/>
        </w:rPr>
        <w:t>Andrić</w:t>
      </w:r>
      <w:r>
        <w:t xml:space="preserve"> </w:t>
      </w:r>
      <w:r w:rsidRPr="006A7FED">
        <w:rPr>
          <w:i/>
        </w:rPr>
        <w:t>et al</w:t>
      </w:r>
      <w:r>
        <w:t>. used a techno-economic tool developed by Veolia to run a techno</w:t>
      </w:r>
      <w:r>
        <w:noBreakHyphen/>
        <w:t>economic optimisation of a DHN. The tool required a description of the case study and the HD profile as inputs, calculating the CAPEX and OPEX as well as the heat production prices.</w:t>
      </w:r>
    </w:p>
    <w:p w14:paraId="44D29FF2" w14:textId="77777777" w:rsidR="000F16EB" w:rsidRDefault="000F16EB" w:rsidP="000F16EB">
      <w:pPr>
        <w:pStyle w:val="Heading3"/>
      </w:pPr>
      <w:bookmarkStart w:id="281" w:name="_Toc522192771"/>
      <w:bookmarkStart w:id="282" w:name="_Toc525229968"/>
      <w:bookmarkStart w:id="283" w:name="_Toc529888282"/>
      <w:bookmarkStart w:id="284" w:name="_Toc7187483"/>
      <w:r>
        <w:t>Environmental Assessments of District Heating Networks</w:t>
      </w:r>
      <w:bookmarkEnd w:id="281"/>
      <w:bookmarkEnd w:id="282"/>
      <w:bookmarkEnd w:id="283"/>
      <w:bookmarkEnd w:id="284"/>
    </w:p>
    <w:p w14:paraId="5F4EDC41" w14:textId="77777777" w:rsidR="000F16EB" w:rsidRDefault="000F16EB" w:rsidP="000F16EB">
      <w:r>
        <w:t xml:space="preserve">Environmental assessments use one of many parameters to compare the environmental benefits of DH to that of the incumbent heating system. Environmental assessment is important as the primary benefit of DH is its environmental performance. Quantifying just how well DH performs environmentally is therefore paramount to assessing the success of the technology. </w:t>
      </w:r>
    </w:p>
    <w:p w14:paraId="6F64A58B" w14:textId="77777777" w:rsidR="000F16EB" w:rsidRDefault="000F16EB" w:rsidP="000F16EB">
      <w:pPr>
        <w:pStyle w:val="Heading6"/>
      </w:pPr>
      <w:r>
        <w:t>Life Cycle Assessment</w:t>
      </w:r>
    </w:p>
    <w:p w14:paraId="032FAFF9" w14:textId="7A6C6567" w:rsidR="000F16EB" w:rsidRDefault="000F16EB" w:rsidP="000F16EB">
      <w:r>
        <w:t xml:space="preserve">Life Cycle Assessment (LCA) methodology is used to quantify all of the emissions associated with the construction, operation, and decommissioning of a product or system, such as a DHN </w:t>
      </w:r>
      <w:r>
        <w:fldChar w:fldCharType="begin" w:fldLock="1"/>
      </w:r>
      <w:r w:rsidR="002A6A73">
        <w:instrText>ADDIN CSL_CITATION {"citationItems":[{"id":"ITEM-1","itemData":{"DOI":"10.1016/j.apenergy.2018.02.011","ISSN":"03062619","abstract":"District heating will play an important role for heat provision in temperate and cold climate zones in the future. However, in the context of decarbonizing the heating sector, conventional heat sources have to be replaced by renewable energies. This replacement correlates to the necessity to integrate the fluctuating energy source of solar radiation and thus requires seasonal thermal energy storage. More recently, borehole thermal energy storage systems have been integrated into such district heating concepts. Yet, the potential greenhouse gas emission reduction and the financial benefits of these innovative district heating concepts have not been assessed with respect to the environmental burden and the associated investment cost of the modernization. This study presents a comprehensive environmental and economic life cycle assessment of a fictional district heating system with varying shares of shallow to medium deep borehole thermal energy storage and alternative heat sources replacing conventional capacity. In an exemplary district heating system covering 25 GW h of annual heat demand, borehole thermal energy storage can decrease the greenhouse gas emissions of combined heat and power plants and solar thermal collectors by over 40%. Boundary conditions assumed for the development of the energy market and the existence of subsidies have a significant impact on the emission savings and the levelized cost of heat. Considering a probable increase of energy costs and a growing share of renewables in the electricity mix, a combination of solar thermal collectors and borehole thermal energy storage with a small heat and power plant is the best solution, which is economical even without subsidies. The results of the study promote the construction of medium deep borehole thermal energy storage systems that can help to increase the share of renewable energy in the heating sector at reasonable cost.","author":[{"dropping-particle":"","family":"Welsch","given":"Bastian","non-dropping-particle":"","parse-names":false,"suffix":""},{"dropping-particle":"","family":"Göllner-Völker","given":"Laura","non-dropping-particle":"","parse-names":false,"suffix":""},{"dropping-particle":"","family":"Schulte","given":"Daniel O.","non-dropping-particle":"","parse-names":false,"suffix":""},{"dropping-particle":"","family":"Bär","given":"Kristian","non-dropping-particle":"","parse-names":false,"suffix":""},{"dropping-particle":"","family":"Sass","given":"Ingo","non-dropping-particle":"","parse-names":false,"suffix":""},{"dropping-particle":"","family":"Schebek","given":"Liselotte","non-dropping-particle":"","parse-names":false,"suffix":""}],"container-title":"Applied Energy","id":"ITEM-1","issue":"February","issued":{"date-parts":[["2018"]]},"page":"73-90","publisher":"Elsevier","title":"Environmental and economic assessment of borehole thermal energy storage in district heating systems","type":"article-journal","volume":"216"},"uris":["http://www.mendeley.com/documents/?uuid=85c50b08-7dcb-4280-b99b-21ed5dcacce8"]}],"mendeley":{"formattedCitation":"(Welsch &lt;i&gt;et al.&lt;/i&gt;, 2018)","plainTextFormattedCitation":"(Welsch et al., 2018)","previouslyFormattedCitation":"(Welsch &lt;i&gt;et al.&lt;/i&gt;, 2018)"},"properties":{"noteIndex":0},"schema":"https://github.com/citation-style-language/schema/raw/master/csl-citation.json"}</w:instrText>
      </w:r>
      <w:r>
        <w:fldChar w:fldCharType="separate"/>
      </w:r>
      <w:r w:rsidR="002A6A73" w:rsidRPr="002A6A73">
        <w:rPr>
          <w:noProof/>
        </w:rPr>
        <w:t xml:space="preserve">(Welsch </w:t>
      </w:r>
      <w:r w:rsidR="002A6A73" w:rsidRPr="002A6A73">
        <w:rPr>
          <w:i/>
          <w:noProof/>
        </w:rPr>
        <w:t>et al.</w:t>
      </w:r>
      <w:r w:rsidR="002A6A73" w:rsidRPr="002A6A73">
        <w:rPr>
          <w:noProof/>
        </w:rPr>
        <w:t>, 2018)</w:t>
      </w:r>
      <w:r>
        <w:fldChar w:fldCharType="end"/>
      </w:r>
      <w:r>
        <w:t xml:space="preserve">. Generally speaking, </w:t>
      </w:r>
      <w:proofErr w:type="gramStart"/>
      <w:r>
        <w:t>a</w:t>
      </w:r>
      <w:proofErr w:type="gramEnd"/>
      <w:r>
        <w:t xml:space="preserve"> LCA runs from cradle to grave considering every possible stage of the lifecycle of the system, such as the extraction of the raw materials and the disposal of the waste and by-products. </w:t>
      </w:r>
      <w:proofErr w:type="gramStart"/>
      <w:r>
        <w:t>A</w:t>
      </w:r>
      <w:proofErr w:type="gramEnd"/>
      <w:r>
        <w:t xml:space="preserve"> LCA is comprised of four stages goal, scope, and definition; inventory analysis; impact assessment; and interpretation. The goal, scope, and definition stages define the scope of the study, the system boundary, the functional unit, the level of detail, and how the environmental burdens will be allocated. The inventory analysis compiles a database of the input and output data for the system under consideration. Doing so is an iterative process with data added and changed as more system information </w:t>
      </w:r>
      <w:r>
        <w:lastRenderedPageBreak/>
        <w:t>becomes available. The impact assessment uses the inventory analysis to evaluate the environmental impacts of the system. Finally, the interpretation summarises the LCA to draw conclusions and recommendations.</w:t>
      </w:r>
    </w:p>
    <w:p w14:paraId="577E9B47" w14:textId="583FA6A6" w:rsidR="000F16EB" w:rsidRPr="00FB5EC3" w:rsidRDefault="000F16EB" w:rsidP="000F16EB">
      <w:r>
        <w:t xml:space="preserve">Common LCA methodology can only cope with systems with a single product, such as a boiler, but cannot allocate emissions for systems with more than one product, such as a CHP unit or WHR </w:t>
      </w:r>
      <w:r>
        <w:fldChar w:fldCharType="begin" w:fldLock="1"/>
      </w:r>
      <w:r w:rsidR="002A6A73">
        <w:instrText>ADDIN CSL_CITATION {"citationItems":[{"id":"ITEM-1","itemData":{"DOI":"10.1016/j.jclepro.2006.08.025","ISSN":"09596526","author":[{"dropping-particle":"","family":"Rosen","given":"Marc A.","non-dropping-particle":"","parse-names":false,"suffix":""}],"container-title":"Journal of Cleaner Production","id":"ITEM-1","issue":"2","issued":{"date-parts":[["2008"]]},"page":"171-177","title":"Allocating carbon dioxide emissions from cogeneration systems: descriptions of selected output-based methods","type":"article-journal","volume":"16"},"uris":["http://www.mendeley.com/documents/?uuid=49aef163-fdfc-4846-8a5e-cc1a25e963fc"]}],"mendeley":{"formattedCitation":"(Rosen, 2008)","plainTextFormattedCitation":"(Rosen, 2008)","previouslyFormattedCitation":"(Rosen, 2008)"},"properties":{"noteIndex":0},"schema":"https://github.com/citation-style-language/schema/raw/master/csl-citation.json"}</w:instrText>
      </w:r>
      <w:r>
        <w:fldChar w:fldCharType="separate"/>
      </w:r>
      <w:r w:rsidR="002A6A73" w:rsidRPr="002A6A73">
        <w:rPr>
          <w:noProof/>
        </w:rPr>
        <w:t>(Rosen, 2008)</w:t>
      </w:r>
      <w:r>
        <w:fldChar w:fldCharType="end"/>
      </w:r>
      <w:r>
        <w:t xml:space="preserve">. Rosen studied the different options for allocating emissions in </w:t>
      </w:r>
      <w:proofErr w:type="gramStart"/>
      <w:r>
        <w:t>a</w:t>
      </w:r>
      <w:proofErr w:type="gramEnd"/>
      <w:r>
        <w:t xml:space="preserve"> LCA of a CHP unit. It was possible to allocate the emissions based on the energy contents of the various products, which involved a simple calculation but ignored the quality of the energy. Ignoring the quality of energy had the effect of not giving a sufficient share of emissions to the electrical products. The problem could be avoided by allocating the emissions based on the exergy content of the products. It is worth noting that, in an exergy-based allocation, the choice of reference environment can affect the results. Normal practice would be to use a reference environment similar to the real environment that the system will be located in. The allocation could also be based on the economic value of the products, the incremental fuel consumption to either the electricity or the fuel product (treating the other product as a by-product), or emissions savings.</w:t>
      </w:r>
    </w:p>
    <w:p w14:paraId="2F17D900" w14:textId="77777777" w:rsidR="000F16EB" w:rsidRDefault="000F16EB" w:rsidP="000F16EB">
      <w:pPr>
        <w:pStyle w:val="Heading6"/>
      </w:pPr>
      <w:r>
        <w:t>Primary Energy Savings</w:t>
      </w:r>
    </w:p>
    <w:p w14:paraId="40EC9630" w14:textId="373915AC" w:rsidR="000F16EB" w:rsidRDefault="000F16EB" w:rsidP="000F16EB">
      <w:r>
        <w:t xml:space="preserve">PES assessment can also be used on an environmental basis, using methodology outlined in EU </w:t>
      </w:r>
      <w:r w:rsidRPr="003D5859">
        <w:t>Directive 2004/08/EC</w:t>
      </w:r>
      <w:r>
        <w:t xml:space="preserve"> </w:t>
      </w:r>
      <w:r>
        <w:fldChar w:fldCharType="begin" w:fldLock="1"/>
      </w:r>
      <w:r w:rsidR="00FF4B5D">
        <w:instrText>ADDIN CSL_CITATION {"citationItems":[{"id":"ITEM-1","itemData":{"DOI":"10.1016/j.energy.2017.03.136","ISSN":"03605442","abstract":"The integration in a district heating network of renewable energies, waste heat or cogenerated heat is one of the key point of the 2012/27/EU Energy Efficiency Directive issued by the European Union (EU), to contribute to lower primary energy consumptions in final energy uses. The availability of an adequate set of indices that can efficaciously be used to evaluate the performance of hybrid district heating systems, in which traditional, cogenerative and renewable energy sources are integrated, becomes therefore a key aspect to assess the effectiveness of these systems. The aim of this paper is presenting a comparative analysis of different performance indices, applied to a real small-scale district heating network in operation in Turin, Italy, fed by a natural gas cogeneration plant and some boilers. All calculations are based on the experimental data of the real plant and show as the commonly employed indices for the assessment of performance of CHP units can overestimate to a great extent the real performance of the whole system, as do not take into account the heat transportation losses and the pumping electrical requirements. The results of these analyses are presented in detail in the paper.","author":[{"dropping-particle":"","family":"Badami","given":"Marco","non-dropping-particle":"","parse-names":false,"suffix":""},{"dropping-particle":"","family":"Gerboni","given":"Raffaella","non-dropping-particle":"","parse-names":false,"suffix":""},{"dropping-particle":"","family":"Portoraro","given":"Armando","non-dropping-particle":"","parse-names":false,"suffix":""}],"container-title":"Energy","id":"ITEM-1","issued":{"date-parts":[["2017"]]},"page":"697-703","publisher":"Elsevier Ltd","title":"Determination and assessment of indices for the energy performance of district heating with cogeneration plants","type":"article-journal","volume":"127"},"uris":["http://www.mendeley.com/documents/?uuid=9a1e0ff9-e8fa-48df-99ea-0a41c7b3b1db"]}],"mendeley":{"formattedCitation":"(Badami &lt;i&gt;et al.&lt;/i&gt;, 2017)","plainTextFormattedCitation":"(Badami et al., 2017)","previouslyFormattedCitation":"(Badami &lt;i&gt;et al.&lt;/i&gt;, 2017)"},"properties":{"noteIndex":0},"schema":"https://github.com/citation-style-language/schema/raw/master/csl-citation.json"}</w:instrText>
      </w:r>
      <w:r>
        <w:fldChar w:fldCharType="separate"/>
      </w:r>
      <w:r w:rsidR="005F544E" w:rsidRPr="005F544E">
        <w:rPr>
          <w:noProof/>
        </w:rPr>
        <w:t xml:space="preserve">(Badami </w:t>
      </w:r>
      <w:r w:rsidR="005F544E" w:rsidRPr="005F544E">
        <w:rPr>
          <w:i/>
          <w:noProof/>
        </w:rPr>
        <w:t>et al.</w:t>
      </w:r>
      <w:r w:rsidR="005F544E" w:rsidRPr="005F544E">
        <w:rPr>
          <w:noProof/>
        </w:rPr>
        <w:t>, 2017)</w:t>
      </w:r>
      <w:r>
        <w:fldChar w:fldCharType="end"/>
      </w:r>
      <w:r>
        <w:t xml:space="preserve">. For a CHP unit, the PES assessment is based around Equation </w:t>
      </w:r>
      <w:r>
        <w:fldChar w:fldCharType="begin"/>
      </w:r>
      <w:r>
        <w:instrText xml:space="preserve"> REF _Ref531101323 \h </w:instrText>
      </w:r>
      <w:r>
        <w:fldChar w:fldCharType="separate"/>
      </w:r>
      <w:r w:rsidR="00CB7456">
        <w:rPr>
          <w:noProof/>
        </w:rPr>
        <w:t>2</w:t>
      </w:r>
      <w:r w:rsidR="00CB7456">
        <w:t>.</w:t>
      </w:r>
      <w:r w:rsidR="00CB7456">
        <w:rPr>
          <w:noProof/>
        </w:rPr>
        <w:t>10</w:t>
      </w:r>
      <w:r>
        <w:fldChar w:fldCharType="end"/>
      </w:r>
      <w: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5"/>
        <w:gridCol w:w="543"/>
      </w:tblGrid>
      <w:tr w:rsidR="000F16EB" w14:paraId="75868B16" w14:textId="77777777" w:rsidTr="00A7521D">
        <w:tc>
          <w:tcPr>
            <w:tcW w:w="7655" w:type="dxa"/>
          </w:tcPr>
          <w:p w14:paraId="4F4A8A53" w14:textId="77777777" w:rsidR="000F16EB" w:rsidRPr="00AC69E9" w:rsidRDefault="000F16EB" w:rsidP="00A7521D">
            <w:pPr>
              <w:keepNext/>
            </w:pPr>
            <m:oMathPara>
              <m:oMathParaPr>
                <m:jc m:val="left"/>
              </m:oMathParaPr>
              <m:oMath>
                <m:r>
                  <w:rPr>
                    <w:rFonts w:ascii="Cambria Math" w:hAnsi="Cambria Math"/>
                  </w:rPr>
                  <m:t>PES=1-</m:t>
                </m:r>
                <m:f>
                  <m:fPr>
                    <m:ctrlPr>
                      <w:rPr>
                        <w:rFonts w:ascii="Cambria Math" w:hAnsi="Cambria Math"/>
                        <w:i/>
                      </w:rPr>
                    </m:ctrlPr>
                  </m:fPr>
                  <m:num>
                    <m:sSub>
                      <m:sSubPr>
                        <m:ctrlPr>
                          <w:rPr>
                            <w:rFonts w:ascii="Cambria Math" w:hAnsi="Cambria Math"/>
                            <w:i/>
                          </w:rPr>
                        </m:ctrlPr>
                      </m:sSubPr>
                      <m:e>
                        <m:r>
                          <w:rPr>
                            <w:rFonts w:ascii="Cambria Math" w:hAnsi="Cambria Math"/>
                          </w:rPr>
                          <m:t>E</m:t>
                        </m:r>
                      </m:e>
                      <m:sub>
                        <m:r>
                          <w:rPr>
                            <w:rFonts w:ascii="Cambria Math" w:hAnsi="Cambria Math"/>
                          </w:rPr>
                          <m:t>f,CHP</m:t>
                        </m:r>
                      </m:sub>
                    </m:sSub>
                  </m:num>
                  <m:den>
                    <m:f>
                      <m:fPr>
                        <m:ctrlPr>
                          <w:rPr>
                            <w:rFonts w:ascii="Cambria Math" w:hAnsi="Cambria Math"/>
                            <w:i/>
                          </w:rPr>
                        </m:ctrlPr>
                      </m:fPr>
                      <m:num>
                        <m:sSub>
                          <m:sSubPr>
                            <m:ctrlPr>
                              <w:rPr>
                                <w:rFonts w:ascii="Cambria Math" w:hAnsi="Cambria Math"/>
                                <w:i/>
                              </w:rPr>
                            </m:ctrlPr>
                          </m:sSubPr>
                          <m:e>
                            <m:r>
                              <w:rPr>
                                <w:rFonts w:ascii="Cambria Math" w:hAnsi="Cambria Math"/>
                              </w:rPr>
                              <m:t>E</m:t>
                            </m:r>
                          </m:e>
                          <m:sub>
                            <m:r>
                              <w:rPr>
                                <w:rFonts w:ascii="Cambria Math" w:hAnsi="Cambria Math"/>
                              </w:rPr>
                              <m:t>el,CHP</m:t>
                            </m:r>
                          </m:sub>
                        </m:sSub>
                      </m:num>
                      <m:den>
                        <m:sSub>
                          <m:sSubPr>
                            <m:ctrlPr>
                              <w:rPr>
                                <w:rFonts w:ascii="Cambria Math" w:hAnsi="Cambria Math"/>
                                <w:i/>
                              </w:rPr>
                            </m:ctrlPr>
                          </m:sSubPr>
                          <m:e>
                            <m:r>
                              <w:rPr>
                                <w:rFonts w:ascii="Cambria Math" w:hAnsi="Cambria Math"/>
                              </w:rPr>
                              <m:t>η</m:t>
                            </m:r>
                          </m:e>
                          <m:sub>
                            <m:r>
                              <w:rPr>
                                <w:rFonts w:ascii="Cambria Math" w:hAnsi="Cambria Math"/>
                              </w:rPr>
                              <m:t>el,s</m:t>
                            </m:r>
                          </m:sub>
                        </m:sSub>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E</m:t>
                            </m:r>
                          </m:e>
                          <m:sub>
                            <m:r>
                              <w:rPr>
                                <w:rFonts w:ascii="Cambria Math" w:hAnsi="Cambria Math"/>
                              </w:rPr>
                              <m:t>th,CHP</m:t>
                            </m:r>
                          </m:sub>
                        </m:sSub>
                      </m:num>
                      <m:den>
                        <m:sSub>
                          <m:sSubPr>
                            <m:ctrlPr>
                              <w:rPr>
                                <w:rFonts w:ascii="Cambria Math" w:hAnsi="Cambria Math"/>
                                <w:i/>
                              </w:rPr>
                            </m:ctrlPr>
                          </m:sSubPr>
                          <m:e>
                            <m:r>
                              <w:rPr>
                                <w:rFonts w:ascii="Cambria Math" w:hAnsi="Cambria Math"/>
                              </w:rPr>
                              <m:t>η</m:t>
                            </m:r>
                          </m:e>
                          <m:sub>
                            <m:r>
                              <w:rPr>
                                <w:rFonts w:ascii="Cambria Math" w:hAnsi="Cambria Math"/>
                              </w:rPr>
                              <m:t>th,s</m:t>
                            </m:r>
                          </m:sub>
                        </m:sSub>
                      </m:den>
                    </m:f>
                  </m:den>
                </m:f>
                <m:r>
                  <w:rPr>
                    <w:rFonts w:ascii="Cambria Math" w:hAnsi="Cambria Math"/>
                  </w:rPr>
                  <m:t>=1-</m:t>
                </m:r>
                <m:f>
                  <m:fPr>
                    <m:ctrlPr>
                      <w:rPr>
                        <w:rFonts w:ascii="Cambria Math" w:hAnsi="Cambria Math"/>
                        <w:i/>
                      </w:rPr>
                    </m:ctrlPr>
                  </m:fPr>
                  <m:num>
                    <m:r>
                      <w:rPr>
                        <w:rFonts w:ascii="Cambria Math" w:hAnsi="Cambria Math"/>
                      </w:rPr>
                      <m:t>1</m:t>
                    </m:r>
                  </m:num>
                  <m:den>
                    <m:f>
                      <m:fPr>
                        <m:ctrlPr>
                          <w:rPr>
                            <w:rFonts w:ascii="Cambria Math" w:hAnsi="Cambria Math"/>
                            <w:i/>
                          </w:rPr>
                        </m:ctrlPr>
                      </m:fPr>
                      <m:num>
                        <m:sSub>
                          <m:sSubPr>
                            <m:ctrlPr>
                              <w:rPr>
                                <w:rFonts w:ascii="Cambria Math" w:hAnsi="Cambria Math"/>
                                <w:i/>
                              </w:rPr>
                            </m:ctrlPr>
                          </m:sSubPr>
                          <m:e>
                            <m:r>
                              <w:rPr>
                                <w:rFonts w:ascii="Cambria Math" w:hAnsi="Cambria Math"/>
                              </w:rPr>
                              <m:t>η</m:t>
                            </m:r>
                          </m:e>
                          <m:sub>
                            <m:r>
                              <w:rPr>
                                <w:rFonts w:ascii="Cambria Math" w:hAnsi="Cambria Math"/>
                              </w:rPr>
                              <m:t>el,CHP</m:t>
                            </m:r>
                          </m:sub>
                        </m:sSub>
                      </m:num>
                      <m:den>
                        <m:sSub>
                          <m:sSubPr>
                            <m:ctrlPr>
                              <w:rPr>
                                <w:rFonts w:ascii="Cambria Math" w:hAnsi="Cambria Math"/>
                                <w:i/>
                              </w:rPr>
                            </m:ctrlPr>
                          </m:sSubPr>
                          <m:e>
                            <m:r>
                              <w:rPr>
                                <w:rFonts w:ascii="Cambria Math" w:hAnsi="Cambria Math"/>
                              </w:rPr>
                              <m:t>η</m:t>
                            </m:r>
                          </m:e>
                          <m:sub>
                            <m:r>
                              <w:rPr>
                                <w:rFonts w:ascii="Cambria Math" w:hAnsi="Cambria Math"/>
                              </w:rPr>
                              <m:t>el,s</m:t>
                            </m:r>
                          </m:sub>
                        </m:sSub>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η</m:t>
                            </m:r>
                          </m:e>
                          <m:sub>
                            <m:r>
                              <w:rPr>
                                <w:rFonts w:ascii="Cambria Math" w:hAnsi="Cambria Math"/>
                              </w:rPr>
                              <m:t>th,CHP</m:t>
                            </m:r>
                          </m:sub>
                        </m:sSub>
                      </m:num>
                      <m:den>
                        <m:sSub>
                          <m:sSubPr>
                            <m:ctrlPr>
                              <w:rPr>
                                <w:rFonts w:ascii="Cambria Math" w:hAnsi="Cambria Math"/>
                                <w:i/>
                              </w:rPr>
                            </m:ctrlPr>
                          </m:sSubPr>
                          <m:e>
                            <m:r>
                              <w:rPr>
                                <w:rFonts w:ascii="Cambria Math" w:hAnsi="Cambria Math"/>
                              </w:rPr>
                              <m:t>η</m:t>
                            </m:r>
                          </m:e>
                          <m:sub>
                            <m:r>
                              <w:rPr>
                                <w:rFonts w:ascii="Cambria Math" w:hAnsi="Cambria Math"/>
                              </w:rPr>
                              <m:t>th,s</m:t>
                            </m:r>
                          </m:sub>
                        </m:sSub>
                      </m:den>
                    </m:f>
                  </m:den>
                </m:f>
              </m:oMath>
            </m:oMathPara>
          </w:p>
        </w:tc>
        <w:bookmarkStart w:id="285" w:name="_Ref531101323"/>
        <w:tc>
          <w:tcPr>
            <w:tcW w:w="543" w:type="dxa"/>
            <w:vAlign w:val="center"/>
          </w:tcPr>
          <w:p w14:paraId="79A978A7" w14:textId="03591500" w:rsidR="000F16EB" w:rsidRPr="00F029E0" w:rsidRDefault="000F16EB" w:rsidP="00A7521D">
            <w:pPr>
              <w:pStyle w:val="Caption"/>
              <w:jc w:val="right"/>
              <w:rPr>
                <w:b w:val="0"/>
              </w:rPr>
            </w:pPr>
            <w:r>
              <w:fldChar w:fldCharType="begin"/>
            </w:r>
            <w:r>
              <w:instrText xml:space="preserve"> STYLEREF 1 \s </w:instrText>
            </w:r>
            <w:r>
              <w:fldChar w:fldCharType="separate"/>
            </w:r>
            <w:r w:rsidR="00CB7456">
              <w:rPr>
                <w:noProof/>
              </w:rPr>
              <w:t>2</w:t>
            </w:r>
            <w:r>
              <w:fldChar w:fldCharType="end"/>
            </w:r>
            <w:r>
              <w:t>.</w:t>
            </w:r>
            <w:r>
              <w:rPr>
                <w:noProof/>
              </w:rPr>
              <w:fldChar w:fldCharType="begin"/>
            </w:r>
            <w:r>
              <w:rPr>
                <w:noProof/>
              </w:rPr>
              <w:instrText xml:space="preserve"> SEQ Equation \* ARABIC \s 1 </w:instrText>
            </w:r>
            <w:r>
              <w:rPr>
                <w:noProof/>
              </w:rPr>
              <w:fldChar w:fldCharType="separate"/>
            </w:r>
            <w:r w:rsidR="00CB7456">
              <w:rPr>
                <w:noProof/>
              </w:rPr>
              <w:t>10</w:t>
            </w:r>
            <w:r>
              <w:rPr>
                <w:noProof/>
              </w:rPr>
              <w:fldChar w:fldCharType="end"/>
            </w:r>
            <w:bookmarkEnd w:id="285"/>
          </w:p>
        </w:tc>
      </w:tr>
    </w:tbl>
    <w:p w14:paraId="4592C4E7" w14:textId="77777777" w:rsidR="000F16EB" w:rsidRDefault="000F16EB" w:rsidP="00196CD6">
      <w:pPr>
        <w:pStyle w:val="NoSpacing"/>
      </w:pPr>
    </w:p>
    <w:p w14:paraId="2A9899C7" w14:textId="77777777" w:rsidR="000F16EB" w:rsidRDefault="00C73E04" w:rsidP="000F16EB">
      <w:pPr>
        <w:pStyle w:val="NoSpacing"/>
      </w:pPr>
      <m:oMath>
        <m:sSub>
          <m:sSubPr>
            <m:ctrlPr>
              <w:rPr>
                <w:rFonts w:ascii="Cambria Math" w:hAnsi="Cambria Math"/>
                <w:i/>
              </w:rPr>
            </m:ctrlPr>
          </m:sSubPr>
          <m:e>
            <m:r>
              <w:rPr>
                <w:rFonts w:ascii="Cambria Math" w:hAnsi="Cambria Math"/>
              </w:rPr>
              <m:t>E</m:t>
            </m:r>
          </m:e>
          <m:sub>
            <m:r>
              <w:rPr>
                <w:rFonts w:ascii="Cambria Math" w:hAnsi="Cambria Math"/>
              </w:rPr>
              <m:t>f,CHP</m:t>
            </m:r>
          </m:sub>
        </m:sSub>
      </m:oMath>
      <w:r w:rsidR="000F16EB">
        <w:t xml:space="preserve"> is the CHP fuel input,</w:t>
      </w:r>
    </w:p>
    <w:p w14:paraId="3B502230" w14:textId="77777777" w:rsidR="000F16EB" w:rsidRDefault="00C73E04" w:rsidP="000F16EB">
      <w:pPr>
        <w:pStyle w:val="NoSpacing"/>
      </w:pPr>
      <m:oMath>
        <m:sSub>
          <m:sSubPr>
            <m:ctrlPr>
              <w:rPr>
                <w:rFonts w:ascii="Cambria Math" w:hAnsi="Cambria Math"/>
                <w:i/>
              </w:rPr>
            </m:ctrlPr>
          </m:sSubPr>
          <m:e>
            <m:r>
              <w:rPr>
                <w:rFonts w:ascii="Cambria Math" w:hAnsi="Cambria Math"/>
              </w:rPr>
              <m:t>E</m:t>
            </m:r>
          </m:e>
          <m:sub>
            <m:r>
              <w:rPr>
                <w:rFonts w:ascii="Cambria Math" w:hAnsi="Cambria Math"/>
              </w:rPr>
              <m:t>el,CHP</m:t>
            </m:r>
          </m:sub>
        </m:sSub>
      </m:oMath>
      <w:r w:rsidR="000F16EB">
        <w:t xml:space="preserve"> is the CHP electricity input,</w:t>
      </w:r>
    </w:p>
    <w:p w14:paraId="0C3C5C70" w14:textId="77777777" w:rsidR="000F16EB" w:rsidRDefault="00C73E04" w:rsidP="000F16EB">
      <w:pPr>
        <w:pStyle w:val="NoSpacing"/>
      </w:pPr>
      <m:oMath>
        <m:sSub>
          <m:sSubPr>
            <m:ctrlPr>
              <w:rPr>
                <w:rFonts w:ascii="Cambria Math" w:hAnsi="Cambria Math"/>
                <w:i/>
              </w:rPr>
            </m:ctrlPr>
          </m:sSubPr>
          <m:e>
            <m:r>
              <w:rPr>
                <w:rFonts w:ascii="Cambria Math" w:hAnsi="Cambria Math"/>
              </w:rPr>
              <m:t>E</m:t>
            </m:r>
          </m:e>
          <m:sub>
            <m:r>
              <w:rPr>
                <w:rFonts w:ascii="Cambria Math" w:hAnsi="Cambria Math"/>
              </w:rPr>
              <m:t>tj,CHP</m:t>
            </m:r>
          </m:sub>
        </m:sSub>
      </m:oMath>
      <w:r w:rsidR="000F16EB">
        <w:t xml:space="preserve"> is the CHP thermal output,</w:t>
      </w:r>
    </w:p>
    <w:p w14:paraId="02B2F5BB" w14:textId="77777777" w:rsidR="000F16EB" w:rsidRDefault="00C73E04" w:rsidP="000F16EB">
      <w:pPr>
        <w:pStyle w:val="NoSpacing"/>
      </w:pPr>
      <m:oMath>
        <m:sSub>
          <m:sSubPr>
            <m:ctrlPr>
              <w:rPr>
                <w:rFonts w:ascii="Cambria Math" w:hAnsi="Cambria Math"/>
                <w:i/>
              </w:rPr>
            </m:ctrlPr>
          </m:sSubPr>
          <m:e>
            <m:r>
              <w:rPr>
                <w:rFonts w:ascii="Cambria Math" w:hAnsi="Cambria Math"/>
              </w:rPr>
              <m:t>η</m:t>
            </m:r>
          </m:e>
          <m:sub>
            <m:r>
              <w:rPr>
                <w:rFonts w:ascii="Cambria Math" w:hAnsi="Cambria Math"/>
              </w:rPr>
              <m:t>el,s</m:t>
            </m:r>
          </m:sub>
        </m:sSub>
      </m:oMath>
      <w:r w:rsidR="000F16EB">
        <w:t xml:space="preserve"> is the electrical efficiency of the reference TE generating unit,</w:t>
      </w:r>
    </w:p>
    <w:p w14:paraId="2689AD86" w14:textId="77777777" w:rsidR="000F16EB" w:rsidRDefault="00C73E04" w:rsidP="000F16EB">
      <w:pPr>
        <w:pStyle w:val="NoSpacing"/>
      </w:pPr>
      <m:oMath>
        <m:sSub>
          <m:sSubPr>
            <m:ctrlPr>
              <w:rPr>
                <w:rFonts w:ascii="Cambria Math" w:hAnsi="Cambria Math"/>
                <w:i/>
              </w:rPr>
            </m:ctrlPr>
          </m:sSubPr>
          <m:e>
            <m:r>
              <w:rPr>
                <w:rFonts w:ascii="Cambria Math" w:hAnsi="Cambria Math"/>
              </w:rPr>
              <m:t>η</m:t>
            </m:r>
          </m:e>
          <m:sub>
            <m:r>
              <w:rPr>
                <w:rFonts w:ascii="Cambria Math" w:hAnsi="Cambria Math"/>
              </w:rPr>
              <m:t>th,s</m:t>
            </m:r>
          </m:sub>
        </m:sSub>
      </m:oMath>
      <w:r w:rsidR="000F16EB">
        <w:t xml:space="preserve"> is the thermal efficient of the reference TE generating unit,</w:t>
      </w:r>
    </w:p>
    <w:p w14:paraId="0AD2B611" w14:textId="77777777" w:rsidR="000F16EB" w:rsidRDefault="00C73E04" w:rsidP="000F16EB">
      <w:pPr>
        <w:pStyle w:val="NoSpacing"/>
      </w:pPr>
      <m:oMath>
        <m:sSub>
          <m:sSubPr>
            <m:ctrlPr>
              <w:rPr>
                <w:rFonts w:ascii="Cambria Math" w:hAnsi="Cambria Math"/>
                <w:i/>
              </w:rPr>
            </m:ctrlPr>
          </m:sSubPr>
          <m:e>
            <m:r>
              <w:rPr>
                <w:rFonts w:ascii="Cambria Math" w:hAnsi="Cambria Math"/>
              </w:rPr>
              <m:t>η</m:t>
            </m:r>
          </m:e>
          <m:sub>
            <m:r>
              <w:rPr>
                <w:rFonts w:ascii="Cambria Math" w:hAnsi="Cambria Math"/>
              </w:rPr>
              <m:t>el,CHP</m:t>
            </m:r>
          </m:sub>
        </m:sSub>
      </m:oMath>
      <w:r w:rsidR="000F16EB">
        <w:t xml:space="preserve"> is the electrical efficiency of the CHP unit,</w:t>
      </w:r>
    </w:p>
    <w:p w14:paraId="509F6020" w14:textId="77777777" w:rsidR="000F16EB" w:rsidRPr="00F777D5" w:rsidRDefault="00C73E04" w:rsidP="000F16EB">
      <m:oMath>
        <m:sSub>
          <m:sSubPr>
            <m:ctrlPr>
              <w:rPr>
                <w:rFonts w:ascii="Cambria Math" w:hAnsi="Cambria Math"/>
                <w:i/>
              </w:rPr>
            </m:ctrlPr>
          </m:sSubPr>
          <m:e>
            <m:r>
              <w:rPr>
                <w:rFonts w:ascii="Cambria Math" w:hAnsi="Cambria Math"/>
              </w:rPr>
              <m:t>η</m:t>
            </m:r>
          </m:e>
          <m:sub>
            <m:r>
              <w:rPr>
                <w:rFonts w:ascii="Cambria Math" w:hAnsi="Cambria Math"/>
              </w:rPr>
              <m:t>th,CHP</m:t>
            </m:r>
          </m:sub>
        </m:sSub>
      </m:oMath>
      <w:r w:rsidR="000F16EB">
        <w:t xml:space="preserve"> is the thermal efficient of the CHP unit.</w:t>
      </w:r>
    </w:p>
    <w:p w14:paraId="0D377D13" w14:textId="1AF72B13" w:rsidR="000F16EB" w:rsidRDefault="000F16EB" w:rsidP="000F16EB">
      <w:r>
        <w:t xml:space="preserve">PES methodology can also be used to calculate the PES of a DHN supplied by a CHP unit, as shown in Equation </w:t>
      </w:r>
      <w:r>
        <w:fldChar w:fldCharType="begin"/>
      </w:r>
      <w:r>
        <w:instrText xml:space="preserve"> REF _Ref531101389 \h </w:instrText>
      </w:r>
      <w:r>
        <w:fldChar w:fldCharType="separate"/>
      </w:r>
      <w:r w:rsidR="00CB7456">
        <w:rPr>
          <w:noProof/>
        </w:rPr>
        <w:t>2</w:t>
      </w:r>
      <w:r w:rsidR="00CB7456">
        <w:t>.</w:t>
      </w:r>
      <w:r w:rsidR="00CB7456">
        <w:rPr>
          <w:noProof/>
        </w:rPr>
        <w:t>11</w:t>
      </w:r>
      <w:r>
        <w:fldChar w:fldCharType="end"/>
      </w:r>
      <w:r>
        <w:t xml:space="preserve"> </w:t>
      </w:r>
      <w:r>
        <w:fldChar w:fldCharType="begin" w:fldLock="1"/>
      </w:r>
      <w:r w:rsidR="00FF4B5D">
        <w:instrText>ADDIN CSL_CITATION {"citationItems":[{"id":"ITEM-1","itemData":{"DOI":"10.1016/j.energy.2017.03.136","ISSN":"03605442","abstract":"The integration in a district heating network of renewable energies, waste heat or cogenerated heat is one of the key point of the 2012/27/EU Energy Efficiency Directive issued by the European Union (EU), to contribute to lower primary energy consumptions in final energy uses. The availability of an adequate set of indices that can efficaciously be used to evaluate the performance of hybrid district heating systems, in which traditional, cogenerative and renewable energy sources are integrated, becomes therefore a key aspect to assess the effectiveness of these systems. The aim of this paper is presenting a comparative analysis of different performance indices, applied to a real small-scale district heating network in operation in Turin, Italy, fed by a natural gas cogeneration plant and some boilers. All calculations are based on the experimental data of the real plant and show as the commonly employed indices for the assessment of performance of CHP units can overestimate to a great extent the real performance of the whole system, as do not take into account the heat transportation losses and the pumping electrical requirements. The results of these analyses are presented in detail in the paper.","author":[{"dropping-particle":"","family":"Badami","given":"Marco","non-dropping-particle":"","parse-names":false,"suffix":""},{"dropping-particle":"","family":"Gerboni","given":"Raffaella","non-dropping-particle":"","parse-names":false,"suffix":""},{"dropping-particle":"","family":"Portoraro","given":"Armando","non-dropping-particle":"","parse-names":false,"suffix":""}],"container-title":"Energy","id":"ITEM-1","issued":{"date-parts":[["2017"]]},"page":"697-703","publisher":"Elsevier Ltd","title":"Determination and assessment of indices for the energy performance of district heating with cogeneration plants","type":"article-journal","volume":"127"},"uris":["http://www.mendeley.com/documents/?uuid=9a1e0ff9-e8fa-48df-99ea-0a41c7b3b1db"]}],"mendeley":{"formattedCitation":"(Badami &lt;i&gt;et al.&lt;/i&gt;, 2017)","plainTextFormattedCitation":"(Badami et al., 2017)","previouslyFormattedCitation":"(Badami &lt;i&gt;et al.&lt;/i&gt;, 2017)"},"properties":{"noteIndex":0},"schema":"https://github.com/citation-style-language/schema/raw/master/csl-citation.json"}</w:instrText>
      </w:r>
      <w:r>
        <w:fldChar w:fldCharType="separate"/>
      </w:r>
      <w:r w:rsidR="005F544E" w:rsidRPr="005F544E">
        <w:rPr>
          <w:noProof/>
        </w:rPr>
        <w:t xml:space="preserve">(Badami </w:t>
      </w:r>
      <w:r w:rsidR="005F544E" w:rsidRPr="005F544E">
        <w:rPr>
          <w:i/>
          <w:noProof/>
        </w:rPr>
        <w:t>et al.</w:t>
      </w:r>
      <w:r w:rsidR="005F544E" w:rsidRPr="005F544E">
        <w:rPr>
          <w:noProof/>
        </w:rPr>
        <w:t>, 2017)</w:t>
      </w:r>
      <w:r>
        <w:fldChar w:fldCharType="end"/>
      </w:r>
      <w: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5"/>
        <w:gridCol w:w="543"/>
      </w:tblGrid>
      <w:tr w:rsidR="000F16EB" w14:paraId="1C39B838" w14:textId="77777777" w:rsidTr="00A7521D">
        <w:tc>
          <w:tcPr>
            <w:tcW w:w="7655" w:type="dxa"/>
          </w:tcPr>
          <w:p w14:paraId="24C60664" w14:textId="77777777" w:rsidR="000F16EB" w:rsidRPr="00AC69E9" w:rsidRDefault="00C73E04" w:rsidP="00A7521D">
            <w:pPr>
              <w:keepNext/>
            </w:pPr>
            <m:oMathPara>
              <m:oMathParaPr>
                <m:jc m:val="left"/>
              </m:oMathParaPr>
              <m:oMath>
                <m:sSub>
                  <m:sSubPr>
                    <m:ctrlPr>
                      <w:rPr>
                        <w:rFonts w:ascii="Cambria Math" w:hAnsi="Cambria Math"/>
                        <w:i/>
                      </w:rPr>
                    </m:ctrlPr>
                  </m:sSubPr>
                  <m:e>
                    <m:r>
                      <w:rPr>
                        <w:rFonts w:ascii="Cambria Math" w:hAnsi="Cambria Math"/>
                      </w:rPr>
                      <m:t>PES</m:t>
                    </m:r>
                  </m:e>
                  <m:sub>
                    <m:r>
                      <w:rPr>
                        <w:rFonts w:ascii="Cambria Math" w:hAnsi="Cambria Math"/>
                      </w:rPr>
                      <m:t>DH</m:t>
                    </m:r>
                  </m:sub>
                </m:sSub>
                <m:r>
                  <w:rPr>
                    <w:rFonts w:ascii="Cambria Math" w:hAnsi="Cambria Math"/>
                  </w:rPr>
                  <m:t>=1-</m:t>
                </m:r>
                <m:f>
                  <m:fPr>
                    <m:ctrlPr>
                      <w:rPr>
                        <w:rFonts w:ascii="Cambria Math" w:hAnsi="Cambria Math"/>
                        <w:i/>
                      </w:rPr>
                    </m:ctrlPr>
                  </m:fPr>
                  <m:num>
                    <m:sSub>
                      <m:sSubPr>
                        <m:ctrlPr>
                          <w:rPr>
                            <w:rFonts w:ascii="Cambria Math" w:hAnsi="Cambria Math"/>
                            <w:i/>
                          </w:rPr>
                        </m:ctrlPr>
                      </m:sSubPr>
                      <m:e>
                        <m:r>
                          <w:rPr>
                            <w:rFonts w:ascii="Cambria Math" w:hAnsi="Cambria Math"/>
                          </w:rPr>
                          <m:t>E</m:t>
                        </m:r>
                      </m:e>
                      <m:sub>
                        <m:r>
                          <w:rPr>
                            <w:rFonts w:ascii="Cambria Math" w:hAnsi="Cambria Math"/>
                          </w:rPr>
                          <m:t>f,CHP</m:t>
                        </m:r>
                      </m:sub>
                    </m:sSub>
                  </m:num>
                  <m:den>
                    <m:f>
                      <m:fPr>
                        <m:ctrlPr>
                          <w:rPr>
                            <w:rFonts w:ascii="Cambria Math" w:hAnsi="Cambria Math"/>
                            <w:i/>
                          </w:rPr>
                        </m:ctrlPr>
                      </m:fPr>
                      <m:num>
                        <m:sSub>
                          <m:sSubPr>
                            <m:ctrlPr>
                              <w:rPr>
                                <w:rFonts w:ascii="Cambria Math" w:hAnsi="Cambria Math"/>
                                <w:i/>
                              </w:rPr>
                            </m:ctrlPr>
                          </m:sSubPr>
                          <m:e>
                            <m:r>
                              <w:rPr>
                                <w:rFonts w:ascii="Cambria Math" w:hAnsi="Cambria Math"/>
                              </w:rPr>
                              <m:t>E</m:t>
                            </m:r>
                          </m:e>
                          <m:sub>
                            <m:r>
                              <w:rPr>
                                <w:rFonts w:ascii="Cambria Math" w:hAnsi="Cambria Math"/>
                              </w:rPr>
                              <m:t>el,CHP,us</m:t>
                            </m:r>
                          </m:sub>
                        </m:sSub>
                      </m:num>
                      <m:den>
                        <m:sSub>
                          <m:sSubPr>
                            <m:ctrlPr>
                              <w:rPr>
                                <w:rFonts w:ascii="Cambria Math" w:hAnsi="Cambria Math"/>
                                <w:i/>
                              </w:rPr>
                            </m:ctrlPr>
                          </m:sSubPr>
                          <m:e>
                            <m:r>
                              <w:rPr>
                                <w:rFonts w:ascii="Cambria Math" w:hAnsi="Cambria Math"/>
                              </w:rPr>
                              <m:t>η</m:t>
                            </m:r>
                          </m:e>
                          <m:sub>
                            <m:r>
                              <w:rPr>
                                <w:rFonts w:ascii="Cambria Math" w:hAnsi="Cambria Math"/>
                              </w:rPr>
                              <m:t>el,s</m:t>
                            </m:r>
                          </m:sub>
                        </m:sSub>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E</m:t>
                            </m:r>
                          </m:e>
                          <m:sub>
                            <m:r>
                              <w:rPr>
                                <w:rFonts w:ascii="Cambria Math" w:hAnsi="Cambria Math"/>
                              </w:rPr>
                              <m:t>th,CHP,us</m:t>
                            </m:r>
                          </m:sub>
                        </m:sSub>
                      </m:num>
                      <m:den>
                        <m:sSub>
                          <m:sSubPr>
                            <m:ctrlPr>
                              <w:rPr>
                                <w:rFonts w:ascii="Cambria Math" w:hAnsi="Cambria Math"/>
                                <w:i/>
                              </w:rPr>
                            </m:ctrlPr>
                          </m:sSubPr>
                          <m:e>
                            <m:r>
                              <w:rPr>
                                <w:rFonts w:ascii="Cambria Math" w:hAnsi="Cambria Math"/>
                              </w:rPr>
                              <m:t>η</m:t>
                            </m:r>
                          </m:e>
                          <m:sub>
                            <m:r>
                              <w:rPr>
                                <w:rFonts w:ascii="Cambria Math" w:hAnsi="Cambria Math"/>
                              </w:rPr>
                              <m:t>th,s</m:t>
                            </m:r>
                          </m:sub>
                        </m:sSub>
                      </m:den>
                    </m:f>
                  </m:den>
                </m:f>
              </m:oMath>
            </m:oMathPara>
          </w:p>
        </w:tc>
        <w:bookmarkStart w:id="286" w:name="_Ref531101389"/>
        <w:tc>
          <w:tcPr>
            <w:tcW w:w="543" w:type="dxa"/>
            <w:vAlign w:val="center"/>
          </w:tcPr>
          <w:p w14:paraId="5BEFDE8D" w14:textId="5126430C" w:rsidR="000F16EB" w:rsidRPr="00F029E0" w:rsidRDefault="000F16EB" w:rsidP="00A7521D">
            <w:pPr>
              <w:pStyle w:val="Caption"/>
              <w:jc w:val="right"/>
              <w:rPr>
                <w:b w:val="0"/>
              </w:rPr>
            </w:pPr>
            <w:r>
              <w:fldChar w:fldCharType="begin"/>
            </w:r>
            <w:r>
              <w:instrText xml:space="preserve"> STYLEREF 1 \s </w:instrText>
            </w:r>
            <w:r>
              <w:fldChar w:fldCharType="separate"/>
            </w:r>
            <w:r w:rsidR="00CB7456">
              <w:rPr>
                <w:noProof/>
              </w:rPr>
              <w:t>2</w:t>
            </w:r>
            <w:r>
              <w:fldChar w:fldCharType="end"/>
            </w:r>
            <w:r>
              <w:t>.</w:t>
            </w:r>
            <w:r>
              <w:rPr>
                <w:noProof/>
              </w:rPr>
              <w:fldChar w:fldCharType="begin"/>
            </w:r>
            <w:r>
              <w:rPr>
                <w:noProof/>
              </w:rPr>
              <w:instrText xml:space="preserve"> SEQ Equation \* ARABIC \s 1 </w:instrText>
            </w:r>
            <w:r>
              <w:rPr>
                <w:noProof/>
              </w:rPr>
              <w:fldChar w:fldCharType="separate"/>
            </w:r>
            <w:r w:rsidR="00CB7456">
              <w:rPr>
                <w:noProof/>
              </w:rPr>
              <w:t>11</w:t>
            </w:r>
            <w:r>
              <w:rPr>
                <w:noProof/>
              </w:rPr>
              <w:fldChar w:fldCharType="end"/>
            </w:r>
            <w:bookmarkEnd w:id="286"/>
          </w:p>
        </w:tc>
      </w:tr>
    </w:tbl>
    <w:p w14:paraId="6D5CEC85" w14:textId="77777777" w:rsidR="000F16EB" w:rsidRDefault="000F16EB" w:rsidP="00196CD6">
      <w:pPr>
        <w:pStyle w:val="NoSpacing"/>
      </w:pPr>
    </w:p>
    <w:p w14:paraId="20EAA2A7" w14:textId="77777777" w:rsidR="000F16EB" w:rsidRDefault="00C73E04" w:rsidP="000F16EB">
      <w:pPr>
        <w:pStyle w:val="NoSpacing"/>
      </w:pPr>
      <m:oMath>
        <m:sSub>
          <m:sSubPr>
            <m:ctrlPr>
              <w:rPr>
                <w:rFonts w:ascii="Cambria Math" w:hAnsi="Cambria Math"/>
                <w:i/>
              </w:rPr>
            </m:ctrlPr>
          </m:sSubPr>
          <m:e>
            <m:r>
              <w:rPr>
                <w:rFonts w:ascii="Cambria Math" w:hAnsi="Cambria Math"/>
              </w:rPr>
              <m:t>E</m:t>
            </m:r>
          </m:e>
          <m:sub>
            <m:r>
              <w:rPr>
                <w:rFonts w:ascii="Cambria Math" w:hAnsi="Cambria Math"/>
              </w:rPr>
              <m:t>el,CHP,us</m:t>
            </m:r>
          </m:sub>
        </m:sSub>
      </m:oMath>
      <w:r w:rsidR="000F16EB">
        <w:t xml:space="preserve"> is the CHP electrical output experienced by the user,</w:t>
      </w:r>
    </w:p>
    <w:p w14:paraId="646EAFB7" w14:textId="77777777" w:rsidR="000F16EB" w:rsidRDefault="00C73E04" w:rsidP="000F16EB">
      <m:oMath>
        <m:sSub>
          <m:sSubPr>
            <m:ctrlPr>
              <w:rPr>
                <w:rFonts w:ascii="Cambria Math" w:hAnsi="Cambria Math"/>
                <w:i/>
              </w:rPr>
            </m:ctrlPr>
          </m:sSubPr>
          <m:e>
            <m:r>
              <w:rPr>
                <w:rFonts w:ascii="Cambria Math" w:hAnsi="Cambria Math"/>
              </w:rPr>
              <m:t>E</m:t>
            </m:r>
          </m:e>
          <m:sub>
            <m:r>
              <w:rPr>
                <w:rFonts w:ascii="Cambria Math" w:hAnsi="Cambria Math"/>
              </w:rPr>
              <m:t>th,CHP,us</m:t>
            </m:r>
          </m:sub>
        </m:sSub>
      </m:oMath>
      <w:r w:rsidR="000F16EB">
        <w:t xml:space="preserve"> is the CHP thermal output experienced by the user.</w:t>
      </w:r>
    </w:p>
    <w:p w14:paraId="0557F186" w14:textId="77777777" w:rsidR="000F16EB" w:rsidRDefault="000F16EB" w:rsidP="000F16EB">
      <w:pPr>
        <w:pStyle w:val="Heading6"/>
      </w:pPr>
      <w:r>
        <w:t>Exergy Analysis</w:t>
      </w:r>
    </w:p>
    <w:p w14:paraId="19D966B1" w14:textId="23EC39CB" w:rsidR="000F16EB" w:rsidRDefault="000F16EB" w:rsidP="000F16EB">
      <w:r>
        <w:t xml:space="preserve">An exergy analysis is calculated by running a mass and exergy balance over the DHN under steady state and steady flow conditions </w:t>
      </w:r>
      <w:r>
        <w:fldChar w:fldCharType="begin" w:fldLock="1"/>
      </w:r>
      <w:r w:rsidR="00FF4B5D">
        <w:instrText>ADDIN CSL_CITATION {"citationItems":[{"id":"ITEM-1","itemData":{"DOI":"10.1016/j.enconman.2012.06.002","ISSN":"01968904","abstract":"This paper deals with an artificial neural network (ANN) modeling to predict the exergy efficiency of geothermal district heating system under a broad range of operating conditions. As a case study, the Afyonkarahisar geothermal district heating system (AGDHS) in Turkey is considered. The average daily actual thermal data acquired from the AGDHS in the 2009–2010 heating season are collected and employed for exergy analysis. An ANN modeling is developed based on backpropagation learning algorithm for predicting the exergy efficiency of the system according to parameters of the system, namely the ambient temperature, flow rate and well head temperature. Then, the recorded and calculated data conducted in the AGDHS at different dates are used for training the network. The results showed that the network yields a maximum correlation coefficient with minimum coefficient of variance and root mean square values. The results confirmed that the ANN modeling can be applied successfully and can provide high accuracy and reliability for predicting the exergy performance of geothermal district heating systems.","author":[{"dropping-particle":"","family":"Keçebaş","given":"Ali","non-dropping-particle":"","parse-names":false,"suffix":""},{"dropping-particle":"","family":"Yabanova","given":"İsmail","non-dropping-particle":"","parse-names":false,"suffix":""},{"dropping-particle":"","family":"Yumurtacı","given":"Mehmet","non-dropping-particle":"","parse-names":false,"suffix":""}],"container-title":"Energy Conversion and Management","id":"ITEM-1","issued":{"date-parts":[["2012"]]},"page":"206-212","title":"Artificial neural network modeling of geothermal district heating system thought exergy analysis","type":"article-journal","volume":"64"},"uris":["http://www.mendeley.com/documents/?uuid=64c532fa-e297-45df-83d0-846c2d58e68c"]}],"mendeley":{"formattedCitation":"(Keçebaş &lt;i&gt;et al.&lt;/i&gt;, 2012)","plainTextFormattedCitation":"(Keçebaş et al., 2012)","previouslyFormattedCitation":"(Keçebaş &lt;i&gt;et al.&lt;/i&gt;, 2012)"},"properties":{"noteIndex":0},"schema":"https://github.com/citation-style-language/schema/raw/master/csl-citation.json"}</w:instrText>
      </w:r>
      <w:r>
        <w:fldChar w:fldCharType="separate"/>
      </w:r>
      <w:r w:rsidR="005F544E" w:rsidRPr="005F544E">
        <w:rPr>
          <w:noProof/>
        </w:rPr>
        <w:t xml:space="preserve">(Keçebaş </w:t>
      </w:r>
      <w:r w:rsidR="005F544E" w:rsidRPr="005F544E">
        <w:rPr>
          <w:i/>
          <w:noProof/>
        </w:rPr>
        <w:t>et al.</w:t>
      </w:r>
      <w:r w:rsidR="005F544E" w:rsidRPr="005F544E">
        <w:rPr>
          <w:noProof/>
        </w:rPr>
        <w:t>, 2012)</w:t>
      </w:r>
      <w:r>
        <w:fldChar w:fldCharType="end"/>
      </w:r>
      <w:r>
        <w:t xml:space="preserve">. The exergy balance calculates the rates of heat input, exergy decrease, and irreversibility as well as energy and exergy </w:t>
      </w:r>
      <w:r>
        <w:lastRenderedPageBreak/>
        <w:t xml:space="preserve">efficiencies. </w:t>
      </w:r>
      <w:r w:rsidRPr="009D21A2">
        <w:rPr>
          <w:noProof/>
        </w:rPr>
        <w:t xml:space="preserve">Keçebaş </w:t>
      </w:r>
      <w:r w:rsidRPr="006A7FED">
        <w:rPr>
          <w:i/>
        </w:rPr>
        <w:t>et al</w:t>
      </w:r>
      <w:r>
        <w:t>. used an exergy analysis to assess the success of an ANN DH model. The exergy analysis was run across the entire DHN; exergy efficiencies were calculated for all of the major network components.</w:t>
      </w:r>
    </w:p>
    <w:p w14:paraId="444552F1" w14:textId="77777777" w:rsidR="000F16EB" w:rsidRDefault="000F16EB" w:rsidP="000F16EB">
      <w:pPr>
        <w:pStyle w:val="Heading6"/>
      </w:pPr>
      <w:r>
        <w:t>Energetic Assessment of the Thermal Energy Generating Units</w:t>
      </w:r>
    </w:p>
    <w:p w14:paraId="328BBBB2" w14:textId="62D0A3E7" w:rsidR="000F16EB" w:rsidRPr="00FB5EC3" w:rsidRDefault="000F16EB" w:rsidP="000F16EB">
      <w:r>
        <w:t xml:space="preserve">Energetic assessment of the TE generating units uses energy balances to calculate the efficiencies of the different TE generating units, comparing the values to industry standards </w:t>
      </w:r>
      <w:r>
        <w:fldChar w:fldCharType="begin" w:fldLock="1"/>
      </w:r>
      <w:r w:rsidR="002A6A73">
        <w:instrText>ADDIN CSL_CITATION {"citationItems":[{"id":"ITEM-1","itemData":{"DOI":"10.1016/j.energy.2017.06.110","ISSN":"03605442","abstract":"Conventional district heating and cooling (DHC) systems are compelled to reduce their fossil fuel dependency while ensuring profitability as cooling and heating demands decline. One solution is to retrofit the system with a gasifier and product gas upgrading equipment so that the system will be able to diversify its fuel input, including biomass and waste resources, while simultaneously producing synthetic natural gas (SNG), synthetic gas (syngas) and char complementarily to heat, cold and electricity. The main objective of this study is to assess energetically and economically a polygeneration DHC system based on gasification of refuse derived fuels considering the following sub-product scenarios: char; char and syngas; char and SNG; and char, syngas and SNG. The results show that when char is the only sub-product of the modified DHC system, the investment payback is 3 years, the discounted net cash flow (DNCF) is 142 mln USD, and the system trigeneration efficiency is 83.6%. When other sub-products are supplied by the system, its performance reduces but the system DNCF increases, while the investment payback remains constant.","author":[{"dropping-particle":"","family":"Kabalina","given":"Natalia","non-dropping-particle":"","parse-names":false,"suffix":""},{"dropping-particle":"","family":"Costa","given":"Mário","non-dropping-particle":"","parse-names":false,"suffix":""},{"dropping-particle":"","family":"Yang","given":"Weihong","non-dropping-particle":"","parse-names":false,"suffix":""},{"dropping-particle":"","family":"Martin","given":"Andrew","non-dropping-particle":"","parse-names":false,"suffix":""}],"container-title":"Energy","id":"ITEM-1","issued":{"date-parts":[["2017"]]},"page":"696-705","title":"Energy and economic assessment of a polygeneration district heating and cooling system based on gasification of refuse derived fuels","type":"article-journal","volume":"137"},"uris":["http://www.mendeley.com/documents/?uuid=24087c3a-c26f-4db5-b90c-14f0b4dc07ee"]}],"mendeley":{"formattedCitation":"(Kabalina &lt;i&gt;et al.&lt;/i&gt;, 2017)","plainTextFormattedCitation":"(Kabalina et al., 2017)","previouslyFormattedCitation":"(Kabalina &lt;i&gt;et al.&lt;/i&gt;, 2017)"},"properties":{"noteIndex":0},"schema":"https://github.com/citation-style-language/schema/raw/master/csl-citation.json"}</w:instrText>
      </w:r>
      <w:r>
        <w:fldChar w:fldCharType="separate"/>
      </w:r>
      <w:r w:rsidR="002A6A73" w:rsidRPr="002A6A73">
        <w:rPr>
          <w:noProof/>
        </w:rPr>
        <w:t xml:space="preserve">(Kabalina </w:t>
      </w:r>
      <w:r w:rsidR="002A6A73" w:rsidRPr="002A6A73">
        <w:rPr>
          <w:i/>
          <w:noProof/>
        </w:rPr>
        <w:t>et al.</w:t>
      </w:r>
      <w:r w:rsidR="002A6A73" w:rsidRPr="002A6A73">
        <w:rPr>
          <w:noProof/>
        </w:rPr>
        <w:t>, 2017)</w:t>
      </w:r>
      <w:r>
        <w:fldChar w:fldCharType="end"/>
      </w:r>
      <w:r>
        <w:t xml:space="preserve">. </w:t>
      </w:r>
      <w:r w:rsidRPr="00FB5EC3">
        <w:rPr>
          <w:noProof/>
        </w:rPr>
        <w:t xml:space="preserve">Kabalina </w:t>
      </w:r>
      <w:r w:rsidRPr="00FF4B5D">
        <w:rPr>
          <w:i/>
        </w:rPr>
        <w:t>et al</w:t>
      </w:r>
      <w:r>
        <w:t>. ran an energetic assessment comparing the use of cogeneration and trigeneration TE generating units in a DHN. A stoichiometric equilibrium</w:t>
      </w:r>
      <w:r>
        <w:noBreakHyphen/>
        <w:t>based energy balance was used with a detailed model of the DHN.</w:t>
      </w:r>
    </w:p>
    <w:p w14:paraId="35AC74D4" w14:textId="77777777" w:rsidR="000F16EB" w:rsidRDefault="000F16EB" w:rsidP="000F16EB">
      <w:pPr>
        <w:pStyle w:val="Heading2"/>
      </w:pPr>
      <w:bookmarkStart w:id="287" w:name="_Toc525229969"/>
      <w:bookmarkStart w:id="288" w:name="_Toc529888283"/>
      <w:bookmarkStart w:id="289" w:name="_Toc7187484"/>
      <w:r>
        <w:t>UK and European District Heating Markets</w:t>
      </w:r>
      <w:bookmarkEnd w:id="265"/>
      <w:bookmarkEnd w:id="287"/>
      <w:bookmarkEnd w:id="288"/>
      <w:bookmarkEnd w:id="289"/>
    </w:p>
    <w:p w14:paraId="340AC8B3" w14:textId="77777777" w:rsidR="000F16EB" w:rsidRPr="00374588" w:rsidRDefault="000F16EB" w:rsidP="000F16EB">
      <w:r>
        <w:t>In order to model DH as a system, it is important to understand how it fits into the wider heating market and how it is affected by government legislation and planning, both on a UK and an EU wide scale.</w:t>
      </w:r>
    </w:p>
    <w:p w14:paraId="1CC25325" w14:textId="77777777" w:rsidR="000F16EB" w:rsidRPr="00374588" w:rsidRDefault="000F16EB" w:rsidP="000F16EB">
      <w:pPr>
        <w:pStyle w:val="Heading3"/>
      </w:pPr>
      <w:bookmarkStart w:id="290" w:name="_Toc522192753"/>
      <w:bookmarkStart w:id="291" w:name="_Toc525229970"/>
      <w:bookmarkStart w:id="292" w:name="_Toc529888284"/>
      <w:bookmarkStart w:id="293" w:name="_Toc7187485"/>
      <w:r>
        <w:t>UK District Heating Market</w:t>
      </w:r>
      <w:bookmarkEnd w:id="290"/>
      <w:bookmarkEnd w:id="291"/>
      <w:bookmarkEnd w:id="292"/>
      <w:bookmarkEnd w:id="293"/>
    </w:p>
    <w:p w14:paraId="65FC7D4B" w14:textId="5E6356A8" w:rsidR="000F16EB" w:rsidRDefault="000F16EB" w:rsidP="000F16EB">
      <w:r>
        <w:t xml:space="preserve">The total heat use in the UK in 2013 was 65.4 </w:t>
      </w:r>
      <w:proofErr w:type="spellStart"/>
      <w:r>
        <w:t>mtoe</w:t>
      </w:r>
      <w:proofErr w:type="spellEnd"/>
      <w:r>
        <w:t xml:space="preserve"> </w:t>
      </w:r>
      <w:r>
        <w:fldChar w:fldCharType="begin" w:fldLock="1"/>
      </w:r>
      <w:r w:rsidR="002A6A73">
        <w:instrText>ADDIN CSL_CITATION {"citationItems":[{"id":"ITEM-1","itemData":{"abstract":"A summary of the latest information on heat use in the United Kingdom. Data from the three non-transport sectors (domestic, services and industrial) are analysed and interpretations on differences between the sectors and general trends in heat energy use are highlighted.","author":[{"dropping-particle":"","family":"DECC","given":"","non-dropping-particle":"","parse-names":false,"suffix":""}],"id":"ITEM-1","issued":{"date-parts":[["2014"]]},"publisher-place":"London, England","title":"Estimates of heat use in the United Kingdom in 2013","type":"report"},"uris":["http://www.mendeley.com/documents/?uuid=3678d86d-c504-4ce5-b27b-16e4e25cd511"]}],"mendeley":{"formattedCitation":"(DECC, 2014a)","plainTextFormattedCitation":"(DECC, 2014a)","previouslyFormattedCitation":"(DECC, 2014a)"},"properties":{"noteIndex":0},"schema":"https://github.com/citation-style-language/schema/raw/master/csl-citation.json"}</w:instrText>
      </w:r>
      <w:r>
        <w:fldChar w:fldCharType="separate"/>
      </w:r>
      <w:r w:rsidR="002A6A73" w:rsidRPr="002A6A73">
        <w:rPr>
          <w:noProof/>
        </w:rPr>
        <w:t>(DECC, 2014a)</w:t>
      </w:r>
      <w:r>
        <w:fldChar w:fldCharType="end"/>
      </w:r>
      <w:r>
        <w:t>. Further breakdown showing the proportion of heat used by each sector is shown in</w:t>
      </w:r>
      <w:r w:rsidR="0022640E">
        <w:t xml:space="preserve"> </w:t>
      </w:r>
      <w:r w:rsidR="0022640E">
        <w:fldChar w:fldCharType="begin"/>
      </w:r>
      <w:r w:rsidR="0022640E">
        <w:instrText xml:space="preserve"> REF _Ref531343503 \h </w:instrText>
      </w:r>
      <w:r w:rsidR="0022640E">
        <w:fldChar w:fldCharType="separate"/>
      </w:r>
      <w:r w:rsidR="00CB7456">
        <w:t xml:space="preserve">Table </w:t>
      </w:r>
      <w:r w:rsidR="00CB7456">
        <w:rPr>
          <w:noProof/>
        </w:rPr>
        <w:t>2</w:t>
      </w:r>
      <w:r w:rsidR="00CB7456">
        <w:t>.</w:t>
      </w:r>
      <w:r w:rsidR="00CB7456">
        <w:rPr>
          <w:noProof/>
        </w:rPr>
        <w:t>8</w:t>
      </w:r>
      <w:r w:rsidR="0022640E">
        <w:fldChar w:fldCharType="end"/>
      </w:r>
      <w:r>
        <w:t xml:space="preserve">. According to the Office for National Statistics (ONS), in 2016 the total primary energy demand was approximately 201.1 </w:t>
      </w:r>
      <w:proofErr w:type="spellStart"/>
      <w:r>
        <w:t>mtoe</w:t>
      </w:r>
      <w:proofErr w:type="spellEnd"/>
      <w:r w:rsidR="00FF4B5D">
        <w:t xml:space="preserve"> </w:t>
      </w:r>
      <w:r w:rsidR="00FF4B5D">
        <w:fldChar w:fldCharType="begin" w:fldLock="1"/>
      </w:r>
      <w:r w:rsidR="00FF4B5D">
        <w:instrText>ADDIN CSL_CITATION {"citationItems":[{"id":"ITEM-1","itemData":{"author":[{"dropping-particle":"","family":"ONS","given":"","non-dropping-particle":"","parse-names":false,"suffix":""}],"id":"ITEM-1","issued":{"date-parts":[["2017"]]},"publisher-place":"London, England","title":"Digest of UK Energy Statistics (DUKES): Energy","type":"report"},"uris":["http://www.mendeley.com/documents/?uuid=caf2c511-c932-4650-8448-1bb1848179c7"]}],"mendeley":{"formattedCitation":"(ONS, 2017)","plainTextFormattedCitation":"(ONS, 2017)","previouslyFormattedCitation":"(ONS, 2017)"},"properties":{"noteIndex":0},"schema":"https://github.com/citation-style-language/schema/raw/master/csl-citation.json"}</w:instrText>
      </w:r>
      <w:r w:rsidR="00FF4B5D">
        <w:fldChar w:fldCharType="separate"/>
      </w:r>
      <w:r w:rsidR="00FF4B5D" w:rsidRPr="002A6A73">
        <w:rPr>
          <w:noProof/>
        </w:rPr>
        <w:t>(ONS, 2017)</w:t>
      </w:r>
      <w:r w:rsidR="00FF4B5D">
        <w:fldChar w:fldCharType="end"/>
      </w:r>
      <w:r>
        <w:t xml:space="preserve">. The total domestic energy use was 41.9 </w:t>
      </w:r>
      <w:proofErr w:type="spellStart"/>
      <w:r>
        <w:t>mtoe</w:t>
      </w:r>
      <w:proofErr w:type="spellEnd"/>
      <w:r>
        <w:t xml:space="preserve"> and the total industrial energy use was 23.4 </w:t>
      </w:r>
      <w:proofErr w:type="spellStart"/>
      <w:r>
        <w:t>mtoe</w:t>
      </w:r>
      <w:proofErr w:type="spellEnd"/>
      <w:r>
        <w:t>. It is reasonable to expect that the breakdown of energy use from 2016 is similar to the breakdown of energy use from 2013, as shown in</w:t>
      </w:r>
      <w:r w:rsidR="0022640E">
        <w:t xml:space="preserve"> </w:t>
      </w:r>
      <w:r w:rsidR="0022640E">
        <w:fldChar w:fldCharType="begin"/>
      </w:r>
      <w:r w:rsidR="0022640E">
        <w:instrText xml:space="preserve"> REF _Ref531343503 \h </w:instrText>
      </w:r>
      <w:r w:rsidR="0022640E">
        <w:fldChar w:fldCharType="separate"/>
      </w:r>
      <w:r w:rsidR="00CB7456">
        <w:t xml:space="preserve">Table </w:t>
      </w:r>
      <w:r w:rsidR="00CB7456">
        <w:rPr>
          <w:noProof/>
        </w:rPr>
        <w:t>2</w:t>
      </w:r>
      <w:r w:rsidR="00CB7456">
        <w:t>.</w:t>
      </w:r>
      <w:r w:rsidR="00CB7456">
        <w:rPr>
          <w:noProof/>
        </w:rPr>
        <w:t>8</w:t>
      </w:r>
      <w:r w:rsidR="0022640E">
        <w:fldChar w:fldCharType="end"/>
      </w:r>
      <w:r>
        <w:t xml:space="preserve">. In 2016, the breakdown of UK residential energy use was as follows: 61.4% for SH, 18.3% for DHW, 2.8% for cooking, and 17.5% for lighting and appliances </w:t>
      </w:r>
      <w:r>
        <w:fldChar w:fldCharType="begin" w:fldLock="1"/>
      </w:r>
      <w:r w:rsidR="002A6A73">
        <w:instrText>ADDIN CSL_CITATION {"citationItems":[{"id":"ITEM-1","itemData":{"URL":"https://ec.europa.eu/eurostat/statistics-explained/index.php/Energy_consumption_in_households","accessed":{"date-parts":[["2018","9","13"]]},"author":[{"dropping-particle":"","family":"Eurostat","given":"","non-dropping-particle":"","parse-names":false,"suffix":""}],"id":"ITEM-1","issued":{"date-parts":[["2018"]]},"publisher-place":"Brussels, Belgium","title":"Energy consumption in households","type":"webpage"},"uris":["http://www.mendeley.com/documents/?uuid=7bd01912-f91a-4564-bc59-78d346876414"]}],"mendeley":{"formattedCitation":"(Eurostat, 2018)","plainTextFormattedCitation":"(Eurostat, 2018)","previouslyFormattedCitation":"(Eurostat, 2018)"},"properties":{"noteIndex":0},"schema":"https://github.com/citation-style-language/schema/raw/master/csl-citation.json"}</w:instrText>
      </w:r>
      <w:r>
        <w:fldChar w:fldCharType="separate"/>
      </w:r>
      <w:r w:rsidR="002A6A73" w:rsidRPr="002A6A73">
        <w:rPr>
          <w:noProof/>
        </w:rPr>
        <w:t>(Eurostat, 2018)</w:t>
      </w:r>
      <w:r>
        <w:fldChar w:fldCharType="end"/>
      </w:r>
      <w:r>
        <w:t>.</w:t>
      </w:r>
    </w:p>
    <w:p w14:paraId="225F91B2" w14:textId="122F31B6" w:rsidR="000F16EB" w:rsidRDefault="000F16EB" w:rsidP="000F16EB">
      <w:pPr>
        <w:pStyle w:val="Caption"/>
        <w:keepNext/>
      </w:pPr>
      <w:bookmarkStart w:id="294" w:name="_Ref521680079"/>
      <w:bookmarkStart w:id="295" w:name="_Ref531343503"/>
      <w:bookmarkStart w:id="296" w:name="_Toc525230118"/>
      <w:bookmarkStart w:id="297" w:name="_Toc7187671"/>
      <w:r>
        <w:t xml:space="preserve">Table </w:t>
      </w:r>
      <w:fldSimple w:instr=" STYLEREF 1 \s ">
        <w:r w:rsidR="00CB7456">
          <w:rPr>
            <w:noProof/>
          </w:rPr>
          <w:t>2</w:t>
        </w:r>
      </w:fldSimple>
      <w:r w:rsidR="009E1A67">
        <w:t>.</w:t>
      </w:r>
      <w:fldSimple w:instr=" SEQ Table \* ARABIC \s 1 ">
        <w:r w:rsidR="00CB7456">
          <w:rPr>
            <w:noProof/>
          </w:rPr>
          <w:t>8</w:t>
        </w:r>
      </w:fldSimple>
      <w:bookmarkEnd w:id="294"/>
      <w:bookmarkEnd w:id="295"/>
      <w:r>
        <w:rPr>
          <w:noProof/>
        </w:rPr>
        <w:t>:</w:t>
      </w:r>
      <w:r>
        <w:t xml:space="preserve"> TE use in the UK in 2013, split by sector and </w:t>
      </w:r>
      <w:r w:rsidRPr="00C106AF">
        <w:t xml:space="preserve">usage </w:t>
      </w:r>
      <w:r w:rsidRPr="0022640E">
        <w:fldChar w:fldCharType="begin" w:fldLock="1"/>
      </w:r>
      <w:r w:rsidR="002A6A73" w:rsidRPr="0022640E">
        <w:instrText>ADDIN CSL_CITATION {"citationItems":[{"id":"ITEM-1","itemData":{"abstract":"A summary of the latest information on heat use in the United Kingdom. Data from the three non-transport sectors (domestic, services and industrial) are analysed and interpretations on differences between the sectors and general trends in heat energy use are highlighted.","author":[{"dropping-particle":"","family":"DECC","given":"","non-dropping-particle":"","parse-names":false,"suffix":""}],"id":"ITEM-1","issued":{"date-parts":[["2014"]]},"publisher-place":"London, England","title":"Estimates of heat use in the United Kingdom in 2013","type":"report"},"uris":["http://www.mendeley.com/documents/?uuid=3678d86d-c504-4ce5-b27b-16e4e25cd511"]}],"mendeley":{"formattedCitation":"(DECC, 2014a)","plainTextFormattedCitation":"(DECC, 2014a)","previouslyFormattedCitation":"(DECC, 2014a)"},"properties":{"noteIndex":0},"schema":"https://github.com/citation-style-language/schema/raw/master/csl-citation.json"}</w:instrText>
      </w:r>
      <w:r w:rsidRPr="0022640E">
        <w:fldChar w:fldCharType="separate"/>
      </w:r>
      <w:r w:rsidR="002A6A73" w:rsidRPr="0022640E">
        <w:rPr>
          <w:noProof/>
        </w:rPr>
        <w:t>(DECC, 2014a)</w:t>
      </w:r>
      <w:r w:rsidRPr="0022640E">
        <w:fldChar w:fldCharType="end"/>
      </w:r>
      <w:r w:rsidRPr="0022640E">
        <w:t>.</w:t>
      </w:r>
      <w:bookmarkEnd w:id="296"/>
      <w:bookmarkEnd w:id="297"/>
    </w:p>
    <w:tbl>
      <w:tblPr>
        <w:tblStyle w:val="TableGrid"/>
        <w:tblW w:w="590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56"/>
        <w:gridCol w:w="1056"/>
        <w:gridCol w:w="942"/>
        <w:gridCol w:w="1008"/>
        <w:gridCol w:w="938"/>
      </w:tblGrid>
      <w:tr w:rsidR="000F16EB" w14:paraId="2EB2CEB1" w14:textId="77777777" w:rsidTr="00A7521D">
        <w:trPr>
          <w:jc w:val="center"/>
        </w:trPr>
        <w:tc>
          <w:tcPr>
            <w:tcW w:w="1956" w:type="dxa"/>
            <w:tcBorders>
              <w:top w:val="single" w:sz="4" w:space="0" w:color="auto"/>
            </w:tcBorders>
          </w:tcPr>
          <w:p w14:paraId="47651F46" w14:textId="77777777" w:rsidR="000F16EB" w:rsidRDefault="000F16EB" w:rsidP="00A7521D">
            <w:pPr>
              <w:jc w:val="center"/>
            </w:pPr>
            <w:r>
              <w:t>End use</w:t>
            </w:r>
          </w:p>
        </w:tc>
        <w:tc>
          <w:tcPr>
            <w:tcW w:w="1056" w:type="dxa"/>
            <w:tcBorders>
              <w:top w:val="single" w:sz="4" w:space="0" w:color="auto"/>
            </w:tcBorders>
          </w:tcPr>
          <w:p w14:paraId="0D6D9075" w14:textId="77777777" w:rsidR="000F16EB" w:rsidRDefault="000F16EB" w:rsidP="00A7521D">
            <w:pPr>
              <w:jc w:val="center"/>
            </w:pPr>
            <w:r>
              <w:t>Domestic</w:t>
            </w:r>
          </w:p>
        </w:tc>
        <w:tc>
          <w:tcPr>
            <w:tcW w:w="942" w:type="dxa"/>
            <w:tcBorders>
              <w:top w:val="single" w:sz="4" w:space="0" w:color="auto"/>
            </w:tcBorders>
          </w:tcPr>
          <w:p w14:paraId="3F4B8BAE" w14:textId="77777777" w:rsidR="000F16EB" w:rsidRDefault="000F16EB" w:rsidP="00A7521D">
            <w:pPr>
              <w:jc w:val="center"/>
            </w:pPr>
            <w:r>
              <w:t>Services</w:t>
            </w:r>
          </w:p>
        </w:tc>
        <w:tc>
          <w:tcPr>
            <w:tcW w:w="1008" w:type="dxa"/>
            <w:tcBorders>
              <w:top w:val="single" w:sz="4" w:space="0" w:color="auto"/>
            </w:tcBorders>
          </w:tcPr>
          <w:p w14:paraId="503A6E5F" w14:textId="77777777" w:rsidR="000F16EB" w:rsidRDefault="000F16EB" w:rsidP="00A7521D">
            <w:pPr>
              <w:jc w:val="center"/>
            </w:pPr>
            <w:r>
              <w:t>Industry</w:t>
            </w:r>
          </w:p>
        </w:tc>
        <w:tc>
          <w:tcPr>
            <w:tcW w:w="938" w:type="dxa"/>
            <w:tcBorders>
              <w:top w:val="single" w:sz="4" w:space="0" w:color="auto"/>
            </w:tcBorders>
          </w:tcPr>
          <w:p w14:paraId="6CA91C62" w14:textId="77777777" w:rsidR="000F16EB" w:rsidRDefault="000F16EB" w:rsidP="00A7521D">
            <w:pPr>
              <w:jc w:val="center"/>
            </w:pPr>
            <w:r>
              <w:t>Total</w:t>
            </w:r>
          </w:p>
        </w:tc>
      </w:tr>
      <w:tr w:rsidR="000F16EB" w14:paraId="0D03A325" w14:textId="77777777" w:rsidTr="00A7521D">
        <w:trPr>
          <w:jc w:val="center"/>
        </w:trPr>
        <w:tc>
          <w:tcPr>
            <w:tcW w:w="1956" w:type="dxa"/>
            <w:tcBorders>
              <w:bottom w:val="single" w:sz="4" w:space="0" w:color="auto"/>
            </w:tcBorders>
          </w:tcPr>
          <w:p w14:paraId="1CB03624" w14:textId="77777777" w:rsidR="000F16EB" w:rsidRDefault="000F16EB" w:rsidP="00A7521D">
            <w:pPr>
              <w:jc w:val="center"/>
            </w:pPr>
          </w:p>
        </w:tc>
        <w:tc>
          <w:tcPr>
            <w:tcW w:w="3944" w:type="dxa"/>
            <w:gridSpan w:val="4"/>
            <w:tcBorders>
              <w:bottom w:val="single" w:sz="4" w:space="0" w:color="auto"/>
            </w:tcBorders>
          </w:tcPr>
          <w:p w14:paraId="2F19D4C0" w14:textId="77777777" w:rsidR="000F16EB" w:rsidRDefault="000F16EB" w:rsidP="00A7521D">
            <w:pPr>
              <w:jc w:val="center"/>
            </w:pPr>
            <w:r>
              <w:t>(Thousand tonnes of oil equivalent)</w:t>
            </w:r>
          </w:p>
        </w:tc>
      </w:tr>
      <w:tr w:rsidR="000F16EB" w14:paraId="550F3110" w14:textId="77777777" w:rsidTr="00A7521D">
        <w:trPr>
          <w:jc w:val="center"/>
        </w:trPr>
        <w:tc>
          <w:tcPr>
            <w:tcW w:w="1956" w:type="dxa"/>
            <w:tcBorders>
              <w:top w:val="single" w:sz="4" w:space="0" w:color="auto"/>
            </w:tcBorders>
          </w:tcPr>
          <w:p w14:paraId="5F966A4D" w14:textId="77777777" w:rsidR="000F16EB" w:rsidRDefault="000F16EB" w:rsidP="00A7521D">
            <w:pPr>
              <w:jc w:val="center"/>
            </w:pPr>
            <w:r>
              <w:t>Space heating</w:t>
            </w:r>
          </w:p>
        </w:tc>
        <w:tc>
          <w:tcPr>
            <w:tcW w:w="1056" w:type="dxa"/>
            <w:tcBorders>
              <w:top w:val="single" w:sz="4" w:space="0" w:color="auto"/>
            </w:tcBorders>
          </w:tcPr>
          <w:p w14:paraId="2878FE17" w14:textId="77777777" w:rsidR="000F16EB" w:rsidRDefault="000F16EB" w:rsidP="00A7521D">
            <w:pPr>
              <w:jc w:val="center"/>
            </w:pPr>
            <w:r>
              <w:t>28,728</w:t>
            </w:r>
          </w:p>
        </w:tc>
        <w:tc>
          <w:tcPr>
            <w:tcW w:w="942" w:type="dxa"/>
            <w:tcBorders>
              <w:top w:val="single" w:sz="4" w:space="0" w:color="auto"/>
            </w:tcBorders>
          </w:tcPr>
          <w:p w14:paraId="44B88455" w14:textId="77777777" w:rsidR="000F16EB" w:rsidRDefault="000F16EB" w:rsidP="00A7521D">
            <w:pPr>
              <w:jc w:val="center"/>
            </w:pPr>
            <w:r>
              <w:t>10,084</w:t>
            </w:r>
          </w:p>
        </w:tc>
        <w:tc>
          <w:tcPr>
            <w:tcW w:w="1008" w:type="dxa"/>
            <w:tcBorders>
              <w:top w:val="single" w:sz="4" w:space="0" w:color="auto"/>
            </w:tcBorders>
          </w:tcPr>
          <w:p w14:paraId="75B991C2" w14:textId="77777777" w:rsidR="000F16EB" w:rsidRDefault="000F16EB" w:rsidP="00A7521D">
            <w:pPr>
              <w:jc w:val="center"/>
            </w:pPr>
            <w:r>
              <w:t>3,109</w:t>
            </w:r>
          </w:p>
        </w:tc>
        <w:tc>
          <w:tcPr>
            <w:tcW w:w="938" w:type="dxa"/>
            <w:tcBorders>
              <w:top w:val="single" w:sz="4" w:space="0" w:color="auto"/>
            </w:tcBorders>
          </w:tcPr>
          <w:p w14:paraId="6B19BA5B" w14:textId="77777777" w:rsidR="000F16EB" w:rsidRDefault="000F16EB" w:rsidP="00A7521D">
            <w:pPr>
              <w:jc w:val="center"/>
            </w:pPr>
            <w:r>
              <w:t>41,922</w:t>
            </w:r>
          </w:p>
        </w:tc>
      </w:tr>
      <w:tr w:rsidR="000F16EB" w14:paraId="4140E60C" w14:textId="77777777" w:rsidTr="00A7521D">
        <w:trPr>
          <w:jc w:val="center"/>
        </w:trPr>
        <w:tc>
          <w:tcPr>
            <w:tcW w:w="1956" w:type="dxa"/>
          </w:tcPr>
          <w:p w14:paraId="42DA2454" w14:textId="77777777" w:rsidR="000F16EB" w:rsidRDefault="000F16EB" w:rsidP="00A7521D">
            <w:pPr>
              <w:jc w:val="center"/>
            </w:pPr>
            <w:r>
              <w:t>Water heating</w:t>
            </w:r>
          </w:p>
        </w:tc>
        <w:tc>
          <w:tcPr>
            <w:tcW w:w="1056" w:type="dxa"/>
          </w:tcPr>
          <w:p w14:paraId="45B08B79" w14:textId="77777777" w:rsidR="000F16EB" w:rsidRDefault="000F16EB" w:rsidP="00A7521D">
            <w:pPr>
              <w:jc w:val="center"/>
            </w:pPr>
            <w:r>
              <w:t>7,494</w:t>
            </w:r>
          </w:p>
        </w:tc>
        <w:tc>
          <w:tcPr>
            <w:tcW w:w="942" w:type="dxa"/>
          </w:tcPr>
          <w:p w14:paraId="20E37C72" w14:textId="77777777" w:rsidR="000F16EB" w:rsidRDefault="000F16EB" w:rsidP="00A7521D">
            <w:pPr>
              <w:jc w:val="center"/>
            </w:pPr>
            <w:r>
              <w:t>1,953</w:t>
            </w:r>
          </w:p>
        </w:tc>
        <w:tc>
          <w:tcPr>
            <w:tcW w:w="1008" w:type="dxa"/>
          </w:tcPr>
          <w:p w14:paraId="5229F2EF" w14:textId="77777777" w:rsidR="000F16EB" w:rsidRDefault="000F16EB" w:rsidP="00A7521D">
            <w:pPr>
              <w:jc w:val="center"/>
            </w:pPr>
            <w:r>
              <w:t>-</w:t>
            </w:r>
          </w:p>
        </w:tc>
        <w:tc>
          <w:tcPr>
            <w:tcW w:w="938" w:type="dxa"/>
          </w:tcPr>
          <w:p w14:paraId="2E59ACA4" w14:textId="77777777" w:rsidR="000F16EB" w:rsidRDefault="000F16EB" w:rsidP="00A7521D">
            <w:pPr>
              <w:jc w:val="center"/>
            </w:pPr>
            <w:r>
              <w:t>9,447</w:t>
            </w:r>
          </w:p>
        </w:tc>
      </w:tr>
      <w:tr w:rsidR="000F16EB" w14:paraId="2EC1FCBF" w14:textId="77777777" w:rsidTr="00A7521D">
        <w:trPr>
          <w:jc w:val="center"/>
        </w:trPr>
        <w:tc>
          <w:tcPr>
            <w:tcW w:w="1956" w:type="dxa"/>
          </w:tcPr>
          <w:p w14:paraId="71C6255C" w14:textId="77777777" w:rsidR="000F16EB" w:rsidRDefault="000F16EB" w:rsidP="00A7521D">
            <w:pPr>
              <w:jc w:val="center"/>
            </w:pPr>
            <w:r>
              <w:t>Process use</w:t>
            </w:r>
          </w:p>
        </w:tc>
        <w:tc>
          <w:tcPr>
            <w:tcW w:w="1056" w:type="dxa"/>
          </w:tcPr>
          <w:p w14:paraId="599433CE" w14:textId="77777777" w:rsidR="000F16EB" w:rsidRDefault="000F16EB" w:rsidP="00A7521D">
            <w:pPr>
              <w:jc w:val="center"/>
            </w:pPr>
            <w:r>
              <w:t>-</w:t>
            </w:r>
          </w:p>
        </w:tc>
        <w:tc>
          <w:tcPr>
            <w:tcW w:w="942" w:type="dxa"/>
          </w:tcPr>
          <w:p w14:paraId="25944991" w14:textId="77777777" w:rsidR="000F16EB" w:rsidRDefault="000F16EB" w:rsidP="00A7521D">
            <w:pPr>
              <w:jc w:val="center"/>
            </w:pPr>
            <w:r>
              <w:t>-</w:t>
            </w:r>
          </w:p>
        </w:tc>
        <w:tc>
          <w:tcPr>
            <w:tcW w:w="1008" w:type="dxa"/>
          </w:tcPr>
          <w:p w14:paraId="44D71073" w14:textId="77777777" w:rsidR="000F16EB" w:rsidRDefault="000F16EB" w:rsidP="00A7521D">
            <w:pPr>
              <w:jc w:val="center"/>
            </w:pPr>
            <w:r>
              <w:t>9,082</w:t>
            </w:r>
          </w:p>
        </w:tc>
        <w:tc>
          <w:tcPr>
            <w:tcW w:w="938" w:type="dxa"/>
          </w:tcPr>
          <w:p w14:paraId="099EDE47" w14:textId="77777777" w:rsidR="000F16EB" w:rsidRDefault="000F16EB" w:rsidP="00A7521D">
            <w:pPr>
              <w:jc w:val="center"/>
            </w:pPr>
            <w:r>
              <w:t>9,082</w:t>
            </w:r>
          </w:p>
        </w:tc>
      </w:tr>
      <w:tr w:rsidR="000F16EB" w14:paraId="0DD492FB" w14:textId="77777777" w:rsidTr="00A7521D">
        <w:trPr>
          <w:jc w:val="center"/>
        </w:trPr>
        <w:tc>
          <w:tcPr>
            <w:tcW w:w="1956" w:type="dxa"/>
          </w:tcPr>
          <w:p w14:paraId="6309F2A4" w14:textId="77777777" w:rsidR="000F16EB" w:rsidRDefault="000F16EB" w:rsidP="00A7521D">
            <w:pPr>
              <w:jc w:val="center"/>
            </w:pPr>
            <w:r>
              <w:t>Cooking/ catering</w:t>
            </w:r>
          </w:p>
        </w:tc>
        <w:tc>
          <w:tcPr>
            <w:tcW w:w="1056" w:type="dxa"/>
          </w:tcPr>
          <w:p w14:paraId="0FAE73D1" w14:textId="77777777" w:rsidR="000F16EB" w:rsidRDefault="000F16EB" w:rsidP="00A7521D">
            <w:pPr>
              <w:jc w:val="center"/>
            </w:pPr>
            <w:r>
              <w:t>1,108</w:t>
            </w:r>
          </w:p>
        </w:tc>
        <w:tc>
          <w:tcPr>
            <w:tcW w:w="942" w:type="dxa"/>
          </w:tcPr>
          <w:p w14:paraId="329DE488" w14:textId="77777777" w:rsidR="000F16EB" w:rsidRDefault="000F16EB" w:rsidP="00A7521D">
            <w:pPr>
              <w:jc w:val="center"/>
            </w:pPr>
            <w:r>
              <w:t>2,042</w:t>
            </w:r>
          </w:p>
        </w:tc>
        <w:tc>
          <w:tcPr>
            <w:tcW w:w="1008" w:type="dxa"/>
          </w:tcPr>
          <w:p w14:paraId="6E54F372" w14:textId="77777777" w:rsidR="000F16EB" w:rsidRDefault="000F16EB" w:rsidP="00A7521D">
            <w:pPr>
              <w:jc w:val="center"/>
            </w:pPr>
            <w:r>
              <w:t>-</w:t>
            </w:r>
          </w:p>
        </w:tc>
        <w:tc>
          <w:tcPr>
            <w:tcW w:w="938" w:type="dxa"/>
          </w:tcPr>
          <w:p w14:paraId="4C0C458A" w14:textId="77777777" w:rsidR="000F16EB" w:rsidRDefault="000F16EB" w:rsidP="00A7521D">
            <w:pPr>
              <w:jc w:val="center"/>
            </w:pPr>
            <w:r>
              <w:t>3,150</w:t>
            </w:r>
          </w:p>
        </w:tc>
      </w:tr>
      <w:tr w:rsidR="000F16EB" w14:paraId="30C41C14" w14:textId="77777777" w:rsidTr="00A7521D">
        <w:trPr>
          <w:jc w:val="center"/>
        </w:trPr>
        <w:tc>
          <w:tcPr>
            <w:tcW w:w="1956" w:type="dxa"/>
            <w:tcBorders>
              <w:bottom w:val="single" w:sz="4" w:space="0" w:color="auto"/>
            </w:tcBorders>
          </w:tcPr>
          <w:p w14:paraId="2F17647A" w14:textId="77777777" w:rsidR="000F16EB" w:rsidRDefault="000F16EB" w:rsidP="00A7521D">
            <w:pPr>
              <w:jc w:val="center"/>
            </w:pPr>
            <w:r>
              <w:t>Drying/ separation</w:t>
            </w:r>
          </w:p>
        </w:tc>
        <w:tc>
          <w:tcPr>
            <w:tcW w:w="1056" w:type="dxa"/>
            <w:tcBorders>
              <w:bottom w:val="single" w:sz="4" w:space="0" w:color="auto"/>
            </w:tcBorders>
          </w:tcPr>
          <w:p w14:paraId="2F766620" w14:textId="77777777" w:rsidR="000F16EB" w:rsidRDefault="000F16EB" w:rsidP="00A7521D">
            <w:pPr>
              <w:jc w:val="center"/>
            </w:pPr>
            <w:r>
              <w:t>-</w:t>
            </w:r>
          </w:p>
        </w:tc>
        <w:tc>
          <w:tcPr>
            <w:tcW w:w="942" w:type="dxa"/>
            <w:tcBorders>
              <w:bottom w:val="single" w:sz="4" w:space="0" w:color="auto"/>
            </w:tcBorders>
          </w:tcPr>
          <w:p w14:paraId="6C38B03D" w14:textId="77777777" w:rsidR="000F16EB" w:rsidRDefault="000F16EB" w:rsidP="00A7521D">
            <w:pPr>
              <w:jc w:val="center"/>
            </w:pPr>
            <w:r>
              <w:t>-</w:t>
            </w:r>
          </w:p>
        </w:tc>
        <w:tc>
          <w:tcPr>
            <w:tcW w:w="1008" w:type="dxa"/>
            <w:tcBorders>
              <w:bottom w:val="single" w:sz="4" w:space="0" w:color="auto"/>
            </w:tcBorders>
          </w:tcPr>
          <w:p w14:paraId="55CE1376" w14:textId="77777777" w:rsidR="000F16EB" w:rsidRDefault="000F16EB" w:rsidP="00A7521D">
            <w:pPr>
              <w:jc w:val="center"/>
            </w:pPr>
            <w:r>
              <w:t>1,762</w:t>
            </w:r>
          </w:p>
        </w:tc>
        <w:tc>
          <w:tcPr>
            <w:tcW w:w="938" w:type="dxa"/>
            <w:tcBorders>
              <w:bottom w:val="single" w:sz="4" w:space="0" w:color="auto"/>
            </w:tcBorders>
          </w:tcPr>
          <w:p w14:paraId="5DCD8715" w14:textId="77777777" w:rsidR="000F16EB" w:rsidRDefault="000F16EB" w:rsidP="00A7521D">
            <w:pPr>
              <w:jc w:val="center"/>
            </w:pPr>
            <w:r>
              <w:t>1,762</w:t>
            </w:r>
          </w:p>
        </w:tc>
      </w:tr>
      <w:tr w:rsidR="000F16EB" w14:paraId="43DDF243" w14:textId="77777777" w:rsidTr="00A7521D">
        <w:trPr>
          <w:jc w:val="center"/>
        </w:trPr>
        <w:tc>
          <w:tcPr>
            <w:tcW w:w="1956" w:type="dxa"/>
            <w:tcBorders>
              <w:top w:val="single" w:sz="4" w:space="0" w:color="auto"/>
            </w:tcBorders>
          </w:tcPr>
          <w:p w14:paraId="6E75F0DF" w14:textId="77777777" w:rsidR="000F16EB" w:rsidRDefault="000F16EB" w:rsidP="00A7521D">
            <w:pPr>
              <w:jc w:val="center"/>
            </w:pPr>
            <w:r>
              <w:t>Heat total</w:t>
            </w:r>
          </w:p>
        </w:tc>
        <w:tc>
          <w:tcPr>
            <w:tcW w:w="1056" w:type="dxa"/>
            <w:tcBorders>
              <w:top w:val="single" w:sz="4" w:space="0" w:color="auto"/>
            </w:tcBorders>
          </w:tcPr>
          <w:p w14:paraId="3DA69166" w14:textId="77777777" w:rsidR="000F16EB" w:rsidRDefault="000F16EB" w:rsidP="00A7521D">
            <w:pPr>
              <w:jc w:val="center"/>
            </w:pPr>
            <w:r>
              <w:t>37,330</w:t>
            </w:r>
          </w:p>
        </w:tc>
        <w:tc>
          <w:tcPr>
            <w:tcW w:w="942" w:type="dxa"/>
            <w:tcBorders>
              <w:top w:val="single" w:sz="4" w:space="0" w:color="auto"/>
            </w:tcBorders>
          </w:tcPr>
          <w:p w14:paraId="3A24CF98" w14:textId="77777777" w:rsidR="000F16EB" w:rsidRDefault="000F16EB" w:rsidP="00A7521D">
            <w:pPr>
              <w:jc w:val="center"/>
            </w:pPr>
            <w:r>
              <w:t>14,079</w:t>
            </w:r>
          </w:p>
        </w:tc>
        <w:tc>
          <w:tcPr>
            <w:tcW w:w="1008" w:type="dxa"/>
            <w:tcBorders>
              <w:top w:val="single" w:sz="4" w:space="0" w:color="auto"/>
            </w:tcBorders>
          </w:tcPr>
          <w:p w14:paraId="313CD662" w14:textId="77777777" w:rsidR="000F16EB" w:rsidRDefault="000F16EB" w:rsidP="00A7521D">
            <w:pPr>
              <w:jc w:val="center"/>
            </w:pPr>
            <w:r>
              <w:t>13,954</w:t>
            </w:r>
          </w:p>
        </w:tc>
        <w:tc>
          <w:tcPr>
            <w:tcW w:w="938" w:type="dxa"/>
            <w:tcBorders>
              <w:top w:val="single" w:sz="4" w:space="0" w:color="auto"/>
            </w:tcBorders>
          </w:tcPr>
          <w:p w14:paraId="05F9311E" w14:textId="77777777" w:rsidR="000F16EB" w:rsidRDefault="000F16EB" w:rsidP="00A7521D">
            <w:pPr>
              <w:jc w:val="center"/>
            </w:pPr>
            <w:r>
              <w:t>65,363</w:t>
            </w:r>
          </w:p>
        </w:tc>
      </w:tr>
      <w:tr w:rsidR="000F16EB" w14:paraId="35AF9DAB" w14:textId="77777777" w:rsidTr="00A7521D">
        <w:trPr>
          <w:jc w:val="center"/>
        </w:trPr>
        <w:tc>
          <w:tcPr>
            <w:tcW w:w="1956" w:type="dxa"/>
            <w:tcBorders>
              <w:bottom w:val="single" w:sz="4" w:space="0" w:color="auto"/>
            </w:tcBorders>
          </w:tcPr>
          <w:p w14:paraId="34A3CE2E" w14:textId="77777777" w:rsidR="000F16EB" w:rsidRDefault="000F16EB" w:rsidP="00A7521D">
            <w:pPr>
              <w:jc w:val="center"/>
            </w:pPr>
            <w:r>
              <w:t>Non-heat total</w:t>
            </w:r>
          </w:p>
        </w:tc>
        <w:tc>
          <w:tcPr>
            <w:tcW w:w="1056" w:type="dxa"/>
            <w:tcBorders>
              <w:bottom w:val="single" w:sz="4" w:space="0" w:color="auto"/>
            </w:tcBorders>
          </w:tcPr>
          <w:p w14:paraId="0B298C63" w14:textId="77777777" w:rsidR="000F16EB" w:rsidRDefault="000F16EB" w:rsidP="00A7521D">
            <w:pPr>
              <w:jc w:val="center"/>
            </w:pPr>
            <w:r>
              <w:t>6,464</w:t>
            </w:r>
          </w:p>
        </w:tc>
        <w:tc>
          <w:tcPr>
            <w:tcW w:w="942" w:type="dxa"/>
            <w:tcBorders>
              <w:bottom w:val="single" w:sz="4" w:space="0" w:color="auto"/>
            </w:tcBorders>
          </w:tcPr>
          <w:p w14:paraId="53FB64FD" w14:textId="77777777" w:rsidR="000F16EB" w:rsidRDefault="000F16EB" w:rsidP="00A7521D">
            <w:pPr>
              <w:jc w:val="center"/>
            </w:pPr>
            <w:r>
              <w:t>6,006</w:t>
            </w:r>
          </w:p>
        </w:tc>
        <w:tc>
          <w:tcPr>
            <w:tcW w:w="1008" w:type="dxa"/>
            <w:tcBorders>
              <w:bottom w:val="single" w:sz="4" w:space="0" w:color="auto"/>
            </w:tcBorders>
          </w:tcPr>
          <w:p w14:paraId="6E5E327F" w14:textId="77777777" w:rsidR="000F16EB" w:rsidRDefault="000F16EB" w:rsidP="00A7521D">
            <w:pPr>
              <w:jc w:val="center"/>
            </w:pPr>
            <w:r>
              <w:t>5,535</w:t>
            </w:r>
          </w:p>
        </w:tc>
        <w:tc>
          <w:tcPr>
            <w:tcW w:w="938" w:type="dxa"/>
            <w:tcBorders>
              <w:bottom w:val="single" w:sz="4" w:space="0" w:color="auto"/>
            </w:tcBorders>
          </w:tcPr>
          <w:p w14:paraId="2EC42441" w14:textId="77777777" w:rsidR="000F16EB" w:rsidRDefault="000F16EB" w:rsidP="00A7521D">
            <w:pPr>
              <w:jc w:val="center"/>
            </w:pPr>
            <w:r>
              <w:t>18,005</w:t>
            </w:r>
          </w:p>
        </w:tc>
      </w:tr>
      <w:tr w:rsidR="000F16EB" w14:paraId="31A30128" w14:textId="77777777" w:rsidTr="00A7521D">
        <w:trPr>
          <w:jc w:val="center"/>
        </w:trPr>
        <w:tc>
          <w:tcPr>
            <w:tcW w:w="1956" w:type="dxa"/>
            <w:tcBorders>
              <w:top w:val="single" w:sz="4" w:space="0" w:color="auto"/>
              <w:bottom w:val="single" w:sz="4" w:space="0" w:color="auto"/>
            </w:tcBorders>
          </w:tcPr>
          <w:p w14:paraId="2D406A9C" w14:textId="77777777" w:rsidR="000F16EB" w:rsidRDefault="000F16EB" w:rsidP="00A7521D">
            <w:pPr>
              <w:jc w:val="center"/>
            </w:pPr>
            <w:r>
              <w:t>Total</w:t>
            </w:r>
          </w:p>
        </w:tc>
        <w:tc>
          <w:tcPr>
            <w:tcW w:w="1056" w:type="dxa"/>
            <w:tcBorders>
              <w:top w:val="single" w:sz="4" w:space="0" w:color="auto"/>
              <w:bottom w:val="single" w:sz="4" w:space="0" w:color="auto"/>
            </w:tcBorders>
          </w:tcPr>
          <w:p w14:paraId="1B46B313" w14:textId="77777777" w:rsidR="000F16EB" w:rsidRDefault="000F16EB" w:rsidP="00A7521D">
            <w:pPr>
              <w:jc w:val="center"/>
            </w:pPr>
            <w:r>
              <w:t>43,794</w:t>
            </w:r>
          </w:p>
        </w:tc>
        <w:tc>
          <w:tcPr>
            <w:tcW w:w="942" w:type="dxa"/>
            <w:tcBorders>
              <w:top w:val="single" w:sz="4" w:space="0" w:color="auto"/>
              <w:bottom w:val="single" w:sz="4" w:space="0" w:color="auto"/>
            </w:tcBorders>
          </w:tcPr>
          <w:p w14:paraId="02508F90" w14:textId="77777777" w:rsidR="000F16EB" w:rsidRDefault="000F16EB" w:rsidP="00A7521D">
            <w:pPr>
              <w:jc w:val="center"/>
            </w:pPr>
            <w:r>
              <w:t>20,085</w:t>
            </w:r>
          </w:p>
        </w:tc>
        <w:tc>
          <w:tcPr>
            <w:tcW w:w="1008" w:type="dxa"/>
            <w:tcBorders>
              <w:top w:val="single" w:sz="4" w:space="0" w:color="auto"/>
              <w:bottom w:val="single" w:sz="4" w:space="0" w:color="auto"/>
            </w:tcBorders>
          </w:tcPr>
          <w:p w14:paraId="67A02881" w14:textId="77777777" w:rsidR="000F16EB" w:rsidRDefault="000F16EB" w:rsidP="00A7521D">
            <w:pPr>
              <w:jc w:val="center"/>
            </w:pPr>
            <w:r>
              <w:t>19,489</w:t>
            </w:r>
          </w:p>
        </w:tc>
        <w:tc>
          <w:tcPr>
            <w:tcW w:w="938" w:type="dxa"/>
            <w:tcBorders>
              <w:top w:val="single" w:sz="4" w:space="0" w:color="auto"/>
              <w:bottom w:val="single" w:sz="4" w:space="0" w:color="auto"/>
            </w:tcBorders>
          </w:tcPr>
          <w:p w14:paraId="063EC89E" w14:textId="77777777" w:rsidR="000F16EB" w:rsidRDefault="000F16EB" w:rsidP="00A7521D">
            <w:pPr>
              <w:jc w:val="center"/>
            </w:pPr>
            <w:r>
              <w:t>83,368</w:t>
            </w:r>
          </w:p>
        </w:tc>
      </w:tr>
      <w:tr w:rsidR="000F16EB" w14:paraId="12FB9637" w14:textId="77777777" w:rsidTr="00A7521D">
        <w:trPr>
          <w:jc w:val="center"/>
        </w:trPr>
        <w:tc>
          <w:tcPr>
            <w:tcW w:w="1956" w:type="dxa"/>
            <w:tcBorders>
              <w:top w:val="single" w:sz="4" w:space="0" w:color="auto"/>
              <w:bottom w:val="single" w:sz="4" w:space="0" w:color="auto"/>
            </w:tcBorders>
          </w:tcPr>
          <w:p w14:paraId="5570385E" w14:textId="77777777" w:rsidR="000F16EB" w:rsidRDefault="000F16EB" w:rsidP="00A7521D">
            <w:pPr>
              <w:jc w:val="center"/>
            </w:pPr>
            <w:r>
              <w:t>Percentage used for heating (%)</w:t>
            </w:r>
          </w:p>
        </w:tc>
        <w:tc>
          <w:tcPr>
            <w:tcW w:w="1056" w:type="dxa"/>
            <w:tcBorders>
              <w:top w:val="single" w:sz="4" w:space="0" w:color="auto"/>
              <w:bottom w:val="single" w:sz="4" w:space="0" w:color="auto"/>
            </w:tcBorders>
          </w:tcPr>
          <w:p w14:paraId="4D2F4A03" w14:textId="77777777" w:rsidR="000F16EB" w:rsidRDefault="000F16EB" w:rsidP="00A7521D">
            <w:pPr>
              <w:jc w:val="center"/>
            </w:pPr>
            <w:r>
              <w:t>85</w:t>
            </w:r>
          </w:p>
        </w:tc>
        <w:tc>
          <w:tcPr>
            <w:tcW w:w="942" w:type="dxa"/>
            <w:tcBorders>
              <w:top w:val="single" w:sz="4" w:space="0" w:color="auto"/>
              <w:bottom w:val="single" w:sz="4" w:space="0" w:color="auto"/>
            </w:tcBorders>
          </w:tcPr>
          <w:p w14:paraId="2A372318" w14:textId="77777777" w:rsidR="000F16EB" w:rsidRDefault="000F16EB" w:rsidP="00A7521D">
            <w:pPr>
              <w:jc w:val="center"/>
            </w:pPr>
            <w:r>
              <w:t>70</w:t>
            </w:r>
          </w:p>
        </w:tc>
        <w:tc>
          <w:tcPr>
            <w:tcW w:w="1008" w:type="dxa"/>
            <w:tcBorders>
              <w:top w:val="single" w:sz="4" w:space="0" w:color="auto"/>
              <w:bottom w:val="single" w:sz="4" w:space="0" w:color="auto"/>
            </w:tcBorders>
          </w:tcPr>
          <w:p w14:paraId="204A0692" w14:textId="77777777" w:rsidR="000F16EB" w:rsidRDefault="000F16EB" w:rsidP="00A7521D">
            <w:pPr>
              <w:jc w:val="center"/>
            </w:pPr>
            <w:r>
              <w:t>72</w:t>
            </w:r>
          </w:p>
        </w:tc>
        <w:tc>
          <w:tcPr>
            <w:tcW w:w="938" w:type="dxa"/>
            <w:tcBorders>
              <w:top w:val="single" w:sz="4" w:space="0" w:color="auto"/>
              <w:bottom w:val="single" w:sz="4" w:space="0" w:color="auto"/>
            </w:tcBorders>
          </w:tcPr>
          <w:p w14:paraId="52EAC104" w14:textId="77777777" w:rsidR="000F16EB" w:rsidRDefault="000F16EB" w:rsidP="00A7521D">
            <w:pPr>
              <w:jc w:val="center"/>
            </w:pPr>
            <w:r>
              <w:t>78</w:t>
            </w:r>
          </w:p>
        </w:tc>
      </w:tr>
    </w:tbl>
    <w:p w14:paraId="58BE74B3" w14:textId="77777777" w:rsidR="000F16EB" w:rsidRDefault="000F16EB" w:rsidP="00196CD6">
      <w:pPr>
        <w:pStyle w:val="NoSpacing"/>
      </w:pPr>
    </w:p>
    <w:p w14:paraId="1D8FE420" w14:textId="04C9E634" w:rsidR="000F16EB" w:rsidRPr="006A2F34" w:rsidRDefault="000F16EB" w:rsidP="000F16EB">
      <w:pPr>
        <w:rPr>
          <w:b/>
        </w:rPr>
      </w:pPr>
      <w:r>
        <w:t xml:space="preserve">In the UK, DH only supplies approximately 2%, or 12,000 GWh per year, of the total countries HD </w:t>
      </w:r>
      <w:r>
        <w:fldChar w:fldCharType="begin" w:fldLock="1"/>
      </w:r>
      <w:r w:rsidR="002A6A73">
        <w:instrText>ADDIN CSL_CITATION {"citationItems":[{"id":"ITEM-1","itemData":{"author":[{"dropping-particle":"","family":"DECC","given":"","non-dropping-particle":"","parse-names":false,"suffix":""}],"id":"ITEM-1","issue":"January","issued":{"date-parts":[["2015"]]},"publisher-place":"London, England","title":"Delivering UK Energy Investment: Networks Contents","type":"report"},"uris":["http://www.mendeley.com/documents/?uuid=53df8b1d-7a4d-4fff-a418-eda1f92406ce"]}],"mendeley":{"formattedCitation":"(DECC, 2015b)","plainTextFormattedCitation":"(DECC, 2015b)","previouslyFormattedCitation":"(DECC, 2015b)"},"properties":{"noteIndex":0},"schema":"https://github.com/citation-style-language/schema/raw/master/csl-citation.json"}</w:instrText>
      </w:r>
      <w:r>
        <w:fldChar w:fldCharType="separate"/>
      </w:r>
      <w:r w:rsidR="002A6A73" w:rsidRPr="002A6A73">
        <w:rPr>
          <w:noProof/>
        </w:rPr>
        <w:t>(DECC, 2015b)</w:t>
      </w:r>
      <w:r>
        <w:fldChar w:fldCharType="end"/>
      </w:r>
      <w:r>
        <w:t>. The association for decentralised energy (ADE) estimate that DH could supply 14 – 20% of the HD by 2030 and 43% by 2050</w:t>
      </w:r>
      <w:r w:rsidR="00441038">
        <w:t xml:space="preserve"> </w:t>
      </w:r>
      <w:r w:rsidR="00441038">
        <w:fldChar w:fldCharType="begin" w:fldLock="1"/>
      </w:r>
      <w:r w:rsidR="00441038">
        <w:instrText>ADDIN CSL_CITATION {"citationItems":[{"id":"ITEM-1","itemData":{"author":[{"dropping-particle":"","family":"ADE","given":"","non-dropping-particle":"","parse-names":false,"suffix":""}],"id":"ITEM-1","issue":"January","issued":{"date-parts":[["2018"]]},"publisher-place":"London, England","title":"Market Report: Heat Networks in the UK","type":"report"},"uris":["http://www.mendeley.com/documents/?uuid=3b8be272-1b4d-43ea-bc6f-20c5ad7b1b4a"]}],"mendeley":{"formattedCitation":"(ADE, 2018)","plainTextFormattedCitation":"(ADE, 2018)","previouslyFormattedCitation":"(ADE, 2018)"},"properties":{"noteIndex":0},"schema":"https://github.com/citation-style-language/schema/raw/master/csl-citation.json"}</w:instrText>
      </w:r>
      <w:r w:rsidR="00441038">
        <w:fldChar w:fldCharType="separate"/>
      </w:r>
      <w:r w:rsidR="00441038" w:rsidRPr="002A6A73">
        <w:rPr>
          <w:noProof/>
        </w:rPr>
        <w:t>(ADE, 2018)</w:t>
      </w:r>
      <w:r w:rsidR="00441038">
        <w:fldChar w:fldCharType="end"/>
      </w:r>
      <w:r>
        <w:t xml:space="preserve">. The energy sources used by UK DHNs is split as follows: 56% is from gas, 32% is from efficient gas CHP, 10% is from biomass CHP/ boiler, 1% is from energy from waste, and 1% is from heat pumps. The UK has 1,765 DHNs, the sizes and average number of customers connected to the DHNs are shown in </w:t>
      </w:r>
      <w:r>
        <w:fldChar w:fldCharType="begin"/>
      </w:r>
      <w:r>
        <w:instrText xml:space="preserve"> REF _Ref521680848 \h </w:instrText>
      </w:r>
      <w:r>
        <w:fldChar w:fldCharType="separate"/>
      </w:r>
      <w:r w:rsidR="00CB7456" w:rsidRPr="006A2F34">
        <w:t xml:space="preserve">Table </w:t>
      </w:r>
      <w:r w:rsidR="00CB7456">
        <w:rPr>
          <w:noProof/>
        </w:rPr>
        <w:t>2</w:t>
      </w:r>
      <w:r w:rsidR="00CB7456">
        <w:t>.</w:t>
      </w:r>
      <w:r w:rsidR="00CB7456">
        <w:rPr>
          <w:noProof/>
        </w:rPr>
        <w:t>9</w:t>
      </w:r>
      <w:r>
        <w:fldChar w:fldCharType="end"/>
      </w:r>
      <w:r>
        <w:t xml:space="preserve"> </w:t>
      </w:r>
      <w:r>
        <w:fldChar w:fldCharType="begin" w:fldLock="1"/>
      </w:r>
      <w:r w:rsidR="002A6A73">
        <w:instrText>ADDIN CSL_CITATION {"citationItems":[{"id":"ITEM-1","itemData":{"author":[{"dropping-particle":"","family":"DECC","given":"","non-dropping-particle":"","parse-names":false,"suffix":""}],"id":"ITEM-1","issued":{"date-parts":[["2013"]]},"publisher-place":"London, England","title":"Summary evidence on District Heating Networks in the UK","type":"report"},"uris":["http://www.mendeley.com/documents/?uuid=0eb4787f-cdf7-422f-8b96-8d5fb3659dfe"]}],"mendeley":{"formattedCitation":"(DECC, 2013b)","plainTextFormattedCitation":"(DECC, 2013b)","previouslyFormattedCitation":"(DECC, 2013b)"},"properties":{"noteIndex":0},"schema":"https://github.com/citation-style-language/schema/raw/master/csl-citation.json"}</w:instrText>
      </w:r>
      <w:r>
        <w:fldChar w:fldCharType="separate"/>
      </w:r>
      <w:r w:rsidR="002A6A73" w:rsidRPr="002A6A73">
        <w:rPr>
          <w:noProof/>
        </w:rPr>
        <w:t>(DECC, 2013b)</w:t>
      </w:r>
      <w:r>
        <w:fldChar w:fldCharType="end"/>
      </w:r>
      <w:r>
        <w:t>.</w:t>
      </w:r>
    </w:p>
    <w:p w14:paraId="342F6516" w14:textId="0DBEE33B" w:rsidR="000F16EB" w:rsidRPr="006A2F34" w:rsidRDefault="000F16EB" w:rsidP="000F16EB">
      <w:pPr>
        <w:pStyle w:val="Caption"/>
        <w:keepNext/>
      </w:pPr>
      <w:bookmarkStart w:id="298" w:name="_Ref521680848"/>
      <w:bookmarkStart w:id="299" w:name="_Toc525230119"/>
      <w:bookmarkStart w:id="300" w:name="_Toc7187672"/>
      <w:r w:rsidRPr="006A2F34">
        <w:lastRenderedPageBreak/>
        <w:t xml:space="preserve">Table </w:t>
      </w:r>
      <w:fldSimple w:instr=" STYLEREF 1 \s ">
        <w:r w:rsidR="00CB7456">
          <w:rPr>
            <w:noProof/>
          </w:rPr>
          <w:t>2</w:t>
        </w:r>
      </w:fldSimple>
      <w:r w:rsidR="009E1A67">
        <w:t>.</w:t>
      </w:r>
      <w:fldSimple w:instr=" SEQ Table \* ARABIC \s 1 ">
        <w:r w:rsidR="00CB7456">
          <w:rPr>
            <w:noProof/>
          </w:rPr>
          <w:t>9</w:t>
        </w:r>
      </w:fldSimple>
      <w:bookmarkEnd w:id="298"/>
      <w:r>
        <w:t>:</w:t>
      </w:r>
      <w:r w:rsidRPr="006A2F34">
        <w:t xml:space="preserve"> Size and average number of customers connected to </w:t>
      </w:r>
      <w:r w:rsidRPr="00C106AF">
        <w:t xml:space="preserve">UK DHNs </w:t>
      </w:r>
      <w:r w:rsidRPr="0022640E">
        <w:fldChar w:fldCharType="begin" w:fldLock="1"/>
      </w:r>
      <w:r w:rsidR="002A6A73" w:rsidRPr="0022640E">
        <w:instrText>ADDIN CSL_CITATION {"citationItems":[{"id":"ITEM-1","itemData":{"author":[{"dropping-particle":"","family":"DECC","given":"","non-dropping-particle":"","parse-names":false,"suffix":""}],"id":"ITEM-1","issued":{"date-parts":[["2013"]]},"publisher-place":"London, England","title":"Summary evidence on District Heating Networks in the UK","type":"report"},"uris":["http://www.mendeley.com/documents/?uuid=0eb4787f-cdf7-422f-8b96-8d5fb3659dfe"]}],"mendeley":{"formattedCitation":"(DECC, 2013b)","plainTextFormattedCitation":"(DECC, 2013b)","previouslyFormattedCitation":"(DECC, 2013b)"},"properties":{"noteIndex":0},"schema":"https://github.com/citation-style-language/schema/raw/master/csl-citation.json"}</w:instrText>
      </w:r>
      <w:r w:rsidRPr="0022640E">
        <w:fldChar w:fldCharType="separate"/>
      </w:r>
      <w:r w:rsidR="002A6A73" w:rsidRPr="0022640E">
        <w:rPr>
          <w:noProof/>
        </w:rPr>
        <w:t>(DECC, 2013b)</w:t>
      </w:r>
      <w:r w:rsidRPr="0022640E">
        <w:fldChar w:fldCharType="end"/>
      </w:r>
      <w:r w:rsidRPr="0022640E">
        <w:t>.</w:t>
      </w:r>
      <w:bookmarkEnd w:id="299"/>
      <w:bookmarkEnd w:id="300"/>
    </w:p>
    <w:tbl>
      <w:tblPr>
        <w:tblStyle w:val="TableGrid"/>
        <w:tblW w:w="7230" w:type="dxa"/>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2"/>
        <w:gridCol w:w="1308"/>
        <w:gridCol w:w="1990"/>
        <w:gridCol w:w="2410"/>
      </w:tblGrid>
      <w:tr w:rsidR="000F16EB" w14:paraId="63BDB59E" w14:textId="77777777" w:rsidTr="00A7521D">
        <w:trPr>
          <w:jc w:val="center"/>
        </w:trPr>
        <w:tc>
          <w:tcPr>
            <w:tcW w:w="1522" w:type="dxa"/>
            <w:tcBorders>
              <w:bottom w:val="single" w:sz="4" w:space="0" w:color="auto"/>
            </w:tcBorders>
          </w:tcPr>
          <w:p w14:paraId="1945BF15" w14:textId="77777777" w:rsidR="000F16EB" w:rsidRDefault="000F16EB" w:rsidP="00A7521D">
            <w:pPr>
              <w:jc w:val="center"/>
            </w:pPr>
            <w:r>
              <w:t>Size category</w:t>
            </w:r>
          </w:p>
        </w:tc>
        <w:tc>
          <w:tcPr>
            <w:tcW w:w="1308" w:type="dxa"/>
            <w:tcBorders>
              <w:bottom w:val="single" w:sz="4" w:space="0" w:color="auto"/>
            </w:tcBorders>
          </w:tcPr>
          <w:p w14:paraId="23C0440D" w14:textId="77777777" w:rsidR="000F16EB" w:rsidRDefault="000F16EB" w:rsidP="00A7521D">
            <w:pPr>
              <w:jc w:val="center"/>
            </w:pPr>
            <w:r>
              <w:t>Number of networks</w:t>
            </w:r>
          </w:p>
        </w:tc>
        <w:tc>
          <w:tcPr>
            <w:tcW w:w="1990" w:type="dxa"/>
            <w:tcBorders>
              <w:bottom w:val="single" w:sz="4" w:space="0" w:color="auto"/>
            </w:tcBorders>
          </w:tcPr>
          <w:p w14:paraId="21FF5BC6" w14:textId="77777777" w:rsidR="000F16EB" w:rsidRDefault="000F16EB" w:rsidP="00A7521D">
            <w:pPr>
              <w:jc w:val="center"/>
            </w:pPr>
            <w:r>
              <w:t>Average number of domestic buildings per network</w:t>
            </w:r>
          </w:p>
        </w:tc>
        <w:tc>
          <w:tcPr>
            <w:tcW w:w="2410" w:type="dxa"/>
            <w:tcBorders>
              <w:bottom w:val="single" w:sz="4" w:space="0" w:color="auto"/>
            </w:tcBorders>
          </w:tcPr>
          <w:p w14:paraId="5C70857B" w14:textId="77777777" w:rsidR="000F16EB" w:rsidRDefault="000F16EB" w:rsidP="00A7521D">
            <w:pPr>
              <w:jc w:val="center"/>
            </w:pPr>
            <w:r>
              <w:t>Average number of non-domestic buildings per network</w:t>
            </w:r>
          </w:p>
        </w:tc>
      </w:tr>
      <w:tr w:rsidR="000F16EB" w14:paraId="5D817FF9" w14:textId="77777777" w:rsidTr="00A7521D">
        <w:trPr>
          <w:jc w:val="center"/>
        </w:trPr>
        <w:tc>
          <w:tcPr>
            <w:tcW w:w="1522" w:type="dxa"/>
            <w:tcBorders>
              <w:top w:val="single" w:sz="4" w:space="0" w:color="auto"/>
              <w:bottom w:val="nil"/>
            </w:tcBorders>
          </w:tcPr>
          <w:p w14:paraId="7FED6ADA" w14:textId="77777777" w:rsidR="000F16EB" w:rsidRDefault="000F16EB" w:rsidP="00A7521D">
            <w:pPr>
              <w:jc w:val="center"/>
            </w:pPr>
            <w:r>
              <w:t>Small</w:t>
            </w:r>
          </w:p>
        </w:tc>
        <w:tc>
          <w:tcPr>
            <w:tcW w:w="1308" w:type="dxa"/>
            <w:tcBorders>
              <w:top w:val="single" w:sz="4" w:space="0" w:color="auto"/>
              <w:bottom w:val="nil"/>
            </w:tcBorders>
          </w:tcPr>
          <w:p w14:paraId="52292215" w14:textId="77777777" w:rsidR="000F16EB" w:rsidRDefault="000F16EB" w:rsidP="00A7521D">
            <w:pPr>
              <w:jc w:val="center"/>
            </w:pPr>
            <w:r>
              <w:t>1,280</w:t>
            </w:r>
          </w:p>
        </w:tc>
        <w:tc>
          <w:tcPr>
            <w:tcW w:w="1990" w:type="dxa"/>
            <w:tcBorders>
              <w:top w:val="single" w:sz="4" w:space="0" w:color="auto"/>
              <w:bottom w:val="nil"/>
            </w:tcBorders>
          </w:tcPr>
          <w:p w14:paraId="0F0D6742" w14:textId="77777777" w:rsidR="000F16EB" w:rsidRDefault="000F16EB" w:rsidP="00A7521D">
            <w:pPr>
              <w:jc w:val="center"/>
            </w:pPr>
            <w:r>
              <w:t>35</w:t>
            </w:r>
          </w:p>
        </w:tc>
        <w:tc>
          <w:tcPr>
            <w:tcW w:w="2410" w:type="dxa"/>
            <w:tcBorders>
              <w:top w:val="single" w:sz="4" w:space="0" w:color="auto"/>
              <w:bottom w:val="nil"/>
            </w:tcBorders>
          </w:tcPr>
          <w:p w14:paraId="103F0A79" w14:textId="77777777" w:rsidR="000F16EB" w:rsidRDefault="000F16EB" w:rsidP="00A7521D">
            <w:pPr>
              <w:jc w:val="center"/>
            </w:pPr>
            <w:r>
              <w:t>-</w:t>
            </w:r>
          </w:p>
        </w:tc>
      </w:tr>
      <w:tr w:rsidR="000F16EB" w14:paraId="1BE8D62E" w14:textId="77777777" w:rsidTr="00A7521D">
        <w:trPr>
          <w:jc w:val="center"/>
        </w:trPr>
        <w:tc>
          <w:tcPr>
            <w:tcW w:w="1522" w:type="dxa"/>
            <w:tcBorders>
              <w:top w:val="nil"/>
            </w:tcBorders>
          </w:tcPr>
          <w:p w14:paraId="4C176041" w14:textId="77777777" w:rsidR="000F16EB" w:rsidRDefault="000F16EB" w:rsidP="00A7521D">
            <w:pPr>
              <w:jc w:val="center"/>
            </w:pPr>
            <w:r>
              <w:t>Medium</w:t>
            </w:r>
          </w:p>
        </w:tc>
        <w:tc>
          <w:tcPr>
            <w:tcW w:w="1308" w:type="dxa"/>
            <w:tcBorders>
              <w:top w:val="nil"/>
            </w:tcBorders>
          </w:tcPr>
          <w:p w14:paraId="37D46D90" w14:textId="77777777" w:rsidR="000F16EB" w:rsidRDefault="000F16EB" w:rsidP="00A7521D">
            <w:pPr>
              <w:jc w:val="center"/>
            </w:pPr>
            <w:r>
              <w:t>315</w:t>
            </w:r>
          </w:p>
        </w:tc>
        <w:tc>
          <w:tcPr>
            <w:tcW w:w="1990" w:type="dxa"/>
            <w:tcBorders>
              <w:top w:val="nil"/>
            </w:tcBorders>
          </w:tcPr>
          <w:p w14:paraId="6B7BFFE2" w14:textId="77777777" w:rsidR="000F16EB" w:rsidRDefault="000F16EB" w:rsidP="00A7521D">
            <w:pPr>
              <w:jc w:val="center"/>
            </w:pPr>
            <w:r>
              <w:t>190</w:t>
            </w:r>
          </w:p>
        </w:tc>
        <w:tc>
          <w:tcPr>
            <w:tcW w:w="2410" w:type="dxa"/>
            <w:tcBorders>
              <w:top w:val="nil"/>
            </w:tcBorders>
          </w:tcPr>
          <w:p w14:paraId="0F146163" w14:textId="77777777" w:rsidR="000F16EB" w:rsidRDefault="000F16EB" w:rsidP="00A7521D">
            <w:pPr>
              <w:jc w:val="center"/>
            </w:pPr>
            <w:r>
              <w:t>-</w:t>
            </w:r>
          </w:p>
        </w:tc>
      </w:tr>
      <w:tr w:rsidR="000F16EB" w14:paraId="1B4789F9" w14:textId="77777777" w:rsidTr="00A7521D">
        <w:trPr>
          <w:jc w:val="center"/>
        </w:trPr>
        <w:tc>
          <w:tcPr>
            <w:tcW w:w="1522" w:type="dxa"/>
          </w:tcPr>
          <w:p w14:paraId="4E6D5390" w14:textId="77777777" w:rsidR="000F16EB" w:rsidRDefault="000F16EB" w:rsidP="00A7521D">
            <w:pPr>
              <w:jc w:val="center"/>
            </w:pPr>
            <w:r>
              <w:t>Large</w:t>
            </w:r>
          </w:p>
        </w:tc>
        <w:tc>
          <w:tcPr>
            <w:tcW w:w="1308" w:type="dxa"/>
          </w:tcPr>
          <w:p w14:paraId="532BA5A3" w14:textId="77777777" w:rsidR="000F16EB" w:rsidRDefault="000F16EB" w:rsidP="00A7521D">
            <w:pPr>
              <w:jc w:val="center"/>
            </w:pPr>
            <w:r>
              <w:t>75</w:t>
            </w:r>
          </w:p>
        </w:tc>
        <w:tc>
          <w:tcPr>
            <w:tcW w:w="1990" w:type="dxa"/>
          </w:tcPr>
          <w:p w14:paraId="4C7E2E63" w14:textId="77777777" w:rsidR="000F16EB" w:rsidRDefault="000F16EB" w:rsidP="00A7521D">
            <w:pPr>
              <w:jc w:val="center"/>
            </w:pPr>
            <w:r>
              <w:t>1,035</w:t>
            </w:r>
          </w:p>
        </w:tc>
        <w:tc>
          <w:tcPr>
            <w:tcW w:w="2410" w:type="dxa"/>
          </w:tcPr>
          <w:p w14:paraId="1FC67371" w14:textId="77777777" w:rsidR="000F16EB" w:rsidRDefault="000F16EB" w:rsidP="00A7521D">
            <w:pPr>
              <w:jc w:val="center"/>
            </w:pPr>
            <w:r>
              <w:t>15</w:t>
            </w:r>
          </w:p>
        </w:tc>
      </w:tr>
      <w:tr w:rsidR="000F16EB" w14:paraId="05B0F57A" w14:textId="77777777" w:rsidTr="00A7521D">
        <w:trPr>
          <w:jc w:val="center"/>
        </w:trPr>
        <w:tc>
          <w:tcPr>
            <w:tcW w:w="1522" w:type="dxa"/>
          </w:tcPr>
          <w:p w14:paraId="2284D9B8" w14:textId="77777777" w:rsidR="000F16EB" w:rsidRDefault="000F16EB" w:rsidP="00A7521D">
            <w:pPr>
              <w:jc w:val="center"/>
            </w:pPr>
            <w:r>
              <w:t>Not classified</w:t>
            </w:r>
          </w:p>
        </w:tc>
        <w:tc>
          <w:tcPr>
            <w:tcW w:w="1308" w:type="dxa"/>
          </w:tcPr>
          <w:p w14:paraId="5DA12D87" w14:textId="77777777" w:rsidR="000F16EB" w:rsidRDefault="000F16EB" w:rsidP="00A7521D">
            <w:pPr>
              <w:jc w:val="center"/>
            </w:pPr>
            <w:r>
              <w:t>90</w:t>
            </w:r>
          </w:p>
        </w:tc>
        <w:tc>
          <w:tcPr>
            <w:tcW w:w="1990" w:type="dxa"/>
          </w:tcPr>
          <w:p w14:paraId="0B5C6B0A" w14:textId="77777777" w:rsidR="000F16EB" w:rsidRDefault="000F16EB" w:rsidP="00A7521D">
            <w:pPr>
              <w:jc w:val="center"/>
            </w:pPr>
            <w:r>
              <w:t>-</w:t>
            </w:r>
          </w:p>
        </w:tc>
        <w:tc>
          <w:tcPr>
            <w:tcW w:w="2410" w:type="dxa"/>
          </w:tcPr>
          <w:p w14:paraId="73830DAF" w14:textId="77777777" w:rsidR="000F16EB" w:rsidRDefault="000F16EB" w:rsidP="00A7521D">
            <w:pPr>
              <w:jc w:val="center"/>
            </w:pPr>
            <w:r>
              <w:t>-</w:t>
            </w:r>
          </w:p>
        </w:tc>
      </w:tr>
    </w:tbl>
    <w:p w14:paraId="70C60962" w14:textId="77777777" w:rsidR="000F16EB" w:rsidRDefault="000F16EB" w:rsidP="00196CD6">
      <w:pPr>
        <w:pStyle w:val="NoSpacing"/>
      </w:pPr>
    </w:p>
    <w:p w14:paraId="7862DA0D" w14:textId="502448D3" w:rsidR="000F16EB" w:rsidRDefault="000F16EB" w:rsidP="000F16EB">
      <w:r>
        <w:t xml:space="preserve">The cheapest sources of heat for UK DHNs are WH and solar thermal, the most expensive are anaerobic digestion CHP units and </w:t>
      </w:r>
      <w:proofErr w:type="spellStart"/>
      <w:r>
        <w:t>WtE</w:t>
      </w:r>
      <w:proofErr w:type="spellEnd"/>
      <w:r>
        <w:t xml:space="preserve"> incineration CHP units </w:t>
      </w:r>
      <w:r>
        <w:fldChar w:fldCharType="begin" w:fldLock="1"/>
      </w:r>
      <w:r w:rsidR="002A6A73">
        <w:instrText>ADDIN CSL_CITATION {"citationItems":[{"id":"ITEM-1","itemData":{"abstract":"Heat for homes, businesses and industrial processes accounts for around 49% of total energy demand and 47% of carbon emissions. The majority of households and non- domestic buildings have their own heating systems, with gas the predominant fuel source. Less than 0.5% of heat is from renewable sources. The","author":[{"dropping-particle":"","family":"Davies","given":"Gareth","non-dropping-particle":"","parse-names":false,"suffix":""},{"dropping-particle":"","family":"Woods","given":"Paul","non-dropping-particle":"","parse-names":false,"suffix":""}],"id":"ITEM-1","issue":"April","issued":{"date-parts":[["2009"]]},"number-of-pages":"152","publisher-place":"Oxford, England","title":"The Potential and Costs of District Heating Networks","type":"report"},"uris":["http://www.mendeley.com/documents/?uuid=4adb9c4d-374d-4216-b532-2723ac67debf"]}],"mendeley":{"formattedCitation":"(Davies and Woods, 2009)","plainTextFormattedCitation":"(Davies and Woods, 2009)","previouslyFormattedCitation":"(Davies and Woods, 2009)"},"properties":{"noteIndex":0},"schema":"https://github.com/citation-style-language/schema/raw/master/csl-citation.json"}</w:instrText>
      </w:r>
      <w:r>
        <w:fldChar w:fldCharType="separate"/>
      </w:r>
      <w:r w:rsidR="002A6A73" w:rsidRPr="002A6A73">
        <w:rPr>
          <w:noProof/>
        </w:rPr>
        <w:t>(Davies and Woods, 2009)</w:t>
      </w:r>
      <w:r>
        <w:fldChar w:fldCharType="end"/>
      </w:r>
      <w:r>
        <w:t xml:space="preserve">. The varying costs of heat sources in UK DHNs is shown in </w:t>
      </w:r>
      <w:r>
        <w:fldChar w:fldCharType="begin"/>
      </w:r>
      <w:r>
        <w:instrText xml:space="preserve"> REF _Ref521681079 \h </w:instrText>
      </w:r>
      <w:r>
        <w:fldChar w:fldCharType="separate"/>
      </w:r>
      <w:r w:rsidR="00CB7456">
        <w:t xml:space="preserve">Figure </w:t>
      </w:r>
      <w:r w:rsidR="00CB7456">
        <w:rPr>
          <w:noProof/>
        </w:rPr>
        <w:t>2</w:t>
      </w:r>
      <w:r w:rsidR="00CB7456">
        <w:t>.</w:t>
      </w:r>
      <w:r w:rsidR="00CB7456">
        <w:rPr>
          <w:noProof/>
        </w:rPr>
        <w:t>6</w:t>
      </w:r>
      <w:r>
        <w:fldChar w:fldCharType="end"/>
      </w:r>
      <w:r w:rsidR="004D4D91">
        <w:t xml:space="preserve">. It is worth noting that </w:t>
      </w:r>
      <w:r w:rsidR="004D4D91">
        <w:fldChar w:fldCharType="begin"/>
      </w:r>
      <w:r w:rsidR="004D4D91">
        <w:instrText xml:space="preserve"> REF _Ref521681079 \h </w:instrText>
      </w:r>
      <w:r w:rsidR="004D4D91">
        <w:fldChar w:fldCharType="separate"/>
      </w:r>
      <w:r w:rsidR="00CB7456">
        <w:t xml:space="preserve">Figure </w:t>
      </w:r>
      <w:r w:rsidR="00CB7456">
        <w:rPr>
          <w:noProof/>
        </w:rPr>
        <w:t>2</w:t>
      </w:r>
      <w:r w:rsidR="00CB7456">
        <w:t>.</w:t>
      </w:r>
      <w:r w:rsidR="00CB7456">
        <w:rPr>
          <w:noProof/>
        </w:rPr>
        <w:t>6</w:t>
      </w:r>
      <w:r w:rsidR="004D4D91">
        <w:fldChar w:fldCharType="end"/>
      </w:r>
      <w:r w:rsidR="004D4D91">
        <w:t>, is an old source, therefore the costs shown might have changed and the figure should only be used as a baseline</w:t>
      </w:r>
      <w:r>
        <w:t xml:space="preserve">. Distribution losses in UK DHNs typically vary from 6 – 28%, but can be as high as 43% </w:t>
      </w:r>
      <w:r>
        <w:fldChar w:fldCharType="begin" w:fldLock="1"/>
      </w:r>
      <w:r w:rsidR="002A6A73">
        <w:instrText>ADDIN CSL_CITATION {"citationItems":[{"id":"ITEM-1","itemData":{"author":[{"dropping-particle":"","family":"DECC","given":"","non-dropping-particle":"","parse-names":false,"suffix":""}],"id":"ITEM-1","issued":{"date-parts":[["2015"]]},"publisher-place":"London, England","title":"Assessment of the Costs, Performance, and Characteristics of UK Heat Networks","type":"report"},"uris":["http://www.mendeley.com/documents/?uuid=fa96b1e4-69b1-4e0e-ba67-0101ca328647"]}],"mendeley":{"formattedCitation":"(DECC, 2015a)","plainTextFormattedCitation":"(DECC, 2015a)","previouslyFormattedCitation":"(DECC, 2015a)"},"properties":{"noteIndex":0},"schema":"https://github.com/citation-style-language/schema/raw/master/csl-citation.json"}</w:instrText>
      </w:r>
      <w:r>
        <w:fldChar w:fldCharType="separate"/>
      </w:r>
      <w:r w:rsidR="002A6A73" w:rsidRPr="002A6A73">
        <w:rPr>
          <w:noProof/>
        </w:rPr>
        <w:t>(DECC, 2015a)</w:t>
      </w:r>
      <w:r>
        <w:fldChar w:fldCharType="end"/>
      </w:r>
      <w:r>
        <w:t>. The typical costs of the burial of DHN pipes are £150 /MWh and £1,000 /m, DH OPEX are considered to be negligible.</w:t>
      </w:r>
    </w:p>
    <w:p w14:paraId="035422D5" w14:textId="77777777" w:rsidR="000F16EB" w:rsidRDefault="000F16EB" w:rsidP="000F16EB">
      <w:pPr>
        <w:keepNext/>
        <w:jc w:val="center"/>
      </w:pPr>
      <w:r>
        <w:rPr>
          <w:noProof/>
        </w:rPr>
        <w:drawing>
          <wp:inline distT="0" distB="0" distL="0" distR="0" wp14:anchorId="23D39605" wp14:editId="072EF1AC">
            <wp:extent cx="5040000" cy="3231883"/>
            <wp:effectExtent l="19050" t="19050" r="27305" b="260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5909"/>
                    <a:stretch/>
                  </pic:blipFill>
                  <pic:spPr bwMode="auto">
                    <a:xfrm>
                      <a:off x="0" y="0"/>
                      <a:ext cx="5040000" cy="3231883"/>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DC8ED77" w14:textId="31D51306" w:rsidR="000F16EB" w:rsidRDefault="000F16EB" w:rsidP="000F16EB">
      <w:pPr>
        <w:pStyle w:val="Caption"/>
      </w:pPr>
      <w:bookmarkStart w:id="301" w:name="_Ref521681079"/>
      <w:bookmarkStart w:id="302" w:name="_Toc525230072"/>
      <w:bookmarkStart w:id="303" w:name="_Toc7187620"/>
      <w:r>
        <w:t xml:space="preserve">Figure </w:t>
      </w:r>
      <w:fldSimple w:instr=" STYLEREF 1 \s ">
        <w:r w:rsidR="00CB7456">
          <w:rPr>
            <w:noProof/>
          </w:rPr>
          <w:t>2</w:t>
        </w:r>
      </w:fldSimple>
      <w:r w:rsidR="007B29C3">
        <w:t>.</w:t>
      </w:r>
      <w:fldSimple w:instr=" SEQ Figure \* ARABIC \s 1 ">
        <w:r w:rsidR="00CB7456">
          <w:rPr>
            <w:noProof/>
          </w:rPr>
          <w:t>6</w:t>
        </w:r>
      </w:fldSimple>
      <w:bookmarkEnd w:id="301"/>
      <w:r>
        <w:t>: Cost of heat provision by technology, using current market condition</w:t>
      </w:r>
      <w:r w:rsidRPr="0022640E">
        <w:t xml:space="preserve">s (£/MWh) </w:t>
      </w:r>
      <w:r w:rsidRPr="0022640E">
        <w:fldChar w:fldCharType="begin" w:fldLock="1"/>
      </w:r>
      <w:r w:rsidR="002A6A73" w:rsidRPr="0022640E">
        <w:instrText>ADDIN CSL_CITATION {"citationItems":[{"id":"ITEM-1","itemData":{"abstract":"Heat for homes, businesses and industrial processes accounts for around 49% of total energy demand and 47% of carbon emissions. The majority of households and non- domestic buildings have their own heating systems, with gas the predominant fuel source. Less than 0.5% of heat is from renewable sources. The","author":[{"dropping-particle":"","family":"Davies","given":"Gareth","non-dropping-particle":"","parse-names":false,"suffix":""},{"dropping-particle":"","family":"Woods","given":"Paul","non-dropping-particle":"","parse-names":false,"suffix":""}],"id":"ITEM-1","issue":"April","issued":{"date-parts":[["2009"]]},"number-of-pages":"152","publisher-place":"Oxford, England","title":"The Potential and Costs of District Heating Networks","type":"report"},"uris":["http://www.mendeley.com/documents/?uuid=4adb9c4d-374d-4216-b532-2723ac67debf"]}],"mendeley":{"formattedCitation":"(Davies and Woods, 2009)","plainTextFormattedCitation":"(Davies and Woods, 2009)","previouslyFormattedCitation":"(Davies and Woods, 2009)"},"properties":{"noteIndex":0},"schema":"https://github.com/citation-style-language/schema/raw/master/csl-citation.json"}</w:instrText>
      </w:r>
      <w:r w:rsidRPr="0022640E">
        <w:fldChar w:fldCharType="separate"/>
      </w:r>
      <w:r w:rsidR="002A6A73" w:rsidRPr="0022640E">
        <w:rPr>
          <w:noProof/>
        </w:rPr>
        <w:t>(Davies and Woods, 2009)</w:t>
      </w:r>
      <w:r w:rsidRPr="0022640E">
        <w:fldChar w:fldCharType="end"/>
      </w:r>
      <w:r w:rsidRPr="0022640E">
        <w:t>.</w:t>
      </w:r>
      <w:bookmarkEnd w:id="302"/>
      <w:bookmarkEnd w:id="303"/>
    </w:p>
    <w:p w14:paraId="304ACEE4" w14:textId="073246C8" w:rsidR="000F16EB" w:rsidRPr="00916EE3" w:rsidRDefault="000F16EB" w:rsidP="000F16EB">
      <w:r w:rsidRPr="00916EE3">
        <w:rPr>
          <w:rStyle w:val="fontstyle01"/>
          <w:sz w:val="22"/>
          <w:szCs w:val="22"/>
        </w:rPr>
        <w:t xml:space="preserve">Four studies looking into the public opinion of UK DH have been found </w:t>
      </w:r>
      <w:r w:rsidRPr="00916EE3">
        <w:rPr>
          <w:rStyle w:val="fontstyle01"/>
          <w:sz w:val="22"/>
          <w:szCs w:val="22"/>
        </w:rPr>
        <w:fldChar w:fldCharType="begin" w:fldLock="1"/>
      </w:r>
      <w:r w:rsidR="002A6A73">
        <w:rPr>
          <w:rStyle w:val="fontstyle01"/>
          <w:sz w:val="22"/>
          <w:szCs w:val="22"/>
        </w:rPr>
        <w:instrText>ADDIN CSL_CITATION {"citationItems":[{"id":"ITEM-1","itemData":{"DOI":"10.1016/j.apenergy.2011.02.031","ISBN":"0306-2619","ISSN":"03062619","abstract":"While the available resource in terms of waste process heat in the UK is substantial, there are a wide variety of issues to consider and barriers to overcome in order to realise its potential. This paper discusses one particular factor, namely public opinion. We describe the results of two focus groups with a potential domestic client group, namely elderly people, and the postal questionnaire responses of 323 individuals living in the proximity of a large potential heat source, namely the Corus steel-works in Port Talbot, Wales. While those questioned were broadly supportive of the idea of district heating, particularly if this would involve reductions in domestic heating costs, both the qualitative and quantitative work revealed significant concern about contractual lock-in. In contrast, the stability of long-term demand is highly valued by those responsible for the supply-side. We also observe some gender differences in first reactions to district heating and the role of environmental commitment. We conclude that while the results imply that an appeal to the environmental performance of district heating with waste heat may facilitate acceptance, trust-building and price inducements will also be required to overcome end-user concerns. ?? 2011 Elsevier Ltd.","author":[{"dropping-particle":"","family":"Upham","given":"Paul","non-dropping-particle":"","parse-names":false,"suffix":""},{"dropping-particle":"","family":"Jones","given":"Chris","non-dropping-particle":"","parse-names":false,"suffix":""}],"container-title":"Applied Energy","id":"ITEM-1","issue":"1","issued":{"date-parts":[["2012"]]},"page":"21-29","publisher":"Elsevier Ltd","title":"Don't lock me in: Public opinion on the prospective use of waste process heat for district heating","type":"article-journal","volume":"89"},"uris":["http://www.mendeley.com/documents/?uuid=f404ea48-fcb5-43e2-8538-5e923209d997"]},{"id":"ITEM-2","itemData":{"author":[{"dropping-particle":"","family":"DECC","given":"","non-dropping-particle":"","parse-names":false,"suffix":""}],"id":"ITEM-2","issued":{"date-parts":[["2013"]]},"publisher-place":"London, England","title":"Research Report: Homeowners' Willingness To Take Up More Efficient Heating Systems","type":"report"},"uris":["http://www.mendeley.com/documents/?uuid=6d0ebb9e-5a00-4592-80e0-29697d4744d8"]},{"id":"ITEM-3","itemData":{"abstract":"Various documents and info","author":[{"dropping-particle":"","family":"DECC","given":"","non-dropping-particle":"","parse-names":false,"suffix":""}],"id":"ITEM-3","issued":{"date-parts":[["2013"]]},"publisher-place":"London, England","title":"The Future of Heating: Meeting the challenge","type":"report"},"uris":["http://www.mendeley.com/documents/?uuid=9f3c295e-6e14-48d1-b7e7-ddf8ebd7628d"]},{"id":"ITEM-4","itemData":{"author":[{"dropping-particle":"","family":"BEIS","given":"","non-dropping-particle":"","parse-names":false,"suffix":""}],"id":"ITEM-4","issue":"27","issued":{"date-parts":[["2017"]]},"publisher-place":"London, England","title":"Heat Networks Consumer Survey: Executive Summary","type":"report"},"uris":["http://www.mendeley.com/documents/?uuid=6e718a45-19a0-403d-a16b-67db79e1cc88"]}],"mendeley":{"formattedCitation":"(Upham and Jones, 2012; DECC, 2013a, 2013c; BEIS, 2017a)","plainTextFormattedCitation":"(Upham and Jones, 2012; DECC, 2013a, 2013c; BEIS, 2017a)","previouslyFormattedCitation":"(Upham and Jones, 2012; DECC, 2013a, 2013c; BEIS, 2017a)"},"properties":{"noteIndex":0},"schema":"https://github.com/citation-style-language/schema/raw/master/csl-citation.json"}</w:instrText>
      </w:r>
      <w:r w:rsidRPr="00916EE3">
        <w:rPr>
          <w:rStyle w:val="fontstyle01"/>
          <w:sz w:val="22"/>
          <w:szCs w:val="22"/>
        </w:rPr>
        <w:fldChar w:fldCharType="separate"/>
      </w:r>
      <w:r w:rsidR="002A6A73" w:rsidRPr="002A6A73">
        <w:rPr>
          <w:rStyle w:val="fontstyle01"/>
          <w:noProof/>
          <w:sz w:val="22"/>
          <w:szCs w:val="22"/>
        </w:rPr>
        <w:t>(Upham and Jones, 2012; DECC, 2013a, 2013c; BEIS, 2017a)</w:t>
      </w:r>
      <w:r w:rsidRPr="00916EE3">
        <w:rPr>
          <w:rStyle w:val="fontstyle01"/>
          <w:sz w:val="22"/>
          <w:szCs w:val="22"/>
        </w:rPr>
        <w:fldChar w:fldCharType="end"/>
      </w:r>
      <w:r w:rsidRPr="00916EE3">
        <w:rPr>
          <w:rStyle w:val="fontstyle01"/>
          <w:sz w:val="22"/>
          <w:szCs w:val="22"/>
        </w:rPr>
        <w:t>. On average, 34 – 43% of respondents felt positive when asked about the likelihood of connecting to a DHN. Respondents were most concerned about disruption</w:t>
      </w:r>
      <w:r>
        <w:rPr>
          <w:rStyle w:val="fontstyle01"/>
          <w:sz w:val="22"/>
          <w:szCs w:val="22"/>
        </w:rPr>
        <w:t>s</w:t>
      </w:r>
      <w:r w:rsidRPr="00916EE3">
        <w:rPr>
          <w:rStyle w:val="fontstyle01"/>
          <w:sz w:val="22"/>
          <w:szCs w:val="22"/>
        </w:rPr>
        <w:t xml:space="preserve"> to their</w:t>
      </w:r>
      <w:r w:rsidRPr="00916EE3">
        <w:rPr>
          <w:rStyle w:val="fontstyle01"/>
          <w:color w:val="FF0000"/>
          <w:sz w:val="22"/>
          <w:szCs w:val="22"/>
        </w:rPr>
        <w:t xml:space="preserve"> </w:t>
      </w:r>
      <w:r w:rsidRPr="00916EE3">
        <w:rPr>
          <w:rStyle w:val="fontstyle01"/>
          <w:sz w:val="22"/>
          <w:szCs w:val="22"/>
        </w:rPr>
        <w:t xml:space="preserve">heat supply and local road network during the installation process and were most positive about WHR and </w:t>
      </w:r>
      <w:proofErr w:type="spellStart"/>
      <w:r w:rsidRPr="00916EE3">
        <w:rPr>
          <w:rStyle w:val="fontstyle01"/>
          <w:sz w:val="22"/>
          <w:szCs w:val="22"/>
        </w:rPr>
        <w:t>WtE</w:t>
      </w:r>
      <w:proofErr w:type="spellEnd"/>
      <w:r w:rsidRPr="00916EE3">
        <w:rPr>
          <w:rStyle w:val="fontstyle01"/>
          <w:sz w:val="22"/>
          <w:szCs w:val="22"/>
        </w:rPr>
        <w:t xml:space="preserve"> being used as fuel sources. The reputation and reliability of the energy supplier, contract flexibility, costs</w:t>
      </w:r>
      <w:r>
        <w:rPr>
          <w:rStyle w:val="fontstyle01"/>
          <w:sz w:val="22"/>
          <w:szCs w:val="22"/>
        </w:rPr>
        <w:t>,</w:t>
      </w:r>
      <w:r w:rsidRPr="00916EE3">
        <w:rPr>
          <w:rStyle w:val="fontstyle01"/>
          <w:sz w:val="22"/>
          <w:szCs w:val="22"/>
        </w:rPr>
        <w:t xml:space="preserve"> and the ability of an individual to maintain</w:t>
      </w:r>
      <w:r w:rsidRPr="00916EE3">
        <w:rPr>
          <w:rStyle w:val="fontstyle01"/>
          <w:color w:val="FF0000"/>
          <w:sz w:val="22"/>
          <w:szCs w:val="22"/>
        </w:rPr>
        <w:t xml:space="preserve"> </w:t>
      </w:r>
      <w:r w:rsidRPr="00916EE3">
        <w:rPr>
          <w:rStyle w:val="fontstyle01"/>
          <w:sz w:val="22"/>
          <w:szCs w:val="22"/>
        </w:rPr>
        <w:t xml:space="preserve">control over their heat supply were highlighted as important issues. The most recent study, by the </w:t>
      </w:r>
      <w:r>
        <w:rPr>
          <w:rStyle w:val="fontstyle01"/>
          <w:sz w:val="22"/>
          <w:szCs w:val="22"/>
        </w:rPr>
        <w:t>D</w:t>
      </w:r>
      <w:r w:rsidRPr="00916EE3">
        <w:rPr>
          <w:rStyle w:val="fontstyle01"/>
          <w:sz w:val="22"/>
          <w:szCs w:val="22"/>
        </w:rPr>
        <w:t xml:space="preserve">epartment for </w:t>
      </w:r>
      <w:r>
        <w:rPr>
          <w:rStyle w:val="fontstyle01"/>
          <w:sz w:val="22"/>
          <w:szCs w:val="22"/>
        </w:rPr>
        <w:t>B</w:t>
      </w:r>
      <w:r w:rsidRPr="00916EE3">
        <w:rPr>
          <w:rStyle w:val="fontstyle01"/>
          <w:sz w:val="22"/>
          <w:szCs w:val="22"/>
        </w:rPr>
        <w:t xml:space="preserve">usiness, </w:t>
      </w:r>
      <w:r>
        <w:rPr>
          <w:rStyle w:val="fontstyle01"/>
          <w:sz w:val="22"/>
          <w:szCs w:val="22"/>
        </w:rPr>
        <w:t>E</w:t>
      </w:r>
      <w:r w:rsidRPr="00916EE3">
        <w:rPr>
          <w:rStyle w:val="fontstyle01"/>
          <w:sz w:val="22"/>
          <w:szCs w:val="22"/>
        </w:rPr>
        <w:t xml:space="preserve">nergy </w:t>
      </w:r>
      <w:r>
        <w:rPr>
          <w:rStyle w:val="fontstyle01"/>
          <w:sz w:val="22"/>
          <w:szCs w:val="22"/>
        </w:rPr>
        <w:t>and Industrial</w:t>
      </w:r>
      <w:r w:rsidRPr="00916EE3">
        <w:rPr>
          <w:rStyle w:val="fontstyle01"/>
          <w:sz w:val="22"/>
          <w:szCs w:val="22"/>
        </w:rPr>
        <w:t xml:space="preserve"> </w:t>
      </w:r>
      <w:r>
        <w:rPr>
          <w:rStyle w:val="fontstyle01"/>
          <w:sz w:val="22"/>
          <w:szCs w:val="22"/>
        </w:rPr>
        <w:t>S</w:t>
      </w:r>
      <w:r w:rsidRPr="00916EE3">
        <w:rPr>
          <w:rStyle w:val="fontstyle01"/>
          <w:sz w:val="22"/>
          <w:szCs w:val="22"/>
        </w:rPr>
        <w:t>trategy (BEIS), covered 5,000 customers, 3,000 of which were connected to a DHN</w:t>
      </w:r>
      <w:r w:rsidR="00441038">
        <w:rPr>
          <w:rStyle w:val="fontstyle01"/>
          <w:sz w:val="22"/>
          <w:szCs w:val="22"/>
        </w:rPr>
        <w:t xml:space="preserve"> </w:t>
      </w:r>
      <w:r w:rsidR="00441038" w:rsidRPr="00916EE3">
        <w:rPr>
          <w:rStyle w:val="fontstyle01"/>
          <w:sz w:val="22"/>
          <w:szCs w:val="22"/>
        </w:rPr>
        <w:fldChar w:fldCharType="begin" w:fldLock="1"/>
      </w:r>
      <w:r w:rsidR="00441038">
        <w:rPr>
          <w:rStyle w:val="fontstyle01"/>
          <w:sz w:val="22"/>
          <w:szCs w:val="22"/>
        </w:rPr>
        <w:instrText>ADDIN CSL_CITATION {"citationItems":[{"id":"ITEM-1","itemData":{"author":[{"dropping-particle":"","family":"BEIS","given":"","non-dropping-particle":"","parse-names":false,"suffix":""}],"id":"ITEM-1","issue":"27","issued":{"date-parts":[["2017"]]},"publisher-place":"London, England","title":"Heat Networks Consumer Survey: Executive Summary","type":"report"},"uris":["http://www.mendeley.com/documents/?uuid=6e718a45-19a0-403d-a16b-67db79e1cc88"]}],"mendeley":{"formattedCitation":"(BEIS, 2017a)","plainTextFormattedCitation":"(BEIS, 2017a)","previouslyFormattedCitation":"(BEIS, 2017a)"},"properties":{"noteIndex":0},"schema":"https://github.com/citation-style-language/schema/raw/master/csl-citation.json"}</w:instrText>
      </w:r>
      <w:r w:rsidR="00441038" w:rsidRPr="00916EE3">
        <w:rPr>
          <w:rStyle w:val="fontstyle01"/>
          <w:sz w:val="22"/>
          <w:szCs w:val="22"/>
        </w:rPr>
        <w:fldChar w:fldCharType="separate"/>
      </w:r>
      <w:r w:rsidR="00441038" w:rsidRPr="002A6A73">
        <w:rPr>
          <w:rStyle w:val="fontstyle01"/>
          <w:noProof/>
          <w:sz w:val="22"/>
          <w:szCs w:val="22"/>
        </w:rPr>
        <w:t>(BEIS, 2017a)</w:t>
      </w:r>
      <w:r w:rsidR="00441038" w:rsidRPr="00916EE3">
        <w:rPr>
          <w:rStyle w:val="fontstyle01"/>
          <w:sz w:val="22"/>
          <w:szCs w:val="22"/>
        </w:rPr>
        <w:fldChar w:fldCharType="end"/>
      </w:r>
      <w:r w:rsidRPr="00916EE3">
        <w:rPr>
          <w:rStyle w:val="fontstyle01"/>
          <w:sz w:val="22"/>
          <w:szCs w:val="22"/>
        </w:rPr>
        <w:t xml:space="preserve">. It was found that </w:t>
      </w:r>
      <w:r w:rsidRPr="00916EE3">
        <w:rPr>
          <w:rStyle w:val="fontstyle01"/>
          <w:sz w:val="22"/>
          <w:szCs w:val="22"/>
        </w:rPr>
        <w:lastRenderedPageBreak/>
        <w:t xml:space="preserve">the level of customer satisfaction was similar for both sets of customers, with similar levels of reported technical reliability. Customers connected to a DHN reported paying </w:t>
      </w:r>
      <w:r>
        <w:t xml:space="preserve">approximately </w:t>
      </w:r>
      <w:r w:rsidRPr="00916EE3">
        <w:rPr>
          <w:rStyle w:val="fontstyle01"/>
          <w:sz w:val="22"/>
          <w:szCs w:val="22"/>
        </w:rPr>
        <w:t>£100 less per year for heating.</w:t>
      </w:r>
      <w:r w:rsidR="004D4D91">
        <w:rPr>
          <w:rStyle w:val="fontstyle01"/>
          <w:sz w:val="22"/>
          <w:szCs w:val="22"/>
        </w:rPr>
        <w:t xml:space="preserve"> </w:t>
      </w:r>
      <w:r w:rsidR="004D4D91">
        <w:rPr>
          <w:rStyle w:val="fontstyle01"/>
          <w:sz w:val="22"/>
          <w:szCs w:val="22"/>
        </w:rPr>
        <w:fldChar w:fldCharType="begin"/>
      </w:r>
      <w:r w:rsidR="004D4D91">
        <w:rPr>
          <w:rStyle w:val="fontstyle01"/>
          <w:sz w:val="22"/>
          <w:szCs w:val="22"/>
        </w:rPr>
        <w:instrText xml:space="preserve"> REF _Ref521681079 \h </w:instrText>
      </w:r>
      <w:r w:rsidR="004D4D91">
        <w:rPr>
          <w:rStyle w:val="fontstyle01"/>
          <w:sz w:val="22"/>
          <w:szCs w:val="22"/>
        </w:rPr>
      </w:r>
      <w:r w:rsidR="004D4D91">
        <w:rPr>
          <w:rStyle w:val="fontstyle01"/>
          <w:sz w:val="22"/>
          <w:szCs w:val="22"/>
        </w:rPr>
        <w:fldChar w:fldCharType="separate"/>
      </w:r>
      <w:r w:rsidR="00CB7456">
        <w:t xml:space="preserve">Figure </w:t>
      </w:r>
      <w:r w:rsidR="00CB7456">
        <w:rPr>
          <w:noProof/>
        </w:rPr>
        <w:t>2</w:t>
      </w:r>
      <w:r w:rsidR="00CB7456">
        <w:t>.</w:t>
      </w:r>
      <w:r w:rsidR="00CB7456">
        <w:rPr>
          <w:noProof/>
        </w:rPr>
        <w:t>6</w:t>
      </w:r>
      <w:r w:rsidR="004D4D91">
        <w:rPr>
          <w:rStyle w:val="fontstyle01"/>
          <w:sz w:val="22"/>
          <w:szCs w:val="22"/>
        </w:rPr>
        <w:fldChar w:fldCharType="end"/>
      </w:r>
      <w:r w:rsidR="004D4D91">
        <w:rPr>
          <w:rStyle w:val="fontstyle01"/>
          <w:sz w:val="22"/>
          <w:szCs w:val="22"/>
        </w:rPr>
        <w:t xml:space="preserve"> suggests that the cheapest source of heat is gas boilers, which disagrees with the findings of the study. It is likely that in the time since </w:t>
      </w:r>
      <w:r w:rsidR="004D4D91">
        <w:rPr>
          <w:rStyle w:val="fontstyle01"/>
          <w:sz w:val="22"/>
          <w:szCs w:val="22"/>
        </w:rPr>
        <w:fldChar w:fldCharType="begin"/>
      </w:r>
      <w:r w:rsidR="004D4D91">
        <w:rPr>
          <w:rStyle w:val="fontstyle01"/>
          <w:sz w:val="22"/>
          <w:szCs w:val="22"/>
        </w:rPr>
        <w:instrText xml:space="preserve"> REF _Ref521681079 \h </w:instrText>
      </w:r>
      <w:r w:rsidR="004D4D91">
        <w:rPr>
          <w:rStyle w:val="fontstyle01"/>
          <w:sz w:val="22"/>
          <w:szCs w:val="22"/>
        </w:rPr>
      </w:r>
      <w:r w:rsidR="004D4D91">
        <w:rPr>
          <w:rStyle w:val="fontstyle01"/>
          <w:sz w:val="22"/>
          <w:szCs w:val="22"/>
        </w:rPr>
        <w:fldChar w:fldCharType="separate"/>
      </w:r>
      <w:r w:rsidR="00CB7456">
        <w:t xml:space="preserve">Figure </w:t>
      </w:r>
      <w:r w:rsidR="00CB7456">
        <w:rPr>
          <w:noProof/>
        </w:rPr>
        <w:t>2</w:t>
      </w:r>
      <w:r w:rsidR="00CB7456">
        <w:t>.</w:t>
      </w:r>
      <w:r w:rsidR="00CB7456">
        <w:rPr>
          <w:noProof/>
        </w:rPr>
        <w:t>6</w:t>
      </w:r>
      <w:r w:rsidR="004D4D91">
        <w:rPr>
          <w:rStyle w:val="fontstyle01"/>
          <w:sz w:val="22"/>
          <w:szCs w:val="22"/>
        </w:rPr>
        <w:fldChar w:fldCharType="end"/>
      </w:r>
      <w:r w:rsidR="004D4D91">
        <w:rPr>
          <w:rStyle w:val="fontstyle01"/>
          <w:sz w:val="22"/>
          <w:szCs w:val="22"/>
        </w:rPr>
        <w:t xml:space="preserve"> was published the costs of DH have gotten cheaper or new financial incentives have been applied to DHNs.</w:t>
      </w:r>
    </w:p>
    <w:p w14:paraId="40EFD772" w14:textId="77777777" w:rsidR="000F16EB" w:rsidRDefault="000F16EB" w:rsidP="000F16EB">
      <w:pPr>
        <w:pStyle w:val="Heading3"/>
      </w:pPr>
      <w:bookmarkStart w:id="304" w:name="_Toc522192754"/>
      <w:bookmarkStart w:id="305" w:name="_Toc525229971"/>
      <w:bookmarkStart w:id="306" w:name="_Toc529888285"/>
      <w:bookmarkStart w:id="307" w:name="_Toc7187486"/>
      <w:r>
        <w:t>UK District Heating Related Legislation</w:t>
      </w:r>
      <w:bookmarkEnd w:id="304"/>
      <w:bookmarkEnd w:id="305"/>
      <w:bookmarkEnd w:id="306"/>
      <w:bookmarkEnd w:id="307"/>
    </w:p>
    <w:p w14:paraId="4C29095B" w14:textId="0FBCCDCE" w:rsidR="000F16EB" w:rsidRDefault="000F16EB" w:rsidP="000F16EB">
      <w:r>
        <w:t>UK DH, CHP and WHR related legislation generally comes in the form of a series of incentives or taxes to encourage the use of environmentally friendly technologies for homes and businesses. A summary of key UK legislation is shown in</w:t>
      </w:r>
      <w:r w:rsidR="0022640E">
        <w:t xml:space="preserve"> </w:t>
      </w:r>
      <w:r w:rsidR="0022640E">
        <w:fldChar w:fldCharType="begin"/>
      </w:r>
      <w:r w:rsidR="0022640E">
        <w:instrText xml:space="preserve"> REF _Ref531343647 \h </w:instrText>
      </w:r>
      <w:r w:rsidR="0022640E">
        <w:fldChar w:fldCharType="separate"/>
      </w:r>
      <w:r w:rsidR="00CB7456">
        <w:t xml:space="preserve">Table </w:t>
      </w:r>
      <w:r w:rsidR="00CB7456">
        <w:rPr>
          <w:noProof/>
        </w:rPr>
        <w:t>2</w:t>
      </w:r>
      <w:r w:rsidR="00CB7456">
        <w:t>.</w:t>
      </w:r>
      <w:r w:rsidR="00CB7456">
        <w:rPr>
          <w:noProof/>
        </w:rPr>
        <w:t>10</w:t>
      </w:r>
      <w:r w:rsidR="0022640E">
        <w:fldChar w:fldCharType="end"/>
      </w:r>
      <w:r>
        <w:t>.</w:t>
      </w:r>
    </w:p>
    <w:p w14:paraId="5D58B2D6" w14:textId="5DAEAC9B" w:rsidR="000F16EB" w:rsidRDefault="000F16EB" w:rsidP="000F16EB">
      <w:pPr>
        <w:pStyle w:val="Caption"/>
        <w:keepNext/>
      </w:pPr>
      <w:bookmarkStart w:id="308" w:name="_Ref521683115"/>
      <w:bookmarkStart w:id="309" w:name="_Ref523923702"/>
      <w:bookmarkStart w:id="310" w:name="_Ref525662202"/>
      <w:bookmarkStart w:id="311" w:name="_Ref529784218"/>
      <w:bookmarkStart w:id="312" w:name="_Ref529974335"/>
      <w:bookmarkStart w:id="313" w:name="_Ref531343647"/>
      <w:bookmarkStart w:id="314" w:name="_Ref521683111"/>
      <w:bookmarkStart w:id="315" w:name="_Toc525230120"/>
      <w:bookmarkStart w:id="316" w:name="_Hlk529887723"/>
      <w:bookmarkStart w:id="317" w:name="_Toc7187673"/>
      <w:r>
        <w:t xml:space="preserve">Table </w:t>
      </w:r>
      <w:fldSimple w:instr=" STYLEREF 1 \s ">
        <w:r w:rsidR="00CB7456">
          <w:rPr>
            <w:noProof/>
          </w:rPr>
          <w:t>2</w:t>
        </w:r>
      </w:fldSimple>
      <w:r w:rsidR="009E1A67">
        <w:t>.</w:t>
      </w:r>
      <w:fldSimple w:instr=" SEQ Table \* ARABIC \s 1 ">
        <w:r w:rsidR="00CB7456">
          <w:rPr>
            <w:noProof/>
          </w:rPr>
          <w:t>10</w:t>
        </w:r>
      </w:fldSimple>
      <w:bookmarkEnd w:id="308"/>
      <w:bookmarkEnd w:id="309"/>
      <w:bookmarkEnd w:id="310"/>
      <w:bookmarkEnd w:id="311"/>
      <w:bookmarkEnd w:id="312"/>
      <w:bookmarkEnd w:id="313"/>
      <w:r>
        <w:rPr>
          <w:noProof/>
        </w:rPr>
        <w:t>:</w:t>
      </w:r>
      <w:r>
        <w:t xml:space="preserve"> Key UK DH, CHP</w:t>
      </w:r>
      <w:r w:rsidR="00A31668">
        <w:t>,</w:t>
      </w:r>
      <w:r>
        <w:t xml:space="preserve"> and WHR related legislation.</w:t>
      </w:r>
      <w:bookmarkEnd w:id="314"/>
      <w:bookmarkEnd w:id="315"/>
      <w:bookmarkEnd w:id="317"/>
    </w:p>
    <w:tbl>
      <w:tblPr>
        <w:tblStyle w:val="TableGrid"/>
        <w:tblW w:w="7938" w:type="dxa"/>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5"/>
        <w:gridCol w:w="3691"/>
        <w:gridCol w:w="1842"/>
      </w:tblGrid>
      <w:tr w:rsidR="000F16EB" w14:paraId="17450C4E" w14:textId="77777777" w:rsidTr="00A7521D">
        <w:trPr>
          <w:tblHeader/>
          <w:jc w:val="center"/>
        </w:trPr>
        <w:tc>
          <w:tcPr>
            <w:tcW w:w="2405" w:type="dxa"/>
            <w:tcBorders>
              <w:bottom w:val="single" w:sz="4" w:space="0" w:color="auto"/>
            </w:tcBorders>
          </w:tcPr>
          <w:p w14:paraId="2ED1A039" w14:textId="77777777" w:rsidR="000F16EB" w:rsidRDefault="000F16EB" w:rsidP="00A7521D">
            <w:pPr>
              <w:jc w:val="center"/>
            </w:pPr>
            <w:r>
              <w:t>Policy name</w:t>
            </w:r>
          </w:p>
        </w:tc>
        <w:tc>
          <w:tcPr>
            <w:tcW w:w="3691" w:type="dxa"/>
            <w:tcBorders>
              <w:bottom w:val="single" w:sz="4" w:space="0" w:color="auto"/>
            </w:tcBorders>
          </w:tcPr>
          <w:p w14:paraId="3AFC7470" w14:textId="77777777" w:rsidR="000F16EB" w:rsidRDefault="000F16EB" w:rsidP="00A7521D">
            <w:pPr>
              <w:jc w:val="center"/>
            </w:pPr>
            <w:r>
              <w:t>What it does</w:t>
            </w:r>
          </w:p>
        </w:tc>
        <w:tc>
          <w:tcPr>
            <w:tcW w:w="1842" w:type="dxa"/>
            <w:tcBorders>
              <w:bottom w:val="single" w:sz="4" w:space="0" w:color="auto"/>
            </w:tcBorders>
          </w:tcPr>
          <w:p w14:paraId="020BBC57" w14:textId="77777777" w:rsidR="000F16EB" w:rsidRDefault="000F16EB" w:rsidP="00A7521D">
            <w:pPr>
              <w:jc w:val="center"/>
            </w:pPr>
            <w:r>
              <w:t>Reference</w:t>
            </w:r>
          </w:p>
        </w:tc>
      </w:tr>
      <w:tr w:rsidR="000F16EB" w14:paraId="66ED5524" w14:textId="77777777" w:rsidTr="00A7521D">
        <w:trPr>
          <w:jc w:val="center"/>
        </w:trPr>
        <w:tc>
          <w:tcPr>
            <w:tcW w:w="2405" w:type="dxa"/>
            <w:tcBorders>
              <w:top w:val="single" w:sz="4" w:space="0" w:color="auto"/>
              <w:bottom w:val="nil"/>
            </w:tcBorders>
          </w:tcPr>
          <w:p w14:paraId="4EF5D6BE" w14:textId="77777777" w:rsidR="000F16EB" w:rsidRDefault="000F16EB" w:rsidP="00A7521D">
            <w:pPr>
              <w:jc w:val="center"/>
            </w:pPr>
            <w:r>
              <w:t>Climate change agreements 2017</w:t>
            </w:r>
          </w:p>
        </w:tc>
        <w:tc>
          <w:tcPr>
            <w:tcW w:w="3691" w:type="dxa"/>
            <w:tcBorders>
              <w:top w:val="single" w:sz="4" w:space="0" w:color="auto"/>
              <w:bottom w:val="nil"/>
            </w:tcBorders>
          </w:tcPr>
          <w:p w14:paraId="483C0FAA" w14:textId="77777777" w:rsidR="000F16EB" w:rsidRDefault="000F16EB" w:rsidP="00A7521D">
            <w:pPr>
              <w:jc w:val="center"/>
            </w:pPr>
            <w:r>
              <w:t>Encourages reduction in industrial energy use by giving operators discounts on their climate change levy, electricity and fuel bills.</w:t>
            </w:r>
          </w:p>
        </w:tc>
        <w:tc>
          <w:tcPr>
            <w:tcW w:w="1842" w:type="dxa"/>
            <w:tcBorders>
              <w:top w:val="single" w:sz="4" w:space="0" w:color="auto"/>
              <w:bottom w:val="nil"/>
            </w:tcBorders>
          </w:tcPr>
          <w:p w14:paraId="4331C207" w14:textId="4EF3F957" w:rsidR="000F16EB" w:rsidRDefault="000F16EB" w:rsidP="00A7521D">
            <w:pPr>
              <w:jc w:val="center"/>
            </w:pPr>
            <w:r>
              <w:fldChar w:fldCharType="begin" w:fldLock="1"/>
            </w:r>
            <w:r w:rsidR="002A6A73">
              <w:instrText>ADDIN CSL_CITATION {"citationItems":[{"id":"ITEM-1","itemData":{"URL":"https://www.gov.uk/guidance/climate-change-agreements--2","accessed":{"date-parts":[["2018","7","16"]]},"author":[{"dropping-particle":"","family":"UK Government","given":"","non-dropping-particle":"","parse-names":false,"suffix":""}],"id":"ITEM-1","issued":{"date-parts":[["2017"]]},"title":"Guidance: Climate change agreements","type":"webpage"},"uris":["http://www.mendeley.com/documents/?uuid=d081438a-952b-4598-a19a-32a94bff1845"]}],"mendeley":{"formattedCitation":"(UK Government, 2017a)","plainTextFormattedCitation":"(UK Government, 2017a)","previouslyFormattedCitation":"(UK Government, 2017a)"},"properties":{"noteIndex":0},"schema":"https://github.com/citation-style-language/schema/raw/master/csl-citation.json"}</w:instrText>
            </w:r>
            <w:r>
              <w:fldChar w:fldCharType="separate"/>
            </w:r>
            <w:r w:rsidR="002A6A73" w:rsidRPr="002A6A73">
              <w:rPr>
                <w:noProof/>
              </w:rPr>
              <w:t>(UK Government, 2017a)</w:t>
            </w:r>
            <w:r>
              <w:fldChar w:fldCharType="end"/>
            </w:r>
          </w:p>
        </w:tc>
      </w:tr>
      <w:tr w:rsidR="000F16EB" w14:paraId="34E93B5B" w14:textId="77777777" w:rsidTr="00A7521D">
        <w:trPr>
          <w:jc w:val="center"/>
        </w:trPr>
        <w:tc>
          <w:tcPr>
            <w:tcW w:w="2405" w:type="dxa"/>
            <w:tcBorders>
              <w:top w:val="nil"/>
            </w:tcBorders>
          </w:tcPr>
          <w:p w14:paraId="39E834AC" w14:textId="77777777" w:rsidR="000F16EB" w:rsidRDefault="000F16EB" w:rsidP="00A7521D">
            <w:pPr>
              <w:jc w:val="center"/>
            </w:pPr>
            <w:r>
              <w:t>Enhance capital allowances 2018</w:t>
            </w:r>
          </w:p>
        </w:tc>
        <w:tc>
          <w:tcPr>
            <w:tcW w:w="3691" w:type="dxa"/>
            <w:tcBorders>
              <w:top w:val="nil"/>
            </w:tcBorders>
          </w:tcPr>
          <w:p w14:paraId="1C398839" w14:textId="77777777" w:rsidR="000F16EB" w:rsidRDefault="000F16EB" w:rsidP="00A7521D">
            <w:pPr>
              <w:jc w:val="center"/>
            </w:pPr>
            <w:r>
              <w:t xml:space="preserve">Gives investment to encourage the installation of high-performance energy </w:t>
            </w:r>
            <w:r w:rsidRPr="00A34810">
              <w:t>efficient equipment, includ</w:t>
            </w:r>
            <w:r>
              <w:t>ing</w:t>
            </w:r>
            <w:r w:rsidRPr="00A34810">
              <w:t xml:space="preserve"> CHP</w:t>
            </w:r>
            <w:r>
              <w:t>.</w:t>
            </w:r>
          </w:p>
        </w:tc>
        <w:tc>
          <w:tcPr>
            <w:tcW w:w="1842" w:type="dxa"/>
            <w:tcBorders>
              <w:top w:val="nil"/>
            </w:tcBorders>
          </w:tcPr>
          <w:p w14:paraId="662BAF19" w14:textId="79078E1E" w:rsidR="000F16EB" w:rsidRDefault="000F16EB" w:rsidP="00A7521D">
            <w:pPr>
              <w:jc w:val="center"/>
            </w:pPr>
            <w:r w:rsidRPr="00A34810">
              <w:fldChar w:fldCharType="begin" w:fldLock="1"/>
            </w:r>
            <w:r w:rsidR="002A6A73">
              <w:instrText>ADDIN CSL_CITATION {"citationItems":[{"id":"ITEM-1","itemData":{"author":[{"dropping-particle":"","family":"BEIS","given":"","non-dropping-particle":"","parse-names":false,"suffix":""}],"id":"ITEM-1","issue":"February","issued":{"date-parts":[["2018"]]},"publisher-place":"London, England","title":"The Energy Technology List &amp; Enhanced Capital Allowances Scheme","type":"report"},"uris":["http://www.mendeley.com/documents/?uuid=e2c97581-90f1-4249-8dec-bae15033fae1"]}],"mendeley":{"formattedCitation":"(BEIS, 2018c)","plainTextFormattedCitation":"(BEIS, 2018c)","previouslyFormattedCitation":"(BEIS, 2018c)"},"properties":{"noteIndex":0},"schema":"https://github.com/citation-style-language/schema/raw/master/csl-citation.json"}</w:instrText>
            </w:r>
            <w:r w:rsidRPr="00A34810">
              <w:fldChar w:fldCharType="separate"/>
            </w:r>
            <w:r w:rsidR="002A6A73" w:rsidRPr="002A6A73">
              <w:rPr>
                <w:noProof/>
              </w:rPr>
              <w:t>(BEIS, 2018c)</w:t>
            </w:r>
            <w:r w:rsidRPr="00A34810">
              <w:fldChar w:fldCharType="end"/>
            </w:r>
          </w:p>
        </w:tc>
      </w:tr>
      <w:tr w:rsidR="000F16EB" w14:paraId="0C4D4C42" w14:textId="77777777" w:rsidTr="00A7521D">
        <w:trPr>
          <w:jc w:val="center"/>
        </w:trPr>
        <w:tc>
          <w:tcPr>
            <w:tcW w:w="2405" w:type="dxa"/>
          </w:tcPr>
          <w:p w14:paraId="7296F3C3" w14:textId="77777777" w:rsidR="000F16EB" w:rsidRDefault="000F16EB" w:rsidP="00A7521D">
            <w:pPr>
              <w:jc w:val="center"/>
            </w:pPr>
            <w:r>
              <w:t>I</w:t>
            </w:r>
            <w:r w:rsidRPr="00A34810">
              <w:t>ndustrial heat recovery support programme</w:t>
            </w:r>
            <w:r>
              <w:t xml:space="preserve"> 2017</w:t>
            </w:r>
          </w:p>
        </w:tc>
        <w:tc>
          <w:tcPr>
            <w:tcW w:w="3691" w:type="dxa"/>
          </w:tcPr>
          <w:p w14:paraId="24127AA6" w14:textId="77777777" w:rsidR="000F16EB" w:rsidRDefault="000F16EB" w:rsidP="00A7521D">
            <w:pPr>
              <w:jc w:val="center"/>
            </w:pPr>
            <w:r>
              <w:t>A support programme to help UK industry invest in and find opportunities for industrial WHR.</w:t>
            </w:r>
          </w:p>
        </w:tc>
        <w:tc>
          <w:tcPr>
            <w:tcW w:w="1842" w:type="dxa"/>
          </w:tcPr>
          <w:p w14:paraId="73F8010D" w14:textId="071157C1" w:rsidR="000F16EB" w:rsidRDefault="000F16EB" w:rsidP="00A7521D">
            <w:pPr>
              <w:jc w:val="center"/>
            </w:pPr>
            <w:r>
              <w:fldChar w:fldCharType="begin" w:fldLock="1"/>
            </w:r>
            <w:r w:rsidR="002A6A73">
              <w:instrText>ADDIN CSL_CITATION {"citationItems":[{"id":"ITEM-1","itemData":{"abstract":"BEIS Foreword from the Minister of State Improving energy efficiency will be key for achieving the Industrial Strategy’s aims of reducing business energy costs, improving industrial productivity and competitiveness, and driving clean economic growth. The recovery of waste heat from industrial processes is an energy efficiency measure that can immediately deliver all of these things, by reducing fuel requirements and helping industry avoid energy waste. The associated reduction in carbon emissions will also help the UK meet its legally binding Carbon Budgets. Industrial Heat Recovery is a technique by which heat generated for an industrial process, that otherwise would be wasted, is recovered and reused. This waste heat can be reused in a number of ways, including within the same industrial facility, by another end-user (e.g: through a heat network), or by converting the waste heat to power. A number of manufacturers have already invested in industrial heat recovery technologies, and many more have expressed an interest, but deployment continues to fall short of its economic potential of 7 TWh per year because of a range of commercial, technical and information barriers. This means that less than half of the potential is commercially viable at present. The aim of the Industrial Heat Recovery Support Programme is to increase industry confidence in identifying and investing in opportunities for recovering heat from industrial processes, and increase the deployment of the technologies needed to do it in England and Wales. The programme is estimated to deliver industrial energy bill savings of up to around £0.5 bn, and carbon savings of up to 6 million tonnes over the course of its lifetime. It will therefore make a significant contribution to delivering clean economic growth and maximising the economic benefits from the UK’s transition to a low carbon economy.","author":[{"dropping-particle":"","family":"BEIS","given":"","non-dropping-particle":"","parse-names":false,"suffix":""}],"id":"ITEM-1","issue":"October","issued":{"date-parts":[["2017"]]},"number-of-pages":"58","publisher-place":"London, England","title":"Industrial Heat Recovery Support Programme - Programme design and evidence collection","type":"report"},"uris":["http://www.mendeley.com/documents/?uuid=6be95b19-91ff-401e-a799-64ba03ac5c6f"]}],"mendeley":{"formattedCitation":"(BEIS, 2017b)","plainTextFormattedCitation":"(BEIS, 2017b)","previouslyFormattedCitation":"(BEIS, 2017b)"},"properties":{"noteIndex":0},"schema":"https://github.com/citation-style-language/schema/raw/master/csl-citation.json"}</w:instrText>
            </w:r>
            <w:r>
              <w:fldChar w:fldCharType="separate"/>
            </w:r>
            <w:r w:rsidR="002A6A73" w:rsidRPr="002A6A73">
              <w:rPr>
                <w:noProof/>
              </w:rPr>
              <w:t>(BEIS, 2017b)</w:t>
            </w:r>
            <w:r>
              <w:fldChar w:fldCharType="end"/>
            </w:r>
          </w:p>
        </w:tc>
      </w:tr>
      <w:tr w:rsidR="000F16EB" w14:paraId="348A5183" w14:textId="77777777" w:rsidTr="00A7521D">
        <w:trPr>
          <w:jc w:val="center"/>
        </w:trPr>
        <w:tc>
          <w:tcPr>
            <w:tcW w:w="2405" w:type="dxa"/>
          </w:tcPr>
          <w:p w14:paraId="0C732F43" w14:textId="77777777" w:rsidR="000F16EB" w:rsidRDefault="000F16EB" w:rsidP="00A7521D">
            <w:pPr>
              <w:jc w:val="center"/>
            </w:pPr>
            <w:r>
              <w:t>Heat and energy saving strategy 2009</w:t>
            </w:r>
          </w:p>
        </w:tc>
        <w:tc>
          <w:tcPr>
            <w:tcW w:w="3691" w:type="dxa"/>
          </w:tcPr>
          <w:p w14:paraId="39E8C20E" w14:textId="77777777" w:rsidR="000F16EB" w:rsidRDefault="000F16EB" w:rsidP="00A7521D">
            <w:pPr>
              <w:jc w:val="center"/>
            </w:pPr>
            <w:r>
              <w:t>Provides carbon pricing mechanisms to encourage energy saving in UK homes including CHP and DH.</w:t>
            </w:r>
          </w:p>
        </w:tc>
        <w:tc>
          <w:tcPr>
            <w:tcW w:w="1842" w:type="dxa"/>
          </w:tcPr>
          <w:p w14:paraId="31696D13" w14:textId="725D6586" w:rsidR="000F16EB" w:rsidRDefault="000F16EB" w:rsidP="00A7521D">
            <w:pPr>
              <w:jc w:val="center"/>
            </w:pPr>
            <w:r>
              <w:fldChar w:fldCharType="begin" w:fldLock="1"/>
            </w:r>
            <w:r w:rsidR="002A6A73">
              <w:instrText>ADDIN CSL_CITATION {"citationItems":[{"id":"ITEM-1","itemData":{"ISBN":"9780108508158","author":[{"dropping-particle":"","family":"DECC","given":"","non-dropping-particle":"","parse-names":false,"suffix":""}],"id":"ITEM-1","issued":{"date-parts":[["2009"]]},"publisher-place":"London, England","title":"HEAT AND ENERGY SAVING STRATEGY: Consultation","type":"report"},"uris":["http://www.mendeley.com/documents/?uuid=c859c22b-3035-4801-9bfb-6699a3da9716"]}],"mendeley":{"formattedCitation":"(DECC, 2009a)","plainTextFormattedCitation":"(DECC, 2009a)","previouslyFormattedCitation":"(DECC, 2009a)"},"properties":{"noteIndex":0},"schema":"https://github.com/citation-style-language/schema/raw/master/csl-citation.json"}</w:instrText>
            </w:r>
            <w:r>
              <w:fldChar w:fldCharType="separate"/>
            </w:r>
            <w:r w:rsidR="002A6A73" w:rsidRPr="002A6A73">
              <w:rPr>
                <w:noProof/>
              </w:rPr>
              <w:t>(DECC, 2009a)</w:t>
            </w:r>
            <w:r>
              <w:fldChar w:fldCharType="end"/>
            </w:r>
          </w:p>
        </w:tc>
      </w:tr>
      <w:tr w:rsidR="000F16EB" w14:paraId="10E9BBB4" w14:textId="77777777" w:rsidTr="00A7521D">
        <w:trPr>
          <w:jc w:val="center"/>
        </w:trPr>
        <w:tc>
          <w:tcPr>
            <w:tcW w:w="2405" w:type="dxa"/>
          </w:tcPr>
          <w:p w14:paraId="3965DFBD" w14:textId="77777777" w:rsidR="000F16EB" w:rsidRDefault="000F16EB" w:rsidP="00A7521D">
            <w:pPr>
              <w:jc w:val="center"/>
            </w:pPr>
            <w:r>
              <w:t>Renewables obligation order 2017</w:t>
            </w:r>
          </w:p>
        </w:tc>
        <w:tc>
          <w:tcPr>
            <w:tcW w:w="3691" w:type="dxa"/>
          </w:tcPr>
          <w:p w14:paraId="144524A3" w14:textId="77777777" w:rsidR="000F16EB" w:rsidRDefault="000F16EB" w:rsidP="00A7521D">
            <w:pPr>
              <w:jc w:val="center"/>
            </w:pPr>
            <w:r>
              <w:t xml:space="preserve">Obliges electricity suppliers to source environmentally friendly electricity. Suppliers are issued with certificates that must be redeemed </w:t>
            </w:r>
            <w:r w:rsidRPr="004C12F2">
              <w:t xml:space="preserve">against their </w:t>
            </w:r>
            <w:proofErr w:type="gramStart"/>
            <w:r>
              <w:t>renewables</w:t>
            </w:r>
            <w:proofErr w:type="gramEnd"/>
            <w:r>
              <w:t xml:space="preserve"> obligation.</w:t>
            </w:r>
          </w:p>
        </w:tc>
        <w:tc>
          <w:tcPr>
            <w:tcW w:w="1842" w:type="dxa"/>
          </w:tcPr>
          <w:p w14:paraId="3B9B45ED" w14:textId="6B9B39E9" w:rsidR="000F16EB" w:rsidRDefault="000F16EB" w:rsidP="00A7521D">
            <w:pPr>
              <w:jc w:val="center"/>
            </w:pPr>
            <w:r>
              <w:fldChar w:fldCharType="begin" w:fldLock="1"/>
            </w:r>
            <w:r w:rsidR="002A6A73">
              <w:instrText>ADDIN CSL_CITATION {"citationItems":[{"id":"ITEM-1","itemData":{"author":[{"dropping-particle":"","family":"Ofgem","given":"","non-dropping-particle":"","parse-names":false,"suffix":""}],"id":"ITEM-1","issued":{"date-parts":[["2017"]]},"publisher-place":"London, England","title":"Renewable Obligation","type":"report"},"uris":["http://www.mendeley.com/documents/?uuid=72f3fd4c-ef23-4a8b-8a96-15a2fe22471c"]}],"mendeley":{"formattedCitation":"(Ofgem, 2017)","plainTextFormattedCitation":"(Ofgem, 2017)","previouslyFormattedCitation":"(Ofgem, 2017)"},"properties":{"noteIndex":0},"schema":"https://github.com/citation-style-language/schema/raw/master/csl-citation.json"}</w:instrText>
            </w:r>
            <w:r>
              <w:fldChar w:fldCharType="separate"/>
            </w:r>
            <w:r w:rsidR="002A6A73" w:rsidRPr="002A6A73">
              <w:rPr>
                <w:noProof/>
              </w:rPr>
              <w:t>(Ofgem, 2017)</w:t>
            </w:r>
            <w:r>
              <w:fldChar w:fldCharType="end"/>
            </w:r>
          </w:p>
          <w:p w14:paraId="4ED65E3A" w14:textId="77777777" w:rsidR="000F16EB" w:rsidRDefault="000F16EB" w:rsidP="00A7521D">
            <w:pPr>
              <w:jc w:val="center"/>
            </w:pPr>
          </w:p>
        </w:tc>
      </w:tr>
      <w:tr w:rsidR="000F16EB" w14:paraId="196780EE" w14:textId="77777777" w:rsidTr="00A7521D">
        <w:trPr>
          <w:jc w:val="center"/>
        </w:trPr>
        <w:tc>
          <w:tcPr>
            <w:tcW w:w="2405" w:type="dxa"/>
          </w:tcPr>
          <w:p w14:paraId="71D299B1" w14:textId="77777777" w:rsidR="000F16EB" w:rsidRDefault="000F16EB" w:rsidP="00A7521D">
            <w:pPr>
              <w:jc w:val="center"/>
            </w:pPr>
            <w:r>
              <w:t>Renewable heat incentive 2018</w:t>
            </w:r>
          </w:p>
        </w:tc>
        <w:tc>
          <w:tcPr>
            <w:tcW w:w="3691" w:type="dxa"/>
          </w:tcPr>
          <w:p w14:paraId="375F0912" w14:textId="77777777" w:rsidR="000F16EB" w:rsidRDefault="000F16EB" w:rsidP="00A7521D">
            <w:pPr>
              <w:jc w:val="center"/>
            </w:pPr>
            <w:r>
              <w:t>Offers quarterly payments to users that join the scheme and stick to the necessary levels of renewable provision.</w:t>
            </w:r>
          </w:p>
        </w:tc>
        <w:tc>
          <w:tcPr>
            <w:tcW w:w="1842" w:type="dxa"/>
          </w:tcPr>
          <w:p w14:paraId="53EBD56C" w14:textId="4C58A727" w:rsidR="000F16EB" w:rsidRDefault="000F16EB" w:rsidP="00A7521D">
            <w:pPr>
              <w:jc w:val="center"/>
            </w:pPr>
            <w:r>
              <w:fldChar w:fldCharType="begin" w:fldLock="1"/>
            </w:r>
            <w:r w:rsidR="002A6A73">
              <w:instrText>ADDIN CSL_CITATION {"citationItems":[{"id":"ITEM-1","itemData":{"URL":"http://www.icax.co.uk/Renewable_Heat_Incentive.html","accessed":{"date-parts":[["2018","7","16"]]},"author":[{"dropping-particle":"","family":"ICAX","given":"","non-dropping-particle":"","parse-names":false,"suffix":""}],"id":"ITEM-1","issued":{"date-parts":[["2018"]]},"title":"Renewable Heat Incentive – RHI Commercial","type":"webpage"},"uris":["http://www.mendeley.com/documents/?uuid=60bc9107-94f6-4b34-a45e-5217c980da19"]}],"mendeley":{"formattedCitation":"(ICAX, 2018)","plainTextFormattedCitation":"(ICAX, 2018)","previouslyFormattedCitation":"(ICAX, 2018)"},"properties":{"noteIndex":0},"schema":"https://github.com/citation-style-language/schema/raw/master/csl-citation.json"}</w:instrText>
            </w:r>
            <w:r>
              <w:fldChar w:fldCharType="separate"/>
            </w:r>
            <w:r w:rsidR="002A6A73" w:rsidRPr="002A6A73">
              <w:rPr>
                <w:noProof/>
              </w:rPr>
              <w:t>(ICAX, 2018)</w:t>
            </w:r>
            <w:r>
              <w:fldChar w:fldCharType="end"/>
            </w:r>
          </w:p>
        </w:tc>
      </w:tr>
      <w:tr w:rsidR="000F16EB" w14:paraId="72F024C0" w14:textId="77777777" w:rsidTr="00A7521D">
        <w:trPr>
          <w:jc w:val="center"/>
        </w:trPr>
        <w:tc>
          <w:tcPr>
            <w:tcW w:w="2405" w:type="dxa"/>
          </w:tcPr>
          <w:p w14:paraId="32C9E522" w14:textId="77777777" w:rsidR="000F16EB" w:rsidRDefault="000F16EB" w:rsidP="00A7521D">
            <w:pPr>
              <w:jc w:val="center"/>
            </w:pPr>
            <w:r>
              <w:t>CHP quality assurance programme 2017</w:t>
            </w:r>
          </w:p>
        </w:tc>
        <w:tc>
          <w:tcPr>
            <w:tcW w:w="3691" w:type="dxa"/>
          </w:tcPr>
          <w:p w14:paraId="06680573" w14:textId="77777777" w:rsidR="000F16EB" w:rsidRDefault="000F16EB" w:rsidP="00A7521D">
            <w:pPr>
              <w:jc w:val="center"/>
            </w:pPr>
            <w:r>
              <w:t>A method of assessing all types and sizes of UK CHP units. Offers incentives to successful CHP units.</w:t>
            </w:r>
          </w:p>
        </w:tc>
        <w:tc>
          <w:tcPr>
            <w:tcW w:w="1842" w:type="dxa"/>
          </w:tcPr>
          <w:p w14:paraId="5FA5B3D0" w14:textId="17FDEF90" w:rsidR="000F16EB" w:rsidRDefault="000F16EB" w:rsidP="00A7521D">
            <w:pPr>
              <w:jc w:val="center"/>
            </w:pPr>
            <w:r>
              <w:fldChar w:fldCharType="begin" w:fldLock="1"/>
            </w:r>
            <w:r w:rsidR="002A6A73">
              <w:instrText>ADDIN CSL_CITATION {"citationItems":[{"id":"ITEM-1","itemData":{"URL":"https://www.gov.uk/guidance/combined-heat-power-quality-assurance-programme","accessed":{"date-parts":[["2018","7","16"]]},"author":[{"dropping-particle":"","family":"UK Government","given":"","non-dropping-particle":"","parse-names":false,"suffix":""}],"id":"ITEM-1","issued":{"date-parts":[["2017"]]},"title":"Guidance: Combined Heat and Power Quality Assurance Programme","type":"webpage"},"uris":["http://www.mendeley.com/documents/?uuid=71e0215f-ea95-4400-89a0-3bc5880c36f9"]}],"mendeley":{"formattedCitation":"(UK Government, 2017b)","plainTextFormattedCitation":"(UK Government, 2017b)","previouslyFormattedCitation":"(UK Government, 2017b)"},"properties":{"noteIndex":0},"schema":"https://github.com/citation-style-language/schema/raw/master/csl-citation.json"}</w:instrText>
            </w:r>
            <w:r>
              <w:fldChar w:fldCharType="separate"/>
            </w:r>
            <w:r w:rsidR="002A6A73" w:rsidRPr="002A6A73">
              <w:rPr>
                <w:noProof/>
              </w:rPr>
              <w:t>(UK Government, 2017b)</w:t>
            </w:r>
            <w:r>
              <w:fldChar w:fldCharType="end"/>
            </w:r>
          </w:p>
        </w:tc>
      </w:tr>
      <w:tr w:rsidR="000F16EB" w14:paraId="4C23CB9B" w14:textId="77777777" w:rsidTr="00A7521D">
        <w:trPr>
          <w:jc w:val="center"/>
        </w:trPr>
        <w:tc>
          <w:tcPr>
            <w:tcW w:w="2405" w:type="dxa"/>
          </w:tcPr>
          <w:p w14:paraId="01BED310" w14:textId="77777777" w:rsidR="000F16EB" w:rsidRDefault="000F16EB" w:rsidP="00A7521D">
            <w:pPr>
              <w:jc w:val="center"/>
            </w:pPr>
            <w:r>
              <w:t>Climate change levy 2016</w:t>
            </w:r>
          </w:p>
        </w:tc>
        <w:tc>
          <w:tcPr>
            <w:tcW w:w="3691" w:type="dxa"/>
          </w:tcPr>
          <w:p w14:paraId="10B3C34A" w14:textId="77777777" w:rsidR="000F16EB" w:rsidRDefault="000F16EB" w:rsidP="00A7521D">
            <w:pPr>
              <w:jc w:val="center"/>
            </w:pPr>
            <w:r>
              <w:t>Taxes on industrial energy use for energy sources, bar CHP quality assurance schemes.</w:t>
            </w:r>
          </w:p>
        </w:tc>
        <w:tc>
          <w:tcPr>
            <w:tcW w:w="1842" w:type="dxa"/>
          </w:tcPr>
          <w:p w14:paraId="5B57A362" w14:textId="19B32754" w:rsidR="000F16EB" w:rsidRDefault="000F16EB" w:rsidP="00A7521D">
            <w:pPr>
              <w:jc w:val="center"/>
            </w:pPr>
            <w:r>
              <w:fldChar w:fldCharType="begin" w:fldLock="1"/>
            </w:r>
            <w:r w:rsidR="002A6A73">
              <w:instrText>ADDIN CSL_CITATION {"citationItems":[{"id":"ITEM-1","itemData":{"URL":"https://www.gov.uk/government/publications/rates-and-allowances-climate-change-levy/climate-change-levy-rates","accessed":{"date-parts":[["2018","7","16"]]},"author":[{"dropping-particle":"","family":"HMRC","given":"","non-dropping-particle":"","parse-names":false,"suffix":""}],"id":"ITEM-1","issued":{"date-parts":[["2016"]]},"title":"Climate Change Levy rates","type":"webpage"},"uris":["http://www.mendeley.com/documents/?uuid=0145f6d3-3110-4a69-9071-e9fa43fb9d46"]}],"mendeley":{"formattedCitation":"(HMRC, 2016)","plainTextFormattedCitation":"(HMRC, 2016)","previouslyFormattedCitation":"(HMRC, 2016)"},"properties":{"noteIndex":0},"schema":"https://github.com/citation-style-language/schema/raw/master/csl-citation.json"}</w:instrText>
            </w:r>
            <w:r>
              <w:fldChar w:fldCharType="separate"/>
            </w:r>
            <w:r w:rsidR="002A6A73" w:rsidRPr="002A6A73">
              <w:rPr>
                <w:noProof/>
              </w:rPr>
              <w:t>(HMRC, 2016)</w:t>
            </w:r>
            <w:r>
              <w:fldChar w:fldCharType="end"/>
            </w:r>
          </w:p>
        </w:tc>
      </w:tr>
      <w:tr w:rsidR="000F16EB" w14:paraId="662F3C01" w14:textId="77777777" w:rsidTr="00A7521D">
        <w:trPr>
          <w:jc w:val="center"/>
        </w:trPr>
        <w:tc>
          <w:tcPr>
            <w:tcW w:w="2405" w:type="dxa"/>
          </w:tcPr>
          <w:p w14:paraId="1446CD75" w14:textId="77777777" w:rsidR="000F16EB" w:rsidRDefault="000F16EB" w:rsidP="00A7521D">
            <w:pPr>
              <w:jc w:val="center"/>
            </w:pPr>
            <w:r>
              <w:t>Energy act 2008</w:t>
            </w:r>
          </w:p>
        </w:tc>
        <w:tc>
          <w:tcPr>
            <w:tcW w:w="3691" w:type="dxa"/>
          </w:tcPr>
          <w:p w14:paraId="7B44B44D" w14:textId="77777777" w:rsidR="000F16EB" w:rsidRPr="002501E3" w:rsidRDefault="000F16EB" w:rsidP="00A7521D">
            <w:pPr>
              <w:jc w:val="center"/>
            </w:pPr>
            <w:r>
              <w:t>Feed in tariffs for CHP units up to 5 </w:t>
            </w:r>
            <w:proofErr w:type="spellStart"/>
            <w:r>
              <w:t>MW</w:t>
            </w:r>
            <w:r>
              <w:rPr>
                <w:vertAlign w:val="subscript"/>
              </w:rPr>
              <w:t>e</w:t>
            </w:r>
            <w:proofErr w:type="spellEnd"/>
            <w:r>
              <w:t xml:space="preserve"> in size.</w:t>
            </w:r>
          </w:p>
        </w:tc>
        <w:tc>
          <w:tcPr>
            <w:tcW w:w="1842" w:type="dxa"/>
          </w:tcPr>
          <w:p w14:paraId="15C5F406" w14:textId="70B3BBC4" w:rsidR="000F16EB" w:rsidRDefault="000F16EB" w:rsidP="00A7521D">
            <w:pPr>
              <w:jc w:val="center"/>
            </w:pPr>
            <w:r>
              <w:fldChar w:fldCharType="begin" w:fldLock="1"/>
            </w:r>
            <w:r w:rsidR="002A6A73">
              <w:instrText>ADDIN CSL_CITATION {"citationItems":[{"id":"ITEM-1","itemData":{"URL":"https://www.gov.uk/green-taxes-and-reliefs","accessed":{"date-parts":[["2018","7","16"]]},"author":[{"dropping-particle":"","family":"UK Government","given":"","non-dropping-particle":"","parse-names":false,"suffix":""}],"id":"ITEM-1","issued":{"date-parts":[["2018"]]},"title":"Environmental taxes, reliefs and schemes for businesses","type":"webpage"},"uris":["http://www.mendeley.com/documents/?uuid=4345d854-5b8a-4805-b191-e10a7717c559"]}],"mendeley":{"formattedCitation":"(UK Government, 2018a)","plainTextFormattedCitation":"(UK Government, 2018a)","previouslyFormattedCitation":"(UK Government, 2018a)"},"properties":{"noteIndex":0},"schema":"https://github.com/citation-style-language/schema/raw/master/csl-citation.json"}</w:instrText>
            </w:r>
            <w:r>
              <w:fldChar w:fldCharType="separate"/>
            </w:r>
            <w:r w:rsidR="002A6A73" w:rsidRPr="002A6A73">
              <w:rPr>
                <w:noProof/>
              </w:rPr>
              <w:t>(UK Government, 2018a)</w:t>
            </w:r>
            <w:r>
              <w:fldChar w:fldCharType="end"/>
            </w:r>
          </w:p>
        </w:tc>
      </w:tr>
      <w:tr w:rsidR="0022640E" w14:paraId="54009970" w14:textId="77777777" w:rsidTr="00A7521D">
        <w:trPr>
          <w:jc w:val="center"/>
        </w:trPr>
        <w:tc>
          <w:tcPr>
            <w:tcW w:w="2405" w:type="dxa"/>
          </w:tcPr>
          <w:p w14:paraId="6B621565" w14:textId="47A0047C" w:rsidR="0022640E" w:rsidRDefault="0022640E" w:rsidP="0022640E">
            <w:pPr>
              <w:jc w:val="center"/>
            </w:pPr>
            <w:r>
              <w:t>Energy white paper 2003</w:t>
            </w:r>
          </w:p>
        </w:tc>
        <w:tc>
          <w:tcPr>
            <w:tcW w:w="3691" w:type="dxa"/>
          </w:tcPr>
          <w:p w14:paraId="2CDBA7DF" w14:textId="60D8D745" w:rsidR="0022640E" w:rsidRDefault="0022640E" w:rsidP="0022640E">
            <w:pPr>
              <w:jc w:val="center"/>
            </w:pPr>
            <w:r>
              <w:t>Set a target to generate 20% of the UK electricity from renewable sources by 2020.</w:t>
            </w:r>
          </w:p>
        </w:tc>
        <w:tc>
          <w:tcPr>
            <w:tcW w:w="1842" w:type="dxa"/>
          </w:tcPr>
          <w:p w14:paraId="01C3EA4F" w14:textId="79C7642E" w:rsidR="0022640E" w:rsidRDefault="0022640E" w:rsidP="0022640E">
            <w:pPr>
              <w:jc w:val="center"/>
            </w:pPr>
            <w:r>
              <w:fldChar w:fldCharType="begin" w:fldLock="1"/>
            </w:r>
            <w:r>
              <w:instrText>ADDIN CSL_CITATION {"citationItems":[{"id":"ITEM-1","itemData":{"ISBN":"0101576129","author":[{"dropping-particle":"","family":"DTI","given":"","non-dropping-particle":"","parse-names":false,"suffix":""}],"id":"ITEM-1","issued":{"date-parts":[["2003"]]},"publisher-place":"London, England","title":"Energy White Paper - Our energy future - creating a low carbon economy","type":"report"},"uris":["http://www.mendeley.com/documents/?uuid=7309a1ac-8d5e-4ff3-b3a5-6ad409fa7252"]}],"mendeley":{"formattedCitation":"(DTI, 2003)","plainTextFormattedCitation":"(DTI, 2003)","previouslyFormattedCitation":"(DTI, 2003)"},"properties":{"noteIndex":0},"schema":"https://github.com/citation-style-language/schema/raw/master/csl-citation.json"}</w:instrText>
            </w:r>
            <w:r>
              <w:fldChar w:fldCharType="separate"/>
            </w:r>
            <w:r w:rsidRPr="002A6A73">
              <w:rPr>
                <w:noProof/>
              </w:rPr>
              <w:t>(DTI, 2003)</w:t>
            </w:r>
            <w:r>
              <w:fldChar w:fldCharType="end"/>
            </w:r>
          </w:p>
        </w:tc>
      </w:tr>
    </w:tbl>
    <w:p w14:paraId="6396EABB" w14:textId="77777777" w:rsidR="00CB7456" w:rsidRDefault="00CB7456" w:rsidP="000F16EB">
      <w:pPr>
        <w:rPr>
          <w:b/>
          <w:sz w:val="18"/>
          <w:szCs w:val="18"/>
        </w:rPr>
      </w:pPr>
    </w:p>
    <w:p w14:paraId="45660724" w14:textId="13A2B217" w:rsidR="000F16EB" w:rsidRPr="000A5D20" w:rsidRDefault="0022640E" w:rsidP="000F16EB">
      <w:pPr>
        <w:rPr>
          <w:b/>
          <w:sz w:val="18"/>
        </w:rPr>
      </w:pPr>
      <w:r w:rsidRPr="0022640E">
        <w:rPr>
          <w:b/>
          <w:sz w:val="18"/>
          <w:szCs w:val="18"/>
        </w:rPr>
        <w:lastRenderedPageBreak/>
        <w:fldChar w:fldCharType="begin"/>
      </w:r>
      <w:r w:rsidRPr="0022640E">
        <w:rPr>
          <w:b/>
          <w:sz w:val="18"/>
          <w:szCs w:val="18"/>
        </w:rPr>
        <w:instrText xml:space="preserve"> REF _Ref531343647 \h  \* MERGEFORMAT </w:instrText>
      </w:r>
      <w:r w:rsidRPr="0022640E">
        <w:rPr>
          <w:b/>
          <w:sz w:val="18"/>
          <w:szCs w:val="18"/>
        </w:rPr>
      </w:r>
      <w:r w:rsidRPr="0022640E">
        <w:rPr>
          <w:b/>
          <w:sz w:val="18"/>
          <w:szCs w:val="18"/>
        </w:rPr>
        <w:fldChar w:fldCharType="separate"/>
      </w:r>
      <w:r w:rsidR="00CB7456" w:rsidRPr="00CB7456">
        <w:rPr>
          <w:b/>
          <w:sz w:val="18"/>
          <w:szCs w:val="18"/>
        </w:rPr>
        <w:t xml:space="preserve">Table </w:t>
      </w:r>
      <w:r w:rsidR="00CB7456" w:rsidRPr="00CB7456">
        <w:rPr>
          <w:b/>
          <w:noProof/>
          <w:sz w:val="18"/>
          <w:szCs w:val="18"/>
        </w:rPr>
        <w:t>2.10</w:t>
      </w:r>
      <w:r w:rsidRPr="0022640E">
        <w:rPr>
          <w:b/>
          <w:sz w:val="18"/>
          <w:szCs w:val="18"/>
        </w:rPr>
        <w:fldChar w:fldCharType="end"/>
      </w:r>
      <w:r w:rsidR="000F16EB" w:rsidRPr="0022640E">
        <w:rPr>
          <w:b/>
          <w:sz w:val="18"/>
        </w:rPr>
        <w:t>: Key UK DH, CHP</w:t>
      </w:r>
      <w:r w:rsidR="000F16EB" w:rsidRPr="000A5D20">
        <w:rPr>
          <w:b/>
          <w:sz w:val="18"/>
        </w:rPr>
        <w:t xml:space="preserve"> and WHR related legislation (continued).</w:t>
      </w:r>
    </w:p>
    <w:tbl>
      <w:tblPr>
        <w:tblStyle w:val="TableGrid"/>
        <w:tblW w:w="7938" w:type="dxa"/>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5"/>
        <w:gridCol w:w="3691"/>
        <w:gridCol w:w="1842"/>
      </w:tblGrid>
      <w:tr w:rsidR="000F16EB" w14:paraId="4A7CC15B" w14:textId="77777777" w:rsidTr="00A7521D">
        <w:trPr>
          <w:jc w:val="center"/>
        </w:trPr>
        <w:tc>
          <w:tcPr>
            <w:tcW w:w="2405" w:type="dxa"/>
            <w:tcBorders>
              <w:top w:val="single" w:sz="4" w:space="0" w:color="auto"/>
              <w:bottom w:val="single" w:sz="4" w:space="0" w:color="auto"/>
            </w:tcBorders>
          </w:tcPr>
          <w:p w14:paraId="762CB6CF" w14:textId="77777777" w:rsidR="000F16EB" w:rsidRDefault="000F16EB" w:rsidP="00A7521D">
            <w:pPr>
              <w:jc w:val="center"/>
            </w:pPr>
            <w:r>
              <w:t>Policy name</w:t>
            </w:r>
          </w:p>
        </w:tc>
        <w:tc>
          <w:tcPr>
            <w:tcW w:w="3691" w:type="dxa"/>
            <w:tcBorders>
              <w:top w:val="single" w:sz="4" w:space="0" w:color="auto"/>
              <w:bottom w:val="single" w:sz="4" w:space="0" w:color="auto"/>
            </w:tcBorders>
          </w:tcPr>
          <w:p w14:paraId="2C6E0F06" w14:textId="77777777" w:rsidR="000F16EB" w:rsidRDefault="000F16EB" w:rsidP="00A7521D">
            <w:pPr>
              <w:jc w:val="center"/>
            </w:pPr>
            <w:r>
              <w:t>What it does</w:t>
            </w:r>
          </w:p>
        </w:tc>
        <w:tc>
          <w:tcPr>
            <w:tcW w:w="1842" w:type="dxa"/>
            <w:tcBorders>
              <w:top w:val="single" w:sz="4" w:space="0" w:color="auto"/>
              <w:bottom w:val="single" w:sz="4" w:space="0" w:color="auto"/>
            </w:tcBorders>
          </w:tcPr>
          <w:p w14:paraId="15431B58" w14:textId="77777777" w:rsidR="000F16EB" w:rsidRDefault="000F16EB" w:rsidP="00A7521D">
            <w:pPr>
              <w:jc w:val="center"/>
            </w:pPr>
            <w:r>
              <w:t>Reference</w:t>
            </w:r>
          </w:p>
        </w:tc>
      </w:tr>
      <w:tr w:rsidR="00196CD6" w14:paraId="21011246" w14:textId="77777777" w:rsidTr="00A7521D">
        <w:trPr>
          <w:jc w:val="center"/>
        </w:trPr>
        <w:tc>
          <w:tcPr>
            <w:tcW w:w="2405" w:type="dxa"/>
          </w:tcPr>
          <w:p w14:paraId="1E41BEE7" w14:textId="72D2FF37" w:rsidR="00196CD6" w:rsidRDefault="00196CD6" w:rsidP="00196CD6">
            <w:pPr>
              <w:jc w:val="center"/>
            </w:pPr>
            <w:r>
              <w:t>Building a greener future – towards zero carbon development 2006</w:t>
            </w:r>
          </w:p>
        </w:tc>
        <w:tc>
          <w:tcPr>
            <w:tcW w:w="3691" w:type="dxa"/>
          </w:tcPr>
          <w:p w14:paraId="5B455B70" w14:textId="2395D92B" w:rsidR="00196CD6" w:rsidRDefault="00196CD6" w:rsidP="00196CD6">
            <w:pPr>
              <w:jc w:val="center"/>
            </w:pPr>
            <w:r>
              <w:t>Recognises DH as a key step in achieving zero carbon housing.</w:t>
            </w:r>
          </w:p>
        </w:tc>
        <w:tc>
          <w:tcPr>
            <w:tcW w:w="1842" w:type="dxa"/>
          </w:tcPr>
          <w:p w14:paraId="0ED1C862" w14:textId="46B90795" w:rsidR="00196CD6" w:rsidRDefault="00196CD6" w:rsidP="00196CD6">
            <w:pPr>
              <w:jc w:val="center"/>
            </w:pPr>
            <w:r>
              <w:fldChar w:fldCharType="begin" w:fldLock="1"/>
            </w:r>
            <w:r>
              <w:instrText>ADDIN CSL_CITATION {"citationItems":[{"id":"ITEM-1","itemData":{"author":[{"dropping-particle":"","family":"DCLG","given":"","non-dropping-particle":"","parse-names":false,"suffix":""}],"id":"ITEM-1","issue":"December","issued":{"date-parts":[["2006"]]},"number-of-pages":"1-44","publisher-place":"London, England","title":"Building A Greener Future: Towards Zero Carbon Development","type":"report"},"uris":["http://www.mendeley.com/documents/?uuid=655811aa-d966-4999-a53d-ddcc44bc976b"]}],"mendeley":{"formattedCitation":"(DCLG, 2006)","plainTextFormattedCitation":"(DCLG, 2006)","previouslyFormattedCitation":"(DCLG, 2006)"},"properties":{"noteIndex":0},"schema":"https://github.com/citation-style-language/schema/raw/master/csl-citation.json"}</w:instrText>
            </w:r>
            <w:r>
              <w:fldChar w:fldCharType="separate"/>
            </w:r>
            <w:r w:rsidRPr="002A6A73">
              <w:rPr>
                <w:noProof/>
              </w:rPr>
              <w:t>(DCLG, 2006)</w:t>
            </w:r>
            <w:r>
              <w:fldChar w:fldCharType="end"/>
            </w:r>
          </w:p>
        </w:tc>
      </w:tr>
      <w:tr w:rsidR="007B29C3" w14:paraId="4CCC0893" w14:textId="77777777" w:rsidTr="00A7521D">
        <w:trPr>
          <w:jc w:val="center"/>
        </w:trPr>
        <w:tc>
          <w:tcPr>
            <w:tcW w:w="2405" w:type="dxa"/>
          </w:tcPr>
          <w:p w14:paraId="3EAD1F94" w14:textId="0B9C5C34" w:rsidR="007B29C3" w:rsidRDefault="007B29C3" w:rsidP="007B29C3">
            <w:pPr>
              <w:jc w:val="center"/>
            </w:pPr>
            <w:r>
              <w:t>Climate change and sustainable energy act 2006</w:t>
            </w:r>
          </w:p>
        </w:tc>
        <w:tc>
          <w:tcPr>
            <w:tcW w:w="3691" w:type="dxa"/>
          </w:tcPr>
          <w:p w14:paraId="12A14F67" w14:textId="0889EAF8" w:rsidR="007B29C3" w:rsidRDefault="007B29C3" w:rsidP="007B29C3">
            <w:pPr>
              <w:jc w:val="center"/>
            </w:pPr>
            <w:r>
              <w:t>Supports schemes with an aim to promote community energy programmes.</w:t>
            </w:r>
          </w:p>
        </w:tc>
        <w:tc>
          <w:tcPr>
            <w:tcW w:w="1842" w:type="dxa"/>
          </w:tcPr>
          <w:p w14:paraId="516FE5B4" w14:textId="2E07E8C9" w:rsidR="007B29C3" w:rsidRDefault="007B29C3" w:rsidP="007B29C3">
            <w:pPr>
              <w:jc w:val="center"/>
            </w:pPr>
            <w:r>
              <w:fldChar w:fldCharType="begin" w:fldLock="1"/>
            </w:r>
            <w:r>
              <w:instrText>ADDIN CSL_CITATION {"citationItems":[{"id":"ITEM-1","itemData":{"DOI":"10.1016/j.trac.2011.06.012","ISBN":"0165-9936","abstract":"The enormous interest in proteomics research in recent years has inspired many developments in peptide chromatography. Different strategies have been developed to cope with the vast complexity of proteomics samples, trying to provide sufficient degree of separation to be able to exploit fully the potential of protein identification by mass spectrometry (MS). As reversed-phase liquid chromatography (RPLC) coupled to MS is still the method of choice for the analysis of protein digests, many efforts focus on the development of high-efficiency RP methods (e.g., monolithic columns and ultra-high-performance LC). This can also increase the speed and the sensitivity of the analysis of protein digests.As RPLC-MS alone is unlikely to provide sufficient resolution to unravel the composition of highly complex samples comprehensively, multidimensional methods will remain essential in proteome research. In this area, hydrophilic interaction chromatography (HILIC) seems to be a promising alternative to the traditional strong cation-exchange-based methods. Also, HILIC has found application in the analysis of post-translational modifications (e.g., phosphorylation and glycosylation).This review describes recent developments in LC methods for proteomics research, focusing on advances in column technology and the application of novel column materials. Illustrative examples show the possibilities of the new columns in proteomics research. © 2011 Elsevier Ltd.","author":[{"dropping-particle":"","family":"Parliament of the United Kingdom","given":"","non-dropping-particle":"","parse-names":false,"suffix":""}],"id":"ITEM-1","issued":{"date-parts":[["2006"]]},"publisher":"Parliament of the United Kingdom","publisher-place":"London, England","title":"Climate Change and Sustainable Energy Act 2006","type":"bill"},"uris":["http://www.mendeley.com/documents/?uuid=88eee540-6ce0-4b01-b5bc-39a5e169b69d"]}],"mendeley":{"formattedCitation":"(Parliament of the United Kingdom, 2006)","plainTextFormattedCitation":"(Parliament of the United Kingdom, 2006)","previouslyFormattedCitation":"(Parliament of the United Kingdom, 2006)"},"properties":{"noteIndex":0},"schema":"https://github.com/citation-style-language/schema/raw/master/csl-citation.json"}</w:instrText>
            </w:r>
            <w:r>
              <w:fldChar w:fldCharType="separate"/>
            </w:r>
            <w:r w:rsidRPr="002A6A73">
              <w:rPr>
                <w:noProof/>
              </w:rPr>
              <w:t>(Parliament of the United Kingdom, 2006)</w:t>
            </w:r>
            <w:r>
              <w:fldChar w:fldCharType="end"/>
            </w:r>
          </w:p>
        </w:tc>
      </w:tr>
      <w:tr w:rsidR="007B29C3" w14:paraId="77064D48" w14:textId="77777777" w:rsidTr="00A7521D">
        <w:trPr>
          <w:jc w:val="center"/>
        </w:trPr>
        <w:tc>
          <w:tcPr>
            <w:tcW w:w="2405" w:type="dxa"/>
          </w:tcPr>
          <w:p w14:paraId="2CB95214" w14:textId="4364CB7A" w:rsidR="007B29C3" w:rsidRDefault="007B29C3" w:rsidP="007B29C3">
            <w:pPr>
              <w:jc w:val="center"/>
            </w:pPr>
            <w:r>
              <w:t>Meeting the energy challenge 2007</w:t>
            </w:r>
          </w:p>
        </w:tc>
        <w:tc>
          <w:tcPr>
            <w:tcW w:w="3691" w:type="dxa"/>
          </w:tcPr>
          <w:p w14:paraId="5C8E9491" w14:textId="0CDED3D3" w:rsidR="007B29C3" w:rsidRDefault="007B29C3" w:rsidP="007B29C3">
            <w:pPr>
              <w:jc w:val="center"/>
            </w:pPr>
            <w:r>
              <w:t>Sets out a UK energy strategy tackling energy savings and low carbon technologies.</w:t>
            </w:r>
          </w:p>
        </w:tc>
        <w:tc>
          <w:tcPr>
            <w:tcW w:w="1842" w:type="dxa"/>
          </w:tcPr>
          <w:p w14:paraId="64E66D91" w14:textId="5B710A96" w:rsidR="007B29C3" w:rsidRDefault="007B29C3" w:rsidP="007B29C3">
            <w:pPr>
              <w:jc w:val="center"/>
            </w:pPr>
            <w:r>
              <w:fldChar w:fldCharType="begin" w:fldLock="1"/>
            </w:r>
            <w:r>
              <w:instrText>ADDIN CSL_CITATION {"citationItems":[{"id":"ITEM-1","itemData":{"DOI":"10.1016/s1472-9288(03)00005-0","ISBN":"1472-9288","author":[{"dropping-particle":"","family":"DTI","given":"","non-dropping-particle":"","parse-names":false,"suffix":""}],"id":"ITEM-1","issue":"May","issued":{"date-parts":[["2007"]]},"number-of-pages":"1-344","publisher-place":"London, England","title":"Meeting the Energy Challenge: A White Paper on Energy","type":"report"},"uris":["http://www.mendeley.com/documents/?uuid=c70f772a-1edf-4dfb-ab2d-fb8e95950fa5"]}],"mendeley":{"formattedCitation":"(DTI, 2007)","plainTextFormattedCitation":"(DTI, 2007)","previouslyFormattedCitation":"(DTI, 2007)"},"properties":{"noteIndex":0},"schema":"https://github.com/citation-style-language/schema/raw/master/csl-citation.json"}</w:instrText>
            </w:r>
            <w:r>
              <w:fldChar w:fldCharType="separate"/>
            </w:r>
            <w:r w:rsidRPr="002A6A73">
              <w:rPr>
                <w:noProof/>
              </w:rPr>
              <w:t>(DTI, 2007)</w:t>
            </w:r>
            <w:r>
              <w:fldChar w:fldCharType="end"/>
            </w:r>
          </w:p>
        </w:tc>
      </w:tr>
      <w:tr w:rsidR="007B29C3" w14:paraId="20BB2339" w14:textId="77777777" w:rsidTr="00A7521D">
        <w:trPr>
          <w:jc w:val="center"/>
        </w:trPr>
        <w:tc>
          <w:tcPr>
            <w:tcW w:w="2405" w:type="dxa"/>
          </w:tcPr>
          <w:p w14:paraId="336718D5" w14:textId="77777777" w:rsidR="007B29C3" w:rsidRDefault="007B29C3" w:rsidP="007B29C3">
            <w:pPr>
              <w:jc w:val="center"/>
            </w:pPr>
            <w:r>
              <w:t>Climate change act 2008</w:t>
            </w:r>
          </w:p>
        </w:tc>
        <w:tc>
          <w:tcPr>
            <w:tcW w:w="3691" w:type="dxa"/>
          </w:tcPr>
          <w:p w14:paraId="15307F05" w14:textId="77777777" w:rsidR="007B29C3" w:rsidRDefault="007B29C3" w:rsidP="007B29C3">
            <w:pPr>
              <w:jc w:val="center"/>
            </w:pPr>
            <w:r>
              <w:t>Presents a framework to achieve 34% GHG emission reductions from 1990 – 2020 through a system of carbon budgeting.</w:t>
            </w:r>
          </w:p>
        </w:tc>
        <w:tc>
          <w:tcPr>
            <w:tcW w:w="1842" w:type="dxa"/>
          </w:tcPr>
          <w:p w14:paraId="00859BEA" w14:textId="140AB7F5" w:rsidR="007B29C3" w:rsidRDefault="007B29C3" w:rsidP="007B29C3">
            <w:pPr>
              <w:jc w:val="center"/>
            </w:pPr>
            <w:r>
              <w:fldChar w:fldCharType="begin" w:fldLock="1"/>
            </w:r>
            <w:r>
              <w:instrText>ADDIN CSL_CITATION {"citationItems":[{"id":"ITEM-1","itemData":{"DOI":"10.1136/bmj.39469.569815.47","ISBN":"9780105427087","ISSN":"0959-8138","abstract":"Climate Change Act 2008. (c.27). London: The Stationery Office.","author":[{"dropping-particle":"","family":"Parliament of the United Kingdom","given":"","non-dropping-particle":"","parse-names":false,"suffix":""}],"id":"ITEM-1","issued":{"date-parts":[["2008"]]},"publisher":"Parliament of the United Kingdom","publisher-place":"London, England","title":"Climate Change Act 2008","type":"bill"},"uris":["http://www.mendeley.com/documents/?uuid=b68a704b-5a2c-4dfd-b4b3-dff88fac8f0e"]}],"mendeley":{"formattedCitation":"(Parliament of the United Kingdom, 2008)","plainTextFormattedCitation":"(Parliament of the United Kingdom, 2008)","previouslyFormattedCitation":"(Parliament of the United Kingdom, 2008)"},"properties":{"noteIndex":0},"schema":"https://github.com/citation-style-language/schema/raw/master/csl-citation.json"}</w:instrText>
            </w:r>
            <w:r>
              <w:fldChar w:fldCharType="separate"/>
            </w:r>
            <w:r w:rsidRPr="002A6A73">
              <w:rPr>
                <w:noProof/>
              </w:rPr>
              <w:t>(Parliament of the United Kingdom, 2008)</w:t>
            </w:r>
            <w:r>
              <w:fldChar w:fldCharType="end"/>
            </w:r>
          </w:p>
        </w:tc>
      </w:tr>
      <w:tr w:rsidR="007B29C3" w14:paraId="7A90B492" w14:textId="77777777" w:rsidTr="00A7521D">
        <w:trPr>
          <w:jc w:val="center"/>
        </w:trPr>
        <w:tc>
          <w:tcPr>
            <w:tcW w:w="2405" w:type="dxa"/>
          </w:tcPr>
          <w:p w14:paraId="4642F290" w14:textId="77777777" w:rsidR="007B29C3" w:rsidRDefault="007B29C3" w:rsidP="007B29C3">
            <w:pPr>
              <w:jc w:val="center"/>
            </w:pPr>
            <w:r>
              <w:t>The future of heating: meeting the challenge 2013</w:t>
            </w:r>
          </w:p>
        </w:tc>
        <w:tc>
          <w:tcPr>
            <w:tcW w:w="3691" w:type="dxa"/>
          </w:tcPr>
          <w:p w14:paraId="11604DC7" w14:textId="77777777" w:rsidR="007B29C3" w:rsidRDefault="007B29C3" w:rsidP="007B29C3">
            <w:pPr>
              <w:jc w:val="center"/>
            </w:pPr>
            <w:r>
              <w:t>Describes pathways to meet a low carbon heat supply, including the heat network delivery unit.</w:t>
            </w:r>
          </w:p>
        </w:tc>
        <w:tc>
          <w:tcPr>
            <w:tcW w:w="1842" w:type="dxa"/>
          </w:tcPr>
          <w:p w14:paraId="369483CA" w14:textId="2B6A987B" w:rsidR="007B29C3" w:rsidRDefault="007B29C3" w:rsidP="007B29C3">
            <w:pPr>
              <w:jc w:val="center"/>
            </w:pPr>
            <w:r>
              <w:fldChar w:fldCharType="begin" w:fldLock="1"/>
            </w:r>
            <w:r>
              <w:instrText>ADDIN CSL_CITATION {"citationItems":[{"id":"ITEM-1","itemData":{"abstract":"Various documents and info","author":[{"dropping-particle":"","family":"DECC","given":"","non-dropping-particle":"","parse-names":false,"suffix":""}],"id":"ITEM-1","issued":{"date-parts":[["2013"]]},"publisher-place":"London, England","title":"The Future of Heating: Meeting the challenge","type":"report"},"uris":["http://www.mendeley.com/documents/?uuid=9f3c295e-6e14-48d1-b7e7-ddf8ebd7628d"]}],"mendeley":{"formattedCitation":"(DECC, 2013c)","plainTextFormattedCitation":"(DECC, 2013c)","previouslyFormattedCitation":"(DECC, 2013c)"},"properties":{"noteIndex":0},"schema":"https://github.com/citation-style-language/schema/raw/master/csl-citation.json"}</w:instrText>
            </w:r>
            <w:r>
              <w:fldChar w:fldCharType="separate"/>
            </w:r>
            <w:r w:rsidRPr="002A6A73">
              <w:rPr>
                <w:noProof/>
              </w:rPr>
              <w:t>(DECC, 2013c)</w:t>
            </w:r>
            <w:r>
              <w:fldChar w:fldCharType="end"/>
            </w:r>
          </w:p>
        </w:tc>
      </w:tr>
    </w:tbl>
    <w:p w14:paraId="1C6C3D3A" w14:textId="77777777" w:rsidR="000F16EB" w:rsidRDefault="000F16EB" w:rsidP="00196CD6">
      <w:pPr>
        <w:pStyle w:val="NoSpacing"/>
      </w:pPr>
    </w:p>
    <w:p w14:paraId="7F759B08" w14:textId="77777777" w:rsidR="000F16EB" w:rsidRDefault="000F16EB" w:rsidP="000F16EB">
      <w:pPr>
        <w:pStyle w:val="Heading3"/>
      </w:pPr>
      <w:bookmarkStart w:id="318" w:name="_Toc522192755"/>
      <w:bookmarkStart w:id="319" w:name="_Toc525229972"/>
      <w:bookmarkStart w:id="320" w:name="_Toc529888286"/>
      <w:bookmarkStart w:id="321" w:name="_Toc7187487"/>
      <w:bookmarkEnd w:id="316"/>
      <w:r>
        <w:t>UK Government Carbon Reduction Plans</w:t>
      </w:r>
      <w:bookmarkEnd w:id="318"/>
      <w:bookmarkEnd w:id="319"/>
      <w:bookmarkEnd w:id="320"/>
      <w:bookmarkEnd w:id="321"/>
    </w:p>
    <w:p w14:paraId="5DC96E40" w14:textId="77777777" w:rsidR="000F16EB" w:rsidRDefault="000F16EB" w:rsidP="000F16EB">
      <w:r>
        <w:t xml:space="preserve">The level of funding and co-ordination required for DH highlights the importance of considering DH in the UK Governments’ carbon reduction plans. Carbon reduction plans detail how the government is going to allocate funding and co-ordinate industrial experience in the future to reduce the countries carbon emissions. </w:t>
      </w:r>
    </w:p>
    <w:p w14:paraId="13978045" w14:textId="25D7D6A5" w:rsidR="000F16EB" w:rsidRDefault="000F16EB" w:rsidP="000F16EB">
      <w:r>
        <w:t xml:space="preserve">The government established a UK Low Carbon Transition Plan </w:t>
      </w:r>
      <w:r>
        <w:fldChar w:fldCharType="begin" w:fldLock="1"/>
      </w:r>
      <w:r w:rsidR="002A6A73">
        <w:instrText>ADDIN CSL_CITATION {"citationItems":[{"id":"ITEM-1","itemData":{"ISBN":"9780108508394","author":[{"dropping-particle":"","family":"DECC","given":"","non-dropping-particle":"","parse-names":false,"suffix":""}],"id":"ITEM-1","issued":{"date-parts":[["2009"]]},"publisher-place":"London, England","title":"The UK Low Carbon Transition Plan: National strategy for climate and energy","type":"report"},"uris":["http://www.mendeley.com/documents/?uuid=3ae94914-c19c-467e-b0a4-5d8e378c6683"]}],"mendeley":{"formattedCitation":"(DECC, 2009b)","plainTextFormattedCitation":"(DECC, 2009b)","previouslyFormattedCitation":"(DECC, 2009b)"},"properties":{"noteIndex":0},"schema":"https://github.com/citation-style-language/schema/raw/master/csl-citation.json"}</w:instrText>
      </w:r>
      <w:r>
        <w:fldChar w:fldCharType="separate"/>
      </w:r>
      <w:r w:rsidR="002A6A73" w:rsidRPr="002A6A73">
        <w:rPr>
          <w:noProof/>
        </w:rPr>
        <w:t>(DECC, 2009b)</w:t>
      </w:r>
      <w:r>
        <w:fldChar w:fldCharType="end"/>
      </w:r>
      <w:r>
        <w:t xml:space="preserve"> that aims to, by 2020, reduce GHG emissions by 18% of the 2008 levels. The plan is unique as it devolves powers and responsibility to every major department in the government; with each department allocated an individual carbon budget and responsible for producing a low carbon plan. Some of the key goals of the plan include commitments to generate 40% of the countries’ electricity from low carbon sources, with 30% coming from renewable sources; committing £3.2 billion of funding to make homes more energy efficient, aiming to supply every home with a smart meter by 2020; and helping to tackle energy and fuel poverty, offering grants and funding to community-based green energy schemes. </w:t>
      </w:r>
    </w:p>
    <w:p w14:paraId="36208393" w14:textId="1E87E286" w:rsidR="000F16EB" w:rsidRDefault="000F16EB" w:rsidP="000F16EB">
      <w:r>
        <w:t xml:space="preserve">Meeting the aims outlined in the Low Carbon Transition Plan will require extensive planning and scenario modelling </w:t>
      </w:r>
      <w:r>
        <w:fldChar w:fldCharType="begin" w:fldLock="1"/>
      </w:r>
      <w:r w:rsidR="002A6A73">
        <w:instrText>ADDIN CSL_CITATION {"citationItems":[{"id":"ITEM-1","itemData":{"author":[{"dropping-particle":"","family":"Speirs","given":"Jamie","non-dropping-particle":"","parse-names":false,"suffix":""},{"dropping-particle":"","family":"Gross","given":"Robert","non-dropping-particle":"","parse-names":false,"suffix":""},{"dropping-particle":"","family":"Deshmukh","given":"Sandip","non-dropping-particle":"","parse-names":false,"suffix":""},{"dropping-particle":"","family":"Heptonstall","given":"Phil","non-dropping-particle":"","parse-names":false,"suffix":""},{"dropping-particle":"","family":"Munuera","given":"Luis","non-dropping-particle":"","parse-names":false,"suffix":""},{"dropping-particle":"","family":"Leach","given":"Matthew","non-dropping-particle":"","parse-names":false,"suffix":""},{"dropping-particle":"","family":"Torriti","given":"Jacopo","non-dropping-particle":"","parse-names":false,"suffix":""}],"id":"ITEM-1","issued":{"date-parts":[["2010"]]},"number-of-pages":"1-46","publisher-place":"London, England","title":"Building a roadmap for heat 2050 scenarios and heat delivery in the UK","type":"report"},"uris":["http://www.mendeley.com/documents/?uuid=2518c04d-528b-4417-bbef-15f65eb0b5f9"]}],"mendeley":{"formattedCitation":"(Speirs &lt;i&gt;et al.&lt;/i&gt;, 2010)","plainTextFormattedCitation":"(Speirs et al., 2010)","previouslyFormattedCitation":"(Speirs &lt;i&gt;et al.&lt;/i&gt;, 2010)"},"properties":{"noteIndex":0},"schema":"https://github.com/citation-style-language/schema/raw/master/csl-citation.json"}</w:instrText>
      </w:r>
      <w:r>
        <w:fldChar w:fldCharType="separate"/>
      </w:r>
      <w:r w:rsidR="002A6A73" w:rsidRPr="002A6A73">
        <w:rPr>
          <w:noProof/>
        </w:rPr>
        <w:t xml:space="preserve">(Speirs </w:t>
      </w:r>
      <w:r w:rsidR="002A6A73" w:rsidRPr="002A6A73">
        <w:rPr>
          <w:i/>
          <w:noProof/>
        </w:rPr>
        <w:t>et al.</w:t>
      </w:r>
      <w:r w:rsidR="002A6A73" w:rsidRPr="002A6A73">
        <w:rPr>
          <w:noProof/>
        </w:rPr>
        <w:t>, 2010)</w:t>
      </w:r>
      <w:r>
        <w:fldChar w:fldCharType="end"/>
      </w:r>
      <w:r>
        <w:t>. Five scenarios have been modelled, examining different policy approaches and assessing the impact of each one. The scenarios are as follows a committee on climate change (CCC) 80% carbon reduction scenario, a Department for Environment, Food and Rural Affairs (DEFRA) 80% high bioenergy scenario, a DECC 80% Renewable Energy Strategy (RES) scenario, a UK Energy Research Council (UK ERC) low carbon resilient scenario, and an ‘integrated scenario’. The integrated scenario is based on the CCC scenario including the use of DH and carbon capture and storage-based CHP (CCS</w:t>
      </w:r>
      <w:r>
        <w:noBreakHyphen/>
        <w:t xml:space="preserve">CHP). The integrated scenario is shown to generated 4.2 </w:t>
      </w:r>
      <w:proofErr w:type="spellStart"/>
      <w:r>
        <w:t>mtoe</w:t>
      </w:r>
      <w:proofErr w:type="spellEnd"/>
      <w:r>
        <w:t xml:space="preserve"> of heat and 4.0 </w:t>
      </w:r>
      <w:proofErr w:type="spellStart"/>
      <w:r>
        <w:t>mtoe</w:t>
      </w:r>
      <w:proofErr w:type="spellEnd"/>
      <w:r>
        <w:t xml:space="preserve"> of electricity from gas-fired CCS-CHP plants, as well as 3.7 </w:t>
      </w:r>
      <w:proofErr w:type="spellStart"/>
      <w:r>
        <w:t>mtoe</w:t>
      </w:r>
      <w:proofErr w:type="spellEnd"/>
      <w:r>
        <w:t xml:space="preserve"> of heat and 0.5 </w:t>
      </w:r>
      <w:proofErr w:type="spellStart"/>
      <w:r>
        <w:t>mtoe</w:t>
      </w:r>
      <w:proofErr w:type="spellEnd"/>
      <w:r>
        <w:t xml:space="preserve"> of electricity from biomass fired CHP plants. Benefits of the integrated plan include the ability </w:t>
      </w:r>
      <w:r>
        <w:lastRenderedPageBreak/>
        <w:t>of DHNs to reduce peak power demands and offer TES, as well as the potential to remove the need for heat pumps removing disruptions to heating systems.</w:t>
      </w:r>
    </w:p>
    <w:p w14:paraId="18647433" w14:textId="09819CE7" w:rsidR="000F16EB" w:rsidRDefault="000F16EB" w:rsidP="000F16EB">
      <w:r>
        <w:t>The potential impact of government plans is mainly expressed in terms of funding. Through the Heat Networks Development Unit (HNDU) the government has allocated £320 million of funding up to 2021 to help encourage development in the UK DH market</w:t>
      </w:r>
      <w:r w:rsidR="00441038">
        <w:t xml:space="preserve"> </w:t>
      </w:r>
      <w:r w:rsidR="00441038">
        <w:fldChar w:fldCharType="begin" w:fldLock="1"/>
      </w:r>
      <w:r w:rsidR="00441038">
        <w:instrText>ADDIN CSL_CITATION {"citationItems":[{"id":"ITEM-1","itemData":{"author":[{"dropping-particle":"","family":"ADE","given":"","non-dropping-particle":"","parse-names":false,"suffix":""}],"id":"ITEM-1","issue":"January","issued":{"date-parts":[["2018"]]},"publisher-place":"London, England","title":"Market Report: Heat Networks in the UK","type":"report"},"uris":["http://www.mendeley.com/documents/?uuid=3b8be272-1b4d-43ea-bc6f-20c5ad7b1b4a"]}],"mendeley":{"formattedCitation":"(ADE, 2018)","plainTextFormattedCitation":"(ADE, 2018)","previouslyFormattedCitation":"(ADE, 2018)"},"properties":{"noteIndex":0},"schema":"https://github.com/citation-style-language/schema/raw/master/csl-citation.json"}</w:instrText>
      </w:r>
      <w:r w:rsidR="00441038">
        <w:fldChar w:fldCharType="separate"/>
      </w:r>
      <w:r w:rsidR="00441038" w:rsidRPr="002A6A73">
        <w:rPr>
          <w:noProof/>
        </w:rPr>
        <w:t>(ADE, 2018)</w:t>
      </w:r>
      <w:r w:rsidR="00441038">
        <w:fldChar w:fldCharType="end"/>
      </w:r>
      <w:r>
        <w:t xml:space="preserve">. The HNDU has increased funding up to £751 million in 2018 </w:t>
      </w:r>
      <w:r>
        <w:fldChar w:fldCharType="begin" w:fldLock="1"/>
      </w:r>
      <w:r w:rsidR="002A6A73">
        <w:instrText>ADDIN CSL_CITATION {"citationItems":[{"id":"ITEM-1","itemData":{"author":[{"dropping-particle":"","family":"BEIS","given":"","non-dropping-particle":"","parse-names":false,"suffix":""}],"id":"ITEM-1","issued":{"date-parts":[["2018"]]},"publisher-place":"London, England","title":"Heat Networks Delivery Unit: 2018 Q1 Pipeline","type":"report"},"uris":["http://www.mendeley.com/documents/?uuid=fb2c42f7-59de-4447-b382-1edf5fad57db"]}],"mendeley":{"formattedCitation":"(BEIS, 2018b)","plainTextFormattedCitation":"(BEIS, 2018b)","previouslyFormattedCitation":"(BEIS, 2018b)"},"properties":{"noteIndex":0},"schema":"https://github.com/citation-style-language/schema/raw/master/csl-citation.json"}</w:instrText>
      </w:r>
      <w:r>
        <w:fldChar w:fldCharType="separate"/>
      </w:r>
      <w:r w:rsidR="002A6A73" w:rsidRPr="002A6A73">
        <w:rPr>
          <w:noProof/>
        </w:rPr>
        <w:t>(BEIS, 2018b)</w:t>
      </w:r>
      <w:r>
        <w:fldChar w:fldCharType="end"/>
      </w:r>
      <w:r>
        <w:t xml:space="preserve">. It is expected that the government funding and support will attract up to £2 billion of extra capital investment. The RES is a pathway established by the government to allocate £30 billion of funding to renewable heat and electricity schemes through the use of </w:t>
      </w:r>
      <w:bookmarkStart w:id="322" w:name="_Hlk526255741"/>
      <w:r>
        <w:t xml:space="preserve">Renewable Obligation Certificates </w:t>
      </w:r>
      <w:bookmarkEnd w:id="322"/>
      <w:r>
        <w:t>(ROCs)</w:t>
      </w:r>
      <w:r w:rsidR="00441038">
        <w:t xml:space="preserve"> </w:t>
      </w:r>
      <w:r w:rsidR="00441038">
        <w:fldChar w:fldCharType="begin" w:fldLock="1"/>
      </w:r>
      <w:r w:rsidR="00441038">
        <w:instrText>ADDIN CSL_CITATION {"citationItems":[{"id":"ITEM-1","itemData":{"DOI":"10.1002/yd.20021","ISBN":"9780101768627","ISSN":"1537-5781","PMID":"22826161","abstract":"\"July 2009.\" This document sets out the Government's plans for a radical increase in the UK's use of renewable electricity, heat and transport, which will meet the legally-binding target of 15 per cent of energy coming from renewable sources by 2020. This Strategy will help tackle climate change, reducing the UK's emissions of carbon dioxide by over 750 million tonnes between now and 2030. It will also promote the security of UK energy supply, reducing our overall fossil fuel demand by around 10 per cent and gas imports by 20-30 per cent against what they would have been in 2020. And it will provide opportunities for the UK economy with the potential to create up to half a million more jobs in the UK renewable energy sector resulting from around £100 billion of new investment. In parallel with energy saving, nuclear and carbon capture and storage, this is a key element for setting the UK on the path to achieve a low-carbon, sustainable future that helps address dangerous climate change. This strategy could result in: more than 30 per cent of electricity and 12 per cent of heat generated from renewables; and 10 per cent of transport energy from renewables. The Government will: provide financial support for renewable electricity and heat worth around £30 billion between now and 2020; drive delivery and clear away barriers, through the Office for Renewable Energy Deployment; increase investment in emerging technologies and pursue new sources of supply: create new opportunities for individuals, communities and business to harness renewable energy. The UK Low Carbon Transition Plan is published alongside this document (ISBN 9780108508394).","author":[{"dropping-particle":"","family":"DECC","given":"","non-dropping-particle":"","parse-names":false,"suffix":""}],"id":"ITEM-1","issued":{"date-parts":[["2009"]]},"number-of-pages":"232","publisher-place":"London, England","title":"The UK renewable energy strategy","type":"report"},"uris":["http://www.mendeley.com/documents/?uuid=879fa3a8-4d0b-4b6c-8e10-c6295620076b"]}],"mendeley":{"formattedCitation":"(DECC, 2009c)","plainTextFormattedCitation":"(DECC, 2009c)","previouslyFormattedCitation":"(DECC, 2009c)"},"properties":{"noteIndex":0},"schema":"https://github.com/citation-style-language/schema/raw/master/csl-citation.json"}</w:instrText>
      </w:r>
      <w:r w:rsidR="00441038">
        <w:fldChar w:fldCharType="separate"/>
      </w:r>
      <w:r w:rsidR="00441038" w:rsidRPr="002A6A73">
        <w:rPr>
          <w:noProof/>
        </w:rPr>
        <w:t>(DECC, 2009c)</w:t>
      </w:r>
      <w:r w:rsidR="00441038">
        <w:fldChar w:fldCharType="end"/>
      </w:r>
      <w:r>
        <w:t>. The RES recognises both CHP and DH as technologies to be supported by the use of ROCs. In addition, the RES has created local development orders giving local authorities more freedom to use planning laws to encourage DH development.</w:t>
      </w:r>
    </w:p>
    <w:p w14:paraId="60CA7B2D" w14:textId="77777777" w:rsidR="000F16EB" w:rsidRPr="00374588" w:rsidRDefault="000F16EB" w:rsidP="000F16EB">
      <w:pPr>
        <w:pStyle w:val="Heading3"/>
      </w:pPr>
      <w:bookmarkStart w:id="323" w:name="_Toc522192756"/>
      <w:bookmarkStart w:id="324" w:name="_Toc525229973"/>
      <w:bookmarkStart w:id="325" w:name="_Toc529888287"/>
      <w:bookmarkStart w:id="326" w:name="_Toc7187488"/>
      <w:r>
        <w:t>EU District Heating Market</w:t>
      </w:r>
      <w:bookmarkEnd w:id="323"/>
      <w:bookmarkEnd w:id="324"/>
      <w:bookmarkEnd w:id="325"/>
      <w:bookmarkEnd w:id="326"/>
    </w:p>
    <w:p w14:paraId="52E46575" w14:textId="025AEF2E" w:rsidR="000F16EB" w:rsidRDefault="000F16EB" w:rsidP="000F16EB">
      <w:proofErr w:type="spellStart"/>
      <w:r>
        <w:t>Ecoheatcool</w:t>
      </w:r>
      <w:proofErr w:type="spellEnd"/>
      <w:r>
        <w:t xml:space="preserve"> studied the heating and DH markets for 32 European countries, including the 28 EU member states, the 3 European Free Trade Association countries and Turkey</w:t>
      </w:r>
      <w:r w:rsidR="00441038">
        <w:t xml:space="preserve"> </w:t>
      </w:r>
      <w:r w:rsidR="00441038">
        <w:fldChar w:fldCharType="begin" w:fldLock="1"/>
      </w:r>
      <w:r w:rsidR="00441038">
        <w:instrText>ADDIN CSL_CITATION {"citationItems":[{"id":"ITEM-1","itemData":{"author":[{"dropping-particle":"","family":"Werner","given":"Sven","non-dropping-particle":"","parse-names":false,"suffix":""}],"id":"ITEM-1","issued":{"date-parts":[["2006"]]},"publisher-place":"Brussels, Belgium","title":"Possibilities for more district heating in Europe","type":"report"},"uris":["http://www.mendeley.com/documents/?uuid=3847be37-955a-4ba4-879e-0e3e6d8f5248"]}],"mendeley":{"formattedCitation":"(Werner, 2006)","plainTextFormattedCitation":"(Werner, 2006)","previouslyFormattedCitation":"(Werner, 2006)"},"properties":{"noteIndex":0},"schema":"https://github.com/citation-style-language/schema/raw/master/csl-citation.json"}</w:instrText>
      </w:r>
      <w:r w:rsidR="00441038">
        <w:fldChar w:fldCharType="separate"/>
      </w:r>
      <w:r w:rsidR="00441038" w:rsidRPr="002A6A73">
        <w:rPr>
          <w:noProof/>
        </w:rPr>
        <w:t>(Werner, 2006)</w:t>
      </w:r>
      <w:r w:rsidR="00441038">
        <w:fldChar w:fldCharType="end"/>
      </w:r>
      <w:r>
        <w:t xml:space="preserve">. The total HD for the industrial, domestic and service sectors in the 32 countries is estimated to be approximately 20.8 EJ per year. The size of the DH market is estimated to be approximately 2.0 EJ per year with potential to expand to 3.8 EJ per year. </w:t>
      </w:r>
    </w:p>
    <w:p w14:paraId="1F1519DD" w14:textId="77777777" w:rsidR="000F16EB" w:rsidRDefault="000F16EB" w:rsidP="000F16EB">
      <w:pPr>
        <w:pStyle w:val="Heading3"/>
      </w:pPr>
      <w:bookmarkStart w:id="327" w:name="_Toc522192757"/>
      <w:bookmarkStart w:id="328" w:name="_Toc525229974"/>
      <w:bookmarkStart w:id="329" w:name="_Toc529888288"/>
      <w:bookmarkStart w:id="330" w:name="_Toc7187489"/>
      <w:r>
        <w:t>EU District Heating Market Legislation</w:t>
      </w:r>
      <w:bookmarkEnd w:id="327"/>
      <w:bookmarkEnd w:id="328"/>
      <w:bookmarkEnd w:id="329"/>
      <w:bookmarkEnd w:id="330"/>
    </w:p>
    <w:p w14:paraId="078DFD65" w14:textId="255A4E88" w:rsidR="000F16EB" w:rsidRDefault="000F16EB" w:rsidP="000F16EB">
      <w:r>
        <w:t xml:space="preserve">Through the actions of the EU, a number of international laws and directives exist that affect DH and CHP. The </w:t>
      </w:r>
      <w:r w:rsidR="00BA48D8">
        <w:t>EC’s</w:t>
      </w:r>
      <w:r>
        <w:t xml:space="preserve"> 20% by 2020 initiative states that all member states of the EU must reduce their </w:t>
      </w:r>
      <w:r>
        <w:rPr>
          <w:lang w:eastAsia="en-GB"/>
        </w:rPr>
        <w:t>CO</w:t>
      </w:r>
      <w:r>
        <w:rPr>
          <w:vertAlign w:val="subscript"/>
          <w:lang w:eastAsia="en-GB"/>
        </w:rPr>
        <w:t>2</w:t>
      </w:r>
      <w:r>
        <w:rPr>
          <w:lang w:eastAsia="en-GB"/>
        </w:rPr>
        <w:t xml:space="preserve"> emissions to 20% of their 1990 levels </w:t>
      </w:r>
      <w:r>
        <w:rPr>
          <w:lang w:eastAsia="en-GB"/>
        </w:rPr>
        <w:fldChar w:fldCharType="begin" w:fldLock="1"/>
      </w:r>
      <w:r w:rsidR="002A6A73">
        <w:rPr>
          <w:lang w:eastAsia="en-GB"/>
        </w:rPr>
        <w:instrText>ADDIN CSL_CITATION {"citationItems":[{"id":"ITEM-1","itemData":{"DOI":"10.3000/19770677.L_2012.315.eng","ISBN":"2012","ISSN":"2012","author":[{"dropping-particle":"","family":"EC","given":"","non-dropping-particle":"","parse-names":false,"suffix":""}],"container-title":"Official Journal of the European Union Directive","id":"ITEM-1","issue":"October","issued":{"date-parts":[["2012"]]},"number-of-pages":"1-56","publisher-place":"Brussels, Belgium","title":"Directive 2012/27/EU of the European Parliament and of the Council of 25 October 2012","type":"report"},"uris":["http://www.mendeley.com/documents/?uuid=f1951e44-5ed0-4f42-a93d-11729b16dafc"]}],"mendeley":{"formattedCitation":"(EC, 2012b)","plainTextFormattedCitation":"(EC, 2012b)","previouslyFormattedCitation":"(EC, 2012b)"},"properties":{"noteIndex":0},"schema":"https://github.com/citation-style-language/schema/raw/master/csl-citation.json"}</w:instrText>
      </w:r>
      <w:r>
        <w:rPr>
          <w:lang w:eastAsia="en-GB"/>
        </w:rPr>
        <w:fldChar w:fldCharType="separate"/>
      </w:r>
      <w:r w:rsidR="002A6A73" w:rsidRPr="002A6A73">
        <w:rPr>
          <w:noProof/>
          <w:lang w:eastAsia="en-GB"/>
        </w:rPr>
        <w:t>(EC, 2012b)</w:t>
      </w:r>
      <w:r>
        <w:rPr>
          <w:lang w:eastAsia="en-GB"/>
        </w:rPr>
        <w:fldChar w:fldCharType="end"/>
      </w:r>
      <w:r>
        <w:rPr>
          <w:lang w:eastAsia="en-GB"/>
        </w:rPr>
        <w:t xml:space="preserve">. As part of directive 202/27/EU on energy efficiency, all EU member states have a legal responsibility to assess the </w:t>
      </w:r>
      <w:r>
        <w:t xml:space="preserve">technical and socially cost-effective potential for CHP and DHC in their country </w:t>
      </w:r>
      <w:r>
        <w:fldChar w:fldCharType="begin" w:fldLock="1"/>
      </w:r>
      <w:r w:rsidR="002A6A73">
        <w:instrText>ADDIN CSL_CITATION {"citationItems":[{"id":"ITEM-1","itemData":{"author":[{"dropping-particle":"","family":"Abu-Ebid","given":"Mahmoud","non-dropping-particle":"","parse-names":false,"suffix":""}],"id":"ITEM-1","issued":{"date-parts":[["2015"]]},"publisher-place":"Didcot, England","title":"National Comprehensive Assessment of the Potential for Combined Heat and Power and District Heating and Cooling in the UK - Report for DECC","type":"report"},"uris":["http://www.mendeley.com/documents/?uuid=ac2fc8b2-cd5c-4bc5-91d2-6d6d5b8c461a"]}],"mendeley":{"formattedCitation":"(Abu-Ebid, 2015)","plainTextFormattedCitation":"(Abu-Ebid, 2015)","previouslyFormattedCitation":"(Abu-Ebid, 2015)"},"properties":{"noteIndex":0},"schema":"https://github.com/citation-style-language/schema/raw/master/csl-citation.json"}</w:instrText>
      </w:r>
      <w:r>
        <w:fldChar w:fldCharType="separate"/>
      </w:r>
      <w:r w:rsidR="002A6A73" w:rsidRPr="002A6A73">
        <w:rPr>
          <w:noProof/>
        </w:rPr>
        <w:t>(Abu-Ebid, 2015)</w:t>
      </w:r>
      <w:r>
        <w:fldChar w:fldCharType="end"/>
      </w:r>
      <w:r>
        <w:t xml:space="preserve">. In the UK, the government has established the CHP site assessment tool, CHP development map, and CHP scheme database under the directive </w:t>
      </w:r>
      <w:r>
        <w:fldChar w:fldCharType="begin" w:fldLock="1"/>
      </w:r>
      <w:r w:rsidR="002A6A73">
        <w:instrText>ADDIN CSL_CITATION {"citationItems":[{"id":"ITEM-1","itemData":{"URL":"https://www.gov.uk/guidance/combined-heat-and-power","accessed":{"date-parts":[["2018","7","16"]]},"author":[{"dropping-particle":"","family":"UK Government","given":"","non-dropping-particle":"","parse-names":false,"suffix":""}],"id":"ITEM-1","issued":{"date-parts":[["2018"]]},"title":"Guidance: Combined heat and power","type":"webpage"},"uris":["http://www.mendeley.com/documents/?uuid=520529bb-8efd-4ce5-83ad-73be974e26c7"]}],"mendeley":{"formattedCitation":"(UK Government, 2018b)","plainTextFormattedCitation":"(UK Government, 2018b)","previouslyFormattedCitation":"(UK Government, 2018b)"},"properties":{"noteIndex":0},"schema":"https://github.com/citation-style-language/schema/raw/master/csl-citation.json"}</w:instrText>
      </w:r>
      <w:r>
        <w:fldChar w:fldCharType="separate"/>
      </w:r>
      <w:r w:rsidR="002A6A73" w:rsidRPr="002A6A73">
        <w:rPr>
          <w:noProof/>
        </w:rPr>
        <w:t>(UK Government, 2018b)</w:t>
      </w:r>
      <w:r>
        <w:fldChar w:fldCharType="end"/>
      </w:r>
      <w:r>
        <w:t xml:space="preserve">. The EU Emission Trading Scheme (EU ETS) puts GHG allowances on organisations which reduce their emissions over time, encouraging ever further emission reduction </w:t>
      </w:r>
      <w:r>
        <w:fldChar w:fldCharType="begin" w:fldLock="1"/>
      </w:r>
      <w:r w:rsidR="002A6A73">
        <w:instrText>ADDIN CSL_CITATION {"citationItems":[{"id":"ITEM-1","itemData":{"URL":"https://ec.europa.eu/clima/policies/ets_en","accessed":{"date-parts":[["2018","7","16"]]},"author":[{"dropping-particle":"","family":"EC","given":"","non-dropping-particle":"","parse-names":false,"suffix":""}],"id":"ITEM-1","issued":{"date-parts":[["2016"]]},"title":"EU Emissions Trading System (EU ETS)","type":"webpage"},"uris":["http://www.mendeley.com/documents/?uuid=46407d23-4157-4bec-9ca1-418da5e86cba"]}],"mendeley":{"formattedCitation":"(EC, 2016)","plainTextFormattedCitation":"(EC, 2016)","previouslyFormattedCitation":"(EC, 2016)"},"properties":{"noteIndex":0},"schema":"https://github.com/citation-style-language/schema/raw/master/csl-citation.json"}</w:instrText>
      </w:r>
      <w:r>
        <w:fldChar w:fldCharType="separate"/>
      </w:r>
      <w:r w:rsidR="002A6A73" w:rsidRPr="002A6A73">
        <w:rPr>
          <w:noProof/>
        </w:rPr>
        <w:t>(EC, 2016)</w:t>
      </w:r>
      <w:r>
        <w:fldChar w:fldCharType="end"/>
      </w:r>
      <w:r>
        <w:t>. The allowances can be traded, offering flexibility in operation.</w:t>
      </w:r>
    </w:p>
    <w:p w14:paraId="6D3EB174" w14:textId="77777777" w:rsidR="000F16EB" w:rsidRDefault="000F16EB" w:rsidP="000F16EB">
      <w:pPr>
        <w:pStyle w:val="Heading3"/>
      </w:pPr>
      <w:bookmarkStart w:id="331" w:name="_Toc522192758"/>
      <w:bookmarkStart w:id="332" w:name="_Toc525229975"/>
      <w:bookmarkStart w:id="333" w:name="_Toc529888289"/>
      <w:bookmarkStart w:id="334" w:name="_Toc7187490"/>
      <w:r>
        <w:t>EU Government Carbon Reduction Plans</w:t>
      </w:r>
      <w:bookmarkEnd w:id="331"/>
      <w:bookmarkEnd w:id="332"/>
      <w:bookmarkEnd w:id="333"/>
      <w:bookmarkEnd w:id="334"/>
    </w:p>
    <w:p w14:paraId="192A9DF6" w14:textId="45594B95" w:rsidR="000F16EB" w:rsidRDefault="000F16EB" w:rsidP="000F16EB">
      <w:r>
        <w:t>On an EU wide scale, a number of carbon reduction plans and funding schemes have been proposed by the Department of Trade and Industry</w:t>
      </w:r>
      <w:r w:rsidR="00BA48D8">
        <w:t xml:space="preserve"> (DTI)</w:t>
      </w:r>
      <w:r>
        <w:t xml:space="preserve"> that covers DH and CHP</w:t>
      </w:r>
      <w:r w:rsidR="00441038">
        <w:t xml:space="preserve"> </w:t>
      </w:r>
      <w:r w:rsidR="00441038">
        <w:fldChar w:fldCharType="begin" w:fldLock="1"/>
      </w:r>
      <w:r w:rsidR="00441038">
        <w:instrText>ADDIN CSL_CITATION {"citationItems":[{"id":"ITEM-1","itemData":{"ISBN":"0101576129","author":[{"dropping-particle":"","family":"DTI","given":"","non-dropping-particle":"","parse-names":false,"suffix":""}],"id":"ITEM-1","issued":{"date-parts":[["2003"]]},"publisher-place":"London, England","title":"Energy White Paper - Our energy future - creating a low carbon economy","type":"report"},"uris":["http://www.mendeley.com/documents/?uuid=7309a1ac-8d5e-4ff3-b3a5-6ad409fa7252"]}],"mendeley":{"formattedCitation":"(DTI, 2003)","plainTextFormattedCitation":"(DTI, 2003)","previouslyFormattedCitation":"(DTI, 2003)"},"properties":{"noteIndex":0},"schema":"https://github.com/citation-style-language/schema/raw/master/csl-citation.json"}</w:instrText>
      </w:r>
      <w:r w:rsidR="00441038">
        <w:fldChar w:fldCharType="separate"/>
      </w:r>
      <w:r w:rsidR="00441038" w:rsidRPr="002A6A73">
        <w:rPr>
          <w:noProof/>
        </w:rPr>
        <w:t>(DTI, 2003)</w:t>
      </w:r>
      <w:r w:rsidR="00441038">
        <w:fldChar w:fldCharType="end"/>
      </w:r>
      <w:r>
        <w:t xml:space="preserve">. A number of EU White Papers cover CHP, particularly as a technology that can implement biomass-based fuels. Through the White Papers the UK has been given a goal of doubling its 5 </w:t>
      </w:r>
      <w:proofErr w:type="spellStart"/>
      <w:r>
        <w:t>GW</w:t>
      </w:r>
      <w:r>
        <w:rPr>
          <w:vertAlign w:val="subscript"/>
        </w:rPr>
        <w:t>e</w:t>
      </w:r>
      <w:proofErr w:type="spellEnd"/>
      <w:r>
        <w:t xml:space="preserve"> biomass power to 10 </w:t>
      </w:r>
      <w:proofErr w:type="spellStart"/>
      <w:r>
        <w:t>GW</w:t>
      </w:r>
      <w:r>
        <w:rPr>
          <w:vertAlign w:val="subscript"/>
        </w:rPr>
        <w:t>e</w:t>
      </w:r>
      <w:proofErr w:type="spellEnd"/>
      <w:r>
        <w:t>, which will save 1.25 MtCO</w:t>
      </w:r>
      <w:r>
        <w:rPr>
          <w:vertAlign w:val="subscript"/>
        </w:rPr>
        <w:t>2</w:t>
      </w:r>
      <w:r>
        <w:t xml:space="preserve">e per year. </w:t>
      </w:r>
    </w:p>
    <w:p w14:paraId="12FAB2B9" w14:textId="1D9F3C11" w:rsidR="000F16EB" w:rsidRDefault="000F16EB" w:rsidP="000F16EB">
      <w:r>
        <w:t xml:space="preserve">The EU have presented scenario-based roadmaps to achieve the 20% by 2020 goals </w:t>
      </w:r>
      <w:r>
        <w:fldChar w:fldCharType="begin" w:fldLock="1"/>
      </w:r>
      <w:r w:rsidR="002A6A73">
        <w:instrText>ADDIN CSL_CITATION {"citationItems":[{"id":"ITEM-1","itemData":{"DOI":"10.2833/10759","ISBN":"9789279217982","ISSN":"14710080","PMID":"15991970","abstract":"This is the second of three volumes. Volume 1 is a technical and economic assessment of a set of decarbonisation pathways. This volume addresses the policy and regulatory implications arising from the analysis and Volume 3 will address the broader implications for society. ECF strongly recommends that further work be carried out that will help stakeholders understand the required change in more detail, including the different ways in which various regions would experience the transformation. Roadmap 2050 breaks new ground by outlining plausible ways to achieve an 80% reduction target from a broad European perspective, based on the best available facts elicited from industry players and academia and developed by a team of recognized experts rigorously applying established industry standards.","author":[{"dropping-particle":"","family":"EC","given":"","non-dropping-particle":"","parse-names":false,"suffix":""}],"id":"ITEM-1","issued":{"date-parts":[["2012"]]},"publisher-place":"Brussels, Belgium","title":"Energy roadmap 2050","type":"report"},"uris":["http://www.mendeley.com/documents/?uuid=19752d92-b182-4c72-9c29-93c786faa79f"]}],"mendeley":{"formattedCitation":"(EC, 2012c)","plainTextFormattedCitation":"(EC, 2012c)","previouslyFormattedCitation":"(EC, 2012c)"},"properties":{"noteIndex":0},"schema":"https://github.com/citation-style-language/schema/raw/master/csl-citation.json"}</w:instrText>
      </w:r>
      <w:r>
        <w:fldChar w:fldCharType="separate"/>
      </w:r>
      <w:r w:rsidR="002A6A73" w:rsidRPr="002A6A73">
        <w:rPr>
          <w:noProof/>
        </w:rPr>
        <w:t>(EC, 2012c)</w:t>
      </w:r>
      <w:r>
        <w:fldChar w:fldCharType="end"/>
      </w:r>
      <w:r>
        <w:t xml:space="preserve">. Five scenarios are identified high energy efficiency, which is based around political commitments to high energy savings; diversified supply technologies, which allows the market to choose the best technology and achieves decarbonisation through carbon pricing; high renewable energy sources, which introduces strong support measures for renewable energy sources; delayed CCS, which is based on the diversified supply technologies scenario </w:t>
      </w:r>
      <w:r>
        <w:lastRenderedPageBreak/>
        <w:t xml:space="preserve">but with an assumption of delayed market uptake of CCS; and no nuclear, which is based on the diversified supply technologies scenario but with an assumption of new nuclear power installation in the EU. The scenarios could achieve the 80% reduction in GHG emissions using only commercially ready technologies and without significant lifestyle changes </w:t>
      </w:r>
      <w:r>
        <w:fldChar w:fldCharType="begin" w:fldLock="1"/>
      </w:r>
      <w:r w:rsidR="002A6A73">
        <w:instrText>ADDIN CSL_CITATION {"citationItems":[{"id":"ITEM-1","itemData":{"DOI":"10.2833/10759","ISBN":"9789279217982","ISSN":"14710080","PMID":"15991970","author":[{"dropping-particle":"","family":"EC","given":"","non-dropping-particle":"","parse-names":false,"suffix":""}],"id":"ITEM-1","issue":"April","issued":{"date-parts":[["2010"]]},"number-of-pages":"100","publisher-place":"Brussels, Belgium","title":"Roadmap 2050: Technical Analysis","type":"report"},"uris":["http://www.mendeley.com/documents/?uuid=f0d23811-c844-4e9a-9e6f-08c73a01d32e"]}],"mendeley":{"formattedCitation":"(EC, 2010)","plainTextFormattedCitation":"(EC, 2010)","previouslyFormattedCitation":"(EC, 2010)"},"properties":{"noteIndex":0},"schema":"https://github.com/citation-style-language/schema/raw/master/csl-citation.json"}</w:instrText>
      </w:r>
      <w:r>
        <w:fldChar w:fldCharType="separate"/>
      </w:r>
      <w:r w:rsidR="002A6A73" w:rsidRPr="002A6A73">
        <w:rPr>
          <w:noProof/>
        </w:rPr>
        <w:t>(EC, 2010)</w:t>
      </w:r>
      <w:r>
        <w:fldChar w:fldCharType="end"/>
      </w:r>
      <w:r>
        <w:t xml:space="preserve">. However, the success is based on a nearly full decarbonisation of the power sector, which is not possible without a drastically increased uptake of nuclear power and CCS. The scenarios identified by the EU do not consider DH, instead the decarbonisation of heating is achieved by electrifying the heat supply, using heat pumps, and reducing the heat and electricity usage. </w:t>
      </w:r>
    </w:p>
    <w:p w14:paraId="36A71A35" w14:textId="73BBCBD2" w:rsidR="000F16EB" w:rsidRPr="00641B4E" w:rsidRDefault="000F16EB" w:rsidP="000F16EB">
      <w:r w:rsidRPr="0093479B">
        <w:rPr>
          <w:noProof/>
        </w:rPr>
        <w:t xml:space="preserve">Connolly </w:t>
      </w:r>
      <w:r w:rsidRPr="00441038">
        <w:rPr>
          <w:i/>
          <w:noProof/>
        </w:rPr>
        <w:t>et al</w:t>
      </w:r>
      <w:r w:rsidRPr="0093479B">
        <w:rPr>
          <w:noProof/>
        </w:rPr>
        <w:t>.</w:t>
      </w:r>
      <w:r>
        <w:rPr>
          <w:noProof/>
        </w:rPr>
        <w:t xml:space="preserve"> </w:t>
      </w:r>
      <w:r>
        <w:t>disagreed with the proposed scenarios and created a new one, which considers DH to be an important technology</w:t>
      </w:r>
      <w:r w:rsidR="00441038">
        <w:t xml:space="preserve"> </w:t>
      </w:r>
      <w:r w:rsidR="00441038">
        <w:fldChar w:fldCharType="begin" w:fldLock="1"/>
      </w:r>
      <w:r w:rsidR="00441038">
        <w:instrText>ADDIN CSL_CITATION {"citationItems":[{"id":"ITEM-1","itemData":{"DOI":"10.1016/j.enpol.2013.10.035","ISSN":"03014215","author":[{"dropping-particle":"","family":"Connolly","given":"D.","non-dropping-particle":"","parse-names":false,"suffix":""},{"dropping-particle":"","family":"Lund","given":"Henrik","non-dropping-particle":"","parse-names":false,"suffix":""},{"dropping-particle":"","family":"Mathiesen","given":"Brian Vad","non-dropping-particle":"","parse-names":false,"suffix":""},{"dropping-particle":"","family":"Werner","given":"Sven","non-dropping-particle":"","parse-names":false,"suffix":""},{"dropping-particle":"","family":"Möller","given":"B.","non-dropping-particle":"","parse-names":false,"suffix":""},{"dropping-particle":"","family":"Persson","given":"Urban","non-dropping-particle":"","parse-names":false,"suffix":""},{"dropping-particle":"","family":"Boermans","given":"T.","non-dropping-particle":"","parse-names":false,"suffix":""},{"dropping-particle":"","family":"Trier","given":"D.","non-dropping-particle":"","parse-names":false,"suffix":""},{"dropping-particle":"","family":"Østergaard","given":"Poul Alberg","non-dropping-particle":"","parse-names":false,"suffix":""},{"dropping-particle":"","family":"Nielsen","given":"S.","non-dropping-particle":"","parse-names":false,"suffix":""}],"container-title":"Energy Policy","id":"ITEM-1","issued":{"date-parts":[["2014"]]},"page":"475-489","publisher":"Elsevier","title":"Heat Roadmap Europe: Combining district heating with heat savings to decarbonise the EU energy system","type":"article-journal","volume":"65"},"uris":["http://www.mendeley.com/documents/?uuid=5b422255-a362-4269-8c3e-057ae3cd0991"]}],"mendeley":{"formattedCitation":"(Connolly &lt;i&gt;et al.&lt;/i&gt;, 2014)","plainTextFormattedCitation":"(Connolly et al., 2014)","previouslyFormattedCitation":"(Connolly &lt;i&gt;et al.&lt;/i&gt;, 2014)"},"properties":{"noteIndex":0},"schema":"https://github.com/citation-style-language/schema/raw/master/csl-citation.json"}</w:instrText>
      </w:r>
      <w:r w:rsidR="00441038">
        <w:fldChar w:fldCharType="separate"/>
      </w:r>
      <w:r w:rsidR="00441038" w:rsidRPr="002A6A73">
        <w:rPr>
          <w:noProof/>
        </w:rPr>
        <w:t xml:space="preserve">(Connolly </w:t>
      </w:r>
      <w:r w:rsidR="00441038" w:rsidRPr="002A6A73">
        <w:rPr>
          <w:i/>
          <w:noProof/>
        </w:rPr>
        <w:t>et al.</w:t>
      </w:r>
      <w:r w:rsidR="00441038" w:rsidRPr="002A6A73">
        <w:rPr>
          <w:noProof/>
        </w:rPr>
        <w:t>, 2014)</w:t>
      </w:r>
      <w:r w:rsidR="00441038">
        <w:fldChar w:fldCharType="end"/>
      </w:r>
      <w:r>
        <w:t xml:space="preserve">. The DH based scenario achieves the same reduction in fossil fuel and biomass usage but does so with a 15% reduction in costs for heating and cooling. Many of the EU plans aim for zero carbon buildings with a reduced </w:t>
      </w:r>
      <w:r w:rsidR="000C7935">
        <w:t>HD</w:t>
      </w:r>
      <w:r>
        <w:t xml:space="preserve"> but it is unlikely that the </w:t>
      </w:r>
      <w:r w:rsidR="000C7935">
        <w:t>HD</w:t>
      </w:r>
      <w:r>
        <w:t xml:space="preserve"> will fall to zero, particularly in rural areas </w:t>
      </w:r>
      <w:r>
        <w:fldChar w:fldCharType="begin" w:fldLock="1"/>
      </w:r>
      <w:r w:rsidR="002A6A73">
        <w:instrText>ADDIN CSL_CITATION {"citationItems":[{"id":"ITEM-1","itemData":{"DOI":"10.5278/ijsepm.2016.11.2","ISSN":"22462929","abstract":"It is often highlighted how the transition to renewable energy supply calls for significant electricity storage. However, one has to move beyond the electricity-only focus and take a holistic energy system view to identify optimal solutions for integrating renewable energy. In this paper, an integrated cross-sector approach is used to argue the most efficient and least-cost storage options for the entire renewable energy system concluding that the best storage solutions cannot be found through analyses focusing on the individual sub-sectors. Electricity storage is not the optimum solution to integrate large inflows of fluctuating renewable energy, since more efficient and cheaper options can be found by integrating the electricity sector with other parts of the energy system and by this creating a Smart Energy System. Nevertheless, this does not imply that electricity storage should be disregarded but that it will be needed for other purposes in the future. Abbreviations CAES Compressed air energy storage CHP Cogeneration of heat and power NaS Natrium Sulphur (Sodium Sulphur) electricity storage PHS Pumped hydro storage","author":[{"dropping-particle":"","family":"Lund","given":"Henrik","non-dropping-particle":"","parse-names":false,"suffix":""},{"dropping-particle":"","family":"Østergaard","given":"Poul Alberg","non-dropping-particle":"","parse-names":false,"suffix":""},{"dropping-particle":"","family":"Connolly","given":"David","non-dropping-particle":"","parse-names":false,"suffix":""},{"dropping-particle":"","family":"Ridjan","given":"Iva","non-dropping-particle":"","parse-names":false,"suffix":""},{"dropping-particle":"","family":"Mathiesen","given":"Brian Vad","non-dropping-particle":"","parse-names":false,"suffix":""},{"dropping-particle":"","family":"Hvelplund","given":"Frede","non-dropping-particle":"","parse-names":false,"suffix":""},{"dropping-particle":"","family":"Thellufsen","given":"Jakob Zinck","non-dropping-particle":"","parse-names":false,"suffix":""},{"dropping-particle":"","family":"Sorknæs","given":"Peter","non-dropping-particle":"","parse-names":false,"suffix":""}],"container-title":"International Journal of Sustainable Energy Planning and Management","id":"ITEM-1","issued":{"date-parts":[["2016"]]},"page":"3-14","title":"Energy Storage and Smart Energy Systems","type":"article-journal","volume":"11"},"uris":["http://www.mendeley.com/documents/?uuid=48386208-5af9-452e-8ca9-c21e788d1dc1"]}],"mendeley":{"formattedCitation":"(Lund &lt;i&gt;et al.&lt;/i&gt;, 2016)","plainTextFormattedCitation":"(Lund et al., 2016)","previouslyFormattedCitation":"(Lund &lt;i&gt;et al.&lt;/i&gt;, 2016)"},"properties":{"noteIndex":0},"schema":"https://github.com/citation-style-language/schema/raw/master/csl-citation.json"}</w:instrText>
      </w:r>
      <w:r>
        <w:fldChar w:fldCharType="separate"/>
      </w:r>
      <w:r w:rsidR="002A6A73" w:rsidRPr="002A6A73">
        <w:rPr>
          <w:noProof/>
        </w:rPr>
        <w:t xml:space="preserve">(Lund </w:t>
      </w:r>
      <w:r w:rsidR="002A6A73" w:rsidRPr="002A6A73">
        <w:rPr>
          <w:i/>
          <w:noProof/>
        </w:rPr>
        <w:t>et al.</w:t>
      </w:r>
      <w:r w:rsidR="002A6A73" w:rsidRPr="002A6A73">
        <w:rPr>
          <w:noProof/>
        </w:rPr>
        <w:t>, 2016)</w:t>
      </w:r>
      <w:r>
        <w:fldChar w:fldCharType="end"/>
      </w:r>
      <w:r>
        <w:t>. It has been shown that DH is the cheapest way of supplying rural areas with low carbon heat.</w:t>
      </w:r>
    </w:p>
    <w:p w14:paraId="43A5232B" w14:textId="77777777" w:rsidR="000F16EB" w:rsidRDefault="000F16EB" w:rsidP="000F16EB">
      <w:pPr>
        <w:pStyle w:val="Heading2"/>
      </w:pPr>
      <w:bookmarkStart w:id="335" w:name="_Toc522192759"/>
      <w:bookmarkStart w:id="336" w:name="_Toc525229976"/>
      <w:bookmarkStart w:id="337" w:name="_Toc529888290"/>
      <w:bookmarkStart w:id="338" w:name="_Toc7187491"/>
      <w:r>
        <w:t>The Future for District Heating</w:t>
      </w:r>
      <w:bookmarkEnd w:id="335"/>
      <w:bookmarkEnd w:id="336"/>
      <w:bookmarkEnd w:id="337"/>
      <w:bookmarkEnd w:id="338"/>
    </w:p>
    <w:p w14:paraId="31430023" w14:textId="7253C28E" w:rsidR="000F16EB" w:rsidRPr="003D7103" w:rsidRDefault="000F16EB" w:rsidP="000F16EB">
      <w:r w:rsidRPr="003D7103">
        <w:t xml:space="preserve">For any technology to be ‘future proof’, </w:t>
      </w:r>
      <w:r>
        <w:t>continuous</w:t>
      </w:r>
      <w:r w:rsidRPr="003D7103">
        <w:t xml:space="preserve"> consideration needs to be </w:t>
      </w:r>
      <w:r>
        <w:t>given</w:t>
      </w:r>
      <w:r w:rsidRPr="003D7103">
        <w:t xml:space="preserve"> </w:t>
      </w:r>
      <w:r>
        <w:t>to</w:t>
      </w:r>
      <w:r w:rsidRPr="003D7103">
        <w:t xml:space="preserve"> how the market will change and how the technology will need to adapt. Due to improvements in DHW and SH technologies, as well as improved building insulation, </w:t>
      </w:r>
      <w:r>
        <w:t>HD</w:t>
      </w:r>
      <w:r w:rsidRPr="003D7103">
        <w:t xml:space="preserve">s are expected to fall </w:t>
      </w:r>
      <w:r w:rsidRPr="003D7103">
        <w:fldChar w:fldCharType="begin" w:fldLock="1"/>
      </w:r>
      <w:r w:rsidR="002A6A73">
        <w:instrText>ADDIN CSL_CITATION {"citationItems":[{"id":"ITEM-1","itemData":{"DOI":"10.1016/j.apenergy.2010.09.020","ISSN":"03062619","author":[{"dropping-particle":"","family":"Persson","given":"Urban","non-dropping-particle":"","parse-names":false,"suffix":""},{"dropping-particle":"","family":"Werner","given":"Sven","non-dropping-particle":"","parse-names":false,"suffix":""}],"container-title":"Applied Energy","id":"ITEM-1","issue":"3","issued":{"date-parts":[["2011"]]},"page":"568-576","publisher":"Elsevier Ltd","title":"Heat distribution and the future competitiveness of district heating","type":"article-journal","volume":"88"},"uris":["http://www.mendeley.com/documents/?uuid=d4950df1-2274-41c5-8b7d-cdc1ca5be9ca"]}],"mendeley":{"formattedCitation":"(Persson and Werner, 2011)","plainTextFormattedCitation":"(Persson and Werner, 2011)","previouslyFormattedCitation":"(Persson and Werner, 2011)"},"properties":{"noteIndex":0},"schema":"https://github.com/citation-style-language/schema/raw/master/csl-citation.json"}</w:instrText>
      </w:r>
      <w:r w:rsidRPr="003D7103">
        <w:fldChar w:fldCharType="separate"/>
      </w:r>
      <w:r w:rsidR="002A6A73" w:rsidRPr="002A6A73">
        <w:rPr>
          <w:noProof/>
        </w:rPr>
        <w:t>(Persson and Werner, 2011)</w:t>
      </w:r>
      <w:r w:rsidRPr="003D7103">
        <w:fldChar w:fldCharType="end"/>
      </w:r>
      <w:r w:rsidRPr="003D7103">
        <w:t>. In some countries, urban DH markets are nearing saturation</w:t>
      </w:r>
      <w:r>
        <w:t>.</w:t>
      </w:r>
      <w:r w:rsidRPr="003D7103">
        <w:t xml:space="preserve"> </w:t>
      </w:r>
    </w:p>
    <w:p w14:paraId="72691E8C" w14:textId="77777777" w:rsidR="000F16EB" w:rsidRDefault="000F16EB" w:rsidP="000F16EB">
      <w:pPr>
        <w:pStyle w:val="Heading3"/>
      </w:pPr>
      <w:bookmarkStart w:id="339" w:name="_Toc522192760"/>
      <w:bookmarkStart w:id="340" w:name="_Toc525229977"/>
      <w:bookmarkStart w:id="341" w:name="_Toc529888291"/>
      <w:bookmarkStart w:id="342" w:name="_Toc7187492"/>
      <w:r>
        <w:t>District Heating as a System</w:t>
      </w:r>
      <w:bookmarkEnd w:id="339"/>
      <w:bookmarkEnd w:id="340"/>
      <w:bookmarkEnd w:id="341"/>
      <w:bookmarkEnd w:id="342"/>
    </w:p>
    <w:p w14:paraId="130D1CF9" w14:textId="77777777" w:rsidR="004D4D91" w:rsidRDefault="000F16EB" w:rsidP="000F16EB">
      <w:r>
        <w:t xml:space="preserve">DH is currently in its third generation as a technology and is moving into the fourth. Moving into the fourth generation, DH will need to adapt to meet new challenges and integrate with new technologies. </w:t>
      </w:r>
      <w:r w:rsidRPr="003D7103">
        <w:t xml:space="preserve">Lund </w:t>
      </w:r>
      <w:r w:rsidRPr="00441038">
        <w:rPr>
          <w:i/>
        </w:rPr>
        <w:t>et al</w:t>
      </w:r>
      <w:r w:rsidRPr="003D7103">
        <w:t>.</w:t>
      </w:r>
      <w:r>
        <w:t xml:space="preserve"> </w:t>
      </w:r>
      <w:r w:rsidRPr="003D7103">
        <w:t>predict that for DH to stay competitive</w:t>
      </w:r>
      <w:r>
        <w:t xml:space="preserve"> there</w:t>
      </w:r>
      <w:r w:rsidRPr="003D7103">
        <w:t xml:space="preserve"> </w:t>
      </w:r>
      <w:r>
        <w:t>must be a reduction in</w:t>
      </w:r>
      <w:r w:rsidRPr="003D7103">
        <w:t xml:space="preserve"> network heat losses,</w:t>
      </w:r>
      <w:r>
        <w:t xml:space="preserve"> an</w:t>
      </w:r>
      <w:r w:rsidRPr="003D7103">
        <w:t xml:space="preserve"> </w:t>
      </w:r>
      <w:r>
        <w:t>increased use of</w:t>
      </w:r>
      <w:r w:rsidRPr="003D7103">
        <w:t xml:space="preserve"> renewable</w:t>
      </w:r>
      <w:r>
        <w:t>s</w:t>
      </w:r>
      <w:r w:rsidRPr="003D7103">
        <w:t xml:space="preserve"> and recycled energy</w:t>
      </w:r>
      <w:r>
        <w:t>,</w:t>
      </w:r>
      <w:r w:rsidRPr="003D7103">
        <w:t xml:space="preserve"> and</w:t>
      </w:r>
      <w:r>
        <w:t xml:space="preserve"> better DH</w:t>
      </w:r>
      <w:r w:rsidRPr="003D7103">
        <w:t xml:space="preserve"> integrat</w:t>
      </w:r>
      <w:r>
        <w:t>ion</w:t>
      </w:r>
      <w:r w:rsidRPr="003D7103">
        <w:t xml:space="preserve"> into a wider smart energy system</w:t>
      </w:r>
      <w:r w:rsidR="00441038">
        <w:t xml:space="preserve"> </w:t>
      </w:r>
      <w:r w:rsidR="00441038" w:rsidRPr="003D7103">
        <w:fldChar w:fldCharType="begin" w:fldLock="1"/>
      </w:r>
      <w:r w:rsidR="00441038">
        <w:instrText>ADDIN CSL_CITATION {"citationItems":[{"id":"ITEM-1","itemData":{"DOI":"10.1016/j.energy.2014.02.089","ISBN":"0360-5442","ISSN":"03605442","abstract":"This paper defines the concept of 4th Generation District Heating (4GDH) including the relations to District Cooling and the concepts of smart energy and smart thermal grids. The motive is to identify the future challenges of reaching a future renewable non-fossil heat supply as part of the implementation of overall sustainable energy systems. The basic assumption is that district heating and cooling has an important role to play in future sustainable energy systems - including 100 percent renewable energy systems - but the present generation of district heating and cooling technologies will have to be developed further into a new generation in order to play such a role. Unlike the first three generations, the development of 4GDH involves meeting the challenge of more energy efficient buildings as well as being an integrated part of the operation of smart energy systems, i.e. integrated smart electricity, gas and thermal grids. © 2014 Elsevier Ltd.","author":[{"dropping-particle":"","family":"Lund","given":"Henrik","non-dropping-particle":"","parse-names":false,"suffix":""},{"dropping-particle":"","family":"Werner","given":"Sven","non-dropping-particle":"","parse-names":false,"suffix":""},{"dropping-particle":"","family":"Wiltshire","given":"Robin","non-dropping-particle":"","parse-names":false,"suffix":""},{"dropping-particle":"","family":"Svendsen","given":"Svend","non-dropping-particle":"","parse-names":false,"suffix":""},{"dropping-particle":"","family":"Thorsen","given":"Jan Eric","non-dropping-particle":"","parse-names":false,"suffix":""},{"dropping-particle":"","family":"Hvelplund","given":"Frede","non-dropping-particle":"","parse-names":false,"suffix":""},{"dropping-particle":"","family":"Mathiesen","given":"Brian Vad","non-dropping-particle":"","parse-names":false,"suffix":""}],"container-title":"Energy","id":"ITEM-1","issued":{"date-parts":[["2014"]]},"page":"1-11","publisher":"Elsevier Ltd","title":"4th Generation District Heating (4GDH): Integrating smart thermal grids into future sustainable energy systems","type":"article-journal","volume":"68"},"uris":["http://www.mendeley.com/documents/?uuid=b07bb5b3-0405-4e3b-bb45-af175f28cf2a"]}],"mendeley":{"formattedCitation":"(Lund &lt;i&gt;et al.&lt;/i&gt;, 2014)","plainTextFormattedCitation":"(Lund et al., 2014)","previouslyFormattedCitation":"(Lund &lt;i&gt;et al.&lt;/i&gt;, 2014)"},"properties":{"noteIndex":0},"schema":"https://github.com/citation-style-language/schema/raw/master/csl-citation.json"}</w:instrText>
      </w:r>
      <w:r w:rsidR="00441038" w:rsidRPr="003D7103">
        <w:fldChar w:fldCharType="separate"/>
      </w:r>
      <w:r w:rsidR="00441038" w:rsidRPr="002A6A73">
        <w:rPr>
          <w:noProof/>
        </w:rPr>
        <w:t xml:space="preserve">(Lund </w:t>
      </w:r>
      <w:r w:rsidR="00441038" w:rsidRPr="002A6A73">
        <w:rPr>
          <w:i/>
          <w:noProof/>
        </w:rPr>
        <w:t>et al.</w:t>
      </w:r>
      <w:r w:rsidR="00441038" w:rsidRPr="002A6A73">
        <w:rPr>
          <w:noProof/>
        </w:rPr>
        <w:t>, 2014)</w:t>
      </w:r>
      <w:r w:rsidR="00441038" w:rsidRPr="003D7103">
        <w:fldChar w:fldCharType="end"/>
      </w:r>
      <w:r w:rsidRPr="003D7103">
        <w:t>.</w:t>
      </w:r>
      <w:r w:rsidR="004D4D91">
        <w:t xml:space="preserve"> </w:t>
      </w:r>
    </w:p>
    <w:p w14:paraId="45C5C6E9" w14:textId="61721F70" w:rsidR="000F16EB" w:rsidRPr="000A00A8" w:rsidRDefault="004D4D91" w:rsidP="000F16EB">
      <w:r>
        <w:t>With the change to 4</w:t>
      </w:r>
      <w:r w:rsidRPr="004D4D91">
        <w:rPr>
          <w:vertAlign w:val="superscript"/>
        </w:rPr>
        <w:t>th</w:t>
      </w:r>
      <w:r>
        <w:t xml:space="preserve"> generation DH (4GDH) DHNs will need to be adapted to be able to cope with energy efficient buildings, with lower heat demands, and smart energy systems, with more integration and complex operation</w:t>
      </w:r>
      <w:r w:rsidR="00D31CA5">
        <w:t xml:space="preserve"> </w:t>
      </w:r>
      <w:r w:rsidR="00D31CA5">
        <w:fldChar w:fldCharType="begin" w:fldLock="1"/>
      </w:r>
      <w:r w:rsidR="00D31CA5">
        <w:instrText>ADDIN CSL_CITATION {"citationItems":[{"id":"ITEM-1","itemData":{"DOI":"10.1016/j.energy.2018.09.115","ISSN":"0360-5442","author":[{"dropping-particle":"","family":"Lund","given":"Henrik","non-dropping-particle":"","parse-names":false,"suffix":""},{"dropping-particle":"","family":"Duic","given":"Neven","non-dropping-particle":"","parse-names":false,"suffix":""},{"dropping-particle":"","family":"Alberg","given":"Poul","non-dropping-particle":"","parse-names":false,"suffix":""},{"dropping-particle":"","family":"Vad","given":"Brian","non-dropping-particle":"","parse-names":false,"suffix":""}],"container-title":"Energy","id":"ITEM-1","issued":{"date-parts":[["2018"]]},"page":"614-619","publisher":"Elsevier Ltd","title":"Future district heating systems and technologies : On the role of smart energy systems and 4th generation district heating","type":"article-journal","volume":"165"},"uris":["http://www.mendeley.com/documents/?uuid=aa137574-c379-4234-b56b-583fcff35642"]},{"id":"ITEM-2","itemData":{"DOI":"10.1016/j.energy.2018.08.206","author":[{"dropping-particle":"","family":"Lund","given":"Henrik","non-dropping-particle":"","parse-names":false,"suffix":""},{"dropping-particle":"","family":"Alberg","given":"Poul","non-dropping-particle":"","parse-names":false,"suffix":""},{"dropping-particle":"","family":"Chang","given":"Miguel","non-dropping-particle":"","parse-names":false,"suffix":""},{"dropping-particle":"","family":"Werner","given":"Sven","non-dropping-particle":"","parse-names":false,"suffix":""},{"dropping-particle":"","family":"Svendsen","given":"Svend","non-dropping-particle":"","parse-names":false,"suffix":""},{"dropping-particle":"","family":"Sorknæs","given":"Peter","non-dropping-particle":"","parse-names":false,"suffix":""},{"dropping-particle":"","family":"Eric","given":"Jan","non-dropping-particle":"","parse-names":false,"suffix":""},{"dropping-particle":"","family":"Hvelplund","given":"Frede","non-dropping-particle":"","parse-names":false,"suffix":""},{"dropping-particle":"","family":"Ole","given":"Bent","non-dropping-particle":"","parse-names":false,"suffix":""},{"dropping-particle":"","family":"Mortensen","given":"Gram","non-dropping-particle":"","parse-names":false,"suffix":""},{"dropping-particle":"","family":"Vad","given":"Brian","non-dropping-particle":"","parse-names":false,"suffix":""},{"dropping-particle":"","family":"Bojesen","given":"Carsten","non-dropping-particle":"","parse-names":false,"suffix":""},{"dropping-particle":"","family":"Duic","given":"Neven","non-dropping-particle":"","parse-names":false,"suffix":""}],"id":"ITEM-2","issued":{"date-parts":[["2018"]]},"title":"The status of 4th generation district heating : Research and results","type":"article-journal","volume":"164"},"uris":["http://www.mendeley.com/documents/?uuid=8304c3ec-a3ef-4615-b44a-99a48345068b"]}],"mendeley":{"formattedCitation":"(Lund, Alberg, &lt;i&gt;et al.&lt;/i&gt;, 2018; Lund, Duic, &lt;i&gt;et al.&lt;/i&gt;, 2018)","plainTextFormattedCitation":"(Lund, Alberg, et al., 2018; Lund, Duic, et al., 2018)"},"properties":{"noteIndex":0},"schema":"https://github.com/citation-style-language/schema/raw/master/csl-citation.json"}</w:instrText>
      </w:r>
      <w:r w:rsidR="00D31CA5">
        <w:fldChar w:fldCharType="separate"/>
      </w:r>
      <w:r w:rsidR="00D31CA5" w:rsidRPr="00D31CA5">
        <w:rPr>
          <w:noProof/>
        </w:rPr>
        <w:t xml:space="preserve">(Lund, Alberg, </w:t>
      </w:r>
      <w:r w:rsidR="00D31CA5" w:rsidRPr="00D31CA5">
        <w:rPr>
          <w:i/>
          <w:noProof/>
        </w:rPr>
        <w:t>et al.</w:t>
      </w:r>
      <w:r w:rsidR="00D31CA5" w:rsidRPr="00D31CA5">
        <w:rPr>
          <w:noProof/>
        </w:rPr>
        <w:t xml:space="preserve">, 2018; Lund, Duic, </w:t>
      </w:r>
      <w:r w:rsidR="00D31CA5" w:rsidRPr="00D31CA5">
        <w:rPr>
          <w:i/>
          <w:noProof/>
        </w:rPr>
        <w:t>et al.</w:t>
      </w:r>
      <w:r w:rsidR="00D31CA5" w:rsidRPr="00D31CA5">
        <w:rPr>
          <w:noProof/>
        </w:rPr>
        <w:t>, 2018)</w:t>
      </w:r>
      <w:r w:rsidR="00D31CA5">
        <w:fldChar w:fldCharType="end"/>
      </w:r>
      <w:r w:rsidR="000A00A8">
        <w:t xml:space="preserve">. 4GDH will have to adapt to work with larger radiators that will be used for lower temperature SH and newer DHW controls. Therefore, it is expected that new DHNs will have to separate the flow of SH and DHW demands. 4GDH will work with LTDH and will have to ensure that the lower temperature does not change the grid capacity requirements. </w:t>
      </w:r>
      <w:r w:rsidR="0076211C">
        <w:t>An advantage of LTDH is that it will reduce heat losses. 4GDH will work with a larger range of low temperature heat sources. 4GDH will be included in wider energy plans as a way of balancing the grid through TES.</w:t>
      </w:r>
    </w:p>
    <w:p w14:paraId="4F6CC1C5" w14:textId="77777777" w:rsidR="000F16EB" w:rsidRPr="003D7103" w:rsidRDefault="000F16EB" w:rsidP="000F16EB">
      <w:pPr>
        <w:pStyle w:val="Heading3"/>
      </w:pPr>
      <w:bookmarkStart w:id="343" w:name="_Toc465329875"/>
      <w:bookmarkStart w:id="344" w:name="_Toc468265759"/>
      <w:bookmarkStart w:id="345" w:name="_Toc522192761"/>
      <w:bookmarkStart w:id="346" w:name="_Toc525229978"/>
      <w:bookmarkStart w:id="347" w:name="_Toc529888292"/>
      <w:bookmarkStart w:id="348" w:name="_Toc7187493"/>
      <w:r w:rsidRPr="003D7103">
        <w:t>Reducing Supply Temperature</w:t>
      </w:r>
      <w:bookmarkEnd w:id="343"/>
      <w:bookmarkEnd w:id="344"/>
      <w:bookmarkEnd w:id="345"/>
      <w:bookmarkEnd w:id="346"/>
      <w:bookmarkEnd w:id="347"/>
      <w:bookmarkEnd w:id="348"/>
    </w:p>
    <w:p w14:paraId="1A527657" w14:textId="04F25C16" w:rsidR="000F16EB" w:rsidRDefault="000F16EB" w:rsidP="000F16EB">
      <w:r w:rsidRPr="003D7103">
        <w:t>DHNs operate with supply temperatures</w:t>
      </w:r>
      <w:r>
        <w:t xml:space="preserve"> of approximately </w:t>
      </w:r>
      <w:r w:rsidRPr="003D7103">
        <w:t>95 °C and return temperatures</w:t>
      </w:r>
      <w:r>
        <w:t xml:space="preserve"> of approximately </w:t>
      </w:r>
      <w:r w:rsidRPr="003D7103">
        <w:t xml:space="preserve">40 °C, which is higher than is needed for most domestic applications </w:t>
      </w:r>
      <w:r w:rsidRPr="003D7103">
        <w:fldChar w:fldCharType="begin" w:fldLock="1"/>
      </w:r>
      <w:r w:rsidR="002A6A73">
        <w:instrText>ADDIN CSL_CITATION {"citationItems":[{"id":"ITEM-1","itemData":{"DOI":"10.1016/j.enbuild.2010.04.002","ISBN":"03787788","ISSN":"03787788","abstract":"The building sector is responsible for a great share of the final energy demand and national CO2 emissions in countries like Germany. Nowadays, low quality thermal energy demands in buildings are mainly satisfied with high-quality sources (e.g. natural gas fired in condensing boilers). Exergy analysis, pursuing a matching in the quality level of energy supplied and demanded, pinpoints the great necessity of substituting high-quality fossil fuels by other low quality energy flows, such as waste heat. In this paper a small district heating system in Kassel (Germany) is taken as a case study. Results from preliminary steady-state and dynamic energy and exergy analysis of the system are presented and strategies for improving the performance of waste-heat based district heating systems are derived. Results show that lowering supply temperatures from 95 to 57.7°C increases the final exergy efficiency of the systems from 32% to 39.3%. Similarly, reducing return temperatures to the district heating network from 40.8 to 37.7°C increases the exergy performance in 3.7%. In turn, the energy performance of all systems studied is nearly the same. This paper shows clearly the added value of exergy analysis for characterising and improving the performance of district heating systems.","author":[{"dropping-particle":"","family":"Torío","given":"Herena","non-dropping-particle":"","parse-names":false,"suffix":""},{"dropping-particle":"","family":"Schmidt","given":"Dietrich","non-dropping-particle":"","parse-names":false,"suffix":""}],"container-title":"Energy and Buildings","id":"ITEM-1","issue":"10","issued":{"date-parts":[["2010"]]},"page":"1601-1609","title":"Development of system concepts for improving the performance of a waste heat district heating network with exergy analysis","type":"article-journal","volume":"42"},"uris":["http://www.mendeley.com/documents/?uuid=459286f8-61fa-4b50-817c-065374ffa080"]}],"mendeley":{"formattedCitation":"(Torío and Schmidt, 2010)","plainTextFormattedCitation":"(Torío and Schmidt, 2010)","previouslyFormattedCitation":"(Torío and Schmidt, 2010)"},"properties":{"noteIndex":0},"schema":"https://github.com/citation-style-language/schema/raw/master/csl-citation.json"}</w:instrText>
      </w:r>
      <w:r w:rsidRPr="003D7103">
        <w:fldChar w:fldCharType="separate"/>
      </w:r>
      <w:r w:rsidR="002A6A73" w:rsidRPr="002A6A73">
        <w:rPr>
          <w:noProof/>
        </w:rPr>
        <w:t>(Torío and Schmidt, 2010)</w:t>
      </w:r>
      <w:r w:rsidRPr="003D7103">
        <w:fldChar w:fldCharType="end"/>
      </w:r>
      <w:r w:rsidRPr="003D7103">
        <w:t xml:space="preserve">. A 50 °C supply temperature </w:t>
      </w:r>
      <w:r>
        <w:t>would be</w:t>
      </w:r>
      <w:r w:rsidRPr="003D7103">
        <w:t xml:space="preserve"> sufficient to meet most domestic applications and prevent the growth of </w:t>
      </w:r>
      <w:r w:rsidRPr="00707F1C">
        <w:rPr>
          <w:i/>
        </w:rPr>
        <w:t>Legionella</w:t>
      </w:r>
      <w:r w:rsidRPr="003D7103">
        <w:t xml:space="preserve"> bacteria </w:t>
      </w:r>
      <w:r w:rsidRPr="003D7103">
        <w:fldChar w:fldCharType="begin" w:fldLock="1"/>
      </w:r>
      <w:r w:rsidR="002A6A73">
        <w:instrText>ADDIN CSL_CITATION {"citationItems":[{"id":"ITEM-1","itemData":{"author":[{"dropping-particle":"","family":"Schmidt","given":"D","non-dropping-particle":"","parse-names":false,"suffix":""},{"dropping-particle":"","family":"Kallert","given":"A","non-dropping-particle":"","parse-names":false,"suffix":""},{"dropping-particle":"","family":"Blesl","given":"M","non-dropping-particle":"","parse-names":false,"suffix":""},{"dropping-particle":"","family":"Svendsen","given":"Svend","non-dropping-particle":"","parse-names":false,"suffix":""},{"dropping-particle":"","family":"Nord","given":"N","non-dropping-particle":"","parse-names":false,"suffix":""},{"dropping-particle":"","family":"Sipilä","given":"Kari","non-dropping-particle":"","parse-names":false,"suffix":""}],"container-title":"The 14th Symposium on District Heating and Cooling","id":"ITEM-1","issued":{"date-parts":[["2014"]]},"publisher":"International Energy Agency","publisher-place":"Stockholm, Sweden","title":"Low temperature district heating for future energy systems","type":"paper-conference"},"uris":["http://www.mendeley.com/documents/?uuid=00095b6f-9fca-4d62-aa5b-fc812e53d4ff"]},{"id":"ITEM-2","itemData":{"DOI":"10.1016/j.energy.2012.03.056","ISSN":"03605442","author":[{"dropping-particle":"","family":"Li","given":"Hongwei","non-dropping-particle":"","parse-names":false,"suffix":""},{"dropping-particle":"","family":"Svendsen","given":"Svend","non-dropping-particle":"","parse-names":false,"suffix":""}],"container-title":"Energy","id":"ITEM-2","issue":"1","issued":{"date-parts":[["2012"]]},"page":"237-246","publisher":"Elsevier Ltd","title":"Energy and exergy analysis of low temperature district heating network","type":"article-journal","volume":"45"},"uris":["http://www.mendeley.com/documents/?uuid=0a2e49c2-226c-40d7-ade6-fd5eca57c550"]}],"mendeley":{"formattedCitation":"(Li and Svendsen, 2012; Schmidt &lt;i&gt;et al.&lt;/i&gt;, 2014)","plainTextFormattedCitation":"(Li and Svendsen, 2012; Schmidt et al., 2014)","previouslyFormattedCitation":"(Li and Svendsen, 2012; Schmidt &lt;i&gt;et al.&lt;/i&gt;, 2014)"},"properties":{"noteIndex":0},"schema":"https://github.com/citation-style-language/schema/raw/master/csl-citation.json"}</w:instrText>
      </w:r>
      <w:r w:rsidRPr="003D7103">
        <w:fldChar w:fldCharType="separate"/>
      </w:r>
      <w:r w:rsidR="002A6A73" w:rsidRPr="002A6A73">
        <w:rPr>
          <w:noProof/>
        </w:rPr>
        <w:t xml:space="preserve">(Li and Svendsen, 2012; Schmidt </w:t>
      </w:r>
      <w:r w:rsidR="002A6A73" w:rsidRPr="002A6A73">
        <w:rPr>
          <w:i/>
          <w:noProof/>
        </w:rPr>
        <w:lastRenderedPageBreak/>
        <w:t>et al.</w:t>
      </w:r>
      <w:r w:rsidR="002A6A73" w:rsidRPr="002A6A73">
        <w:rPr>
          <w:noProof/>
        </w:rPr>
        <w:t>, 2014)</w:t>
      </w:r>
      <w:r w:rsidRPr="003D7103">
        <w:fldChar w:fldCharType="end"/>
      </w:r>
      <w:r w:rsidRPr="003D7103">
        <w:t xml:space="preserve">. DHNs with supply temperatures of 55 – 57 °C have been shown to have energy efficiency improvements of 12% and exergy improvements of 7% </w:t>
      </w:r>
      <w:r w:rsidRPr="003D7103">
        <w:fldChar w:fldCharType="begin" w:fldLock="1"/>
      </w:r>
      <w:r w:rsidR="002A6A73">
        <w:instrText>ADDIN CSL_CITATION {"citationItems":[{"id":"ITEM-1","itemData":{"DOI":"10.1016/j.enbuild.2010.04.002","ISBN":"03787788","ISSN":"03787788","abstract":"The building sector is responsible for a great share of the final energy demand and national CO2 emissions in countries like Germany. Nowadays, low quality thermal energy demands in buildings are mainly satisfied with high-quality sources (e.g. natural gas fired in condensing boilers). Exergy analysis, pursuing a matching in the quality level of energy supplied and demanded, pinpoints the great necessity of substituting high-quality fossil fuels by other low quality energy flows, such as waste heat. In this paper a small district heating system in Kassel (Germany) is taken as a case study. Results from preliminary steady-state and dynamic energy and exergy analysis of the system are presented and strategies for improving the performance of waste-heat based district heating systems are derived. Results show that lowering supply temperatures from 95 to 57.7°C increases the final exergy efficiency of the systems from 32% to 39.3%. Similarly, reducing return temperatures to the district heating network from 40.8 to 37.7°C increases the exergy performance in 3.7%. In turn, the energy performance of all systems studied is nearly the same. This paper shows clearly the added value of exergy analysis for characterising and improving the performance of district heating systems.","author":[{"dropping-particle":"","family":"Torío","given":"Herena","non-dropping-particle":"","parse-names":false,"suffix":""},{"dropping-particle":"","family":"Schmidt","given":"Dietrich","non-dropping-particle":"","parse-names":false,"suffix":""}],"container-title":"Energy and Buildings","id":"ITEM-1","issue":"10","issued":{"date-parts":[["2010"]]},"page":"1601-1609","title":"Development of system concepts for improving the performance of a waste heat district heating network with exergy analysis","type":"article-journal","volume":"42"},"uris":["http://www.mendeley.com/documents/?uuid=459286f8-61fa-4b50-817c-065374ffa080"]},{"id":"ITEM-2","itemData":{"DOI":"10.1016/j.energy.2012.03.056","ISSN":"03605442","author":[{"dropping-particle":"","family":"Li","given":"Hongwei","non-dropping-particle":"","parse-names":false,"suffix":""},{"dropping-particle":"","family":"Svendsen","given":"Svend","non-dropping-particle":"","parse-names":false,"suffix":""}],"container-title":"Energy","id":"ITEM-2","issue":"1","issued":{"date-parts":[["2012"]]},"page":"237-246","publisher":"Elsevier Ltd","title":"Energy and exergy analysis of low temperature district heating network","type":"article-journal","volume":"45"},"uris":["http://www.mendeley.com/documents/?uuid=0a2e49c2-226c-40d7-ade6-fd5eca57c550"]}],"mendeley":{"formattedCitation":"(Torío and Schmidt, 2010; Li and Svendsen, 2012)","plainTextFormattedCitation":"(Torío and Schmidt, 2010; Li and Svendsen, 2012)","previouslyFormattedCitation":"(Torío and Schmidt, 2010; Li and Svendsen, 2012)"},"properties":{"noteIndex":0},"schema":"https://github.com/citation-style-language/schema/raw/master/csl-citation.json"}</w:instrText>
      </w:r>
      <w:r w:rsidRPr="003D7103">
        <w:fldChar w:fldCharType="separate"/>
      </w:r>
      <w:r w:rsidR="002A6A73" w:rsidRPr="002A6A73">
        <w:rPr>
          <w:noProof/>
        </w:rPr>
        <w:t>(Torío and Schmidt, 2010; Li and Svendsen, 2012)</w:t>
      </w:r>
      <w:r w:rsidRPr="003D7103">
        <w:fldChar w:fldCharType="end"/>
      </w:r>
      <w:r w:rsidRPr="003D7103">
        <w:t>. The distribution temperature is based on the customer temperature demand and temperature difference faults, so low temperature DHNs must reduce</w:t>
      </w:r>
      <w:r>
        <w:t xml:space="preserve"> temperature difference</w:t>
      </w:r>
      <w:r w:rsidRPr="003D7103">
        <w:t xml:space="preserve"> faults </w:t>
      </w:r>
      <w:r w:rsidRPr="003D7103">
        <w:fldChar w:fldCharType="begin" w:fldLock="1"/>
      </w:r>
      <w:r w:rsidR="002A6A73">
        <w:instrText>ADDIN CSL_CITATION {"citationItems":[{"id":"ITEM-1","itemData":{"DOI":"10.1016/j.apenergy.2014.09.022","ISSN":"03062619","abstract":"District heating systems contribute with low primary energy supply in the energy system by providing heat from heat assets like combined heat and power, waste incineration, geothermal heat, wood waste, and industrial excess heat. These heat assets would otherwise be wasted or not used. Still, there are several reasons to use these assets as efficiently as possible, i.e., ability to compete, further reduced use of primary energy resources, and less environmental impact. Low supply and return temperatures in the distribution networks are important operational factors for obtaining an efficient district heating system. In order to achieve low return temperatures, customer substations and secondary heating systems must perform without temperature faults. In future fourth generation district heating systems, lower distribution temperatures will be required. To be able to have well-performing substations and customer secondary systems, continuous commissioning will be necessary to be able to detect temperature faults without any delays. It is also of great importance to be able to have quality control of eliminated faults. Automatic meter reading systems, recently introduced into district heating systems, have paved the way for developing new methods to be used in continuous commissioning of substations. This paper presents a novel method using the temperature difference signature for temperature difference fault detection and quality assurance of eliminated faults. Annual hourly datasets from 140 substations have been analysed for temperature difference faults. From these 140 substations, 14 were identified with temperature difference appearing or eliminated during the analysed year. Nine appeared during the year, indicating an annual temperature difference fault frequency of more than 6%.","author":[{"dropping-particle":"","family":"Gadd","given":"Henrik","non-dropping-particle":"","parse-names":false,"suffix":""},{"dropping-particle":"","family":"Werner","given":"Sven","non-dropping-particle":"","parse-names":false,"suffix":""}],"container-title":"Applied Energy","id":"ITEM-1","issued":{"date-parts":[["2014"]]},"page":"59 - 67","title":"Achieving low return temperatures from district heating substations","type":"article-journal","volume":"136"},"uris":["http://www.mendeley.com/documents/?uuid=a83cb599-f9f5-374b-a762-bb8ba78878ad"]}],"mendeley":{"formattedCitation":"(Gadd and Werner, 2014)","plainTextFormattedCitation":"(Gadd and Werner, 2014)","previouslyFormattedCitation":"(Gadd and Werner, 2014)"},"properties":{"noteIndex":0},"schema":"https://github.com/citation-style-language/schema/raw/master/csl-citation.json"}</w:instrText>
      </w:r>
      <w:r w:rsidRPr="003D7103">
        <w:fldChar w:fldCharType="separate"/>
      </w:r>
      <w:r w:rsidR="002A6A73" w:rsidRPr="002A6A73">
        <w:rPr>
          <w:noProof/>
        </w:rPr>
        <w:t>(Gadd and Werner, 2014)</w:t>
      </w:r>
      <w:r w:rsidRPr="003D7103">
        <w:fldChar w:fldCharType="end"/>
      </w:r>
      <w:r w:rsidRPr="003D7103">
        <w:t>.</w:t>
      </w:r>
      <w:r>
        <w:t xml:space="preserve"> </w:t>
      </w:r>
    </w:p>
    <w:p w14:paraId="68929DED" w14:textId="42347CFA" w:rsidR="000F16EB" w:rsidRPr="003D7103" w:rsidRDefault="000F16EB" w:rsidP="000F16EB">
      <w:r>
        <w:t xml:space="preserve">Whilst aiming to reduce the supply temperature of the DHN will improve the network performance and reduce the network losses, the network must still be able to meet the DHW demand </w:t>
      </w:r>
      <w:r>
        <w:fldChar w:fldCharType="begin" w:fldLock="1"/>
      </w:r>
      <w:r w:rsidR="002A6A73">
        <w:instrText>ADDIN CSL_CITATION {"citationItems":[{"id":"ITEM-1","itemData":{"DOI":"10.1016/j.energy.2018.05.076","ISBN":"0963-9969","ISSN":"03605442","PMID":"25653388","abstract":"District heating systems are appropriate infrastructures to supply space heating and domestic hot water from a number of potential sources in future energy systems based on renewable energy. On the other hand, district heating is also facing competition from heating technologies in individual buildings. Lowering the district heating temperatures will improve efficiency and competitiveness of district heating; however, the production of domestic hot water is an impediment to this. This article uses energyPRO to analyse three low-temperature district heating schemes. District heating is supplied from a heat pump using air, seawater or groundwater as heat sources. Domestic hot water is supplied by booster heat pumps using district heating as heat source or through a heat exchanger. The economic benefit of adding booster heat pumps to cover the domestic hot water demands is assessed by modelling the time-varying operation against the electricity market as well as the time-varying coefficient of performance of heat pumps and grid losses. Based on this operation cost reduction assessment, the energy system value of booster heat pumps ranges from 2500 to 6800€ per house depending on the choice of low-temperature heat source for the district heating heat pump as well as economic time-horizon and discount rate.","author":[{"dropping-particle":"","family":"Østergaard","given":"Poul Alberg","non-dropping-particle":"","parse-names":false,"suffix":""},{"dropping-particle":"","family":"Andersen","given":"Anders N.","non-dropping-particle":"","parse-names":false,"suffix":""}],"container-title":"Energy","id":"ITEM-1","issued":{"date-parts":[["2018"]]},"page":"921-929","publisher":"Elsevier Ltd","title":"Economic feasibility of booster heat pumps in heat pump-based district heating systems","type":"article-journal","volume":"155"},"uris":["http://www.mendeley.com/documents/?uuid=6a9a6362-616b-4d71-b6d5-7b3dbde146da"]}],"mendeley":{"formattedCitation":"(Østergaard and Andersen, 2018)","plainTextFormattedCitation":"(Østergaard and Andersen, 2018)","previouslyFormattedCitation":"(Østergaard and Andersen, 2018)"},"properties":{"noteIndex":0},"schema":"https://github.com/citation-style-language/schema/raw/master/csl-citation.json"}</w:instrText>
      </w:r>
      <w:r>
        <w:fldChar w:fldCharType="separate"/>
      </w:r>
      <w:r w:rsidR="002A6A73" w:rsidRPr="002A6A73">
        <w:rPr>
          <w:noProof/>
        </w:rPr>
        <w:t>(Østergaard and Andersen, 2018)</w:t>
      </w:r>
      <w:r>
        <w:fldChar w:fldCharType="end"/>
      </w:r>
      <w:r>
        <w:t>. The DHW demand comprises approximately 25% of the entire HD, requiring a high temperature heat supply. Supplying the DHW demand from a low temperature DHN requires the use of booster heat pumps. As a new technology, booster heat pumps struggle to be financially viable requiring the DHN company to invest in in-house installations.</w:t>
      </w:r>
    </w:p>
    <w:p w14:paraId="5BC18163" w14:textId="77777777" w:rsidR="000F16EB" w:rsidRPr="003D7103" w:rsidRDefault="000F16EB" w:rsidP="000F16EB">
      <w:pPr>
        <w:pStyle w:val="Heading3"/>
      </w:pPr>
      <w:bookmarkStart w:id="349" w:name="_Toc465329876"/>
      <w:bookmarkStart w:id="350" w:name="_Toc468265760"/>
      <w:bookmarkStart w:id="351" w:name="_Toc522192762"/>
      <w:bookmarkStart w:id="352" w:name="_Toc525229979"/>
      <w:bookmarkStart w:id="353" w:name="_Toc529888293"/>
      <w:bookmarkStart w:id="354" w:name="_Toc7187494"/>
      <w:r w:rsidRPr="003D7103">
        <w:t>Changing the Pipe Network</w:t>
      </w:r>
      <w:bookmarkEnd w:id="349"/>
      <w:bookmarkEnd w:id="350"/>
      <w:bookmarkEnd w:id="351"/>
      <w:bookmarkEnd w:id="352"/>
      <w:bookmarkEnd w:id="353"/>
      <w:bookmarkEnd w:id="354"/>
    </w:p>
    <w:p w14:paraId="298D8936" w14:textId="60C8451C" w:rsidR="000F16EB" w:rsidRPr="003D7103" w:rsidRDefault="000F16EB" w:rsidP="000F16EB">
      <w:r w:rsidRPr="003D7103">
        <w:t>DHNs have separate supply and return distribution pipes buried alongside each other. Heat losses can be reduced by using a single pipe to contain both flows</w:t>
      </w:r>
      <w:r>
        <w:t xml:space="preserve"> of heat</w:t>
      </w:r>
      <w:r w:rsidRPr="003D7103">
        <w:t xml:space="preserve"> </w:t>
      </w:r>
      <w:r w:rsidRPr="003D7103">
        <w:fldChar w:fldCharType="begin" w:fldLock="1"/>
      </w:r>
      <w:r w:rsidR="00FF4B5D">
        <w:instrText>ADDIN CSL_CITATION {"citationItems":[{"id":"ITEM-1","itemData":{"DOI":"10.1065/lca2005.08.225","ISBN":"0948-3349","ISSN":"0948-3349","PMID":"2006543218","abstract":"Preamble. This series of three papers is based on research performed for the Swedish District Heating Association with the purpose of mapping the environmental life cycle impacts from the different phases involved in district heat distribution. Part 1 concerns production of the district heating pipes while Part 2 describes construction of the district heating pipe network. In Part 3, the use phase is evaluated based on heat losses from the network during heat distribution. Part 3 also includes a discussion in which the three evaluated life cycle phases are compared. Goal, Scope and Background The idea of district heating is to transport centrally produced heat to buildings where it is used for space heating and for domestic hot water generation. Water is used as a heat carrier. Many different heat sources are used to supply district heating networks with hot water. In literature, environmental studies on district heating mainly consider emissions from the heat generation; environmental impacts from the distribution system are seldom discussed. This paper is the third in an article series on the environmental impacts from the district heat distribution system. The paper presents an evaluation of the use phase of district heat distribution, focusing on long-term thermal performance of different district heating pipes. An overall discussion, in which environmental impacts from the different life cycle phases of district heat distribution are compared, is also presented. Methods for the Use Phase Study. Environmental impacts from use of district heat distribution systems were evaluated based on heat losses from the networks, which depend on the long-term thermal performance of the district heating pipes. The heat losses cause environmental impacts from extra heat generation needed to cover the losses. - The long-term thermal performance of preinsulated bonded district heating pipes with steel tube, polyurethane foam insulation and polyethylene casing, depends on the thickness and quality of both the insulation and the casing. One important attribute of the foam is the blowing agent used. The blowing agent influences both the initial insulating capacity of the foam and the ageing characteristics, due to differences in migration rates of different substances through the materials. - Heat losses were calculated for different district heating pipe dimensions (DN25 twin pipe, and DN25, DN100 and DN500 Series 2 single pipes). Pipes with two different foam blowing…","author":[{"dropping-particle":"","family":"Persson","given":"Camilla","non-dropping-particle":"","parse-names":false,"suffix":""},{"dropping-particle":"","family":"Fröling","given":"Morgan","non-dropping-particle":"","parse-names":false,"suffix":""},{"dropping-particle":"","family":"Svanström","given":"Magdalena","non-dropping-particle":"","parse-names":false,"suffix":""}],"container-title":"The International Journal of Life Cycle Assessment","id":"ITEM-1","issue":"6","issued":{"date-parts":[["2006"]]},"page":"437-446","title":"Life Cycle Assessment of the District Heat Distribution System - Part 3: Use Phase and Overall Discussion","type":"article-journal","volume":"11"},"uris":["http://www.mendeley.com/documents/?uuid=336af8b8-4f46-45b7-bcf0-0805cdab91d5"]},{"id":"ITEM-2","itemData":{"DOI":"10.1007/BF02978572","ISSN":"0948-3349","abstract":"Goal, Scope and Background District heating, the utilization of centrally produced heat for space heating and domestic hot water generation, has the potential to contribute to the eco-efficient use of energy resources in the parts of the world where space heating is needed. In literature, environmental studies on district heating mainly consider the emissions from heat generation; the environmental impact from the distribution system is seldom discussed. This paper presents a life cycle assessment of the production of district heating pipes, based on a cradle-to-gate life cycle inventory commissioned by the Swedish District Heating Association. No external review has been performed but a reference group of district heating experts familiar with the practice was involved in the choice of cases as well as in reviewing parts of the study. Methods Manufacturing of district heating pipes at Powerpipe Systems AB, Göteborg, Sweden, was studied. Prefabricated polyurethane insulated district heating pipes were considered, with a steel tube and a protective casing made of high-density polyethylene. Production of pipes during the time period 1999–2000 was investigated. The functional unit used in the study is production of one district heating pipe unit. The studied pipes are: a twin pipe of the dimension DN25 (12m long) and single pipes of the dimensions DN25 (12m), DN100 (12m) and DN500 (16m). Results and Discussion A short description of the inventory, some inventory results and a life cycle impact assessment are presented. Characterizations according to GWP, AP, POCP and resource depletion are given as well as two weightings: EcoIndicator99 and Ecoscarcity. If the life cycle is grouped into ‘Materials production’, ‘Transports’, ‘Manufacturing’ and ‘Waste management’, the ‘Materials production’ gives rise to a dominating part of the environmental impact. Recommendation and Perspective To use materials in the pipes as efficiently as possible is the most important feature in order to reduce the environmental impact from production of district heating pipes. Twin pipes can be a more material efficient solution than single pipes. It is important to make sure that environmental improvements from changes in the pipe production phase are not offset by other effects in the total life cycle of the district heating pipe.","author":[{"dropping-particle":"","family":"Fröling","given":"Morgan","non-dropping-particle":"","parse-names":false,"suffix":""},{"dropping-particle":"","family":"Holmgren","given":"Camilla","non-dropping-particle":"","parse-names":false,"suffix":""},{"dropping-particle":"","family":"Svanström","given":"Magdalena","non-dropping-particle":"","parse-names":false,"suffix":""}],"container-title":"The International Journal of Life Cycle Assessment","id":"ITEM-2","issue":"2","issued":{"date-parts":[["2004"]]},"page":"130-136","title":"Life Cycle Assessment of the District Heating Distribution System - Part 1: Pipe Production","type":"article-journal","volume":"9"},"uris":["http://www.mendeley.com/documents/?uuid=97fd08b4-1618-440f-a745-f6afea134f64"]}],"mendeley":{"formattedCitation":"(Fröling &lt;i&gt;et al.&lt;/i&gt;, 2004; Persson &lt;i&gt;et al.&lt;/i&gt;, 2006)","plainTextFormattedCitation":"(Fröling et al., 2004; Persson et al., 2006)","previouslyFormattedCitation":"(Fröling &lt;i&gt;et al.&lt;/i&gt;, 2004; Persson &lt;i&gt;et al.&lt;/i&gt;, 2006)"},"properties":{"noteIndex":0},"schema":"https://github.com/citation-style-language/schema/raw/master/csl-citation.json"}</w:instrText>
      </w:r>
      <w:r w:rsidRPr="003D7103">
        <w:fldChar w:fldCharType="separate"/>
      </w:r>
      <w:r w:rsidR="005F544E" w:rsidRPr="005F544E">
        <w:rPr>
          <w:noProof/>
        </w:rPr>
        <w:t xml:space="preserve">(Fröling </w:t>
      </w:r>
      <w:r w:rsidR="005F544E" w:rsidRPr="005F544E">
        <w:rPr>
          <w:i/>
          <w:noProof/>
        </w:rPr>
        <w:t>et al.</w:t>
      </w:r>
      <w:r w:rsidR="005F544E" w:rsidRPr="005F544E">
        <w:rPr>
          <w:noProof/>
        </w:rPr>
        <w:t xml:space="preserve">, 2004; Persson </w:t>
      </w:r>
      <w:r w:rsidR="005F544E" w:rsidRPr="005F544E">
        <w:rPr>
          <w:i/>
          <w:noProof/>
        </w:rPr>
        <w:t>et al.</w:t>
      </w:r>
      <w:r w:rsidR="005F544E" w:rsidRPr="005F544E">
        <w:rPr>
          <w:noProof/>
        </w:rPr>
        <w:t>, 2006)</w:t>
      </w:r>
      <w:r w:rsidRPr="003D7103">
        <w:fldChar w:fldCharType="end"/>
      </w:r>
      <w:r w:rsidRPr="003D7103">
        <w:t xml:space="preserve"> or by separating the flow of SH and DHW</w:t>
      </w:r>
      <w:r>
        <w:t xml:space="preserve"> demand</w:t>
      </w:r>
      <w:r w:rsidRPr="003D7103">
        <w:t xml:space="preserve">, allowing the SH loop to be turned off outside of the heating season </w:t>
      </w:r>
      <w:r w:rsidRPr="003D7103">
        <w:fldChar w:fldCharType="begin" w:fldLock="1"/>
      </w:r>
      <w:r w:rsidR="00FF4B5D">
        <w:instrText>ADDIN CSL_CITATION {"citationItems":[{"id":"ITEM-1","itemData":{"DOI":"10.1007/s11367-006-0264-6","ISBN":"0948-3349","ISSN":"0948-3349","abstract":"Goal, Scope and Background Combined heat and power (CHP) is a strategy aimed at reducing the impact of the energy sector on the climate by more efficient use of the energy content of the fuel. The implementation of CHP requires the utilisation of the heat produced. Space heating by means of district heating is one possible use for such heat. In countries such as Sweden, where district heating is already extensively used, many multiapartment buildings are connected to district heating. For increased use, the distribution systems will have to expand into suburbs with single family homes. However, the environmental impact and cost of the district heat distribution system increase when the pipe networks are extended into such areas. This is due to the production and installation of longer pipe networks and increased heat losses from the system. Attempts have been made to find new types of pipe constructions in order to lower the costs of connecting single family homes to district heating. These should be evaluated from an environmental perspective. The EPSPEX system is a distribution system intended for suburban areas. This system consists of cross-linked polyethylene (PEX) pipes in insulating blocks of expanded polystyrene (EPS). This paper presents a life cycle assessment of the EPSPEX district heat distribution system. In a second scenario, sub-stations were added. The results indicate areas that require improvement and provide a basis for comparison with other types of district heat distribution systems. Methods Production, network construction and use of the district heat system were studied by means of life cycle methodology, employing specific data for the EPSPEX system and generic data for upstream impacts of the materials used. The system constructed in Vråen, Värnamo, Sweden, in 2002 was studied. The district heating used in Vråen is mainly based on biofuels. The functional unit was the use of one metre of an EPSPEX district heating system over a period of one year. The expected system life was 30 years. The results were characterised as global warming potential, acidification potential, eutrophication potential and the use of finite resources, as well as weighted by EPS 2000, ExternE and EcoIndicator 99. No external review was performed, but a reference group of district heating experts familiar with the practice has reviewed the study. Results Heat losses are clearly the main environmental impact in all characterisations and weightings (71–92% o…","author":[{"dropping-particle":"","family":"Perzon","given":"Maria","non-dropping-particle":"","parse-names":false,"suffix":""},{"dropping-particle":"","family":"Johansson","given":"Kristin","non-dropping-particle":"","parse-names":false,"suffix":""},{"dropping-particle":"","family":"Fröling","given":"Morgan","non-dropping-particle":"","parse-names":false,"suffix":""}],"container-title":"The International Journal of Life Cycle Assessment","id":"ITEM-1","issue":"5","issued":{"date-parts":[["2007"]]},"page":"317-327","title":"Life Cycle Assessment of District Heat Distribution in Suburban Areas Using PEX Pipes Insulated with Expanded Polystyrene","type":"article-journal","volume":"12"},"uris":["http://www.mendeley.com/documents/?uuid=c568f7ae-15fa-41c2-968b-0ee5e40da470"]},{"id":"ITEM-2","itemData":{"DOI":"10.1016/j.enbuild.2010.04.002","ISBN":"03787788","ISSN":"03787788","abstract":"The building sector is responsible for a great share of the final energy demand and national CO2 emissions in countries like Germany. Nowadays, low quality thermal energy demands in buildings are mainly satisfied with high-quality sources (e.g. natural gas fired in condensing boilers). Exergy analysis, pursuing a matching in the quality level of energy supplied and demanded, pinpoints the great necessity of substituting high-quality fossil fuels by other low quality energy flows, such as waste heat. In this paper a small district heating system in Kassel (Germany) is taken as a case study. Results from preliminary steady-state and dynamic energy and exergy analysis of the system are presented and strategies for improving the performance of waste-heat based district heating systems are derived. Results show that lowering supply temperatures from 95 to 57.7°C increases the final exergy efficiency of the systems from 32% to 39.3%. Similarly, reducing return temperatures to the district heating network from 40.8 to 37.7°C increases the exergy performance in 3.7%. In turn, the energy performance of all systems studied is nearly the same. This paper shows clearly the added value of exergy analysis for characterising and improving the performance of district heating systems.","author":[{"dropping-particle":"","family":"Torío","given":"Herena","non-dropping-particle":"","parse-names":false,"suffix":""},{"dropping-particle":"","family":"Schmidt","given":"Dietrich","non-dropping-particle":"","parse-names":false,"suffix":""}],"container-title":"Energy and Buildings","id":"ITEM-2","issue":"10","issued":{"date-parts":[["2010"]]},"page":"1601-1609","title":"Development of system concepts for improving the performance of a waste heat district heating network with exergy analysis","type":"article-journal","volume":"42"},"uris":["http://www.mendeley.com/documents/?uuid=459286f8-61fa-4b50-817c-065374ffa080"]}],"mendeley":{"formattedCitation":"(Perzon &lt;i&gt;et al.&lt;/i&gt;, 2007; Torío and Schmidt, 2010)","plainTextFormattedCitation":"(Perzon et al., 2007; Torío and Schmidt, 2010)","previouslyFormattedCitation":"(Perzon &lt;i&gt;et al.&lt;/i&gt;, 2007; Torío and Schmidt, 2010)"},"properties":{"noteIndex":0},"schema":"https://github.com/citation-style-language/schema/raw/master/csl-citation.json"}</w:instrText>
      </w:r>
      <w:r w:rsidRPr="003D7103">
        <w:fldChar w:fldCharType="separate"/>
      </w:r>
      <w:r w:rsidR="005F544E" w:rsidRPr="005F544E">
        <w:rPr>
          <w:noProof/>
        </w:rPr>
        <w:t xml:space="preserve">(Perzon </w:t>
      </w:r>
      <w:r w:rsidR="005F544E" w:rsidRPr="005F544E">
        <w:rPr>
          <w:i/>
          <w:noProof/>
        </w:rPr>
        <w:t>et al.</w:t>
      </w:r>
      <w:r w:rsidR="005F544E" w:rsidRPr="005F544E">
        <w:rPr>
          <w:noProof/>
        </w:rPr>
        <w:t>, 2007; Torío and Schmidt, 2010)</w:t>
      </w:r>
      <w:r w:rsidRPr="003D7103">
        <w:fldChar w:fldCharType="end"/>
      </w:r>
      <w:r w:rsidRPr="003D7103">
        <w:t>.</w:t>
      </w:r>
    </w:p>
    <w:p w14:paraId="35D592B7" w14:textId="77777777" w:rsidR="000F16EB" w:rsidRDefault="000F16EB" w:rsidP="000F16EB">
      <w:pPr>
        <w:pStyle w:val="Heading2"/>
      </w:pPr>
      <w:bookmarkStart w:id="355" w:name="_Toc522192763"/>
      <w:bookmarkStart w:id="356" w:name="_Toc525229980"/>
      <w:bookmarkStart w:id="357" w:name="_Toc529888294"/>
      <w:bookmarkStart w:id="358" w:name="_Toc7187495"/>
      <w:r>
        <w:t>Rural District Heating</w:t>
      </w:r>
      <w:bookmarkEnd w:id="355"/>
      <w:bookmarkEnd w:id="356"/>
      <w:bookmarkEnd w:id="357"/>
      <w:bookmarkEnd w:id="358"/>
    </w:p>
    <w:p w14:paraId="5D6A55DD" w14:textId="355B1473" w:rsidR="000F16EB" w:rsidRDefault="000F16EB" w:rsidP="000F16EB">
      <w:r>
        <w:t xml:space="preserve">Rural areas have lower populations and lower population densities than urban areas, resulting in lower HD densities </w:t>
      </w:r>
      <w:r>
        <w:fldChar w:fldCharType="begin" w:fldLock="1"/>
      </w:r>
      <w:r w:rsidR="002A6A73">
        <w:instrText>ADDIN CSL_CITATION {"citationItems":[{"id":"ITEM-1","itemData":{"DOI":"10.1016/j.apenergy.2007.07.011","ISSN":"03062619","author":[{"dropping-particle":"","family":"Nilsson","given":"Stefan Forsaeus","non-dropping-particle":"","parse-names":false,"suffix":""},{"dropping-particle":"","family":"Reidhav","given":"Charlotte","non-dropping-particle":"","parse-names":false,"suffix":""},{"dropping-particle":"","family":"Lygnerud","given":"Kristina","non-dropping-particle":"","parse-names":false,"suffix":""},{"dropping-particle":"","family":"Werner","given":"Sven","non-dropping-particle":"","parse-names":false,"suffix":""}],"container-title":"Applied Energy","id":"ITEM-1","issue":"7","issued":{"date-parts":[["2008"]]},"page":"555-564","title":"Sparse district-heating in Sweden","type":"article-journal","volume":"85"},"uris":["http://www.mendeley.com/documents/?uuid=61fbe4be-bb83-483e-89d6-d9ce2c136914"]}],"mendeley":{"formattedCitation":"(Nilsson &lt;i&gt;et al.&lt;/i&gt;, 2008)","plainTextFormattedCitation":"(Nilsson et al., 2008)","previouslyFormattedCitation":"(Nilsson &lt;i&gt;et al.&lt;/i&gt;, 2008)"},"properties":{"noteIndex":0},"schema":"https://github.com/citation-style-language/schema/raw/master/csl-citation.json"}</w:instrText>
      </w:r>
      <w:r>
        <w:fldChar w:fldCharType="separate"/>
      </w:r>
      <w:r w:rsidR="002A6A73" w:rsidRPr="002A6A73">
        <w:rPr>
          <w:noProof/>
        </w:rPr>
        <w:t xml:space="preserve">(Nilsson </w:t>
      </w:r>
      <w:r w:rsidR="002A6A73" w:rsidRPr="002A6A73">
        <w:rPr>
          <w:i/>
          <w:noProof/>
        </w:rPr>
        <w:t>et al.</w:t>
      </w:r>
      <w:r w:rsidR="002A6A73" w:rsidRPr="002A6A73">
        <w:rPr>
          <w:noProof/>
        </w:rPr>
        <w:t>, 2008)</w:t>
      </w:r>
      <w:r>
        <w:fldChar w:fldCharType="end"/>
      </w:r>
      <w:r>
        <w:t xml:space="preserve">. Therefore, rural DHNs will have lower revenues when compared to the network installation costs, possibly making rural DH unfeasible. However, it is still possible for DH to be economically viable in rural areas, particularly in locations with an already existing heat supply </w:t>
      </w:r>
      <w:r>
        <w:fldChar w:fldCharType="begin" w:fldLock="1"/>
      </w:r>
      <w:r w:rsidR="002A6A73">
        <w:instrText>ADDIN CSL_CITATION {"citationItems":[{"id":"ITEM-1","itemData":{"ISBN":"9789144085302","author":[{"dropping-particle":"","family":"Frederiksen","given":"Svend","non-dropping-particle":"","parse-names":false,"suffix":""},{"dropping-particle":"","family":"Werner","given":"Sven","non-dropping-particle":"","parse-names":false,"suffix":""}],"edition":"1","id":"ITEM-1","issued":{"date-parts":[["2013"]]},"publisher":"Studentlitteratur","publisher-place":"Lund, Sweden","title":"District Heating and Cooling","type":"book"},"uris":["http://www.mendeley.com/documents/?uuid=515e9b02-9146-44d2-add6-552d6c8dccbe"]}],"mendeley":{"formattedCitation":"(Frederiksen and Werner, 2013)","plainTextFormattedCitation":"(Frederiksen and Werner, 2013)","previouslyFormattedCitation":"(Frederiksen and Werner, 2013)"},"properties":{"noteIndex":0},"schema":"https://github.com/citation-style-language/schema/raw/master/csl-citation.json"}</w:instrText>
      </w:r>
      <w:r>
        <w:fldChar w:fldCharType="separate"/>
      </w:r>
      <w:r w:rsidR="002A6A73" w:rsidRPr="002A6A73">
        <w:rPr>
          <w:noProof/>
        </w:rPr>
        <w:t>(Frederiksen and Werner, 2013)</w:t>
      </w:r>
      <w:r>
        <w:fldChar w:fldCharType="end"/>
      </w:r>
      <w:r>
        <w:t xml:space="preserve">. </w:t>
      </w:r>
    </w:p>
    <w:p w14:paraId="536CE1E4" w14:textId="7BF625F9" w:rsidR="000F16EB" w:rsidRDefault="000F16EB" w:rsidP="000F16EB">
      <w:r>
        <w:t xml:space="preserve">To date, the only countries with a significant proportion of the rural area covered by DH are Iceland and Denmark </w:t>
      </w:r>
      <w:r>
        <w:fldChar w:fldCharType="begin" w:fldLock="1"/>
      </w:r>
      <w:r w:rsidR="002A6A73">
        <w:instrText>ADDIN CSL_CITATION {"citationItems":[{"id":"ITEM-1","itemData":{"DOI":"10.1016/j.apenergy.2008.01.006","ISBN":"0306-2619","ISSN":"03062619","abstract":"The expansion of district heating into areas of low heat densities (heat sparse areas) constitutes a challenge due to the higher distribution costs. The profitability of sparse district heating has been analysed from actual investments in 74 areas with 3227 one-family houses connected to district heating between 2000 and 2004 in G??teborg, Sweden. The profitability was estimated from a probable price model, a typical marginal heat generation cost, and the investments from the actual connections made. The analysis identified factors as the linear heat density and heat sold per house explaining the main variations in profitability. The profitability analysis was concluded with a competition analysis. The main conclusion is that sparse district heating is possible when reaching low investment costs for the local distribution network and low marginal costs for the heat generation. In Sweden, the general competitiveness of sparse district heating is facilitated by the high consumption taxes for fuel oil, natural gas, and electricity. Hence, it should be more difficult to introduce sparse district heating in other countries with low energy taxes. ?? 2008.","author":[{"dropping-particle":"","family":"Reidhav","given":"Charlotte","non-dropping-particle":"","parse-names":false,"suffix":""},{"dropping-particle":"","family":"Werner","given":"Sven","non-dropping-particle":"","parse-names":false,"suffix":""}],"container-title":"Applied Energy","id":"ITEM-1","issue":"9","issued":{"date-parts":[["2008"]]},"page":"867-877","title":"Profitability of sparse district heating","type":"article-journal","volume":"85"},"uris":["http://www.mendeley.com/documents/?uuid=ff0505c9-3224-4715-aa04-979d64667d61"]}],"mendeley":{"formattedCitation":"(Reidhav and Werner, 2008)","plainTextFormattedCitation":"(Reidhav and Werner, 2008)","previouslyFormattedCitation":"(Reidhav and Werner, 2008)"},"properties":{"noteIndex":0},"schema":"https://github.com/citation-style-language/schema/raw/master/csl-citation.json"}</w:instrText>
      </w:r>
      <w:r>
        <w:fldChar w:fldCharType="separate"/>
      </w:r>
      <w:r w:rsidR="002A6A73" w:rsidRPr="002A6A73">
        <w:rPr>
          <w:noProof/>
        </w:rPr>
        <w:t>(Reidhav and Werner, 2008)</w:t>
      </w:r>
      <w:r>
        <w:fldChar w:fldCharType="end"/>
      </w:r>
      <w:r>
        <w:t xml:space="preserve">. No other countries have a significant share of single family houses connected to DHNs, which is a strong indicator of the size of the rural DH market </w:t>
      </w:r>
      <w:r>
        <w:fldChar w:fldCharType="begin" w:fldLock="1"/>
      </w:r>
      <w:r w:rsidR="002A6A73">
        <w:instrText>ADDIN CSL_CITATION {"citationItems":[{"id":"ITEM-1","itemData":{"DOI":"10.1016/j.apenergy.2007.07.011","ISSN":"03062619","author":[{"dropping-particle":"","family":"Nilsson","given":"Stefan Forsaeus","non-dropping-particle":"","parse-names":false,"suffix":""},{"dropping-particle":"","family":"Reidhav","given":"Charlotte","non-dropping-particle":"","parse-names":false,"suffix":""},{"dropping-particle":"","family":"Lygnerud","given":"Kristina","non-dropping-particle":"","parse-names":false,"suffix":""},{"dropping-particle":"","family":"Werner","given":"Sven","non-dropping-particle":"","parse-names":false,"suffix":""}],"container-title":"Applied Energy","id":"ITEM-1","issue":"7","issued":{"date-parts":[["2008"]]},"page":"555-564","title":"Sparse district-heating in Sweden","type":"article-journal","volume":"85"},"uris":["http://www.mendeley.com/documents/?uuid=61fbe4be-bb83-483e-89d6-d9ce2c136914"]}],"mendeley":{"formattedCitation":"(Nilsson &lt;i&gt;et al.&lt;/i&gt;, 2008)","plainTextFormattedCitation":"(Nilsson et al., 2008)","previouslyFormattedCitation":"(Nilsson &lt;i&gt;et al.&lt;/i&gt;, 2008)"},"properties":{"noteIndex":0},"schema":"https://github.com/citation-style-language/schema/raw/master/csl-citation.json"}</w:instrText>
      </w:r>
      <w:r>
        <w:fldChar w:fldCharType="separate"/>
      </w:r>
      <w:r w:rsidR="002A6A73" w:rsidRPr="002A6A73">
        <w:rPr>
          <w:noProof/>
        </w:rPr>
        <w:t xml:space="preserve">(Nilsson </w:t>
      </w:r>
      <w:r w:rsidR="002A6A73" w:rsidRPr="002A6A73">
        <w:rPr>
          <w:i/>
          <w:noProof/>
        </w:rPr>
        <w:t>et al.</w:t>
      </w:r>
      <w:r w:rsidR="002A6A73" w:rsidRPr="002A6A73">
        <w:rPr>
          <w:noProof/>
        </w:rPr>
        <w:t>, 2008)</w:t>
      </w:r>
      <w:r>
        <w:fldChar w:fldCharType="end"/>
      </w:r>
      <w:r>
        <w:t>. The percentage of single-family houses connected to DHNs is 85% in Iceland and 48% in Denmark. Out of the remaining countries, the percentage is 13, 10, and 5% in Finland, Sweden and the Netherlands respectively.</w:t>
      </w:r>
    </w:p>
    <w:p w14:paraId="1322C32B" w14:textId="0FC63ABB" w:rsidR="000F16EB" w:rsidRDefault="000F16EB" w:rsidP="000F16EB">
      <w:pPr>
        <w:rPr>
          <w:rStyle w:val="Heading1Char"/>
          <w:sz w:val="22"/>
          <w:szCs w:val="22"/>
        </w:rPr>
      </w:pPr>
      <w:r>
        <w:t xml:space="preserve">Research has been undertaken to assess the necessary HD density required for profitable DH, which can be used to quickly assess the economic feasibility of potential new rural DHNs. </w:t>
      </w:r>
      <w:r w:rsidRPr="00035240">
        <w:rPr>
          <w:noProof/>
        </w:rPr>
        <w:t>Soltero</w:t>
      </w:r>
      <w:r>
        <w:t xml:space="preserve"> </w:t>
      </w:r>
      <w:r w:rsidRPr="00441038">
        <w:rPr>
          <w:i/>
        </w:rPr>
        <w:t>et al</w:t>
      </w:r>
      <w:r>
        <w:t>. assessed the potential for biomass based rural DH in Spain, considering 499 municipalities covering over 1,500 people</w:t>
      </w:r>
      <w:r w:rsidR="00441038">
        <w:t xml:space="preserve"> </w:t>
      </w:r>
      <w:r w:rsidR="00441038" w:rsidRPr="00035240">
        <w:fldChar w:fldCharType="begin" w:fldLock="1"/>
      </w:r>
      <w:r w:rsidR="00441038">
        <w:instrText>ADDIN CSL_CITATION {"citationItems":[{"id":"ITEM-1","itemData":{"DOI":"10.1016/J.ENERGY.2018.05.051","ISSN":"0360-5442","abstract":"Biomass district heating systems are a promising way to increase thermal efficiency in rural areas. These areas have specific characteristics, such as a relative low linear heat density and proximity to biomass resources. Generally, rural areas show higher levels of energy poverty than urban areas and a higher number of partially used or unoccupied dwellings. These factors greatly affect the energy provided by a district heating system and should therefore be properly assessed when designing a sustainable facility. This manuscript develops a methodology for implementing biomass district heating facilities in rural areas, taking into account their specific characteristics. As a case study, the methodology is applied to 499 rural municipalities with a population above 1500 inhabitants in the continental region of Spain. Results show a potential for 154 biomass district heating systems with an internal rate of return above 5%, and 31 systems above 10%. On the other hand, only three district heating systems are classified as non-profitable. The massive implantation of these systems in the region under study reduce CO2 emissions from fossil fuels in 5.4 million tons per year and would imply and important impulse to local economy.","author":[{"dropping-particle":"","family":"Soltero","given":"V.M.","non-dropping-particle":"","parse-names":false,"suffix":""},{"dropping-particle":"","family":"Chacartegui","given":"R.","non-dropping-particle":"","parse-names":false,"suffix":""},{"dropping-particle":"","family":"Ortiz","given":"C.","non-dropping-particle":"","parse-names":false,"suffix":""},{"dropping-particle":"","family":"Velázquez","given":"R.","non-dropping-particle":"","parse-names":false,"suffix":""}],"container-title":"Energy","id":"ITEM-1","issued":{"date-parts":[["2018"]]},"page":"132-143","title":"Potential of biomass district heating systems in rural areas","type":"article-journal","volume":"156"},"uris":["http://www.mendeley.com/documents/?uuid=885df8e9-4d3d-42b4-82b6-778b00e5c37b"]}],"mendeley":{"formattedCitation":"(Soltero &lt;i&gt;et al.&lt;/i&gt;, 2018)","plainTextFormattedCitation":"(Soltero et al., 2018)","previouslyFormattedCitation":"(Soltero &lt;i&gt;et al.&lt;/i&gt;, 2018)"},"properties":{"noteIndex":0},"schema":"https://github.com/citation-style-language/schema/raw/master/csl-citation.json"}</w:instrText>
      </w:r>
      <w:r w:rsidR="00441038" w:rsidRPr="00035240">
        <w:fldChar w:fldCharType="separate"/>
      </w:r>
      <w:r w:rsidR="00441038" w:rsidRPr="002A6A73">
        <w:rPr>
          <w:noProof/>
        </w:rPr>
        <w:t xml:space="preserve">(Soltero </w:t>
      </w:r>
      <w:r w:rsidR="00441038" w:rsidRPr="002A6A73">
        <w:rPr>
          <w:i/>
          <w:noProof/>
        </w:rPr>
        <w:t>et al.</w:t>
      </w:r>
      <w:r w:rsidR="00441038" w:rsidRPr="002A6A73">
        <w:rPr>
          <w:noProof/>
        </w:rPr>
        <w:t>, 2018)</w:t>
      </w:r>
      <w:r w:rsidR="00441038" w:rsidRPr="00035240">
        <w:fldChar w:fldCharType="end"/>
      </w:r>
      <w:r>
        <w:t>. It was found that 185 potential new DHNs were feasible. The authors defined a threshold for profitable DH to be an annual linear heat density of greater than 2 GJ/m</w:t>
      </w:r>
      <w:r w:rsidRPr="00035240">
        <w:t xml:space="preserve">. </w:t>
      </w:r>
      <w:r w:rsidRPr="00CE00DD">
        <w:rPr>
          <w:noProof/>
        </w:rPr>
        <w:t>Reidhav</w:t>
      </w:r>
      <w:r w:rsidRPr="00035240">
        <w:t xml:space="preserve"> and Werner</w:t>
      </w:r>
      <w:r>
        <w:t xml:space="preserve"> </w:t>
      </w:r>
      <w:r w:rsidRPr="00035240">
        <w:t xml:space="preserve">considered the potential for </w:t>
      </w:r>
      <w:r w:rsidRPr="009072B5">
        <w:t xml:space="preserve">feasible rural DH in 74 areas in </w:t>
      </w:r>
      <w:hyperlink r:id="rId18" w:history="1">
        <w:proofErr w:type="spellStart"/>
        <w:r w:rsidRPr="009072B5">
          <w:rPr>
            <w:rStyle w:val="Hyperlink"/>
            <w:rFonts w:cs="Arial"/>
            <w:bCs/>
            <w:color w:val="auto"/>
            <w:u w:val="none"/>
          </w:rPr>
          <w:t>Göteborg</w:t>
        </w:r>
        <w:proofErr w:type="spellEnd"/>
      </w:hyperlink>
      <w:r w:rsidRPr="009072B5">
        <w:t>, Sweden, an area that covered over 3,227 single family dwellings</w:t>
      </w:r>
      <w:r w:rsidR="00441038">
        <w:t xml:space="preserve"> </w:t>
      </w:r>
      <w:r w:rsidR="00441038">
        <w:fldChar w:fldCharType="begin" w:fldLock="1"/>
      </w:r>
      <w:r w:rsidR="00441038">
        <w:instrText>ADDIN CSL_CITATION {"citationItems":[{"id":"ITEM-1","itemData":{"DOI":"10.1016/j.apenergy.2008.01.006","ISBN":"0306-2619","ISSN":"03062619","abstract":"The expansion of district heating into areas of low heat densities (heat sparse areas) constitutes a challenge due to the higher distribution costs. The profitability of sparse district heating has been analysed from actual investments in 74 areas with 3227 one-family houses connected to district heating between 2000 and 2004 in G??teborg, Sweden. The profitability was estimated from a probable price model, a typical marginal heat generation cost, and the investments from the actual connections made. The analysis identified factors as the linear heat density and heat sold per house explaining the main variations in profitability. The profitability analysis was concluded with a competition analysis. The main conclusion is that sparse district heating is possible when reaching low investment costs for the local distribution network and low marginal costs for the heat generation. In Sweden, the general competitiveness of sparse district heating is facilitated by the high consumption taxes for fuel oil, natural gas, and electricity. Hence, it should be more difficult to introduce sparse district heating in other countries with low energy taxes. ?? 2008.","author":[{"dropping-particle":"","family":"Reidhav","given":"Charlotte","non-dropping-particle":"","parse-names":false,"suffix":""},{"dropping-particle":"","family":"Werner","given":"Sven","non-dropping-particle":"","parse-names":false,"suffix":""}],"container-title":"Applied Energy","id":"ITEM-1","issue":"9","issued":{"date-parts":[["2008"]]},"page":"867-877","title":"Profitability of sparse district heating","type":"article-journal","volume":"85"},"uris":["http://www.mendeley.com/documents/?uuid=ff0505c9-3224-4715-aa04-979d64667d61"]}],"mendeley":{"formattedCitation":"(Reidhav and Werner, 2008)","plainTextFormattedCitation":"(Reidhav and Werner, 2008)","previouslyFormattedCitation":"(Reidhav and Werner, 2008)"},"properties":{"noteIndex":0},"schema":"https://github.com/citation-style-language/schema/raw/master/csl-citation.json"}</w:instrText>
      </w:r>
      <w:r w:rsidR="00441038">
        <w:fldChar w:fldCharType="separate"/>
      </w:r>
      <w:r w:rsidR="00441038" w:rsidRPr="002A6A73">
        <w:rPr>
          <w:noProof/>
        </w:rPr>
        <w:t>(Reidhav and Werner, 2008)</w:t>
      </w:r>
      <w:r w:rsidR="00441038">
        <w:fldChar w:fldCharType="end"/>
      </w:r>
      <w:r w:rsidRPr="009072B5">
        <w:t>. Two factors for profitable DH were identified an annual heat density per dwelling of greater than 50 GJ and an annual linear heat density of over 2 GJ</w:t>
      </w:r>
      <w:r>
        <w:t>/</w:t>
      </w:r>
      <w:r w:rsidRPr="009072B5">
        <w:t>m.</w:t>
      </w:r>
      <w:r w:rsidRPr="009072B5">
        <w:rPr>
          <w:rStyle w:val="Heading1Char"/>
          <w:sz w:val="22"/>
          <w:szCs w:val="22"/>
        </w:rPr>
        <w:t xml:space="preserve"> </w:t>
      </w:r>
    </w:p>
    <w:p w14:paraId="37A60C35" w14:textId="1ED876D5" w:rsidR="000F16EB" w:rsidRPr="00C051B5" w:rsidRDefault="000F16EB" w:rsidP="000F16EB">
      <w:pPr>
        <w:rPr>
          <w:rFonts w:ascii="Calibri" w:hAnsi="Calibri"/>
        </w:rPr>
      </w:pPr>
      <w:r w:rsidRPr="00C051B5">
        <w:rPr>
          <w:rStyle w:val="fontstyle01"/>
          <w:sz w:val="22"/>
          <w:szCs w:val="22"/>
        </w:rPr>
        <w:lastRenderedPageBreak/>
        <w:t xml:space="preserve">Sweden has funded a multi-year, </w:t>
      </w:r>
      <w:r w:rsidR="00527AD2">
        <w:rPr>
          <w:rStyle w:val="fontstyle01"/>
          <w:sz w:val="22"/>
          <w:szCs w:val="22"/>
        </w:rPr>
        <w:t>£3.1</w:t>
      </w:r>
      <w:r w:rsidRPr="00C051B5">
        <w:rPr>
          <w:rStyle w:val="fontstyle01"/>
          <w:sz w:val="22"/>
          <w:szCs w:val="22"/>
        </w:rPr>
        <w:t xml:space="preserve"> million project researching the development of rural DH </w:t>
      </w:r>
      <w:r w:rsidRPr="00C051B5">
        <w:rPr>
          <w:rFonts w:ascii="Calibri" w:hAnsi="Calibri"/>
        </w:rPr>
        <w:fldChar w:fldCharType="begin" w:fldLock="1"/>
      </w:r>
      <w:r w:rsidR="002A6A73">
        <w:rPr>
          <w:rFonts w:ascii="Calibri" w:hAnsi="Calibri"/>
        </w:rPr>
        <w:instrText>ADDIN CSL_CITATION {"citationItems":[{"id":"ITEM-1","itemData":{"DOI":"10.1016/j.apenergy.2007.07.011","ISSN":"03062619","author":[{"dropping-particle":"","family":"Nilsson","given":"Stefan Forsaeus","non-dropping-particle":"","parse-names":false,"suffix":""},{"dropping-particle":"","family":"Reidhav","given":"Charlotte","non-dropping-particle":"","parse-names":false,"suffix":""},{"dropping-particle":"","family":"Lygnerud","given":"Kristina","non-dropping-particle":"","parse-names":false,"suffix":""},{"dropping-particle":"","family":"Werner","given":"Sven","non-dropping-particle":"","parse-names":false,"suffix":""}],"container-title":"Applied Energy","id":"ITEM-1","issue":"7","issued":{"date-parts":[["2008"]]},"page":"555-564","title":"Sparse district-heating in Sweden","type":"article-journal","volume":"85"},"uris":["http://www.mendeley.com/documents/?uuid=61fbe4be-bb83-483e-89d6-d9ce2c136914"]}],"mendeley":{"formattedCitation":"(Nilsson &lt;i&gt;et al.&lt;/i&gt;, 2008)","plainTextFormattedCitation":"(Nilsson et al., 2008)","previouslyFormattedCitation":"(Nilsson &lt;i&gt;et al.&lt;/i&gt;, 2008)"},"properties":{"noteIndex":0},"schema":"https://github.com/citation-style-language/schema/raw/master/csl-citation.json"}</w:instrText>
      </w:r>
      <w:r w:rsidRPr="00C051B5">
        <w:rPr>
          <w:rFonts w:ascii="Calibri" w:hAnsi="Calibri"/>
        </w:rPr>
        <w:fldChar w:fldCharType="separate"/>
      </w:r>
      <w:r w:rsidR="002A6A73" w:rsidRPr="002A6A73">
        <w:rPr>
          <w:rFonts w:ascii="Calibri" w:hAnsi="Calibri"/>
          <w:noProof/>
        </w:rPr>
        <w:t xml:space="preserve">(Nilsson </w:t>
      </w:r>
      <w:r w:rsidR="002A6A73" w:rsidRPr="002A6A73">
        <w:rPr>
          <w:rFonts w:ascii="Calibri" w:hAnsi="Calibri"/>
          <w:i/>
          <w:noProof/>
        </w:rPr>
        <w:t>et al.</w:t>
      </w:r>
      <w:r w:rsidR="002A6A73" w:rsidRPr="002A6A73">
        <w:rPr>
          <w:rFonts w:ascii="Calibri" w:hAnsi="Calibri"/>
          <w:noProof/>
        </w:rPr>
        <w:t>, 2008)</w:t>
      </w:r>
      <w:r w:rsidRPr="00C051B5">
        <w:rPr>
          <w:rFonts w:ascii="Calibri" w:hAnsi="Calibri"/>
        </w:rPr>
        <w:fldChar w:fldCharType="end"/>
      </w:r>
      <w:r w:rsidRPr="00C051B5">
        <w:rPr>
          <w:rStyle w:val="fontstyle01"/>
          <w:sz w:val="22"/>
          <w:szCs w:val="22"/>
        </w:rPr>
        <w:t xml:space="preserve">. It found the key factor </w:t>
      </w:r>
      <w:r>
        <w:rPr>
          <w:rStyle w:val="fontstyle01"/>
          <w:sz w:val="22"/>
          <w:szCs w:val="22"/>
        </w:rPr>
        <w:t>in</w:t>
      </w:r>
      <w:r w:rsidRPr="00C051B5">
        <w:rPr>
          <w:rStyle w:val="fontstyle01"/>
          <w:sz w:val="22"/>
          <w:szCs w:val="22"/>
        </w:rPr>
        <w:t xml:space="preserve"> increas</w:t>
      </w:r>
      <w:r>
        <w:rPr>
          <w:rStyle w:val="fontstyle01"/>
          <w:sz w:val="22"/>
          <w:szCs w:val="22"/>
        </w:rPr>
        <w:t>ing</w:t>
      </w:r>
      <w:r w:rsidRPr="00C051B5">
        <w:rPr>
          <w:rStyle w:val="fontstyle01"/>
          <w:sz w:val="22"/>
          <w:szCs w:val="22"/>
        </w:rPr>
        <w:t xml:space="preserve"> the uptake of rural DH is</w:t>
      </w:r>
      <w:r>
        <w:rPr>
          <w:rStyle w:val="fontstyle01"/>
          <w:sz w:val="22"/>
          <w:szCs w:val="22"/>
        </w:rPr>
        <w:t xml:space="preserve"> to</w:t>
      </w:r>
      <w:r w:rsidRPr="00C051B5">
        <w:rPr>
          <w:rStyle w:val="fontstyle01"/>
          <w:sz w:val="22"/>
          <w:szCs w:val="22"/>
        </w:rPr>
        <w:t xml:space="preserve"> reduc</w:t>
      </w:r>
      <w:r>
        <w:rPr>
          <w:rStyle w:val="fontstyle01"/>
          <w:sz w:val="22"/>
          <w:szCs w:val="22"/>
        </w:rPr>
        <w:t>e</w:t>
      </w:r>
      <w:r w:rsidRPr="00C051B5">
        <w:rPr>
          <w:rStyle w:val="fontstyle01"/>
          <w:sz w:val="22"/>
          <w:szCs w:val="22"/>
        </w:rPr>
        <w:t xml:space="preserve"> the investment costs per house. A number of techniques </w:t>
      </w:r>
      <w:r>
        <w:rPr>
          <w:rStyle w:val="fontstyle01"/>
          <w:sz w:val="22"/>
          <w:szCs w:val="22"/>
        </w:rPr>
        <w:t>were found</w:t>
      </w:r>
      <w:r w:rsidRPr="00C051B5">
        <w:rPr>
          <w:rStyle w:val="fontstyle01"/>
          <w:sz w:val="22"/>
          <w:szCs w:val="22"/>
        </w:rPr>
        <w:t xml:space="preserve"> to reduce the investment costs: improving rural DH related sales and marketing, connecting more houses to the DHN and reducing the investment costs per house; reducing the number of professionals involved in the DHN installation, reducing the construction costs per house; and reusing excavated materials</w:t>
      </w:r>
      <w:r w:rsidRPr="00C051B5">
        <w:rPr>
          <w:rFonts w:ascii="Calibri" w:hAnsi="Calibri"/>
        </w:rPr>
        <w:t>.</w:t>
      </w:r>
    </w:p>
    <w:p w14:paraId="782F20F2" w14:textId="49BC596F" w:rsidR="000F16EB" w:rsidRPr="009072B5" w:rsidRDefault="000F16EB" w:rsidP="000F16EB">
      <w:r>
        <w:t>In the UK, the government has advised a minimum HD density for profitable DH to be 26,000 MWh/km</w:t>
      </w:r>
      <w:r>
        <w:rPr>
          <w:vertAlign w:val="superscript"/>
        </w:rPr>
        <w:t>2</w:t>
      </w:r>
      <w:r>
        <w:t xml:space="preserve"> </w:t>
      </w:r>
      <w:r>
        <w:fldChar w:fldCharType="begin" w:fldLock="1"/>
      </w:r>
      <w:r w:rsidR="002A6A73">
        <w:instrText>ADDIN CSL_CITATION {"citationItems":[{"id":"ITEM-1","itemData":{"ISBN":"9780108508158","author":[{"dropping-particle":"","family":"DECC","given":"","non-dropping-particle":"","parse-names":false,"suffix":""}],"id":"ITEM-1","issued":{"date-parts":[["2009"]]},"publisher-place":"London, England","title":"HEAT AND ENERGY SAVING STRATEGY: Consultation","type":"report"},"uris":["http://www.mendeley.com/documents/?uuid=c859c22b-3035-4801-9bfb-6699a3da9716"]}],"mendeley":{"formattedCitation":"(DECC, 2009a)","plainTextFormattedCitation":"(DECC, 2009a)","previouslyFormattedCitation":"(DECC, 2009a)"},"properties":{"noteIndex":0},"schema":"https://github.com/citation-style-language/schema/raw/master/csl-citation.json"}</w:instrText>
      </w:r>
      <w:r>
        <w:fldChar w:fldCharType="separate"/>
      </w:r>
      <w:r w:rsidR="002A6A73" w:rsidRPr="002A6A73">
        <w:rPr>
          <w:noProof/>
        </w:rPr>
        <w:t>(DECC, 2009a)</w:t>
      </w:r>
      <w:r>
        <w:fldChar w:fldCharType="end"/>
      </w:r>
      <w:r>
        <w:t xml:space="preserve">. The government has produced a CHP development map, plotting the HD densities of the different parts of the country </w:t>
      </w:r>
      <w:r>
        <w:fldChar w:fldCharType="begin" w:fldLock="1"/>
      </w:r>
      <w:r w:rsidR="002A6A73">
        <w:instrText>ADDIN CSL_CITATION {"citationItems":[{"id":"ITEM-1","itemData":{"URL":"http://chptools.decc.gov.uk/developmentmap/#","accessed":{"date-parts":[["2018","9","7"]]},"author":[{"dropping-particle":"","family":"DECC","given":"","non-dropping-particle":"","parse-names":false,"suffix":""}],"id":"ITEM-1","issued":{"date-parts":[["2011"]]},"title":"UK CHP Development Map","type":"webpage"},"uris":["http://www.mendeley.com/documents/?uuid=a64dc9f9-2edc-442f-9aef-d800a8b1bda8"]}],"mendeley":{"formattedCitation":"(DECC, 2011)","plainTextFormattedCitation":"(DECC, 2011)","previouslyFormattedCitation":"(DECC, 2011)"},"properties":{"noteIndex":0},"schema":"https://github.com/citation-style-language/schema/raw/master/csl-citation.json"}</w:instrText>
      </w:r>
      <w:r>
        <w:fldChar w:fldCharType="separate"/>
      </w:r>
      <w:r w:rsidR="002A6A73" w:rsidRPr="002A6A73">
        <w:rPr>
          <w:noProof/>
        </w:rPr>
        <w:t>(DECC, 2011)</w:t>
      </w:r>
      <w:r>
        <w:fldChar w:fldCharType="end"/>
      </w:r>
      <w:r>
        <w:t>. The CHP development map shows that large proportions of the rural areas of the UK have HD densities of less than 20,000 MWh/km</w:t>
      </w:r>
      <w:r>
        <w:rPr>
          <w:vertAlign w:val="superscript"/>
        </w:rPr>
        <w:t>2</w:t>
      </w:r>
      <w:r>
        <w:t>, making these areas unsuitable for DH. The development map shows some rural areas with HD densities greater than 20,000 MWh/km</w:t>
      </w:r>
      <w:r>
        <w:rPr>
          <w:vertAlign w:val="superscript"/>
        </w:rPr>
        <w:t>2</w:t>
      </w:r>
      <w:r>
        <w:t xml:space="preserve">, suggesting that DH is feasible in some rural parts of the UK. In the UK, a rural area is an area with a population of fewer than 10,000 people </w:t>
      </w:r>
      <w:r>
        <w:fldChar w:fldCharType="begin" w:fldLock="1"/>
      </w:r>
      <w:r w:rsidR="002A6A73">
        <w:instrText>ADDIN CSL_CITATION {"citationItems":[{"id":"ITEM-1","itemData":{"DOI":"10.1057/rt.2011.2","ISBN":"0261-1783","ISSN":"0261-1783","author":[{"dropping-particle":"","family":"Pateman","given":"Tim","non-dropping-particle":"","parse-names":false,"suffix":""}],"id":"ITEM-1","issued":{"date-parts":[["2011"]]},"publisher-place":"London, England","title":"Rural and urban areas: comparing lives using rural/ urban classifications","type":"report"},"uris":["http://www.mendeley.com/documents/?uuid=0749d2b9-f547-43f3-a9f2-f987127ce258"]}],"mendeley":{"formattedCitation":"(Pateman, 2011)","plainTextFormattedCitation":"(Pateman, 2011)","previouslyFormattedCitation":"(Pateman, 2011)"},"properties":{"noteIndex":0},"schema":"https://github.com/citation-style-language/schema/raw/master/csl-citation.json"}</w:instrText>
      </w:r>
      <w:r>
        <w:fldChar w:fldCharType="separate"/>
      </w:r>
      <w:r w:rsidR="002A6A73" w:rsidRPr="002A6A73">
        <w:rPr>
          <w:noProof/>
        </w:rPr>
        <w:t>(Pateman, 2011)</w:t>
      </w:r>
      <w:r>
        <w:fldChar w:fldCharType="end"/>
      </w:r>
      <w:r>
        <w:t>. According to the Department for Communities and Local Government</w:t>
      </w:r>
      <w:r w:rsidR="00BA48D8">
        <w:t xml:space="preserve"> (DCLG)</w:t>
      </w:r>
      <w:r>
        <w:t>, using the rural definition means that approximately 9 million people, or 17% of the UK population, lives in rural areas</w:t>
      </w:r>
      <w:r w:rsidR="00441038">
        <w:t xml:space="preserve"> </w:t>
      </w:r>
      <w:r w:rsidR="00441038">
        <w:fldChar w:fldCharType="begin" w:fldLock="1"/>
      </w:r>
      <w:r w:rsidR="00441038">
        <w:instrText>ADDIN CSL_CITATION {"citationItems":[{"id":"ITEM-1","itemData":{"author":[{"dropping-particle":"","family":"DCLG","given":"","non-dropping-particle":"","parse-names":false,"suffix":""}],"id":"ITEM-1","issued":{"date-parts":[["2014"]]},"publisher-place":"London, England","title":"Rural population and migration","type":"report"},"uris":["http://www.mendeley.com/documents/?uuid=e6600f3f-11b6-4cfa-b53e-818fba211470"]}],"mendeley":{"formattedCitation":"(DCLG, 2014)","plainTextFormattedCitation":"(DCLG, 2014)","previouslyFormattedCitation":"(DCLG, 2014)"},"properties":{"noteIndex":0},"schema":"https://github.com/citation-style-language/schema/raw/master/csl-citation.json"}</w:instrText>
      </w:r>
      <w:r w:rsidR="00441038">
        <w:fldChar w:fldCharType="separate"/>
      </w:r>
      <w:r w:rsidR="00441038" w:rsidRPr="002A6A73">
        <w:rPr>
          <w:noProof/>
        </w:rPr>
        <w:t>(DCLG, 2014)</w:t>
      </w:r>
      <w:r w:rsidR="00441038">
        <w:fldChar w:fldCharType="end"/>
      </w:r>
      <w:r>
        <w:t xml:space="preserve">. The rural heat market in the UK is approximately 0.3 PJ per year </w:t>
      </w:r>
      <w:r>
        <w:fldChar w:fldCharType="begin" w:fldLock="1"/>
      </w:r>
      <w:r w:rsidR="002A6A73">
        <w:instrText>ADDIN CSL_CITATION {"citationItems":[{"id":"ITEM-1","itemData":{"DOI":"Publication URN 13D/153","author":[{"dropping-particle":"","family":"BEIS","given":"","non-dropping-particle":"","parse-names":false,"suffix":""}],"container-title":"Energy Consumption in the UK","id":"ITEM-1","issued":{"date-parts":[["2016"]]},"publisher-place":"London, England","title":"Energy Consumption in the UK","type":"report"},"uris":["http://www.mendeley.com/documents/?uuid=8fd236e4-26dd-4998-998d-60586c5ae83e"]}],"mendeley":{"formattedCitation":"(BEIS, 2016)","plainTextFormattedCitation":"(BEIS, 2016)","previouslyFormattedCitation":"(BEIS, 2016)"},"properties":{"noteIndex":0},"schema":"https://github.com/citation-style-language/schema/raw/master/csl-citation.json"}</w:instrText>
      </w:r>
      <w:r>
        <w:fldChar w:fldCharType="separate"/>
      </w:r>
      <w:r w:rsidR="002A6A73" w:rsidRPr="002A6A73">
        <w:rPr>
          <w:noProof/>
        </w:rPr>
        <w:t>(BEIS, 2016)</w:t>
      </w:r>
      <w:r>
        <w:fldChar w:fldCharType="end"/>
      </w:r>
      <w:r>
        <w:t>.</w:t>
      </w:r>
    </w:p>
    <w:p w14:paraId="430FDFFF" w14:textId="77777777" w:rsidR="000F16EB" w:rsidRDefault="000F16EB" w:rsidP="000F16EB">
      <w:pPr>
        <w:pStyle w:val="Heading2"/>
      </w:pPr>
      <w:bookmarkStart w:id="359" w:name="_Toc522192764"/>
      <w:bookmarkStart w:id="360" w:name="_Toc525229981"/>
      <w:bookmarkStart w:id="361" w:name="_Toc529888295"/>
      <w:bookmarkStart w:id="362" w:name="_Toc7187496"/>
      <w:r>
        <w:t>District Heating as a Sociotechnical Process</w:t>
      </w:r>
      <w:bookmarkEnd w:id="359"/>
      <w:bookmarkEnd w:id="360"/>
      <w:bookmarkEnd w:id="361"/>
      <w:bookmarkEnd w:id="362"/>
    </w:p>
    <w:p w14:paraId="53110BAF" w14:textId="54439B06" w:rsidR="000F16EB" w:rsidRDefault="000F16EB" w:rsidP="000F16EB">
      <w:pPr>
        <w:rPr>
          <w:rStyle w:val="fontstyle01"/>
          <w:sz w:val="22"/>
          <w:szCs w:val="22"/>
        </w:rPr>
      </w:pPr>
      <w:r w:rsidRPr="00916EE3">
        <w:rPr>
          <w:rStyle w:val="fontstyle01"/>
          <w:sz w:val="22"/>
          <w:szCs w:val="22"/>
        </w:rPr>
        <w:t>Understanding DH as a sociotechnical process gives an understanding of</w:t>
      </w:r>
      <w:r>
        <w:rPr>
          <w:rStyle w:val="fontstyle01"/>
          <w:sz w:val="22"/>
          <w:szCs w:val="22"/>
        </w:rPr>
        <w:t xml:space="preserve"> </w:t>
      </w:r>
      <w:r w:rsidRPr="00DC4929">
        <w:rPr>
          <w:rStyle w:val="fontstyle01"/>
          <w:sz w:val="22"/>
          <w:szCs w:val="22"/>
        </w:rPr>
        <w:fldChar w:fldCharType="begin" w:fldLock="1"/>
      </w:r>
      <w:r w:rsidR="002A6A73">
        <w:rPr>
          <w:rStyle w:val="fontstyle01"/>
          <w:sz w:val="22"/>
          <w:szCs w:val="22"/>
        </w:rPr>
        <w:instrText>ADDIN CSL_CITATION {"citationItems":[{"id":"ITEM-1","itemData":{"abstract":"District heating is based on a simple idea: the distribution of heat from one or more sources to a number of buildings via a network of pipes carrying steam or hot water. Complementing this simplicity is the complexity of the sociotech- nical processes which lead to the initiation (or not) of a network and shape its emerging configuration. The UK Government has recently signalled an interest in substantially in- creasing the deployment of district heating in the UK from the meagre 1–2% of heat demand it currently serves. This interest is driven by the potential of dis- trict heating to help achieve three key goals of energy policy: security of supply, tackling fuel poverty, and mitigating climate change. This dissertation explores the likely fortunes of district heating in the current UK context by employing (and adapting) a Technological Innovation Systems framework. A wide variety of factors are found to be important to successfully initiating schemes and dealing with the complex coordination problems asso- ciated with their growth. There are several reasons to be optimistic about the near-term prospects for district heating, though a number of issues remain to be overcome. One of these is the fact that local authorities occupy a crucial position, but their engagement is frequently described as “patchy”. While this may in part be attributed to an information deficit, this dissertation explores some of the structural issues of local governance that impede the ability of local authorities to play their full role. Options for dealing with these difficulties are discussed.","author":[{"dropping-particle":"","family":"Hawkey","given":"David John Christopher Hawkey","non-dropping-particle":"","parse-names":false,"suffix":""}],"id":"ITEM-1","issued":{"date-parts":[["2009"]]},"publisher":"University of Edinburgh","title":"Will “District Heating Come To Town”? Analysis Of Current Opportunities And Challenges In The UK","type":"thesis"},"uris":["http://www.mendeley.com/documents/?uuid=075d1379-dd7e-4f05-9aaa-9a41103a0b14"]}],"mendeley":{"formattedCitation":"(Hawkey, 2009)","plainTextFormattedCitation":"(Hawkey, 2009)","previouslyFormattedCitation":"(Hawkey, 2009)"},"properties":{"noteIndex":0},"schema":"https://github.com/citation-style-language/schema/raw/master/csl-citation.json"}</w:instrText>
      </w:r>
      <w:r w:rsidRPr="00DC4929">
        <w:rPr>
          <w:rStyle w:val="fontstyle01"/>
          <w:sz w:val="22"/>
          <w:szCs w:val="22"/>
        </w:rPr>
        <w:fldChar w:fldCharType="separate"/>
      </w:r>
      <w:r w:rsidR="002A6A73" w:rsidRPr="002A6A73">
        <w:rPr>
          <w:rStyle w:val="fontstyle01"/>
          <w:noProof/>
          <w:sz w:val="22"/>
          <w:szCs w:val="22"/>
        </w:rPr>
        <w:t>(Hawkey, 2009)</w:t>
      </w:r>
      <w:r w:rsidRPr="00DC4929">
        <w:rPr>
          <w:rStyle w:val="fontstyle01"/>
          <w:sz w:val="22"/>
          <w:szCs w:val="22"/>
        </w:rPr>
        <w:fldChar w:fldCharType="end"/>
      </w:r>
      <w:r>
        <w:rPr>
          <w:rStyle w:val="fontstyle01"/>
          <w:sz w:val="22"/>
          <w:szCs w:val="22"/>
        </w:rPr>
        <w:t>:</w:t>
      </w:r>
      <w:r w:rsidRPr="00916EE3">
        <w:rPr>
          <w:rStyle w:val="fontstyle01"/>
          <w:sz w:val="22"/>
          <w:szCs w:val="22"/>
        </w:rPr>
        <w:t xml:space="preserve"> </w:t>
      </w:r>
    </w:p>
    <w:p w14:paraId="4FFA0E71" w14:textId="77777777" w:rsidR="000F16EB" w:rsidRPr="00DC4929" w:rsidRDefault="000F16EB" w:rsidP="00202E44">
      <w:pPr>
        <w:pStyle w:val="ListParagraph"/>
        <w:numPr>
          <w:ilvl w:val="0"/>
          <w:numId w:val="16"/>
        </w:numPr>
        <w:rPr>
          <w:rStyle w:val="fontstyle01"/>
          <w:sz w:val="22"/>
          <w:szCs w:val="22"/>
        </w:rPr>
      </w:pPr>
      <w:r w:rsidRPr="00DC4929">
        <w:rPr>
          <w:rStyle w:val="fontstyle01"/>
          <w:sz w:val="22"/>
          <w:szCs w:val="22"/>
        </w:rPr>
        <w:t xml:space="preserve">How policy intervention can influence a networks’ success. </w:t>
      </w:r>
    </w:p>
    <w:p w14:paraId="4708E509" w14:textId="77777777" w:rsidR="000F16EB" w:rsidRPr="00DC4929" w:rsidRDefault="000F16EB" w:rsidP="00202E44">
      <w:pPr>
        <w:pStyle w:val="ListParagraph"/>
        <w:numPr>
          <w:ilvl w:val="0"/>
          <w:numId w:val="16"/>
        </w:numPr>
        <w:rPr>
          <w:rStyle w:val="fontstyle01"/>
          <w:sz w:val="22"/>
          <w:szCs w:val="22"/>
        </w:rPr>
      </w:pPr>
      <w:r w:rsidRPr="00DC4929">
        <w:rPr>
          <w:rStyle w:val="fontstyle01"/>
          <w:sz w:val="22"/>
          <w:szCs w:val="22"/>
        </w:rPr>
        <w:t xml:space="preserve">How the various actors interact with each other. </w:t>
      </w:r>
    </w:p>
    <w:p w14:paraId="3B4757E5" w14:textId="2529B8FF" w:rsidR="000F16EB" w:rsidRPr="00DC4929" w:rsidRDefault="000F16EB" w:rsidP="00202E44">
      <w:pPr>
        <w:pStyle w:val="ListParagraph"/>
        <w:numPr>
          <w:ilvl w:val="0"/>
          <w:numId w:val="16"/>
        </w:numPr>
        <w:rPr>
          <w:rStyle w:val="fontstyle01"/>
          <w:sz w:val="22"/>
          <w:szCs w:val="22"/>
        </w:rPr>
      </w:pPr>
      <w:r w:rsidRPr="00DC4929">
        <w:rPr>
          <w:rStyle w:val="fontstyle01"/>
          <w:sz w:val="22"/>
          <w:szCs w:val="22"/>
        </w:rPr>
        <w:t xml:space="preserve">How the </w:t>
      </w:r>
      <w:r w:rsidR="006E7C0E" w:rsidRPr="00DC4929">
        <w:rPr>
          <w:rStyle w:val="fontstyle01"/>
          <w:sz w:val="22"/>
          <w:szCs w:val="22"/>
        </w:rPr>
        <w:t>decision</w:t>
      </w:r>
      <w:r w:rsidR="006E7C0E">
        <w:rPr>
          <w:rStyle w:val="fontstyle01"/>
          <w:sz w:val="22"/>
          <w:szCs w:val="22"/>
        </w:rPr>
        <w:t>-making</w:t>
      </w:r>
      <w:r w:rsidRPr="00DC4929">
        <w:rPr>
          <w:rStyle w:val="fontstyle01"/>
          <w:sz w:val="22"/>
          <w:szCs w:val="22"/>
        </w:rPr>
        <w:t xml:space="preserve"> process affects the design and implementation of a network.</w:t>
      </w:r>
    </w:p>
    <w:p w14:paraId="3B03CCED" w14:textId="77777777" w:rsidR="000F16EB" w:rsidRDefault="000F16EB" w:rsidP="000F16EB">
      <w:pPr>
        <w:pStyle w:val="Heading3"/>
      </w:pPr>
      <w:bookmarkStart w:id="363" w:name="_Toc522192765"/>
      <w:bookmarkStart w:id="364" w:name="_Toc525229982"/>
      <w:bookmarkStart w:id="365" w:name="_Toc529888296"/>
      <w:bookmarkStart w:id="366" w:name="_Toc7187497"/>
      <w:r>
        <w:t>Financial Viability of District Heating</w:t>
      </w:r>
      <w:bookmarkEnd w:id="363"/>
      <w:bookmarkEnd w:id="364"/>
      <w:bookmarkEnd w:id="365"/>
      <w:bookmarkEnd w:id="366"/>
    </w:p>
    <w:p w14:paraId="1BD966AF" w14:textId="1BFEF019" w:rsidR="000F16EB" w:rsidRDefault="000F16EB" w:rsidP="000F16EB">
      <w:r w:rsidRPr="002102C4">
        <w:t xml:space="preserve">DHNs have long lead times, the time between initial investment and operation, </w:t>
      </w:r>
      <w:r>
        <w:t>as well as</w:t>
      </w:r>
      <w:r w:rsidRPr="002102C4">
        <w:t xml:space="preserve"> high</w:t>
      </w:r>
      <w:r>
        <w:t xml:space="preserve"> </w:t>
      </w:r>
      <w:r w:rsidRPr="00441038">
        <w:t xml:space="preserve">CAPEX </w:t>
      </w:r>
      <w:r w:rsidRPr="00441038">
        <w:rPr>
          <w:rStyle w:val="fontstyle01"/>
          <w:sz w:val="22"/>
          <w:szCs w:val="22"/>
        </w:rPr>
        <w:fldChar w:fldCharType="begin" w:fldLock="1"/>
      </w:r>
      <w:r w:rsidR="002A6A73" w:rsidRPr="00441038">
        <w:rPr>
          <w:rStyle w:val="fontstyle01"/>
          <w:sz w:val="22"/>
          <w:szCs w:val="22"/>
        </w:rPr>
        <w:instrText>ADDIN CSL_CITATION {"citationItems":[{"id":"ITEM-1","itemData":{"abstract":"District heating is based on a simple idea: the distribution of heat from one or more sources to a number of buildings via a network of pipes carrying steam or hot water. Complementing this simplicity is the complexity of the sociotech- nical processes which lead to the initiation (or not) of a network and shape its emerging configuration. The UK Government has recently signalled an interest in substantially in- creasing the deployment of district heating in the UK from the meagre 1–2% of heat demand it currently serves. This interest is driven by the potential of dis- trict heating to help achieve three key goals of energy policy: security of supply, tackling fuel poverty, and mitigating climate change. This dissertation explores the likely fortunes of district heating in the current UK context by employing (and adapting) a Technological Innovation Systems framework. A wide variety of factors are found to be important to successfully initiating schemes and dealing with the complex coordination problems asso- ciated with their growth. There are several reasons to be optimistic about the near-term prospects for district heating, though a number of issues remain to be overcome. One of these is the fact that local authorities occupy a crucial position, but their engagement is frequently described as “patchy”. While this may in part be attributed to an information deficit, this dissertation explores some of the structural issues of local governance that impede the ability of local authorities to play their full role. Options for dealing with these difficulties are discussed.","author":[{"dropping-particle":"","family":"Hawkey","given":"David John Christopher Hawkey","non-dropping-particle":"","parse-names":false,"suffix":""}],"id":"ITEM-1","issued":{"date-parts":[["2009"]]},"publisher":"University of Edinburgh","title":"Will “District Heating Come To Town”? Analysis Of Current Opportunities And Challenges In The UK","type":"thesis"},"uris":["http://www.mendeley.com/documents/?uuid=075d1379-dd7e-4f05-9aaa-9a41103a0b14"]},{"id":"ITEM-2","itemData":{"abstract":"Heat for homes, businesses and industrial processes accounts for around 49% of total energy demand and 47% of carbon emissions. The majority of households and non- domestic buildings have their own heating systems, with gas the predominant fuel source. Less than 0.5% of heat is from renewable sources. The","author":[{"dropping-particle":"","family":"Davies","given":"Gareth","non-dropping-particle":"","parse-names":false,"suffix":""},{"dropping-particle":"","family":"Woods","given":"Paul","non-dropping-particle":"","parse-names":false,"suffix":""}],"id":"ITEM-2","issue":"April","issued":{"date-parts":[["2009"]]},"number-of-pages":"152","publisher-place":"Oxford, England","title":"The Potential and Costs of District Heating Networks","type":"report"},"uris":["http://www.mendeley.com/documents/?uuid=4adb9c4d-374d-4216-b532-2723ac67debf"]}],"mendeley":{"formattedCitation":"(Davies and Woods, 2009; Hawkey, 2009)","plainTextFormattedCitation":"(Davies and Woods, 2009; Hawkey, 2009)","previouslyFormattedCitation":"(Davies and Woods, 2009; Hawkey, 2009)"},"properties":{"noteIndex":0},"schema":"https://github.com/citation-style-language/schema/raw/master/csl-citation.json"}</w:instrText>
      </w:r>
      <w:r w:rsidRPr="00441038">
        <w:rPr>
          <w:rStyle w:val="fontstyle01"/>
          <w:sz w:val="22"/>
          <w:szCs w:val="22"/>
        </w:rPr>
        <w:fldChar w:fldCharType="separate"/>
      </w:r>
      <w:r w:rsidR="002A6A73" w:rsidRPr="00441038">
        <w:rPr>
          <w:rStyle w:val="fontstyle01"/>
          <w:noProof/>
          <w:sz w:val="22"/>
          <w:szCs w:val="22"/>
        </w:rPr>
        <w:t>(Davies and Woods, 2009; Hawkey, 2009)</w:t>
      </w:r>
      <w:r w:rsidRPr="00441038">
        <w:rPr>
          <w:rStyle w:val="fontstyle01"/>
          <w:sz w:val="22"/>
          <w:szCs w:val="22"/>
        </w:rPr>
        <w:fldChar w:fldCharType="end"/>
      </w:r>
      <w:r w:rsidRPr="00441038">
        <w:t xml:space="preserve">. The lifetime of a DHN is long, 40 – 50 years, giving a large time to pay off the initial investment. However, industry rarely makes investments if the payback period is over three or four years </w:t>
      </w:r>
      <w:r w:rsidRPr="00441038">
        <w:rPr>
          <w:rStyle w:val="fontstyle01"/>
          <w:sz w:val="22"/>
          <w:szCs w:val="22"/>
        </w:rPr>
        <w:fldChar w:fldCharType="begin" w:fldLock="1"/>
      </w:r>
      <w:r w:rsidR="002A6A73" w:rsidRPr="00441038">
        <w:rPr>
          <w:rStyle w:val="fontstyle01"/>
          <w:sz w:val="22"/>
          <w:szCs w:val="22"/>
        </w:rPr>
        <w:instrText>ADDIN CSL_CITATION {"citationItems":[{"id":"ITEM-1","itemData":{"author":[{"dropping-particle":"","family":"Awomewe","given":"Alaba Femi","non-dropping-particle":"","parse-names":false,"suffix":""},{"dropping-particle":"","family":"Ogundele","given":"Oludele Olawale","non-dropping-particle":"","parse-names":false,"suffix":""}],"id":"ITEM-1","issued":{"date-parts":[["2008"]]},"publisher":"Blekinge Institute of Technology","title":"The importance of the payback method in capital budgeting decision","type":"thesis"},"uris":["http://www.mendeley.com/documents/?uuid=1f036eb0-dc50-453a-a78c-82552f58b254"]},{"id":"ITEM-2","itemData":{"abstract":"District heating is based on a simple idea: the distribution of heat from one or more sources to a number of buildings via a network of pipes carrying steam or hot water. Complementing this simplicity is the complexity of the sociotech- nical processes which lead to the initiation (or not) of a network and shape its emerging configuration. The UK Government has recently signalled an interest in substantially in- creasing the deployment of district heating in the UK from the meagre 1–2% of heat demand it currently serves. This interest is driven by the potential of dis- trict heating to help achieve three key goals of energy policy: security of supply, tackling fuel poverty, and mitigating climate change. This dissertation explores the likely fortunes of district heating in the current UK context by employing (and adapting) a Technological Innovation Systems framework. A wide variety of factors are found to be important to successfully initiating schemes and dealing with the complex coordination problems asso- ciated with their growth. There are several reasons to be optimistic about the near-term prospects for district heating, though a number of issues remain to be overcome. One of these is the fact that local authorities occupy a crucial position, but their engagement is frequently described as “patchy”. While this may in part be attributed to an information deficit, this dissertation explores some of the structural issues of local governance that impede the ability of local authorities to play their full role. Options for dealing with these difficulties are discussed.","author":[{"dropping-particle":"","family":"Hawkey","given":"David John Christopher Hawkey","non-dropping-particle":"","parse-names":false,"suffix":""}],"id":"ITEM-2","issued":{"date-parts":[["2009"]]},"publisher":"University of Edinburgh","title":"Will “District Heating Come To Town”? Analysis Of Current Opportunities And Challenges In The UK","type":"thesis"},"uris":["http://www.mendeley.com/documents/?uuid=075d1379-dd7e-4f05-9aaa-9a41103a0b14"]}],"mendeley":{"formattedCitation":"(Awomewe and Ogundele, 2008; Hawkey, 2009)","plainTextFormattedCitation":"(Awomewe and Ogundele, 2008; Hawkey, 2009)","previouslyFormattedCitation":"(Awomewe and Ogundele, 2008; Hawkey, 2009)"},"properties":{"noteIndex":0},"schema":"https://github.com/citation-style-language/schema/raw/master/csl-citation.json"}</w:instrText>
      </w:r>
      <w:r w:rsidRPr="00441038">
        <w:rPr>
          <w:rStyle w:val="fontstyle01"/>
          <w:sz w:val="22"/>
          <w:szCs w:val="22"/>
        </w:rPr>
        <w:fldChar w:fldCharType="separate"/>
      </w:r>
      <w:r w:rsidR="002A6A73" w:rsidRPr="00441038">
        <w:rPr>
          <w:rStyle w:val="fontstyle01"/>
          <w:noProof/>
          <w:sz w:val="22"/>
          <w:szCs w:val="22"/>
        </w:rPr>
        <w:t>(Awomewe and Ogundele, 2008; Hawkey, 2009)</w:t>
      </w:r>
      <w:r w:rsidRPr="00441038">
        <w:rPr>
          <w:rStyle w:val="fontstyle01"/>
          <w:sz w:val="22"/>
          <w:szCs w:val="22"/>
        </w:rPr>
        <w:fldChar w:fldCharType="end"/>
      </w:r>
      <w:r w:rsidRPr="00441038">
        <w:t>. Due to the high investment costs, the slow</w:t>
      </w:r>
      <w:r w:rsidRPr="002102C4">
        <w:t xml:space="preserve"> rate of payback</w:t>
      </w:r>
      <w:r>
        <w:t>,</w:t>
      </w:r>
      <w:r w:rsidRPr="002102C4">
        <w:t xml:space="preserve"> and</w:t>
      </w:r>
      <w:r>
        <w:t xml:space="preserve"> the</w:t>
      </w:r>
      <w:r w:rsidRPr="002102C4">
        <w:t xml:space="preserve"> perceived risks, investment uncertainty</w:t>
      </w:r>
      <w:r>
        <w:t xml:space="preserve"> exists</w:t>
      </w:r>
      <w:r w:rsidRPr="002102C4">
        <w:t xml:space="preserve"> around DH. </w:t>
      </w:r>
    </w:p>
    <w:p w14:paraId="7E44FF18" w14:textId="77777777" w:rsidR="000F16EB" w:rsidRDefault="000F16EB" w:rsidP="000F16EB">
      <w:pPr>
        <w:rPr>
          <w:rStyle w:val="fontstyle01"/>
        </w:rPr>
      </w:pPr>
      <w:r>
        <w:t>The investment</w:t>
      </w:r>
      <w:r w:rsidRPr="002102C4">
        <w:t xml:space="preserve"> uncertainty has led to three basic needs for </w:t>
      </w:r>
      <w:r>
        <w:t xml:space="preserve">DH </w:t>
      </w:r>
      <w:r w:rsidRPr="002102C4">
        <w:t>economic</w:t>
      </w:r>
      <w:r>
        <w:t xml:space="preserve"> </w:t>
      </w:r>
      <w:r w:rsidRPr="002102C4">
        <w:t>viability</w:t>
      </w:r>
      <w:r>
        <w:t>, which are</w:t>
      </w:r>
      <w:r w:rsidRPr="002102C4">
        <w:t xml:space="preserve"> heat density, heat load diversity</w:t>
      </w:r>
      <w:r>
        <w:t>,</w:t>
      </w:r>
      <w:r w:rsidRPr="002102C4">
        <w:t xml:space="preserve"> and anchor loads</w:t>
      </w:r>
      <w:r>
        <w:t>. Heat density is the HD per unit pipe length; areas of high heat density have lower infrastructure costs per unit of heat delivery. Heat load diversity defines the number of different buildings with different HD profiles connected to a DHN. Higher heat load diversity smooths the overall HD profile of a DHN reducing the need for expensive, peak load heat generating units. Anchor loads are customers with large, constant, and stable HDs that are vital to the success of a new network. The financial viability of a DHN in the UK is highly dependent on the discount rate applied. DHNs are typically only financially viable if a discount rate of 6% below the usual industry standard is applied</w:t>
      </w:r>
      <w:r>
        <w:rPr>
          <w:rStyle w:val="fontstyle01"/>
        </w:rPr>
        <w:t>.</w:t>
      </w:r>
    </w:p>
    <w:p w14:paraId="37FB2C69" w14:textId="77777777" w:rsidR="000F16EB" w:rsidRDefault="000F16EB" w:rsidP="000F16EB">
      <w:pPr>
        <w:pStyle w:val="Heading3"/>
      </w:pPr>
      <w:bookmarkStart w:id="367" w:name="_Toc522192766"/>
      <w:bookmarkStart w:id="368" w:name="_Toc525229983"/>
      <w:bookmarkStart w:id="369" w:name="_Toc529888297"/>
      <w:bookmarkStart w:id="370" w:name="_Toc7187498"/>
      <w:r>
        <w:lastRenderedPageBreak/>
        <w:t>The Role of Actors</w:t>
      </w:r>
      <w:bookmarkEnd w:id="367"/>
      <w:bookmarkEnd w:id="368"/>
      <w:bookmarkEnd w:id="369"/>
      <w:bookmarkEnd w:id="370"/>
    </w:p>
    <w:p w14:paraId="39E3992D" w14:textId="034A433C" w:rsidR="000F16EB" w:rsidRDefault="000F16EB" w:rsidP="000F16EB">
      <w:r>
        <w:t xml:space="preserve">Actors refer to the parties that have a stake in the success of a DHN and can be local, regional or national </w:t>
      </w:r>
      <w:r>
        <w:fldChar w:fldCharType="begin" w:fldLock="1"/>
      </w:r>
      <w:r w:rsidR="00FF4B5D">
        <w:instrText>ADDIN CSL_CITATION {"citationItems":[{"id":"ITEM-1","itemData":{"DOI":"10.1016/j.jclepro.2012.11.018","ISSN":"09596526","author":[{"dropping-particle":"","family":"Hawkey","given":"David","non-dropping-particle":"","parse-names":false,"suffix":""},{"dropping-particle":"","family":"Webb","given":"Janette","non-dropping-particle":"","parse-names":false,"suffix":""},{"dropping-particle":"","family":"Winskel","given":"Mark","non-dropping-particle":"","parse-names":false,"suffix":""}],"container-title":"Journal of Cleaner Production","id":"ITEM-1","issued":{"date-parts":[["2013"]]},"page":"22-31","publisher":"Elsevier Ltd","title":"Organisation and governance of urban energy systems: district heating and cooling in the UK","type":"article-journal","volume":"50"},"uris":["http://www.mendeley.com/documents/?uuid=80d16757-a144-44ff-ab81-f9b784720c7d"]}],"mendeley":{"formattedCitation":"(Hawkey &lt;i&gt;et al.&lt;/i&gt;, 2013)","plainTextFormattedCitation":"(Hawkey et al., 2013)","previouslyFormattedCitation":"(Hawkey &lt;i&gt;et al.&lt;/i&gt;, 2013)"},"properties":{"noteIndex":0},"schema":"https://github.com/citation-style-language/schema/raw/master/csl-citation.json"}</w:instrText>
      </w:r>
      <w:r>
        <w:fldChar w:fldCharType="separate"/>
      </w:r>
      <w:r w:rsidR="005F544E" w:rsidRPr="005F544E">
        <w:rPr>
          <w:noProof/>
        </w:rPr>
        <w:t xml:space="preserve">(Hawkey </w:t>
      </w:r>
      <w:r w:rsidR="005F544E" w:rsidRPr="005F544E">
        <w:rPr>
          <w:i/>
          <w:noProof/>
        </w:rPr>
        <w:t>et al.</w:t>
      </w:r>
      <w:r w:rsidR="005F544E" w:rsidRPr="005F544E">
        <w:rPr>
          <w:noProof/>
        </w:rPr>
        <w:t>, 2013)</w:t>
      </w:r>
      <w:r>
        <w:fldChar w:fldCharType="end"/>
      </w:r>
      <w:r>
        <w:t xml:space="preserve">. The key local actor is the local authority. The local authority can fulfil a number of useful roles, including providing the initial motivation, providing the necessary local information, using planning laws to find new customers, and using the local authority owned buildings as anchor loads. In the UK, local authorities have been moved away from the provision of public services which limits the ability of a local authority to plan and operate a DHN </w:t>
      </w:r>
      <w:r>
        <w:fldChar w:fldCharType="begin" w:fldLock="1"/>
      </w:r>
      <w:r w:rsidR="002A6A73">
        <w:instrText>ADDIN CSL_CITATION {"citationItems":[{"id":"ITEM-1","itemData":{"DOI":"10.1016/j.enpol.2014.12.003","ISBN":"0301-4215","ISSN":"03014215","abstract":"Research on district heating has focused on technical-economic appraisal of its contribution to energy and carbon saving in urban centres. There is however lack of analysis of political and social processes which govern its actual take up. This paper examines these processes through a case study of Aberdeen, Scotland. Interviews and documentary analysis are used to examine the 2002 development of Aberdeen Heat and Power (AHP), an independent energy services company (ESCo). Technical-economic feasibility was a necessary component of appraisal, but not sufficient to govern decision-making. In the UK centralised energy market, DH investment is unattractive to commercial investors, and local authorities lack capacity and expertise in energy provision. In Aberdeen, the politics of fuel poverty converged with climate politics, creating an a-typical willingness to innovate through improvisation. The welfare priority resulted in creation of a non-profit locally-owned ESCo, using cost- rather than market-based heat tariffs. AHP has developed three combined heat and power energy centres and heat networks, supplying 34. MWh/pa of heat. Carbon savings are estimated to be 45% in comparison with electric heating, and heating costs are reduced by a similar amount. The conclusion outlines potential policy improvements.","author":[{"dropping-particle":"","family":"Webb","given":"Janette","non-dropping-particle":"","parse-names":false,"suffix":""}],"container-title":"Energy Policy","id":"ITEM-1","issued":{"date-parts":[["2015"]]},"page":"265-272","publisher":"Elsevier","title":"Improvising innovation in UK urban district heating: The convergence of social and environmental agendas in Aberdeen","type":"article-journal","volume":"78"},"uris":["http://www.mendeley.com/documents/?uuid=85bf2218-5f26-4866-ba77-4eb6da90bd1a"]}],"mendeley":{"formattedCitation":"(Webb, 2015)","plainTextFormattedCitation":"(Webb, 2015)","previouslyFormattedCitation":"(Webb, 2015)"},"properties":{"noteIndex":0},"schema":"https://github.com/citation-style-language/schema/raw/master/csl-citation.json"}</w:instrText>
      </w:r>
      <w:r>
        <w:fldChar w:fldCharType="separate"/>
      </w:r>
      <w:r w:rsidR="002A6A73" w:rsidRPr="002A6A73">
        <w:rPr>
          <w:noProof/>
        </w:rPr>
        <w:t>(Webb, 2015)</w:t>
      </w:r>
      <w:r>
        <w:fldChar w:fldCharType="end"/>
      </w:r>
      <w:r>
        <w:t>. Local authorities also have limited financial autonomy and poor working relationships with the central government.</w:t>
      </w:r>
    </w:p>
    <w:p w14:paraId="6B7835CD" w14:textId="5BA5C972" w:rsidR="000F16EB" w:rsidRDefault="000F16EB" w:rsidP="000F16EB">
      <w:pPr>
        <w:rPr>
          <w:rStyle w:val="fontstyle01"/>
        </w:rPr>
      </w:pPr>
      <w:r>
        <w:t xml:space="preserve">Other local actors include the customers, particularly those that can act as anchor loads; energy companies; developers; and community groups, who may have a personal stake in reducing local emissions or tackling fuel </w:t>
      </w:r>
      <w:r w:rsidRPr="00441038">
        <w:t xml:space="preserve">poverty </w:t>
      </w:r>
      <w:r w:rsidRPr="00441038">
        <w:rPr>
          <w:rStyle w:val="fontstyle01"/>
          <w:sz w:val="22"/>
          <w:szCs w:val="22"/>
        </w:rPr>
        <w:fldChar w:fldCharType="begin" w:fldLock="1"/>
      </w:r>
      <w:r w:rsidR="002A6A73" w:rsidRPr="00441038">
        <w:rPr>
          <w:rStyle w:val="fontstyle01"/>
          <w:sz w:val="22"/>
          <w:szCs w:val="22"/>
        </w:rPr>
        <w:instrText>ADDIN CSL_CITATION {"citationItems":[{"id":"ITEM-1","itemData":{"abstract":"District heating is based on a simple idea: the distribution of heat from one or more sources to a number of buildings via a network of pipes carrying steam or hot water. Complementing this simplicity is the complexity of the sociotech- nical processes which lead to the initiation (or not) of a network and shape its emerging configuration. The UK Government has recently signalled an interest in substantially in- creasing the deployment of district heating in the UK from the meagre 1–2% of heat demand it currently serves. This interest is driven by the potential of dis- trict heating to help achieve three key goals of energy policy: security of supply, tackling fuel poverty, and mitigating climate change. This dissertation explores the likely fortunes of district heating in the current UK context by employing (and adapting) a Technological Innovation Systems framework. A wide variety of factors are found to be important to successfully initiating schemes and dealing with the complex coordination problems asso- ciated with their growth. There are several reasons to be optimistic about the near-term prospects for district heating, though a number of issues remain to be overcome. One of these is the fact that local authorities occupy a crucial position, but their engagement is frequently described as “patchy”. While this may in part be attributed to an information deficit, this dissertation explores some of the structural issues of local governance that impede the ability of local authorities to play their full role. Options for dealing with these difficulties are discussed.","author":[{"dropping-particle":"","family":"Hawkey","given":"David John Christopher Hawkey","non-dropping-particle":"","parse-names":false,"suffix":""}],"id":"ITEM-1","issued":{"date-parts":[["2009"]]},"publisher":"University of Edinburgh","title":"Will “District Heating Come To Town”? Analysis Of Current Opportunities And Challenges In The UK","type":"thesis"},"uris":["http://www.mendeley.com/documents/?uuid=075d1379-dd7e-4f05-9aaa-9a41103a0b14"]}],"mendeley":{"formattedCitation":"(Hawkey, 2009)","plainTextFormattedCitation":"(Hawkey, 2009)","previouslyFormattedCitation":"(Hawkey, 2009)"},"properties":{"noteIndex":0},"schema":"https://github.com/citation-style-language/schema/raw/master/csl-citation.json"}</w:instrText>
      </w:r>
      <w:r w:rsidRPr="00441038">
        <w:rPr>
          <w:rStyle w:val="fontstyle01"/>
          <w:sz w:val="22"/>
          <w:szCs w:val="22"/>
        </w:rPr>
        <w:fldChar w:fldCharType="separate"/>
      </w:r>
      <w:r w:rsidR="002A6A73" w:rsidRPr="00441038">
        <w:rPr>
          <w:rStyle w:val="fontstyle01"/>
          <w:noProof/>
          <w:sz w:val="22"/>
          <w:szCs w:val="22"/>
        </w:rPr>
        <w:t>(Hawkey, 2009)</w:t>
      </w:r>
      <w:r w:rsidRPr="00441038">
        <w:rPr>
          <w:rStyle w:val="fontstyle01"/>
          <w:sz w:val="22"/>
          <w:szCs w:val="22"/>
        </w:rPr>
        <w:fldChar w:fldCharType="end"/>
      </w:r>
      <w:r w:rsidRPr="00441038">
        <w:t>. National</w:t>
      </w:r>
      <w:r>
        <w:t xml:space="preserve"> actors include the government, who can intervene with national policy and investment; energy regulators, although in the UK no heat regulator exists; and industry associations, such as the CHP association (CHPA). The CHPA seeks to address national barriers to the implementation of DH and CHP</w:t>
      </w:r>
      <w:r>
        <w:rPr>
          <w:rStyle w:val="fontstyle01"/>
        </w:rPr>
        <w:t>.</w:t>
      </w:r>
    </w:p>
    <w:p w14:paraId="7DB4ED3C" w14:textId="77777777" w:rsidR="000F16EB" w:rsidRDefault="000F16EB" w:rsidP="000F16EB">
      <w:pPr>
        <w:pStyle w:val="Heading3"/>
      </w:pPr>
      <w:bookmarkStart w:id="371" w:name="_Toc522192768"/>
      <w:bookmarkStart w:id="372" w:name="_Toc525229984"/>
      <w:bookmarkStart w:id="373" w:name="_Toc529888298"/>
      <w:bookmarkStart w:id="374" w:name="_Toc7187499"/>
      <w:r>
        <w:t>District Heating as a Sociotechnical Process in the UK</w:t>
      </w:r>
      <w:bookmarkEnd w:id="371"/>
      <w:bookmarkEnd w:id="372"/>
      <w:bookmarkEnd w:id="373"/>
      <w:bookmarkEnd w:id="374"/>
    </w:p>
    <w:p w14:paraId="20FE0911" w14:textId="77777777" w:rsidR="000F16EB" w:rsidRDefault="000F16EB" w:rsidP="000F16EB">
      <w:r>
        <w:t xml:space="preserve">Every country in the world is unique in terms of its law, regulations, markets, and social dimensions. Therefore, the consideration of DH as a sociotechnical process will differ from country to country. </w:t>
      </w:r>
    </w:p>
    <w:p w14:paraId="4CAE84CD" w14:textId="7ACDD408" w:rsidR="000F16EB" w:rsidRDefault="000F16EB" w:rsidP="000F16EB">
      <w:r>
        <w:t xml:space="preserve">The liberalised, privatised energy market in the UK has developed an extended and well-run network around the gas and electricity markets whilst failing to create a heat market </w:t>
      </w:r>
      <w:r>
        <w:fldChar w:fldCharType="begin" w:fldLock="1"/>
      </w:r>
      <w:r w:rsidR="002A6A73">
        <w:instrText>ADDIN CSL_CITATION {"citationItems":[{"id":"ITEM-1","itemData":{"DOI":"10.1016/j.enpol.2014.12.003","ISBN":"0301-4215","ISSN":"03014215","abstract":"Research on district heating has focused on technical-economic appraisal of its contribution to energy and carbon saving in urban centres. There is however lack of analysis of political and social processes which govern its actual take up. This paper examines these processes through a case study of Aberdeen, Scotland. Interviews and documentary analysis are used to examine the 2002 development of Aberdeen Heat and Power (AHP), an independent energy services company (ESCo). Technical-economic feasibility was a necessary component of appraisal, but not sufficient to govern decision-making. In the UK centralised energy market, DH investment is unattractive to commercial investors, and local authorities lack capacity and expertise in energy provision. In Aberdeen, the politics of fuel poverty converged with climate politics, creating an a-typical willingness to innovate through improvisation. The welfare priority resulted in creation of a non-profit locally-owned ESCo, using cost- rather than market-based heat tariffs. AHP has developed three combined heat and power energy centres and heat networks, supplying 34. MWh/pa of heat. Carbon savings are estimated to be 45% in comparison with electric heating, and heating costs are reduced by a similar amount. The conclusion outlines potential policy improvements.","author":[{"dropping-particle":"","family":"Webb","given":"Janette","non-dropping-particle":"","parse-names":false,"suffix":""}],"container-title":"Energy Policy","id":"ITEM-1","issued":{"date-parts":[["2015"]]},"page":"265-272","publisher":"Elsevier","title":"Improvising innovation in UK urban district heating: The convergence of social and environmental agendas in Aberdeen","type":"article-journal","volume":"78"},"uris":["http://www.mendeley.com/documents/?uuid=85bf2218-5f26-4866-ba77-4eb6da90bd1a"]}],"mendeley":{"formattedCitation":"(Webb, 2015)","plainTextFormattedCitation":"(Webb, 2015)","previouslyFormattedCitation":"(Webb, 2015)"},"properties":{"noteIndex":0},"schema":"https://github.com/citation-style-language/schema/raw/master/csl-citation.json"}</w:instrText>
      </w:r>
      <w:r>
        <w:fldChar w:fldCharType="separate"/>
      </w:r>
      <w:r w:rsidR="002A6A73" w:rsidRPr="002A6A73">
        <w:rPr>
          <w:noProof/>
        </w:rPr>
        <w:t>(Webb, 2015)</w:t>
      </w:r>
      <w:r>
        <w:fldChar w:fldCharType="end"/>
      </w:r>
      <w:r>
        <w:t xml:space="preserve">. This seamless network is hard to change or break into placing a low priority on efficiency, limiting the scope for the long-term planning of CHP and DH. The liberalised market is good for large-scale corporations and monopoly providers but not for possible DHNs, giving no financial incentive for large-scale corporations to invest in DH. </w:t>
      </w:r>
    </w:p>
    <w:p w14:paraId="5E298C14" w14:textId="39EA0C7C" w:rsidR="000F16EB" w:rsidRDefault="000F16EB" w:rsidP="000F16EB">
      <w:r>
        <w:t xml:space="preserve">Public policy in the UK mainly focuses on the macro level, large scale utilities, and micro level, individual building, and ignores the meso levels, city or urban scales </w:t>
      </w:r>
      <w:r>
        <w:fldChar w:fldCharType="begin" w:fldLock="1"/>
      </w:r>
      <w:r w:rsidR="00FF4B5D">
        <w:instrText>ADDIN CSL_CITATION {"citationItems":[{"id":"ITEM-1","itemData":{"DOI":"10.1016/j.jclepro.2012.11.018","ISSN":"09596526","author":[{"dropping-particle":"","family":"Hawkey","given":"David","non-dropping-particle":"","parse-names":false,"suffix":""},{"dropping-particle":"","family":"Webb","given":"Janette","non-dropping-particle":"","parse-names":false,"suffix":""},{"dropping-particle":"","family":"Winskel","given":"Mark","non-dropping-particle":"","parse-names":false,"suffix":""}],"container-title":"Journal of Cleaner Production","id":"ITEM-1","issued":{"date-parts":[["2013"]]},"page":"22-31","publisher":"Elsevier Ltd","title":"Organisation and governance of urban energy systems: district heating and cooling in the UK","type":"article-journal","volume":"50"},"uris":["http://www.mendeley.com/documents/?uuid=80d16757-a144-44ff-ab81-f9b784720c7d"]}],"mendeley":{"formattedCitation":"(Hawkey &lt;i&gt;et al.&lt;/i&gt;, 2013)","plainTextFormattedCitation":"(Hawkey et al., 2013)","previouslyFormattedCitation":"(Hawkey &lt;i&gt;et al.&lt;/i&gt;, 2013)"},"properties":{"noteIndex":0},"schema":"https://github.com/citation-style-language/schema/raw/master/csl-citation.json"}</w:instrText>
      </w:r>
      <w:r>
        <w:fldChar w:fldCharType="separate"/>
      </w:r>
      <w:r w:rsidR="005F544E" w:rsidRPr="005F544E">
        <w:rPr>
          <w:noProof/>
        </w:rPr>
        <w:t xml:space="preserve">(Hawkey </w:t>
      </w:r>
      <w:r w:rsidR="005F544E" w:rsidRPr="005F544E">
        <w:rPr>
          <w:i/>
          <w:noProof/>
        </w:rPr>
        <w:t>et al.</w:t>
      </w:r>
      <w:r w:rsidR="005F544E" w:rsidRPr="005F544E">
        <w:rPr>
          <w:noProof/>
        </w:rPr>
        <w:t>, 2013)</w:t>
      </w:r>
      <w:r>
        <w:fldChar w:fldCharType="end"/>
      </w:r>
      <w:r>
        <w:t xml:space="preserve">. Ignoring the meso levels means that no policy or planning infrastructure exists for DH and CHP. To encourage more DH investment in the UK a country wide web of social and technical commitments aimed at the meso scale is needed. Bush </w:t>
      </w:r>
      <w:r w:rsidRPr="00441038">
        <w:rPr>
          <w:i/>
        </w:rPr>
        <w:t>et al</w:t>
      </w:r>
      <w:r>
        <w:t>. collected information from a range of UK DH stakeholders to investigate the potential that stakeholders have in promoting UK DH development</w:t>
      </w:r>
      <w:r w:rsidR="00441038">
        <w:t xml:space="preserve"> </w:t>
      </w:r>
      <w:r w:rsidR="00441038">
        <w:fldChar w:fldCharType="begin" w:fldLock="1"/>
      </w:r>
      <w:r w:rsidR="00441038">
        <w:instrText>ADDIN CSL_CITATION {"citationItems":[{"id":"ITEM-1","itemData":{"DOI":"10.1016/j.jclepro.2017.01.129","ISSN":"09596526","abstract":"The literature on socio-technical transitions considers how technological innovations can be established within the context of an incumbent regime that is often resistant or inflexible to change. Strategic niche management is an approach to catalysing a transition to a new regime using protected ‘niche’ spaces to enable development and experimentation with an innovation. Intermediary actors play an important role in establishing these niches as they facilitate knowledge sharing and build the wider networks and systems needed to support an innovation. The influence of intermediaries within socio-technical transitions and strategic niche management is still an under-researched area. In this paper, we use a decision theatre research process to collect empirical evidence from a range of local stakeholders involved in establishing new district heating projects in the United Kingdom (UK). This method, carried out in a group workshop format, enables understanding of the interactions between stakeholders throughout the stages of the district heating development process. The study suggests that intermediaries can play a role in supporting niche empowering processes. The existing institutional framework surrounding intermediary actors, and the geographical scale at which they work within that framework, are shown to be influential on actors’ agency to choose their approach to empowering an innovation. The work highlights the potential for intermediaries to support the restructuring of this institutional framework to enable more radical ‘stretch and transform’ empowering activities.","author":[{"dropping-particle":"","family":"Bush","given":"Ruth E.","non-dropping-particle":"","parse-names":false,"suffix":""},{"dropping-particle":"","family":"Bale","given":"Catherine S.E.","non-dropping-particle":"","parse-names":false,"suffix":""},{"dropping-particle":"","family":"Powell","given":"Mark","non-dropping-particle":"","parse-names":false,"suffix":""},{"dropping-particle":"","family":"Gouldson","given":"Andy","non-dropping-particle":"","parse-names":false,"suffix":""},{"dropping-particle":"","family":"Taylor","given":"Peter G.","non-dropping-particle":"","parse-names":false,"suffix":""},{"dropping-particle":"","family":"Gale","given":"William F.","non-dropping-particle":"","parse-names":false,"suffix":""}],"container-title":"Journal of Cleaner Production","id":"ITEM-1","issued":{"date-parts":[["2017"]]},"page":"137-147","publisher":"Elsevier Ltd","title":"The role of intermediaries in low carbon transitions – Empowering innovations to unlock district heating in the UK","type":"article-journal","volume":"148"},"uris":["http://www.mendeley.com/documents/?uuid=2d8db983-a1be-479b-ada0-81a431327f08"]}],"mendeley":{"formattedCitation":"(Bush &lt;i&gt;et al.&lt;/i&gt;, 2017)","plainTextFormattedCitation":"(Bush et al., 2017)","previouslyFormattedCitation":"(Bush &lt;i&gt;et al.&lt;/i&gt;, 2017)"},"properties":{"noteIndex":0},"schema":"https://github.com/citation-style-language/schema/raw/master/csl-citation.json"}</w:instrText>
      </w:r>
      <w:r w:rsidR="00441038">
        <w:fldChar w:fldCharType="separate"/>
      </w:r>
      <w:r w:rsidR="00441038" w:rsidRPr="002A6A73">
        <w:rPr>
          <w:noProof/>
        </w:rPr>
        <w:t xml:space="preserve">(Bush </w:t>
      </w:r>
      <w:r w:rsidR="00441038" w:rsidRPr="002A6A73">
        <w:rPr>
          <w:i/>
          <w:noProof/>
        </w:rPr>
        <w:t>et al.</w:t>
      </w:r>
      <w:r w:rsidR="00441038" w:rsidRPr="002A6A73">
        <w:rPr>
          <w:noProof/>
        </w:rPr>
        <w:t>, 2017)</w:t>
      </w:r>
      <w:r w:rsidR="00441038">
        <w:fldChar w:fldCharType="end"/>
      </w:r>
      <w:r>
        <w:t>. It was found that local stakeholders (local authorities) and regional stakeholders (groups of local authorities) existed but there are no national stakeholders. The authors suggested establishing new local policy frameworks, introducing ownership models, and creating an agency of national standards. The new policy frameworks would allow local authorities to use planning powers to encourage DH. The ownership models would allow local authorities more ownership and therefore more influence over DH.</w:t>
      </w:r>
    </w:p>
    <w:p w14:paraId="7AEFD2C6" w14:textId="5A6E3CF8" w:rsidR="000F16EB" w:rsidRPr="003E61CE" w:rsidRDefault="000F16EB" w:rsidP="000F16EB">
      <w:r>
        <w:t xml:space="preserve">As DH is an example of decentralised infrastructure, the planning and running of a DHN must be orchestrated by a local authority </w:t>
      </w:r>
      <w:r>
        <w:fldChar w:fldCharType="begin" w:fldLock="1"/>
      </w:r>
      <w:r w:rsidR="002A6A73">
        <w:instrText>ADDIN CSL_CITATION {"citationItems":[{"id":"ITEM-1","itemData":{"abstract":"Heat for homes, businesses and industrial processes accounts for around 49% of total energy demand and 47% of carbon emissions. The majority of households and non- domestic buildings have their own heating systems, with gas the predominant fuel source. Less than 0.5% of heat is from renewable sources. The","author":[{"dropping-particle":"","family":"Davies","given":"Gareth","non-dropping-particle":"","parse-names":false,"suffix":""},{"dropping-particle":"","family":"Woods","given":"Paul","non-dropping-particle":"","parse-names":false,"suffix":""}],"id":"ITEM-1","issue":"April","issued":{"date-parts":[["2009"]]},"number-of-pages":"152","publisher-place":"Oxford, England","title":"The Potential and Costs of District Heating Networks","type":"report"},"uris":["http://www.mendeley.com/documents/?uuid=4adb9c4d-374d-4216-b532-2723ac67debf"]}],"mendeley":{"formattedCitation":"(Davies and Woods, 2009)","plainTextFormattedCitation":"(Davies and Woods, 2009)","previouslyFormattedCitation":"(Davies and Woods, 2009)"},"properties":{"noteIndex":0},"schema":"https://github.com/citation-style-language/schema/raw/master/csl-citation.json"}</w:instrText>
      </w:r>
      <w:r>
        <w:fldChar w:fldCharType="separate"/>
      </w:r>
      <w:r w:rsidR="002A6A73" w:rsidRPr="002A6A73">
        <w:rPr>
          <w:noProof/>
        </w:rPr>
        <w:t>(Davies and Woods, 2009)</w:t>
      </w:r>
      <w:r>
        <w:fldChar w:fldCharType="end"/>
      </w:r>
      <w:r>
        <w:t xml:space="preserve">. The lack of ability that local </w:t>
      </w:r>
      <w:r>
        <w:lastRenderedPageBreak/>
        <w:t xml:space="preserve">authorities have to operate DHNs themselves requires the use of intermediaries, which drives up the costs of the network </w:t>
      </w:r>
      <w:r>
        <w:fldChar w:fldCharType="begin" w:fldLock="1"/>
      </w:r>
      <w:r w:rsidR="002A6A73">
        <w:instrText>ADDIN CSL_CITATION {"citationItems":[{"id":"ITEM-1","itemData":{"DOI":"10.1016/j.enpol.2014.12.003","ISBN":"0301-4215","ISSN":"03014215","abstract":"Research on district heating has focused on technical-economic appraisal of its contribution to energy and carbon saving in urban centres. There is however lack of analysis of political and social processes which govern its actual take up. This paper examines these processes through a case study of Aberdeen, Scotland. Interviews and documentary analysis are used to examine the 2002 development of Aberdeen Heat and Power (AHP), an independent energy services company (ESCo). Technical-economic feasibility was a necessary component of appraisal, but not sufficient to govern decision-making. In the UK centralised energy market, DH investment is unattractive to commercial investors, and local authorities lack capacity and expertise in energy provision. In Aberdeen, the politics of fuel poverty converged with climate politics, creating an a-typical willingness to innovate through improvisation. The welfare priority resulted in creation of a non-profit locally-owned ESCo, using cost- rather than market-based heat tariffs. AHP has developed three combined heat and power energy centres and heat networks, supplying 34. MWh/pa of heat. Carbon savings are estimated to be 45% in comparison with electric heating, and heating costs are reduced by a similar amount. The conclusion outlines potential policy improvements.","author":[{"dropping-particle":"","family":"Webb","given":"Janette","non-dropping-particle":"","parse-names":false,"suffix":""}],"container-title":"Energy Policy","id":"ITEM-1","issued":{"date-parts":[["2015"]]},"page":"265-272","publisher":"Elsevier","title":"Improvising innovation in UK urban district heating: The convergence of social and environmental agendas in Aberdeen","type":"article-journal","volume":"78"},"uris":["http://www.mendeley.com/documents/?uuid=85bf2218-5f26-4866-ba77-4eb6da90bd1a"]}],"mendeley":{"formattedCitation":"(Webb, 2015)","plainTextFormattedCitation":"(Webb, 2015)","previouslyFormattedCitation":"(Webb, 2015)"},"properties":{"noteIndex":0},"schema":"https://github.com/citation-style-language/schema/raw/master/csl-citation.json"}</w:instrText>
      </w:r>
      <w:r>
        <w:fldChar w:fldCharType="separate"/>
      </w:r>
      <w:r w:rsidR="002A6A73" w:rsidRPr="002A6A73">
        <w:rPr>
          <w:noProof/>
        </w:rPr>
        <w:t>(Webb, 2015)</w:t>
      </w:r>
      <w:r>
        <w:fldChar w:fldCharType="end"/>
      </w:r>
      <w:r>
        <w:t>.</w:t>
      </w:r>
    </w:p>
    <w:p w14:paraId="5D75EB44" w14:textId="77777777" w:rsidR="000F16EB" w:rsidRPr="003D7103" w:rsidRDefault="000F16EB" w:rsidP="000F16EB">
      <w:pPr>
        <w:pStyle w:val="Heading2"/>
      </w:pPr>
      <w:bookmarkStart w:id="375" w:name="_Toc522192772"/>
      <w:bookmarkStart w:id="376" w:name="_Toc525229985"/>
      <w:bookmarkStart w:id="377" w:name="_Toc529888299"/>
      <w:bookmarkStart w:id="378" w:name="_Toc7187500"/>
      <w:r w:rsidRPr="003D7103">
        <w:t>Lead Acid Batteries</w:t>
      </w:r>
      <w:bookmarkEnd w:id="375"/>
      <w:bookmarkEnd w:id="376"/>
      <w:bookmarkEnd w:id="377"/>
      <w:bookmarkEnd w:id="378"/>
    </w:p>
    <w:p w14:paraId="0FCF7AEE" w14:textId="77777777" w:rsidR="000F16EB" w:rsidRPr="003D7103" w:rsidRDefault="000F16EB" w:rsidP="000F16EB">
      <w:r w:rsidRPr="003D7103">
        <w:t xml:space="preserve">Research into LABs is important as </w:t>
      </w:r>
      <w:r>
        <w:t>HJE</w:t>
      </w:r>
      <w:r w:rsidRPr="003D7103">
        <w:t xml:space="preserve"> are </w:t>
      </w:r>
      <w:r>
        <w:t>a</w:t>
      </w:r>
      <w:r w:rsidRPr="003D7103">
        <w:t xml:space="preserve"> LAB recycling</w:t>
      </w:r>
      <w:r>
        <w:t xml:space="preserve"> company</w:t>
      </w:r>
      <w:r w:rsidRPr="003D7103">
        <w:t>. It is useful to understand the LAB market and recycling processes.</w:t>
      </w:r>
    </w:p>
    <w:p w14:paraId="25ABAD2B" w14:textId="77777777" w:rsidR="000F16EB" w:rsidRDefault="000F16EB" w:rsidP="000F16EB">
      <w:pPr>
        <w:pStyle w:val="Heading3"/>
      </w:pPr>
      <w:bookmarkStart w:id="379" w:name="_Toc468265770"/>
      <w:bookmarkStart w:id="380" w:name="_Toc522192773"/>
      <w:bookmarkStart w:id="381" w:name="_Toc525229986"/>
      <w:bookmarkStart w:id="382" w:name="_Toc529888300"/>
      <w:bookmarkStart w:id="383" w:name="_Toc7187501"/>
      <w:r w:rsidRPr="003D7103">
        <w:t xml:space="preserve">HJ </w:t>
      </w:r>
      <w:proofErr w:type="spellStart"/>
      <w:r w:rsidRPr="003D7103">
        <w:t>Enthoven</w:t>
      </w:r>
      <w:bookmarkEnd w:id="379"/>
      <w:bookmarkEnd w:id="380"/>
      <w:bookmarkEnd w:id="381"/>
      <w:bookmarkEnd w:id="382"/>
      <w:bookmarkEnd w:id="383"/>
      <w:proofErr w:type="spellEnd"/>
    </w:p>
    <w:p w14:paraId="461F00A5" w14:textId="6CBC1FB5" w:rsidR="000F16EB" w:rsidRPr="003D7103" w:rsidRDefault="000F16EB" w:rsidP="000F16EB">
      <w:r>
        <w:t>HJE</w:t>
      </w:r>
      <w:r w:rsidRPr="003D7103">
        <w:t xml:space="preserve"> are the primary heat supplier used in the case study.</w:t>
      </w:r>
      <w:r>
        <w:t xml:space="preserve"> HJE</w:t>
      </w:r>
      <w:r w:rsidRPr="003D7103">
        <w:t xml:space="preserve"> are the largest </w:t>
      </w:r>
      <w:r>
        <w:t>LAB</w:t>
      </w:r>
      <w:r w:rsidRPr="003D7103">
        <w:t xml:space="preserve"> recycling plant in Europe</w:t>
      </w:r>
      <w:r>
        <w:t>,</w:t>
      </w:r>
      <w:r w:rsidRPr="003D7103">
        <w:t xml:space="preserve"> with annual rates of production of </w:t>
      </w:r>
      <w:r>
        <w:t xml:space="preserve">approximately </w:t>
      </w:r>
      <w:r w:rsidRPr="003D7103">
        <w:t>80,000 tonnes of lead and polypropylene</w:t>
      </w:r>
      <w:r>
        <w:t xml:space="preserve"> </w:t>
      </w:r>
      <w:r w:rsidRPr="003D7103">
        <w:fldChar w:fldCharType="begin" w:fldLock="1"/>
      </w:r>
      <w:r w:rsidR="002A6A73">
        <w:instrText>ADDIN CSL_CITATION {"citationItems":[{"id":"ITEM-1","itemData":{"URL":"http://ecobatgroup.com/ecobatgroup-en/facilities/uk/hje/index.php","accessed":{"date-parts":[["2018","9","7"]]},"author":[{"dropping-particle":"","family":"ECOBAT","given":"","non-dropping-particle":"","parse-names":false,"suffix":""}],"id":"ITEM-1","issued":{"date-parts":[["2017"]]},"title":"H. J. Enthoven and Sons","type":"webpage"},"uris":["http://www.mendeley.com/documents/?uuid=ebd88e3c-4564-4203-810e-8b59e148b7a8"]}],"mendeley":{"formattedCitation":"(ECOBAT, 2017)","plainTextFormattedCitation":"(ECOBAT, 2017)","previouslyFormattedCitation":"(ECOBAT, 2017)"},"properties":{"noteIndex":0},"schema":"https://github.com/citation-style-language/schema/raw/master/csl-citation.json"}</w:instrText>
      </w:r>
      <w:r w:rsidRPr="003D7103">
        <w:fldChar w:fldCharType="separate"/>
      </w:r>
      <w:r w:rsidR="002A6A73" w:rsidRPr="002A6A73">
        <w:rPr>
          <w:noProof/>
        </w:rPr>
        <w:t>(ECOBAT, 2017)</w:t>
      </w:r>
      <w:r w:rsidRPr="003D7103">
        <w:fldChar w:fldCharType="end"/>
      </w:r>
      <w:r w:rsidRPr="003D7103">
        <w:t xml:space="preserve">. Annually, the plant recycles 150,000 tonnes of batteries. The recycling process consists of both </w:t>
      </w:r>
      <w:r>
        <w:t>r</w:t>
      </w:r>
      <w:r w:rsidRPr="003D7103">
        <w:t xml:space="preserve">everberatory and </w:t>
      </w:r>
      <w:r>
        <w:t>s</w:t>
      </w:r>
      <w:r w:rsidRPr="003D7103">
        <w:t xml:space="preserve">hort </w:t>
      </w:r>
      <w:r>
        <w:t>r</w:t>
      </w:r>
      <w:r w:rsidRPr="003D7103">
        <w:t xml:space="preserve">otary furnaces and a flue gas desulphurisation plant. It has been estimated that </w:t>
      </w:r>
      <w:r>
        <w:t>approximately 5 MW of thermal power could be made available from the processes used at the plant</w:t>
      </w:r>
      <w:r w:rsidRPr="003D7103">
        <w:t xml:space="preserve">. </w:t>
      </w:r>
      <w:r>
        <w:t>HJE</w:t>
      </w:r>
      <w:r w:rsidRPr="003D7103">
        <w:t xml:space="preserve"> </w:t>
      </w:r>
      <w:r>
        <w:t xml:space="preserve">is located in the Derbyshire Dales, England </w:t>
      </w:r>
      <w:r w:rsidRPr="003D7103">
        <w:t>near to the built</w:t>
      </w:r>
      <w:r>
        <w:t>-</w:t>
      </w:r>
      <w:r w:rsidRPr="003D7103">
        <w:t>up areas of Matlock, Darley Dale</w:t>
      </w:r>
      <w:r>
        <w:t>,</w:t>
      </w:r>
      <w:r w:rsidRPr="003D7103">
        <w:t xml:space="preserve"> and Bakewell.</w:t>
      </w:r>
    </w:p>
    <w:p w14:paraId="2E68925C" w14:textId="77777777" w:rsidR="000F16EB" w:rsidRPr="003D7103" w:rsidRDefault="000F16EB" w:rsidP="000F16EB">
      <w:pPr>
        <w:pStyle w:val="Heading3"/>
      </w:pPr>
      <w:bookmarkStart w:id="384" w:name="_Toc468265771"/>
      <w:bookmarkStart w:id="385" w:name="_Toc522192774"/>
      <w:bookmarkStart w:id="386" w:name="_Toc525229987"/>
      <w:bookmarkStart w:id="387" w:name="_Toc529888301"/>
      <w:bookmarkStart w:id="388" w:name="_Toc7187502"/>
      <w:r w:rsidRPr="003D7103">
        <w:t>Lead Acid Battery Market</w:t>
      </w:r>
      <w:bookmarkEnd w:id="384"/>
      <w:bookmarkEnd w:id="385"/>
      <w:bookmarkEnd w:id="386"/>
      <w:bookmarkEnd w:id="387"/>
      <w:bookmarkEnd w:id="388"/>
    </w:p>
    <w:p w14:paraId="7CC393C8" w14:textId="29FEF987" w:rsidR="000F16EB" w:rsidRPr="003D7103" w:rsidRDefault="000F16EB" w:rsidP="000F16EB">
      <w:r w:rsidRPr="003D7103">
        <w:t>The global market for lead</w:t>
      </w:r>
      <w:r>
        <w:t>,</w:t>
      </w:r>
      <w:r w:rsidRPr="003D7103">
        <w:t xml:space="preserve"> both mined and refined</w:t>
      </w:r>
      <w:r>
        <w:t>,</w:t>
      </w:r>
      <w:r w:rsidRPr="003D7103">
        <w:t xml:space="preserve"> is valued at </w:t>
      </w:r>
      <w:r w:rsidR="00527AD2">
        <w:t>£12.2</w:t>
      </w:r>
      <w:r w:rsidRPr="003D7103">
        <w:t xml:space="preserve"> billion </w:t>
      </w:r>
      <w:r w:rsidRPr="003D7103">
        <w:fldChar w:fldCharType="begin" w:fldLock="1"/>
      </w:r>
      <w:r w:rsidR="00FF4B5D">
        <w:instrText>ADDIN CSL_CITATION {"citationItems":[{"id":"ITEM-1","itemData":{"author":[{"dropping-particle":"","family":"Kara","given":"Hudai","non-dropping-particle":"","parse-names":false,"suffix":""},{"dropping-particle":"","family":"Eatherley","given":"Dan","non-dropping-particle":"","parse-names":false,"suffix":""},{"dropping-particle":"","family":"Morley","given":"Nicholas","non-dropping-particle":"","parse-names":false,"suffix":""}],"id":"ITEM-1","issue":"May","issued":{"date-parts":[["2008"]]},"publisher-place":"Oxford, England","title":"Novel Lead Recycling Technology: Techno-economic and Environmental Evaluation for Cambridge Enterprise Ltd","type":"report"},"uris":["http://www.mendeley.com/documents/?uuid=a81df51f-a6a5-4b6f-9fe7-6b45de36fbf7"]},{"id":"ITEM-2","itemData":{"ISSN":"03787753","author":[{"dropping-particle":"","family":"Winckel","given":"J W","non-dropping-particle":"","parse-names":false,"suffix":""},{"dropping-particle":"","family":"Rice","given":"D M","non-dropping-particle":"","parse-names":false,"suffix":""}],"container-title":"Journal of Power Sources","id":"ITEM-2","issued":{"date-parts":[["1998"]]},"page":"3-10","title":"Lead market trends — technology and economics","type":"article-journal"},"uris":["http://www.mendeley.com/documents/?uuid=e750cd90-6459-4e3b-aef8-2310a9b9bc7e"]}],"mendeley":{"formattedCitation":"(Winckel and Rice, 1998; Kara &lt;i&gt;et al.&lt;/i&gt;, 2008)","plainTextFormattedCitation":"(Winckel and Rice, 1998; Kara et al., 2008)","previouslyFormattedCitation":"(Winckel and Rice, 1998; Kara &lt;i&gt;et al.&lt;/i&gt;, 2008)"},"properties":{"noteIndex":0},"schema":"https://github.com/citation-style-language/schema/raw/master/csl-citation.json"}</w:instrText>
      </w:r>
      <w:r w:rsidRPr="003D7103">
        <w:fldChar w:fldCharType="separate"/>
      </w:r>
      <w:r w:rsidR="005F544E" w:rsidRPr="005F544E">
        <w:rPr>
          <w:noProof/>
        </w:rPr>
        <w:t xml:space="preserve">(Winckel and Rice, 1998; Kara </w:t>
      </w:r>
      <w:r w:rsidR="005F544E" w:rsidRPr="005F544E">
        <w:rPr>
          <w:i/>
          <w:noProof/>
        </w:rPr>
        <w:t>et al.</w:t>
      </w:r>
      <w:r w:rsidR="005F544E" w:rsidRPr="005F544E">
        <w:rPr>
          <w:noProof/>
        </w:rPr>
        <w:t>, 2008)</w:t>
      </w:r>
      <w:r w:rsidRPr="003D7103">
        <w:fldChar w:fldCharType="end"/>
      </w:r>
      <w:r w:rsidRPr="003D7103">
        <w:t>. LABs use 82% of global lead production</w:t>
      </w:r>
      <w:r>
        <w:t>,</w:t>
      </w:r>
      <w:r w:rsidRPr="003D7103">
        <w:t xml:space="preserve"> represent</w:t>
      </w:r>
      <w:r>
        <w:t>ing</w:t>
      </w:r>
      <w:r w:rsidRPr="003D7103">
        <w:t xml:space="preserve"> a market worth </w:t>
      </w:r>
      <w:r w:rsidR="00527AD2">
        <w:t>£19.1</w:t>
      </w:r>
      <w:r w:rsidRPr="003D7103">
        <w:t xml:space="preserve"> billion. Due to its health and environmental concerns lead is highly recycled; secondary lead from LABs is the main source of lead on the market </w:t>
      </w:r>
      <w:r w:rsidRPr="003D7103">
        <w:fldChar w:fldCharType="begin" w:fldLock="1"/>
      </w:r>
      <w:r w:rsidR="002A6A73">
        <w:instrText>ADDIN CSL_CITATION {"citationItems":[{"id":"ITEM-1","itemData":{"DOI":"10.1016/j.jpowsour.2009.12.118","ISSN":"03787753","abstract":"Secondary lead, i.e. material produced by the recycling of lead-acid batteries has become the primary source of lead in much of the world. This has been important to the secondary lead industry as other uses have dwindled, e.g. lead based pigments, chemicals, fuel additives, solders and CRT glasses [1]. Presently, battery manufacturing accounts for greater than 80% of lead consumption while recycled lead accounts for approximately the same market share of lead supply. These two facts strongly demonstrate the battery manufacturing and recycled lead are intimately coupled in everyday life. In this paper we will explore how recycled lead has become the material of choice for battery construction through the development of a recovery and refining process that exceeds the industries requirements. Particular focus will be on addressing the results presented by Prengaman [2] on the effects of contaminant or tramp elements on gassing in lead-acid batteries. ?? 2010 Elsevier B.V. All rights reserved.","author":[{"dropping-particle":"","family":"Ellis","given":"Timothy W.","non-dropping-particle":"","parse-names":false,"suffix":""},{"dropping-particle":"","family":"Mirza","given":"Abbas H.","non-dropping-particle":"","parse-names":false,"suffix":""}],"container-title":"Journal of Power Sources","id":"ITEM-1","issue":"14","issued":{"date-parts":[["2010"]]},"page":"4525-4529","publisher":"Elsevier B.V.","title":"The refining of secondary lead for use in advanced lead-acid batteries","type":"article-journal","volume":"195"},"uris":["http://www.mendeley.com/documents/?uuid=39d7a4f1-87db-4ec8-9d2d-966418330074"]}],"mendeley":{"formattedCitation":"(Ellis and Mirza, 2010)","plainTextFormattedCitation":"(Ellis and Mirza, 2010)","previouslyFormattedCitation":"(Ellis and Mirza, 2010)"},"properties":{"noteIndex":0},"schema":"https://github.com/citation-style-language/schema/raw/master/csl-citation.json"}</w:instrText>
      </w:r>
      <w:r w:rsidRPr="003D7103">
        <w:fldChar w:fldCharType="separate"/>
      </w:r>
      <w:r w:rsidR="002A6A73" w:rsidRPr="002A6A73">
        <w:rPr>
          <w:noProof/>
        </w:rPr>
        <w:t>(Ellis and Mirza, 2010)</w:t>
      </w:r>
      <w:r w:rsidRPr="003D7103">
        <w:fldChar w:fldCharType="end"/>
      </w:r>
      <w:r w:rsidRPr="003D7103">
        <w:t>.</w:t>
      </w:r>
    </w:p>
    <w:p w14:paraId="760960FB" w14:textId="77777777" w:rsidR="000F16EB" w:rsidRDefault="000F16EB" w:rsidP="000F16EB">
      <w:pPr>
        <w:pStyle w:val="Heading3"/>
      </w:pPr>
      <w:bookmarkStart w:id="389" w:name="_Toc465329889"/>
      <w:bookmarkStart w:id="390" w:name="_Toc468265772"/>
      <w:bookmarkStart w:id="391" w:name="_Toc522192775"/>
      <w:bookmarkStart w:id="392" w:name="_Toc525229988"/>
      <w:bookmarkStart w:id="393" w:name="_Toc529888302"/>
      <w:bookmarkStart w:id="394" w:name="_Toc7187503"/>
      <w:r w:rsidRPr="003D7103">
        <w:t>Lead Acid Battery Recycling</w:t>
      </w:r>
      <w:bookmarkEnd w:id="389"/>
      <w:bookmarkEnd w:id="390"/>
      <w:bookmarkEnd w:id="391"/>
      <w:bookmarkEnd w:id="392"/>
      <w:bookmarkEnd w:id="393"/>
      <w:bookmarkEnd w:id="394"/>
    </w:p>
    <w:p w14:paraId="60DA6ACD" w14:textId="49F027BD" w:rsidR="000F16EB" w:rsidRDefault="000F16EB" w:rsidP="000F16EB">
      <w:r w:rsidRPr="003D7103">
        <w:t xml:space="preserve">The LAB recycling process is used to recover the lead, polypropylene and acid electrolyte for reuse or use in other products </w:t>
      </w:r>
      <w:r w:rsidRPr="003D7103">
        <w:fldChar w:fldCharType="begin" w:fldLock="1"/>
      </w:r>
      <w:r w:rsidR="00FF4B5D">
        <w:instrText>ADDIN CSL_CITATION {"citationItems":[{"id":"ITEM-1","itemData":{"DOI":"10.1016/j.jpowsour.2004.03.083","ISBN":"03787753","ISSN":"03787753","abstract":"The objective of this study is to describe the main battery-recycling processes currently used and those that are being developed. Technological options are presented for the recycling of lead acid, Zn-C, Zn-MnO2, nickel metal hydride, nickel-cadmium, lithium and lithium ion batteries. © 2004 Elsevier B.V. All rights reserved.","author":[{"dropping-particle":"","family":"Espinosa","given":"Denise Crocce Romano","non-dropping-particle":"","parse-names":false,"suffix":""},{"dropping-particle":"","family":"Bernardes","given":"Andréa Moura","non-dropping-particle":"","parse-names":false,"suffix":""},{"dropping-particle":"","family":"Tenório","given":"Jorge Alberto Soares","non-dropping-particle":"","parse-names":false,"suffix":""}],"container-title":"Journal of Power Sources","id":"ITEM-1","issue":"1-2","issued":{"date-parts":[["2004"]]},"page":"311-319","title":"An overview on the current processes for the recycling of batteries","type":"article-journal","volume":"135"},"uris":["http://www.mendeley.com/documents/?uuid=f0894793-46c2-4445-83cd-c981f9264fd2"]}],"mendeley":{"formattedCitation":"(Espinosa &lt;i&gt;et al.&lt;/i&gt;, 2004)","plainTextFormattedCitation":"(Espinosa et al., 2004)","previouslyFormattedCitation":"(Espinosa &lt;i&gt;et al.&lt;/i&gt;, 2004)"},"properties":{"noteIndex":0},"schema":"https://github.com/citation-style-language/schema/raw/master/csl-citation.json"}</w:instrText>
      </w:r>
      <w:r w:rsidRPr="003D7103">
        <w:fldChar w:fldCharType="separate"/>
      </w:r>
      <w:r w:rsidR="005F544E" w:rsidRPr="005F544E">
        <w:rPr>
          <w:noProof/>
        </w:rPr>
        <w:t xml:space="preserve">(Espinosa </w:t>
      </w:r>
      <w:r w:rsidR="005F544E" w:rsidRPr="005F544E">
        <w:rPr>
          <w:i/>
          <w:noProof/>
        </w:rPr>
        <w:t>et al.</w:t>
      </w:r>
      <w:r w:rsidR="005F544E" w:rsidRPr="005F544E">
        <w:rPr>
          <w:noProof/>
        </w:rPr>
        <w:t>, 2004)</w:t>
      </w:r>
      <w:r w:rsidRPr="003D7103">
        <w:fldChar w:fldCharType="end"/>
      </w:r>
      <w:r w:rsidRPr="003D7103">
        <w:t>.</w:t>
      </w:r>
      <w:r>
        <w:t xml:space="preserve"> According to the United National Environment Programme (UNEP), the process is comprised of several stages</w:t>
      </w:r>
      <w:r w:rsidR="00441038">
        <w:t xml:space="preserve"> </w:t>
      </w:r>
      <w:r w:rsidR="00441038" w:rsidRPr="003D7103">
        <w:fldChar w:fldCharType="begin" w:fldLock="1"/>
      </w:r>
      <w:r w:rsidR="00441038">
        <w:instrText>ADDIN CSL_CITATION {"citationItems":[{"id":"ITEM-1","itemData":{"ISBN":"9211586275","author":[{"dropping-particle":"","family":"UNEP","given":"","non-dropping-particle":"","parse-names":false,"suffix":""}],"id":"ITEM-1","issued":{"date-parts":[["2003"]]},"publisher-place":"Châtelaine, Switzerland","title":"Technical guidelines for the environmentally sound management of lead-acid battery wastes","type":"report"},"uris":["http://www.mendeley.com/documents/?uuid=e09fc6bb-5021-4e8d-914f-7a6b3a951ee4"]}],"mendeley":{"formattedCitation":"(UNEP, 2003)","plainTextFormattedCitation":"(UNEP, 2003)","previouslyFormattedCitation":"(UNEP, 2003)"},"properties":{"noteIndex":0},"schema":"https://github.com/citation-style-language/schema/raw/master/csl-citation.json"}</w:instrText>
      </w:r>
      <w:r w:rsidR="00441038" w:rsidRPr="003D7103">
        <w:fldChar w:fldCharType="separate"/>
      </w:r>
      <w:r w:rsidR="00441038" w:rsidRPr="002A6A73">
        <w:rPr>
          <w:noProof/>
        </w:rPr>
        <w:t>(UNEP, 2003)</w:t>
      </w:r>
      <w:r w:rsidR="00441038" w:rsidRPr="003D7103">
        <w:fldChar w:fldCharType="end"/>
      </w:r>
      <w:r>
        <w:t xml:space="preserve">. Firstly, the LABs are collected and transported to the recycling site. The batteries should be kept in </w:t>
      </w:r>
      <w:r w:rsidRPr="003D7103">
        <w:t>secure, safe</w:t>
      </w:r>
      <w:r>
        <w:t>,</w:t>
      </w:r>
      <w:r w:rsidRPr="003D7103">
        <w:t xml:space="preserve"> and acid proof containers and should</w:t>
      </w:r>
      <w:r>
        <w:t xml:space="preserve"> </w:t>
      </w:r>
      <w:r w:rsidRPr="003D7103">
        <w:t>n</w:t>
      </w:r>
      <w:r>
        <w:t>o</w:t>
      </w:r>
      <w:r w:rsidRPr="003D7103">
        <w:t>t be drained until</w:t>
      </w:r>
      <w:r>
        <w:t xml:space="preserve"> safe</w:t>
      </w:r>
      <w:r w:rsidRPr="003D7103">
        <w:t xml:space="preserve"> arriv</w:t>
      </w:r>
      <w:r>
        <w:t>al</w:t>
      </w:r>
      <w:r w:rsidRPr="003D7103">
        <w:t xml:space="preserve"> at the site.</w:t>
      </w:r>
      <w:r>
        <w:t xml:space="preserve"> Upon arrival at the site, the batteries are drained </w:t>
      </w:r>
      <w:r w:rsidRPr="003D7103">
        <w:t xml:space="preserve">to improve the </w:t>
      </w:r>
      <w:r>
        <w:t xml:space="preserve">recycling </w:t>
      </w:r>
      <w:r w:rsidRPr="003D7103">
        <w:t>efficiency and environmental performance.</w:t>
      </w:r>
      <w:r>
        <w:t xml:space="preserve"> The LAB breaking happens through cycles of crushing and gravity separation </w:t>
      </w:r>
      <w:r w:rsidRPr="003D7103">
        <w:fldChar w:fldCharType="begin" w:fldLock="1"/>
      </w:r>
      <w:r w:rsidR="002A6A73">
        <w:instrText>ADDIN CSL_CITATION {"citationItems":[{"id":"ITEM-1","itemData":{"DOI":"10.1016/0378-7753(95)02309-7","ISBN":"0378-7753","ISSN":"03787753","abstract":"Restricting the loss of lead into the environment is essential and European legislation has reacted by requiring the recycling of lead/acid batteries. With the forecast of strong growth in the battery market over the next decade, secondary lead output will need to increase substantially to supply this demand. Battery recycling rates are vulnerable, however, to low lead prices and restrictive legislation. Effective recycling schemes are required to ensure maximum recovery and several are successfully in operation. Environmentally sound technology exists to recycle the lead and polypropylene components of batteries. A full range of lead and lead alloys are available to the battery industry from secondary material and now challenge primary products in most battery applications. It is important to optimize recycling efficiency and minimize environmental damage.","author":[{"dropping-particle":"","family":"Ahmed","given":"F.","non-dropping-particle":"","parse-names":false,"suffix":""}],"container-title":"Journal of Power Sources","id":"ITEM-1","issue":"1-2","issued":{"date-parts":[["1996"]]},"page":"107-111","title":"The battery recycling loop: a European perspective","type":"article-journal","volume":"59"},"uris":["http://www.mendeley.com/documents/?uuid=b8d2f622-2183-47fe-af43-2bf919e71b26"]},{"id":"ITEM-2","itemData":{"DOI":"10.1016/0921-3449(94)90046-9","ISSN":"09213449","abstract":"Recycling of lead-acid batteries is a process of great interest in the lead industry. Nowadays, about 47% of the total world lead production results from lead secondary smelting. The main raw material entering this process is the used lead-acid battery, whether being a starter, a traction or a standby battery. Roughly, about 85% of used batteries are recycled. The lead acid battery is a complex industrial product, constituted by several different materials. The first step of the recycling process is an effective separation of these battery components, so as to recover further valuable products. Throughout the separation process, crushing, sieving and flotation techniques are used. Lead recycling industry has also become a net producer of recycled plastic: polypropylene, recyclable material whose consumption as battery boxes is increasing. The Metaleurop group, already premier lead producer in EEC, has become through its subsidiary division C2P (Cookson Penarroya Plastics) the first European producer of recycled polypropylene from lead- acid battery boxes. The second step of the process is to melt and reduce lead compounds into metal, and then to refine this metal for new applications, like batteries. Contrary to other recycled products, lead quality is not lowered through secondary smelting, and is of the same high grade as lead from primary smelting.","author":[{"dropping-particle":"","family":"Jolly","given":"R","non-dropping-particle":"","parse-names":false,"suffix":""},{"dropping-particle":"","family":"Rhin","given":"C","non-dropping-particle":"","parse-names":false,"suffix":""}],"container-title":"Resources, Conservation and Recycling","id":"ITEM-2","issue":"1-2","issued":{"date-parts":[["1994"]]},"page":"137-143","title":"The recycling of lead-acid batteries: Production of lead and polypropylene","type":"article-journal","volume":"10"},"uris":["http://www.mendeley.com/documents/?uuid=0468cb30-b1a0-4273-9571-1a64a0a473f1"]}],"mendeley":{"formattedCitation":"(Jolly and Rhin, 1994; Ahmed, 1996)","plainTextFormattedCitation":"(Jolly and Rhin, 1994; Ahmed, 1996)","previouslyFormattedCitation":"(Jolly and Rhin, 1994; Ahmed, 1996)"},"properties":{"noteIndex":0},"schema":"https://github.com/citation-style-language/schema/raw/master/csl-citation.json"}</w:instrText>
      </w:r>
      <w:r w:rsidRPr="003D7103">
        <w:fldChar w:fldCharType="separate"/>
      </w:r>
      <w:r w:rsidR="002A6A73" w:rsidRPr="002A6A73">
        <w:rPr>
          <w:noProof/>
        </w:rPr>
        <w:t>(Jolly and Rhin, 1994; Ahmed, 1996)</w:t>
      </w:r>
      <w:r w:rsidRPr="003D7103">
        <w:fldChar w:fldCharType="end"/>
      </w:r>
      <w:r>
        <w:t xml:space="preserve">. The batteries are separated into the following components </w:t>
      </w:r>
      <w:r w:rsidRPr="003D7103">
        <w:t>lead oxides</w:t>
      </w:r>
      <w:r>
        <w:t>,</w:t>
      </w:r>
      <w:r w:rsidRPr="003D7103">
        <w:t xml:space="preserve"> sulphates</w:t>
      </w:r>
      <w:r>
        <w:t>,</w:t>
      </w:r>
      <w:r w:rsidRPr="003D7103">
        <w:t xml:space="preserve"> light fractions, heavy fractions, polypropylene</w:t>
      </w:r>
      <w:r>
        <w:t>,</w:t>
      </w:r>
      <w:r w:rsidRPr="003D7103">
        <w:t xml:space="preserve"> and </w:t>
      </w:r>
      <w:proofErr w:type="spellStart"/>
      <w:r w:rsidRPr="003D7103">
        <w:t>ebonites</w:t>
      </w:r>
      <w:proofErr w:type="spellEnd"/>
      <w:r w:rsidRPr="003D7103">
        <w:t>.</w:t>
      </w:r>
    </w:p>
    <w:p w14:paraId="364030C9" w14:textId="61C99981" w:rsidR="000F16EB" w:rsidRPr="003D7103" w:rsidRDefault="000F16EB" w:rsidP="000F16EB">
      <w:r>
        <w:t>Lead reduction is used to separate the components into</w:t>
      </w:r>
      <w:r w:rsidRPr="003D7103">
        <w:t xml:space="preserve"> metallic lead, lead oxide</w:t>
      </w:r>
      <w:r>
        <w:t>, lead sulphate,</w:t>
      </w:r>
      <w:r w:rsidRPr="003D7103">
        <w:t xml:space="preserve"> and traces of other metals</w:t>
      </w:r>
      <w:r>
        <w:t xml:space="preserve"> </w:t>
      </w:r>
      <w:r w:rsidRPr="003D7103">
        <w:fldChar w:fldCharType="begin" w:fldLock="1"/>
      </w:r>
      <w:r w:rsidR="002A6A73">
        <w:instrText>ADDIN CSL_CITATION {"citationItems":[{"id":"ITEM-1","itemData":{"ISBN":"9211586275","author":[{"dropping-particle":"","family":"UNEP","given":"","non-dropping-particle":"","parse-names":false,"suffix":""}],"id":"ITEM-1","issued":{"date-parts":[["2003"]]},"publisher-place":"Châtelaine, Switzerland","title":"Technical guidelines for the environmentally sound management of lead-acid battery wastes","type":"report"},"uris":["http://www.mendeley.com/documents/?uuid=e09fc6bb-5021-4e8d-914f-7a6b3a951ee4"]}],"mendeley":{"formattedCitation":"(UNEP, 2003)","plainTextFormattedCitation":"(UNEP, 2003)","previouslyFormattedCitation":"(UNEP, 2003)"},"properties":{"noteIndex":0},"schema":"https://github.com/citation-style-language/schema/raw/master/csl-citation.json"}</w:instrText>
      </w:r>
      <w:r w:rsidRPr="003D7103">
        <w:fldChar w:fldCharType="separate"/>
      </w:r>
      <w:r w:rsidR="002A6A73" w:rsidRPr="002A6A73">
        <w:rPr>
          <w:noProof/>
        </w:rPr>
        <w:t>(UNEP, 2003)</w:t>
      </w:r>
      <w:r w:rsidRPr="003D7103">
        <w:fldChar w:fldCharType="end"/>
      </w:r>
      <w:r w:rsidRPr="003D7103">
        <w:t>.</w:t>
      </w:r>
      <w:r>
        <w:t xml:space="preserve"> The reduction</w:t>
      </w:r>
      <w:r w:rsidRPr="003D7103">
        <w:t xml:space="preserve"> can happen pyrometallurgically or </w:t>
      </w:r>
      <w:proofErr w:type="spellStart"/>
      <w:r w:rsidRPr="003D7103">
        <w:t>hydrometallurgically</w:t>
      </w:r>
      <w:proofErr w:type="spellEnd"/>
      <w:r w:rsidRPr="003D7103">
        <w:t>.</w:t>
      </w:r>
      <w:r>
        <w:t xml:space="preserve"> </w:t>
      </w:r>
      <w:r w:rsidRPr="003D7103">
        <w:t>Pyrometallurgical lead reduction</w:t>
      </w:r>
      <w:r>
        <w:t xml:space="preserve"> occurs through a chemical reduction during heating and the addition of </w:t>
      </w:r>
      <w:r w:rsidRPr="003D7103">
        <w:t xml:space="preserve">fluxing and reducing substances </w:t>
      </w:r>
      <w:r w:rsidRPr="003D7103">
        <w:fldChar w:fldCharType="begin" w:fldLock="1"/>
      </w:r>
      <w:r w:rsidR="002A6A73">
        <w:instrText>ADDIN CSL_CITATION {"citationItems":[{"id":"ITEM-1","itemData":{"ISBN":"9211586275","author":[{"dropping-particle":"","family":"UNEP","given":"","non-dropping-particle":"","parse-names":false,"suffix":""}],"id":"ITEM-1","issued":{"date-parts":[["2003"]]},"publisher-place":"Châtelaine, Switzerland","title":"Technical guidelines for the environmentally sound management of lead-acid battery wastes","type":"report"},"uris":["http://www.mendeley.com/documents/?uuid=e09fc6bb-5021-4e8d-914f-7a6b3a951ee4"]}],"mendeley":{"formattedCitation":"(UNEP, 2003)","plainTextFormattedCitation":"(UNEP, 2003)","previouslyFormattedCitation":"(UNEP, 2003)"},"properties":{"noteIndex":0},"schema":"https://github.com/citation-style-language/schema/raw/master/csl-citation.json"}</w:instrText>
      </w:r>
      <w:r w:rsidRPr="003D7103">
        <w:fldChar w:fldCharType="separate"/>
      </w:r>
      <w:r w:rsidR="002A6A73" w:rsidRPr="002A6A73">
        <w:rPr>
          <w:noProof/>
        </w:rPr>
        <w:t>(UNEP, 2003)</w:t>
      </w:r>
      <w:r w:rsidRPr="003D7103">
        <w:fldChar w:fldCharType="end"/>
      </w:r>
      <w:r w:rsidRPr="003D7103">
        <w:t>.</w:t>
      </w:r>
      <w:r>
        <w:t xml:space="preserve"> Various chemicals are added to</w:t>
      </w:r>
      <w:r w:rsidRPr="003D7103">
        <w:t xml:space="preserve"> de-</w:t>
      </w:r>
      <w:proofErr w:type="spellStart"/>
      <w:r w:rsidRPr="003D7103">
        <w:t>sulphurize</w:t>
      </w:r>
      <w:proofErr w:type="spellEnd"/>
      <w:r w:rsidRPr="003D7103">
        <w:t xml:space="preserve"> the fine</w:t>
      </w:r>
      <w:r>
        <w:t>s</w:t>
      </w:r>
      <w:r w:rsidRPr="003D7103">
        <w:t xml:space="preserve"> and electrode past</w:t>
      </w:r>
      <w:r>
        <w:t>e,</w:t>
      </w:r>
      <w:r w:rsidRPr="003D7103">
        <w:t xml:space="preserve"> neutralise the acid electrolyte</w:t>
      </w:r>
      <w:r>
        <w:t xml:space="preserve">, and allow for further reduction </w:t>
      </w:r>
      <w:r w:rsidRPr="003D7103">
        <w:fldChar w:fldCharType="begin" w:fldLock="1"/>
      </w:r>
      <w:r w:rsidR="002A6A73">
        <w:instrText>ADDIN CSL_CITATION {"citationItems":[{"id":"ITEM-1","itemData":{"ISBN":"9211586275","author":[{"dropping-particle":"","family":"UNEP","given":"","non-dropping-particle":"","parse-names":false,"suffix":""}],"id":"ITEM-1","issued":{"date-parts":[["2003"]]},"publisher-place":"Châtelaine, Switzerland","title":"Technical guidelines for the environmentally sound management of lead-acid battery wastes","type":"report"},"uris":["http://www.mendeley.com/documents/?uuid=e09fc6bb-5021-4e8d-914f-7a6b3a951ee4"]}],"mendeley":{"formattedCitation":"(UNEP, 2003)","plainTextFormattedCitation":"(UNEP, 2003)","previouslyFormattedCitation":"(UNEP, 2003)"},"properties":{"noteIndex":0},"schema":"https://github.com/citation-style-language/schema/raw/master/csl-citation.json"}</w:instrText>
      </w:r>
      <w:r w:rsidRPr="003D7103">
        <w:fldChar w:fldCharType="separate"/>
      </w:r>
      <w:r w:rsidR="002A6A73" w:rsidRPr="002A6A73">
        <w:rPr>
          <w:noProof/>
        </w:rPr>
        <w:t>(UNEP, 2003)</w:t>
      </w:r>
      <w:r w:rsidRPr="003D7103">
        <w:fldChar w:fldCharType="end"/>
      </w:r>
      <w:r w:rsidRPr="003D7103">
        <w:t xml:space="preserve">. Hydrometallurgical lead reduction is often considered </w:t>
      </w:r>
      <w:r>
        <w:t>more</w:t>
      </w:r>
      <w:r w:rsidRPr="003D7103">
        <w:t xml:space="preserve"> expensive </w:t>
      </w:r>
      <w:r>
        <w:t>than</w:t>
      </w:r>
      <w:r w:rsidRPr="003D7103">
        <w:t xml:space="preserve"> </w:t>
      </w:r>
      <w:r>
        <w:t>a</w:t>
      </w:r>
      <w:r w:rsidRPr="003D7103">
        <w:t xml:space="preserve"> standalone LAB recycling plant</w:t>
      </w:r>
      <w:r>
        <w:t xml:space="preserve"> would consider</w:t>
      </w:r>
      <w:r w:rsidRPr="003D7103">
        <w:t xml:space="preserve"> </w:t>
      </w:r>
      <w:r w:rsidRPr="003D7103">
        <w:fldChar w:fldCharType="begin" w:fldLock="1"/>
      </w:r>
      <w:r w:rsidR="002A6A73">
        <w:instrText>ADDIN CSL_CITATION {"citationItems":[{"id":"ITEM-1","itemData":{"ISSN":"14523981","author":[{"dropping-particle":"","family":"Zhang","given":"Qianyu","non-dropping-particle":"","parse-names":false,"suffix":""}],"container-title":"International Journal of Electrochemical Science","id":"ITEM-1","issue":"5","issued":{"date-parts":[["2013"]]},"page":"6457-6466","title":"The current status on the recycling of lead-acid batteries in China","type":"article-journal","volume":"8"},"uris":["http://www.mendeley.com/documents/?uuid=0cc37545-674c-4750-b975-5206c716ed07"]}],"mendeley":{"formattedCitation":"(Zhang, 2013)","plainTextFormattedCitation":"(Zhang, 2013)","previouslyFormattedCitation":"(Zhang, 2013)"},"properties":{"noteIndex":0},"schema":"https://github.com/citation-style-language/schema/raw/master/csl-citation.json"}</w:instrText>
      </w:r>
      <w:r w:rsidRPr="003D7103">
        <w:fldChar w:fldCharType="separate"/>
      </w:r>
      <w:r w:rsidR="002A6A73" w:rsidRPr="002A6A73">
        <w:rPr>
          <w:noProof/>
        </w:rPr>
        <w:t>(Zhang, 2013)</w:t>
      </w:r>
      <w:r w:rsidRPr="003D7103">
        <w:fldChar w:fldCharType="end"/>
      </w:r>
      <w:r w:rsidRPr="003D7103">
        <w:t xml:space="preserve">. </w:t>
      </w:r>
    </w:p>
    <w:p w14:paraId="579C6197" w14:textId="1DA32EFC" w:rsidR="000F16EB" w:rsidRPr="003D7103" w:rsidRDefault="000F16EB" w:rsidP="000F16EB">
      <w:r w:rsidRPr="003D7103">
        <w:t>The reduction process makes a hard lead with a high antimony concentration</w:t>
      </w:r>
      <w:r>
        <w:t xml:space="preserve"> </w:t>
      </w:r>
      <w:r w:rsidRPr="003D7103">
        <w:fldChar w:fldCharType="begin" w:fldLock="1"/>
      </w:r>
      <w:r w:rsidR="002A6A73">
        <w:instrText>ADDIN CSL_CITATION {"citationItems":[{"id":"ITEM-1","itemData":{"ISBN":"9211586275","author":[{"dropping-particle":"","family":"UNEP","given":"","non-dropping-particle":"","parse-names":false,"suffix":""}],"id":"ITEM-1","issued":{"date-parts":[["2003"]]},"publisher-place":"Châtelaine, Switzerland","title":"Technical guidelines for the environmentally sound management of lead-acid battery wastes","type":"report"},"uris":["http://www.mendeley.com/documents/?uuid=e09fc6bb-5021-4e8d-914f-7a6b3a951ee4"]}],"mendeley":{"formattedCitation":"(UNEP, 2003)","plainTextFormattedCitation":"(UNEP, 2003)","previouslyFormattedCitation":"(UNEP, 2003)"},"properties":{"noteIndex":0},"schema":"https://github.com/citation-style-language/schema/raw/master/csl-citation.json"}</w:instrText>
      </w:r>
      <w:r w:rsidRPr="003D7103">
        <w:fldChar w:fldCharType="separate"/>
      </w:r>
      <w:r w:rsidR="002A6A73" w:rsidRPr="002A6A73">
        <w:rPr>
          <w:noProof/>
        </w:rPr>
        <w:t>(UNEP, 2003)</w:t>
      </w:r>
      <w:r w:rsidRPr="003D7103">
        <w:fldChar w:fldCharType="end"/>
      </w:r>
      <w:r>
        <w:t>. Lead</w:t>
      </w:r>
      <w:r w:rsidRPr="003D7103">
        <w:t xml:space="preserve"> refining</w:t>
      </w:r>
      <w:r>
        <w:t xml:space="preserve"> is used to</w:t>
      </w:r>
      <w:r w:rsidRPr="003D7103">
        <w:t xml:space="preserve"> remove all but trace amounts of</w:t>
      </w:r>
      <w:r>
        <w:t xml:space="preserve"> other</w:t>
      </w:r>
      <w:r w:rsidRPr="003D7103">
        <w:t xml:space="preserve"> metals</w:t>
      </w:r>
      <w:r>
        <w:t>,</w:t>
      </w:r>
      <w:r w:rsidRPr="003D7103">
        <w:t xml:space="preserve"> mak</w:t>
      </w:r>
      <w:r>
        <w:t>ing</w:t>
      </w:r>
      <w:r w:rsidRPr="003D7103">
        <w:t xml:space="preserve"> a soft lead.</w:t>
      </w:r>
    </w:p>
    <w:p w14:paraId="2558BE24" w14:textId="77777777" w:rsidR="000F16EB" w:rsidRPr="003D7103" w:rsidRDefault="000F16EB" w:rsidP="000F16EB">
      <w:pPr>
        <w:pStyle w:val="Heading3"/>
      </w:pPr>
      <w:bookmarkStart w:id="395" w:name="_Toc465329890"/>
      <w:bookmarkStart w:id="396" w:name="_Toc468265773"/>
      <w:bookmarkStart w:id="397" w:name="_Toc522192780"/>
      <w:bookmarkStart w:id="398" w:name="_Toc525229989"/>
      <w:bookmarkStart w:id="399" w:name="_Toc529888303"/>
      <w:bookmarkStart w:id="400" w:name="_Toc7187504"/>
      <w:r w:rsidRPr="003D7103">
        <w:lastRenderedPageBreak/>
        <w:t>Lead Acid Batteries Legislation</w:t>
      </w:r>
      <w:bookmarkEnd w:id="395"/>
      <w:bookmarkEnd w:id="396"/>
      <w:bookmarkEnd w:id="397"/>
      <w:bookmarkEnd w:id="398"/>
      <w:bookmarkEnd w:id="399"/>
      <w:bookmarkEnd w:id="400"/>
    </w:p>
    <w:p w14:paraId="58832E36" w14:textId="64FE6E6E" w:rsidR="000F16EB" w:rsidRPr="003D7103" w:rsidRDefault="000F16EB" w:rsidP="000F16EB">
      <w:r>
        <w:t>LABs</w:t>
      </w:r>
      <w:r w:rsidRPr="003D7103">
        <w:t xml:space="preserve"> are governed by directive 2006/66/EC of the European Parliament, which deals with the production, distribution, collection</w:t>
      </w:r>
      <w:r>
        <w:t>,</w:t>
      </w:r>
      <w:r w:rsidRPr="003D7103">
        <w:t xml:space="preserve"> and disposal of all battery chemistries</w:t>
      </w:r>
      <w:r>
        <w:t xml:space="preserve"> </w:t>
      </w:r>
      <w:r w:rsidRPr="003D7103">
        <w:fldChar w:fldCharType="begin" w:fldLock="1"/>
      </w:r>
      <w:r w:rsidR="002A6A73">
        <w:instrText>ADDIN CSL_CITATION {"citationItems":[{"id":"ITEM-1","itemData":{"DOI":"12.12.2013","ISBN":"9789279122552","ISSN":"1873-2518","abstract":"on batteries and accumulators and waste batteries and accumulators and repealing Directive 91/157/EEC","author":[{"dropping-particle":"","family":"EC","given":"","non-dropping-particle":"","parse-names":false,"suffix":""}],"id":"ITEM-1","issued":{"date-parts":[["2006"]]},"publisher-place":"Brussels, Belgium","title":"Directive 2006/66/EC of the European Parliament and of the Council","type":"report"},"uris":["http://www.mendeley.com/documents/?uuid=bef06d28-6b16-4605-903f-f5764c2a3d3a"]},{"id":"ITEM-2","itemData":{"author":[{"dropping-particle":"","family":"EC","given":"","non-dropping-particle":"","parse-names":false,"suffix":""}],"id":"ITEM-2","issued":{"date-parts":[["2012"]]},"publisher-place":"Brussels, Belgium","title":"Commision Regulation (EU) No 493/2012","type":"report"},"uris":["http://www.mendeley.com/documents/?uuid=36f24ad7-de1f-4a80-8fb9-c0110997fe01"]},{"id":"ITEM-3","itemData":{"author":[{"dropping-particle":"","family":"EC","given":"","non-dropping-particle":"","parse-names":false,"suffix":""}],"id":"ITEM-3","issue":"May","issued":{"date-parts":[["2014"]]},"publisher-place":"Brussels, Belgium","title":"Frequently Asked Questions on Directive 2006/66/EU on Batteries and Accumulators and Waste Batteries and Accumulators","type":"report"},"uris":["http://www.mendeley.com/documents/?uuid=d4ebfe52-23e7-411e-aa78-94f53f9b6fc4"]}],"mendeley":{"formattedCitation":"(EC, 2006, 2012a, 2014)","plainTextFormattedCitation":"(EC, 2006, 2012a, 2014)","previouslyFormattedCitation":"(EC, 2006, 2012a, 2014)"},"properties":{"noteIndex":0},"schema":"https://github.com/citation-style-language/schema/raw/master/csl-citation.json"}</w:instrText>
      </w:r>
      <w:r w:rsidRPr="003D7103">
        <w:fldChar w:fldCharType="separate"/>
      </w:r>
      <w:r w:rsidR="002A6A73" w:rsidRPr="002A6A73">
        <w:rPr>
          <w:noProof/>
        </w:rPr>
        <w:t>(EC, 2006, 2012a, 2014)</w:t>
      </w:r>
      <w:r w:rsidRPr="003D7103">
        <w:fldChar w:fldCharType="end"/>
      </w:r>
      <w:r w:rsidRPr="003D7103">
        <w:t>. It outright bans the use of mercury in all batteries and</w:t>
      </w:r>
      <w:r>
        <w:t xml:space="preserve"> the</w:t>
      </w:r>
      <w:r w:rsidRPr="003D7103">
        <w:t xml:space="preserve"> landfilling of LABs</w:t>
      </w:r>
      <w:r>
        <w:t>, as well as giving</w:t>
      </w:r>
      <w:r w:rsidRPr="003D7103">
        <w:t xml:space="preserve"> country specific targets for the total recycling rate of </w:t>
      </w:r>
      <w:r>
        <w:t>LABs</w:t>
      </w:r>
      <w:r w:rsidRPr="003D7103">
        <w:t>.</w:t>
      </w:r>
    </w:p>
    <w:p w14:paraId="3B90C43B" w14:textId="77777777" w:rsidR="000F16EB" w:rsidRDefault="000F16EB" w:rsidP="000F16EB">
      <w:pPr>
        <w:pStyle w:val="Heading2"/>
      </w:pPr>
      <w:bookmarkStart w:id="401" w:name="_Toc468265774"/>
      <w:bookmarkStart w:id="402" w:name="_Toc522192781"/>
      <w:bookmarkStart w:id="403" w:name="_Toc525229990"/>
      <w:bookmarkStart w:id="404" w:name="_Toc529888304"/>
      <w:bookmarkStart w:id="405" w:name="_Toc7187505"/>
      <w:r w:rsidRPr="003D7103">
        <w:t>Conclusion</w:t>
      </w:r>
      <w:bookmarkEnd w:id="401"/>
      <w:bookmarkEnd w:id="402"/>
      <w:bookmarkEnd w:id="403"/>
      <w:bookmarkEnd w:id="404"/>
      <w:bookmarkEnd w:id="405"/>
    </w:p>
    <w:p w14:paraId="3BC4D384" w14:textId="77777777" w:rsidR="000F16EB" w:rsidRDefault="000F16EB" w:rsidP="000F16EB">
      <w:r>
        <w:t xml:space="preserve">The key topics of the literature review were: </w:t>
      </w:r>
    </w:p>
    <w:p w14:paraId="08F33EC1" w14:textId="77777777" w:rsidR="000F16EB" w:rsidRDefault="000F16EB" w:rsidP="00202E44">
      <w:pPr>
        <w:pStyle w:val="ListParagraph"/>
        <w:numPr>
          <w:ilvl w:val="0"/>
          <w:numId w:val="17"/>
        </w:numPr>
      </w:pPr>
      <w:r>
        <w:t xml:space="preserve">The different technologies used in DH, WHR and TES. </w:t>
      </w:r>
    </w:p>
    <w:p w14:paraId="76BB36BF" w14:textId="77777777" w:rsidR="000F16EB" w:rsidRDefault="000F16EB" w:rsidP="00202E44">
      <w:pPr>
        <w:pStyle w:val="ListParagraph"/>
        <w:numPr>
          <w:ilvl w:val="0"/>
          <w:numId w:val="17"/>
        </w:numPr>
      </w:pPr>
      <w:r>
        <w:t xml:space="preserve">The modelling techniques used in DH, WHR, TES and heat mapping. </w:t>
      </w:r>
    </w:p>
    <w:p w14:paraId="073025EA" w14:textId="77777777" w:rsidR="000F16EB" w:rsidRDefault="000F16EB" w:rsidP="00202E44">
      <w:pPr>
        <w:pStyle w:val="ListParagraph"/>
        <w:numPr>
          <w:ilvl w:val="0"/>
          <w:numId w:val="17"/>
        </w:numPr>
      </w:pPr>
      <w:r>
        <w:t xml:space="preserve">The UK DH market. </w:t>
      </w:r>
    </w:p>
    <w:p w14:paraId="5D2B4478" w14:textId="77777777" w:rsidR="000F16EB" w:rsidRDefault="000F16EB" w:rsidP="00202E44">
      <w:pPr>
        <w:pStyle w:val="ListParagraph"/>
        <w:numPr>
          <w:ilvl w:val="0"/>
          <w:numId w:val="17"/>
        </w:numPr>
      </w:pPr>
      <w:r>
        <w:t>The economic and environmental assessments of DH.</w:t>
      </w:r>
    </w:p>
    <w:p w14:paraId="5FEE8DDA" w14:textId="77777777" w:rsidR="000F16EB" w:rsidRDefault="000F16EB" w:rsidP="000F16EB">
      <w:r>
        <w:t xml:space="preserve">A wide variety of different technologies and TE sources can be utilised by the TE generating unit(s) in a DHN. Therefore, various combinations of technology and TE source exist. The technologies include boilers, CHP, and heat pumps and the TE sources include WHR, </w:t>
      </w:r>
      <w:proofErr w:type="spellStart"/>
      <w:r>
        <w:t>WtE</w:t>
      </w:r>
      <w:proofErr w:type="spellEnd"/>
      <w:r>
        <w:t xml:space="preserve">, fossil fuels, biomass, renewable fuels, and nuclear. The main priorities of the DHN operator are to provide TE to the customers in a manner that is both environmentally and economically friendly. Therefore, the primary heat source in a DHN generally uses CHP, as it is the most efficient technology. The choice of the fuel tends to be one of the locally available renewable or carbon neutral options, including WHR, </w:t>
      </w:r>
      <w:proofErr w:type="spellStart"/>
      <w:r>
        <w:t>WtE</w:t>
      </w:r>
      <w:proofErr w:type="spellEnd"/>
      <w:r>
        <w:t>, biomass, renewable fuels, and nuclear. The back-up heat supply tends to be a traditional boiler powered by fossil fuels, as this is cheap, simple, and reliable.</w:t>
      </w:r>
    </w:p>
    <w:p w14:paraId="5DC4D15D" w14:textId="77777777" w:rsidR="000F16EB" w:rsidRPr="00AA3C9F" w:rsidRDefault="000F16EB" w:rsidP="000F16EB">
      <w:pPr>
        <w:rPr>
          <w:color w:val="FF0000"/>
        </w:rPr>
      </w:pPr>
      <w:r>
        <w:t xml:space="preserve">A range of different heat mapping techniques were compared and assessed. In this thesis, the purpose of the heat mapping is to estimate the HD or HD variation in a local area. Consequently, the heat mapping techniques do not need to be highly accurate. Techniques such as questionnaires, thermal imaging, and remote sensing were shown to be highly accurate but either more expensive or not fast enough. The best mapping technique for the purpose of HD estimation was shown to be </w:t>
      </w:r>
      <w:bookmarkStart w:id="406" w:name="_Hlk525133795"/>
      <w:r>
        <w:t xml:space="preserve">archetype heat mapping using reliable database information </w:t>
      </w:r>
      <w:bookmarkEnd w:id="406"/>
      <w:r>
        <w:t xml:space="preserve">of buildings’ characteristics. Multiple linear regression-based models are not required when the purpose of the heat mapping is to estimate the yearly HD of an area instead of the hourly variation in the HD. </w:t>
      </w:r>
    </w:p>
    <w:p w14:paraId="62A0CF93" w14:textId="77777777" w:rsidR="000F16EB" w:rsidRDefault="000F16EB" w:rsidP="000F16EB">
      <w:r>
        <w:t xml:space="preserve">This thesis investigates the potential of utilising WHR as the TE source for a new DHN. A range of different WHR technologies and uses were researched, including </w:t>
      </w:r>
      <w:bookmarkStart w:id="407" w:name="_Hlk525134355"/>
      <w:r>
        <w:t xml:space="preserve">HEXs, heat pumps, ORCs, </w:t>
      </w:r>
      <w:proofErr w:type="spellStart"/>
      <w:r>
        <w:t>Kalina</w:t>
      </w:r>
      <w:proofErr w:type="spellEnd"/>
      <w:r>
        <w:t xml:space="preserve"> cycles, and thermoelectric</w:t>
      </w:r>
      <w:r w:rsidRPr="003D7103">
        <w:t xml:space="preserve"> </w:t>
      </w:r>
      <w:r>
        <w:t xml:space="preserve">generation. </w:t>
      </w:r>
      <w:bookmarkEnd w:id="407"/>
      <w:r>
        <w:t>The operating temperatures and uses for the different WHR technologies were found. Different techniques for WHR modelling were researched and compared. The main techniques used in WHR modelling were found to be element mass and energy balances and pinch analysis</w:t>
      </w:r>
      <w:bookmarkStart w:id="408" w:name="_Hlk525134443"/>
      <w:r>
        <w:t>.</w:t>
      </w:r>
    </w:p>
    <w:p w14:paraId="4E481EBB" w14:textId="77777777" w:rsidR="000F16EB" w:rsidRDefault="000F16EB" w:rsidP="000F16EB">
      <w:bookmarkStart w:id="409" w:name="_Toc522192782"/>
      <w:bookmarkEnd w:id="408"/>
      <w:r>
        <w:t xml:space="preserve">A range of models for HD variation, which had a wide range of uses, advantages, and disadvantages, were assessed and compared. The model type that is the best choice in one situation may not be the best choice in another. In this thesis, so no detailed and reliable </w:t>
      </w:r>
      <w:r>
        <w:lastRenderedPageBreak/>
        <w:t>primary data can be supplied as no comparable DHN exists. The HD model must be able to work with only basic primary information as no similar DHN was found.</w:t>
      </w:r>
    </w:p>
    <w:p w14:paraId="3FCFCE17" w14:textId="77777777" w:rsidR="000F16EB" w:rsidRDefault="000F16EB" w:rsidP="000F16EB">
      <w:r>
        <w:t>HDD models were shown to be an accurate and viable method of using historical based weather and HD data to predict future HD performance. HD models based on customer measurements were shown to be widely used. Due to the high response rate needed to make this modelling type accurate, as well as the large variation that exists in the results for a heterogeneous buildings stock, measurement-based models are unsuitable for use in this thesis. None of the literature reviewed contained a technique for modelling the hourly variation in HD that is tailored for use by a non-technical user.</w:t>
      </w:r>
    </w:p>
    <w:p w14:paraId="22222040" w14:textId="77777777" w:rsidR="000F16EB" w:rsidRDefault="000F16EB" w:rsidP="000F16EB">
      <w:r>
        <w:t xml:space="preserve">Archetype HD models were shown to be accurate, easy to use, and suitable for use in situations without readily available primary network data. It was shown that the accuracy of archetype models is heavily dependent on the accuracy of each individual archetype calculation and the number of archetype categories used. </w:t>
      </w:r>
    </w:p>
    <w:p w14:paraId="123BED34" w14:textId="77777777" w:rsidR="000F16EB" w:rsidRDefault="000F16EB" w:rsidP="000F16EB">
      <w:r>
        <w:t xml:space="preserve">It is possible to model a DHN by splitting the effect of the HD into components and calculating the HD of each individual component. Whilst a number of </w:t>
      </w:r>
      <w:proofErr w:type="gramStart"/>
      <w:r>
        <w:t>researchers</w:t>
      </w:r>
      <w:proofErr w:type="gramEnd"/>
      <w:r>
        <w:t xml:space="preserve"> model HD variation through the splitting of components, the models generated all require validation with primary network data. The need for primary network data makes component-based modelling unsuitable for use in this thesis. </w:t>
      </w:r>
    </w:p>
    <w:p w14:paraId="20078EFA" w14:textId="77777777" w:rsidR="000F16EB" w:rsidRDefault="000F16EB" w:rsidP="000F16EB">
      <w:r>
        <w:t xml:space="preserve">Deterministic models were shown to be highly accurate due to the complex simulation software used. However, in cases where the use of complex simulation software is not possible, such as is the case in this thesis, deterministic models should not be used. </w:t>
      </w:r>
    </w:p>
    <w:p w14:paraId="5D04D14E" w14:textId="77777777" w:rsidR="000F16EB" w:rsidRDefault="000F16EB" w:rsidP="000F16EB">
      <w:r>
        <w:t xml:space="preserve">A number of predictive, time series models were considered, including ARMA models, Kalman filters, ANNs, FNNs, SVMs, and genetic programmes. Predictive models were shown to be accurate, using machine learning to improve themselves over time. However, predictive models are complex in nature and are only suitable for cases where the model operator has the specialist skills required to use them. </w:t>
      </w:r>
    </w:p>
    <w:p w14:paraId="1CDE77ED" w14:textId="77777777" w:rsidR="000F16EB" w:rsidRDefault="000F16EB" w:rsidP="000F16EB">
      <w:r>
        <w:t xml:space="preserve">Statistical models, which were shown to be easy to build, modify and understand were shown to need primary network data for validation. Therefore, statistical models were shown to be unsuitable for use in this thesis. </w:t>
      </w:r>
    </w:p>
    <w:p w14:paraId="1DAB89BB" w14:textId="77777777" w:rsidR="000F16EB" w:rsidRDefault="000F16EB" w:rsidP="000F16EB">
      <w:r>
        <w:t xml:space="preserve">Physical models only require simple data inputs and were shown to be possible to simplify using aggregation. However, the simplification process does not work for every DHN and must be completed by a trained individual, making physical models unsuitable for use in this thesis. </w:t>
      </w:r>
    </w:p>
    <w:p w14:paraId="58CF7B1C" w14:textId="77777777" w:rsidR="000F16EB" w:rsidRDefault="000F16EB" w:rsidP="000F16EB">
      <w:r>
        <w:t xml:space="preserve">A wide range of technologies and modelling types were found for the purposes of DHN optimisation using TES. Seasonal TES was shown to be profitable in DH, but only for large networks that could utilise the economies of scale. PCMs and CES were both shown to have potential for use in DH, but a number of issues including safety prevented further consideration. HWT based TES and TES utilising the thermal inertia of the buildings on the network and the network itself were shown to be possible TES technologies. The optimisation technique shown to be suitable for use in most cases was MILP. Modelling </w:t>
      </w:r>
      <w:r>
        <w:lastRenderedPageBreak/>
        <w:t xml:space="preserve">stratification in the HWT was shown to be more accurate than assuming that the tank is fully mixed. However, the improvements in accuracy were shown to be minimal, so will not be necessary for simple model types. </w:t>
      </w:r>
    </w:p>
    <w:p w14:paraId="2AB2D982" w14:textId="77777777" w:rsidR="000F16EB" w:rsidRDefault="000F16EB" w:rsidP="000F16EB">
      <w:r>
        <w:t xml:space="preserve">Most of the research reviewed considered the optimisation of a DHN where the heat supply derived from a </w:t>
      </w:r>
      <w:r w:rsidRPr="00F94552">
        <w:t>CHP unit</w:t>
      </w:r>
      <w:r>
        <w:t xml:space="preserve"> or a traditional boiler.</w:t>
      </w:r>
      <w:r w:rsidRPr="00F94552">
        <w:t xml:space="preserve"> </w:t>
      </w:r>
      <w:r>
        <w:t>L</w:t>
      </w:r>
      <w:r w:rsidRPr="00F94552">
        <w:t xml:space="preserve">ittle research </w:t>
      </w:r>
      <w:r>
        <w:t>has been</w:t>
      </w:r>
      <w:r w:rsidRPr="00F94552">
        <w:t xml:space="preserve"> done </w:t>
      </w:r>
      <w:r>
        <w:t>which focuses</w:t>
      </w:r>
      <w:r w:rsidRPr="00F94552">
        <w:t xml:space="preserve"> on a heat supply from </w:t>
      </w:r>
      <w:r>
        <w:t>WHR</w:t>
      </w:r>
      <w:r w:rsidRPr="00F94552">
        <w:t>.</w:t>
      </w:r>
      <w:r>
        <w:t xml:space="preserve"> </w:t>
      </w:r>
      <w:r w:rsidRPr="00F94552">
        <w:t xml:space="preserve">When compared to a CHP or boiler-based heat source, the heat supply from WHR is </w:t>
      </w:r>
      <w:r>
        <w:t xml:space="preserve">significantly </w:t>
      </w:r>
      <w:r w:rsidRPr="00F94552">
        <w:t xml:space="preserve">less predictable. Boiler based heat sources are operated around the </w:t>
      </w:r>
      <w:r>
        <w:t>HD</w:t>
      </w:r>
      <w:r w:rsidRPr="00F94552">
        <w:t xml:space="preserve"> o</w:t>
      </w:r>
      <w:r>
        <w:t>f</w:t>
      </w:r>
      <w:r w:rsidRPr="00F94552">
        <w:t xml:space="preserve"> the network</w:t>
      </w:r>
      <w:r>
        <w:t xml:space="preserve"> and</w:t>
      </w:r>
      <w:r w:rsidRPr="00F94552">
        <w:t xml:space="preserve"> CHP based heat sources are operated around variable electricity prices, </w:t>
      </w:r>
      <w:r>
        <w:t>both of which are</w:t>
      </w:r>
      <w:r w:rsidRPr="00F94552">
        <w:t xml:space="preserve"> </w:t>
      </w:r>
      <w:r>
        <w:t>predictable</w:t>
      </w:r>
      <w:r w:rsidRPr="00F94552">
        <w:t xml:space="preserve"> cycle</w:t>
      </w:r>
      <w:r>
        <w:t>s</w:t>
      </w:r>
      <w:r w:rsidRPr="00F94552">
        <w:t xml:space="preserve">. </w:t>
      </w:r>
      <w:r>
        <w:t>By</w:t>
      </w:r>
      <w:r w:rsidRPr="00F94552">
        <w:t xml:space="preserve"> contrast, WHR based heat sources operate around </w:t>
      </w:r>
      <w:r>
        <w:t>an</w:t>
      </w:r>
      <w:r w:rsidRPr="00F94552">
        <w:t xml:space="preserve"> industr</w:t>
      </w:r>
      <w:r>
        <w:t>ial</w:t>
      </w:r>
      <w:r w:rsidRPr="00F94552">
        <w:t xml:space="preserve"> schedule, which can vary from industry to industry and from week to week </w:t>
      </w:r>
      <w:r>
        <w:t>with</w:t>
      </w:r>
      <w:r w:rsidRPr="00F94552">
        <w:t>in the same industry</w:t>
      </w:r>
      <w:r>
        <w:t xml:space="preserve">. No comparison has been found comparing </w:t>
      </w:r>
      <w:proofErr w:type="gramStart"/>
      <w:r>
        <w:t>a</w:t>
      </w:r>
      <w:proofErr w:type="gramEnd"/>
      <w:r>
        <w:t xml:space="preserve"> HWT</w:t>
      </w:r>
      <w:r w:rsidRPr="00F94552">
        <w:t xml:space="preserve"> based TES system and TES in the thermal inertia of the building stock </w:t>
      </w:r>
      <w:r>
        <w:t>and</w:t>
      </w:r>
      <w:r w:rsidRPr="00F94552">
        <w:t xml:space="preserve"> the network itself</w:t>
      </w:r>
      <w:r>
        <w:t xml:space="preserve">. Similarly, no study exists comparing multiple different HWTs to </w:t>
      </w:r>
      <w:r w:rsidRPr="00F94552">
        <w:t>thermal inertia</w:t>
      </w:r>
      <w:r>
        <w:t>-based</w:t>
      </w:r>
      <w:r w:rsidRPr="00F94552">
        <w:t xml:space="preserve"> TES systems</w:t>
      </w:r>
      <w:r>
        <w:t>. Finally, the literature did not find any studies optimising DHNs in a manner that is simple enough for a non-technical individual to use.</w:t>
      </w:r>
    </w:p>
    <w:p w14:paraId="2A4F1F21" w14:textId="77777777" w:rsidR="000F16EB" w:rsidRDefault="000F16EB" w:rsidP="000F16EB">
      <w:r w:rsidRPr="003D7103">
        <w:t xml:space="preserve">The UK DH market was found to be </w:t>
      </w:r>
      <w:r>
        <w:t>small</w:t>
      </w:r>
      <w:r w:rsidRPr="003D7103">
        <w:t xml:space="preserve"> due to a lack of funding from the government, as well as a lack of obligation on local authorities, property developers</w:t>
      </w:r>
      <w:r>
        <w:t>,</w:t>
      </w:r>
      <w:r w:rsidRPr="003D7103">
        <w:t xml:space="preserve"> and industry to consider DH. </w:t>
      </w:r>
    </w:p>
    <w:p w14:paraId="3869F2BB" w14:textId="77777777" w:rsidR="000F16EB" w:rsidRPr="00B96BB1" w:rsidRDefault="000F16EB" w:rsidP="000F16EB">
      <w:r w:rsidRPr="003D7103">
        <w:t xml:space="preserve">The </w:t>
      </w:r>
      <w:r>
        <w:t>most commonly used economic assessment was based around techno-economic methodology and the NPV of components</w:t>
      </w:r>
      <w:r w:rsidRPr="003D7103">
        <w:t>.</w:t>
      </w:r>
      <w:r>
        <w:t xml:space="preserve"> The environmental assessment most commonly used is a simplified version of </w:t>
      </w:r>
      <w:proofErr w:type="gramStart"/>
      <w:r>
        <w:t>a</w:t>
      </w:r>
      <w:proofErr w:type="gramEnd"/>
      <w:r>
        <w:t xml:space="preserve"> LCA.</w:t>
      </w:r>
      <w:bookmarkEnd w:id="409"/>
    </w:p>
    <w:p w14:paraId="63FA1E7E" w14:textId="75AA3DCA" w:rsidR="000F16EB" w:rsidRDefault="000F16EB">
      <w:pPr>
        <w:jc w:val="left"/>
      </w:pPr>
      <w:r>
        <w:br w:type="page"/>
      </w:r>
    </w:p>
    <w:p w14:paraId="6C2348A6" w14:textId="77777777" w:rsidR="000F16EB" w:rsidRDefault="000F16EB" w:rsidP="000F16EB">
      <w:pPr>
        <w:pStyle w:val="Heading1"/>
      </w:pPr>
      <w:bookmarkStart w:id="410" w:name="_Ref531345060"/>
      <w:bookmarkStart w:id="411" w:name="_Toc7187506"/>
      <w:r>
        <w:lastRenderedPageBreak/>
        <w:t xml:space="preserve">Heat </w:t>
      </w:r>
      <w:r w:rsidRPr="00CD3405">
        <w:t>Mapping</w:t>
      </w:r>
      <w:bookmarkEnd w:id="410"/>
      <w:bookmarkEnd w:id="411"/>
    </w:p>
    <w:p w14:paraId="20A6EBD0" w14:textId="4059339E" w:rsidR="000F16EB" w:rsidRDefault="000F16EB" w:rsidP="000F16EB">
      <w:r>
        <w:t xml:space="preserve">A heat map can be used to make an initial estimate of the feasibility of a new DHN in an area. The process can be used to estimate the local area HD, identify population areas with a HD density sufficient to meet DH guidelines, identify anchor loads, and suggest the possible network route. In this thesis the heat mapping process was used to identify population areas with a HD density </w:t>
      </w:r>
      <w:r w:rsidR="0024009E">
        <w:t xml:space="preserve"> of greater than 3 MW/</w:t>
      </w:r>
      <w:r w:rsidR="0024009E" w:rsidRPr="0024009E">
        <w:t>km</w:t>
      </w:r>
      <w:r w:rsidR="0024009E" w:rsidRPr="0024009E">
        <w:rPr>
          <w:vertAlign w:val="superscript"/>
        </w:rPr>
        <w:t>2</w:t>
      </w:r>
      <w:r w:rsidR="0024009E">
        <w:t xml:space="preserve"> (</w:t>
      </w:r>
      <w:r w:rsidRPr="0024009E">
        <w:t>to</w:t>
      </w:r>
      <w:r>
        <w:t xml:space="preserve"> meet DH guidelines</w:t>
      </w:r>
      <w:r w:rsidR="0024009E">
        <w:t>)</w:t>
      </w:r>
      <w:r>
        <w:t xml:space="preserve"> and identify</w:t>
      </w:r>
      <w:r w:rsidR="0024009E">
        <w:t xml:space="preserve"> the presence</w:t>
      </w:r>
      <w:r>
        <w:t xml:space="preserve"> anchor loads. The heat mapping process is split into two parts domestic and commercial heat mapping. The process used techniques outlined by Parsons Brinckerhoff, the University of Sheffield, the </w:t>
      </w:r>
      <w:r w:rsidRPr="00CD2CDB">
        <w:t>Chartered Institution of Building Services Engineers (CIBSE)</w:t>
      </w:r>
      <w:r>
        <w:t xml:space="preserve">, the Energy Information Administration (EIA), the UK Energy Research Centre (UK ERC), and UK census data </w:t>
      </w:r>
      <w:r>
        <w:fldChar w:fldCharType="begin" w:fldLock="1"/>
      </w:r>
      <w:r w:rsidR="002A6A73">
        <w:instrText xml:space="preserve">ADDIN CSL_CITATION {"citationItems":[{"id":"ITEM-1","itemData":{"URL":"http://ukedc.rl.ac.uk/cgi-bin/edc_search.pl?GoButton=Detail&amp;WantComp=30&amp;WantResult=&amp;WantText=EDC0000030&amp;","accessed":{"date-parts":[["2018","9","14"]]},"author":[{"dropping-particle":"","family":"UK ERC","given":"","non-dropping-particle":"","parse-names":false,"suffix":""}],"id":"ITEM-1","issued":{"date-parts":[["2006"]]},"title":"Carbon Trust Advanced Metering Trial (2004 - 2006)","type":"webpage"},"uris":["http://www.mendeley.com/documents/?uuid=3f689cda-e6e6-46b6-8586-a80115fd94e4"]},{"id":"ITEM-2","itemData":{"ISBN":"978-1-903287-95-8","author":[{"dropping-particle":"","family":"CIBSE","given":"","non-dropping-particle":"","parse-names":false,"suffix":""}],"id":"ITEM-2","issued":{"date-parts":[["2008"]]},"publisher-place":"London, England","title":"Energy benchmarks TM46: 2008","type":"report"},"uris":["http://www.mendeley.com/documents/?uuid=55ad8b56-2d41-4067-8e96-bf96159c14a9"]},{"id":"ITEM-3","itemData":{"author":[{"dropping-particle":"","family":"Parsons Brinckerhoff","given":"","non-dropping-particle":"","parse-names":false,"suffix":""}],"id":"ITEM-3","issue":"May","issued":{"date-parts":[["2011"]]},"publisher-place":"London, England","title":"A District Heating Utility for the Tees Valley: Study into the strategic use of waste heat and supply of private sector customers","type":"report"},"uris":["http://www.mendeley.com/documents/?uuid=5e08822c-bb7b-4846-8fd8-71bc94ccfc29"]},{"id":"ITEM-4","itemData":{"author":[{"dropping-particle":"","family":"ONS","given":"","non-dropping-particle":"","parse-names":false,"suffix":""}],"id":"ITEM-4","issued":{"date-parts":[["2011"]]},"publisher-place":"London, England","title":"QS102EW - Population density","type":"report"},"uris":["http://www.mendeley.com/documents/?uuid=5fbffc5f-5e5a-4572-8a50-8efce6540647"]},{"id":"ITEM-5","itemData":{"DOI":"10.1016/j.enconman.2012.03.006","ISBN":"01968904","ISSN":"01968904","abstract":"District heating can provide cost-effective and low-carbon energy to local populations, such as space heating in winter and year-round hot/cold water; this is also associated with electricity generation in combined-heat-and-power systems. Although this is currently rare in the UK, many legislative policies, including the Renewable Heat Incentive, aim to increase the amount of energy from such sources; including new installations, as well as extending/upgrading existing distributed energy schemes. Sheffield already has an award-winning district energy network, incorporating city-wide heat distribution. This paper aimed to demonstrate the opportunities for expansions to this through geographical information systems software modelling for an in-depth analysis of the heat demands in the city. ‘Heat maps’ were produced, locating existing and emerging heat sources and sinks. Heat loads (industrial, commercial, educational, health care, council and leisure facilities/complex) total 53MW, with existing residential areas accounting for </w:instrText>
      </w:r>
      <w:r w:rsidR="002A6A73">
        <w:rPr>
          <w:rFonts w:ascii="Cambria Math" w:hAnsi="Cambria Math" w:cs="Cambria Math"/>
        </w:rPr>
        <w:instrText>∼</w:instrText>
      </w:r>
      <w:r w:rsidR="002A6A73">
        <w:instrText>1500MW and new housing developments potentially adding a further 35MW in the future. A number of current and emerging heat sources were also discovered – potential suppliers of thermal energy to the above-defined heat sinks. From these, six ‘heat zones’ where an expansion to the existing network could be possible were identified and the infrastructure planned for each development.","author":[{"dropping-particle":"","family":"Finney","given":"Karen N.","non-dropping-particle":"","parse-names":false,"suffix":""},{"dropping-particle":"","family":"Sharifi","given":"Vida N.","non-dropping-particle":"","parse-names":false,"suffix":""},{"dropping-particle":"","family":"Swithenbank","given":"Jim","non-dropping-particle":"","parse-names":false,"suffix":""},{"dropping-particle":"","family":"Nolan","given":"Andy","non-dropping-particle":"","parse-names":false,"suffix":""},{"dropping-particle":"","family":"White","given":"Simon","non-dropping-particle":"","parse-names":false,"suffix":""},{"dropping-particle":"","family":"Ogden","given":"Simon","non-dropping-particle":"","parse-names":false,"suffix":""}],"container-title":"Energy Conversion and Management","id":"ITEM-5","issued":{"date-parts":[["2012"]]},"page":"165-175","publisher":"Elsevier Ltd","title":"Developments to an existing city-wide district energy network – Part I: Identification of potential expansions using heat mapping","type":"article-journal","volume":"62"},"uris":["http://www.mendeley.com/documents/?uuid=cff41c61-20f7-4b1e-ba33-764fb84901d7"]},{"id":"ITEM-6","itemData":{"author":[{"dropping-particle":"","family":"EIA","given":"","non-dropping-particle":"","parse-names":false,"suffix":""}],"id":"ITEM-6","issued":{"date-parts":[["2016"]]},"publisher-place":"Washington, USA","title":"2012 Commercial Buildings Energy Consumption Survey: Energy Usage Summary","type":"report"},"uris":["http://www.mendeley.com/documents/?uuid=e0609b0a-c171-4324-929d-133bbc4f25f5"]}],"mendeley":{"formattedCitation":"(UK ERC, 2006; CIBSE, 2008; ONS, 2011b; Parsons Brinckerhoff, 2011; Finney &lt;i&gt;et al.&lt;/i&gt;, 2012; EIA, 2016)","plainTextFormattedCitation":"(UK ERC, 2006; CIBSE, 2008; ONS, 2011b; Parsons Brinckerhoff, 2011; Finney et al., 2012; EIA, 2016)","previouslyFormattedCitation":"(UK ERC, 2006; CIBSE, 2008; ONS, 2011b; Parsons Brinckerhoff, 2011; Finney &lt;i&gt;et al.&lt;/i&gt;, 2012; EIA, 2016)"},"properties":{"noteIndex":0},"schema":"https://github.com/citation-style-language/schema/raw/master/csl-citation.json"}</w:instrText>
      </w:r>
      <w:r>
        <w:fldChar w:fldCharType="separate"/>
      </w:r>
      <w:r w:rsidR="002A6A73" w:rsidRPr="002A6A73">
        <w:rPr>
          <w:noProof/>
        </w:rPr>
        <w:t xml:space="preserve">(UK ERC, 2006; CIBSE, 2008; ONS, 2011b; Parsons Brinckerhoff, 2011; Finney </w:t>
      </w:r>
      <w:r w:rsidR="002A6A73" w:rsidRPr="002A6A73">
        <w:rPr>
          <w:i/>
          <w:noProof/>
        </w:rPr>
        <w:t>et al.</w:t>
      </w:r>
      <w:r w:rsidR="002A6A73" w:rsidRPr="002A6A73">
        <w:rPr>
          <w:noProof/>
        </w:rPr>
        <w:t>, 2012; EIA, 2016)</w:t>
      </w:r>
      <w:r>
        <w:fldChar w:fldCharType="end"/>
      </w:r>
      <w:r>
        <w:t>.</w:t>
      </w:r>
    </w:p>
    <w:p w14:paraId="3EB1466E" w14:textId="77777777" w:rsidR="000F16EB" w:rsidRDefault="000F16EB" w:rsidP="000F16EB">
      <w:pPr>
        <w:pStyle w:val="Heading2"/>
      </w:pPr>
      <w:bookmarkStart w:id="412" w:name="_Toc7187507"/>
      <w:r>
        <w:t>Methodology</w:t>
      </w:r>
      <w:bookmarkEnd w:id="412"/>
    </w:p>
    <w:p w14:paraId="31E7C8D2" w14:textId="04F5748D" w:rsidR="000F16EB" w:rsidRDefault="000F16EB" w:rsidP="000F16EB">
      <w:r>
        <w:t xml:space="preserve">The domestic and the commercial heat mapping processes followed different methodologies, but in both cases the results were plotted using QGIS. QGIS is an open source GIS mapping tool developed and maintained by GEOFABRIK </w:t>
      </w:r>
      <w:r>
        <w:fldChar w:fldCharType="begin" w:fldLock="1"/>
      </w:r>
      <w:r w:rsidR="002A6A73">
        <w:instrText>ADDIN CSL_CITATION {"citationItems":[{"id":"ITEM-1","itemData":{"author":[{"dropping-particle":"","family":"GEOFABRIK","given":"","non-dropping-particle":"","parse-names":false,"suffix":""}],"id":"ITEM-1","issued":{"date-parts":[["2017"]]},"publisher":"GEOFABRIK","publisher-place":"Karlsruhe, Germany","title":"Open Street Map","type":"article"},"uris":["http://www.mendeley.com/documents/?uuid=65f85c94-cbf2-4744-8258-97666b93bc39"]}],"mendeley":{"formattedCitation":"(GEOFABRIK, 2017)","plainTextFormattedCitation":"(GEOFABRIK, 2017)","previouslyFormattedCitation":"(GEOFABRIK, 2017)"},"properties":{"noteIndex":0},"schema":"https://github.com/citation-style-language/schema/raw/master/csl-citation.json"}</w:instrText>
      </w:r>
      <w:r>
        <w:fldChar w:fldCharType="separate"/>
      </w:r>
      <w:r w:rsidR="002A6A73" w:rsidRPr="002A6A73">
        <w:rPr>
          <w:noProof/>
        </w:rPr>
        <w:t>(GEOFABRIK, 2017)</w:t>
      </w:r>
      <w:r>
        <w:fldChar w:fldCharType="end"/>
      </w:r>
      <w:r>
        <w:t>.</w:t>
      </w:r>
    </w:p>
    <w:p w14:paraId="240FF87B" w14:textId="77777777" w:rsidR="000F16EB" w:rsidRDefault="000F16EB" w:rsidP="000F16EB">
      <w:pPr>
        <w:pStyle w:val="Heading3"/>
      </w:pPr>
      <w:bookmarkStart w:id="413" w:name="_Ref531345186"/>
      <w:bookmarkStart w:id="414" w:name="_Toc7187508"/>
      <w:r>
        <w:t>Commercial Heat Mapping Methodology</w:t>
      </w:r>
      <w:bookmarkEnd w:id="413"/>
      <w:bookmarkEnd w:id="414"/>
    </w:p>
    <w:p w14:paraId="13BC5882" w14:textId="3E20E3B2" w:rsidR="000F16EB" w:rsidRDefault="000F16EB" w:rsidP="000F16EB">
      <w:r>
        <w:t xml:space="preserve">Commercial heat mapping was used to identify possible anchor loads and highlight parts of the case study area which were suitable for connection to a DHN. The identification of the anchor loads used a technique presented by Parsons Brinckerhoff </w:t>
      </w:r>
      <w:r>
        <w:fldChar w:fldCharType="begin" w:fldLock="1"/>
      </w:r>
      <w:r w:rsidR="002A6A73">
        <w:instrText>ADDIN CSL_CITATION {"citationItems":[{"id":"ITEM-1","itemData":{"author":[{"dropping-particle":"","family":"Parsons Brinckerhoff","given":"","non-dropping-particle":"","parse-names":false,"suffix":""}],"id":"ITEM-1","issue":"May","issued":{"date-parts":[["2011"]]},"publisher-place":"London, England","title":"A District Heating Utility for the Tees Valley: Study into the strategic use of waste heat and supply of private sector customers","type":"report"},"uris":["http://www.mendeley.com/documents/?uuid=5e08822c-bb7b-4846-8fd8-71bc94ccfc29"]}],"mendeley":{"formattedCitation":"(Parsons Brinckerhoff, 2011)","plainTextFormattedCitation":"(Parsons Brinckerhoff, 2011)","previouslyFormattedCitation":"(Parsons Brinckerhoff, 2011)"},"properties":{"noteIndex":0},"schema":"https://github.com/citation-style-language/schema/raw/master/csl-citation.json"}</w:instrText>
      </w:r>
      <w:r>
        <w:fldChar w:fldCharType="separate"/>
      </w:r>
      <w:r w:rsidR="002A6A73" w:rsidRPr="002A6A73">
        <w:rPr>
          <w:noProof/>
        </w:rPr>
        <w:t>(Parsons Brinckerhoff, 2011)</w:t>
      </w:r>
      <w:r>
        <w:fldChar w:fldCharType="end"/>
      </w:r>
      <w:r>
        <w:t>. Google Maps and Google Street View were used to study the case study area, locating all the commercial buildings and recording:</w:t>
      </w:r>
    </w:p>
    <w:p w14:paraId="3B9C3431" w14:textId="77777777" w:rsidR="000F16EB" w:rsidRDefault="000F16EB" w:rsidP="00202E44">
      <w:pPr>
        <w:pStyle w:val="ListParagraph"/>
        <w:numPr>
          <w:ilvl w:val="0"/>
          <w:numId w:val="18"/>
        </w:numPr>
      </w:pPr>
      <w:r>
        <w:t>Building name.</w:t>
      </w:r>
    </w:p>
    <w:p w14:paraId="728B01C8" w14:textId="77777777" w:rsidR="000F16EB" w:rsidRDefault="000F16EB" w:rsidP="00202E44">
      <w:pPr>
        <w:pStyle w:val="ListParagraph"/>
        <w:numPr>
          <w:ilvl w:val="0"/>
          <w:numId w:val="18"/>
        </w:numPr>
      </w:pPr>
      <w:r>
        <w:t>Building location.</w:t>
      </w:r>
    </w:p>
    <w:p w14:paraId="59D04885" w14:textId="77777777" w:rsidR="000F16EB" w:rsidRDefault="000F16EB" w:rsidP="00202E44">
      <w:pPr>
        <w:pStyle w:val="ListParagraph"/>
        <w:numPr>
          <w:ilvl w:val="0"/>
          <w:numId w:val="18"/>
        </w:numPr>
      </w:pPr>
      <w:r>
        <w:t>Building type.</w:t>
      </w:r>
    </w:p>
    <w:p w14:paraId="267B01B1" w14:textId="77777777" w:rsidR="000F16EB" w:rsidRDefault="000F16EB" w:rsidP="00202E44">
      <w:pPr>
        <w:pStyle w:val="ListParagraph"/>
        <w:numPr>
          <w:ilvl w:val="0"/>
          <w:numId w:val="18"/>
        </w:numPr>
      </w:pPr>
      <w:r>
        <w:t>Building floor area (m</w:t>
      </w:r>
      <w:r>
        <w:rPr>
          <w:vertAlign w:val="superscript"/>
        </w:rPr>
        <w:t>2</w:t>
      </w:r>
      <w:r>
        <w:t>).</w:t>
      </w:r>
    </w:p>
    <w:p w14:paraId="57FCA1F1" w14:textId="77777777" w:rsidR="000F16EB" w:rsidRDefault="000F16EB" w:rsidP="00202E44">
      <w:pPr>
        <w:pStyle w:val="ListParagraph"/>
        <w:numPr>
          <w:ilvl w:val="0"/>
          <w:numId w:val="18"/>
        </w:numPr>
      </w:pPr>
      <w:r>
        <w:t>An estimation of the number of building floors.</w:t>
      </w:r>
    </w:p>
    <w:p w14:paraId="11DD6EB3" w14:textId="1CBC56BB" w:rsidR="000F16EB" w:rsidRDefault="000F16EB" w:rsidP="000F16EB">
      <w:r>
        <w:t>The building floor area and estimated number of floors were used to estimate the total SA of all the floors in the buildings (m</w:t>
      </w:r>
      <w:r>
        <w:rPr>
          <w:vertAlign w:val="superscript"/>
        </w:rPr>
        <w:t>2</w:t>
      </w:r>
      <w:r>
        <w:t xml:space="preserve">). The use of Google Maps and Google Street View to measure area introduced error into the work. Lopes and </w:t>
      </w:r>
      <w:r w:rsidRPr="00F97F35">
        <w:rPr>
          <w:noProof/>
        </w:rPr>
        <w:t>Nogueira</w:t>
      </w:r>
      <w:r>
        <w:rPr>
          <w:noProof/>
        </w:rPr>
        <w:t xml:space="preserve"> </w:t>
      </w:r>
      <w:r>
        <w:t>studied the error found when using Google Maps to measure area</w:t>
      </w:r>
      <w:r w:rsidR="00441038">
        <w:t xml:space="preserve"> </w:t>
      </w:r>
      <w:r w:rsidR="00441038">
        <w:fldChar w:fldCharType="begin" w:fldLock="1"/>
      </w:r>
      <w:r w:rsidR="00441038">
        <w:instrText>ADDIN CSL_CITATION {"citationItems":[{"id":"ITEM-1","itemData":{"abstract":"Objetivou-se avaliar a qualidade posicional e geométrica das imagens de alta resolução disponibilizadas pelo Google Earth, utilizando como referência um mapeamento em escala 1/2.000 do município de Barbacena – MG. Em seguida, verificou-se a possibilidade da utilização das imagens do Google Earth como fontes de dados para a produção de mapas, definindo, nesse caso, seus tipos e a resolução versus escala, apontando fatores limitantes e excludentes no uso dessas imagens para fins de mapeamento. Os testes realizados demonstraram eficiência ao ilustrarem numericamente a realidade geométrica e posicional da imagem avaliada presente no banco de dados do Google Earth. A partir das análises, foi elaborada uma proposta metodológica contendo procedimentos e recomendações para a utilização consciente e responsável das imagens do Google Earth, além de considerações a respeito de suas limitações.","author":[{"dropping-particle":"","family":"Lopes","given":"Edésio Elias","non-dropping-particle":"","parse-names":false,"suffix":""},{"dropping-particle":"","family":"Nogueira","given":"Ruth Emilia","non-dropping-particle":"","parse-names":false,"suffix":""}],"container-title":"Ufsc","id":"ITEM-1","issued":{"date-parts":[["2009"]]},"title":"Proposta Metodológica para Validação de Imagens de Alta Resolução do Google Earth para a Produção de Mapas","type":"article-journal"},"uris":["http://www.mendeley.com/documents/?uuid=b5c9eb17-813f-4f64-8895-8faca3df6df4"]}],"mendeley":{"formattedCitation":"(Lopes and Nogueira, 2009)","plainTextFormattedCitation":"(Lopes and Nogueira, 2009)","previouslyFormattedCitation":"(Lopes and Nogueira, 2009)"},"properties":{"noteIndex":0},"schema":"https://github.com/citation-style-language/schema/raw/master/csl-citation.json"}</w:instrText>
      </w:r>
      <w:r w:rsidR="00441038">
        <w:fldChar w:fldCharType="separate"/>
      </w:r>
      <w:r w:rsidR="00441038" w:rsidRPr="002A6A73">
        <w:rPr>
          <w:noProof/>
        </w:rPr>
        <w:t>(Lopes and Nogueira, 2009)</w:t>
      </w:r>
      <w:r w:rsidR="00441038">
        <w:fldChar w:fldCharType="end"/>
      </w:r>
      <w:r>
        <w:t>. It was found that the total error was 3.54%, which is within the allowable threshold of an estimation calculation.</w:t>
      </w:r>
    </w:p>
    <w:p w14:paraId="76EC7BD3" w14:textId="09E8CAD4" w:rsidR="000F16EB" w:rsidRDefault="000F16EB" w:rsidP="000F16EB">
      <w:r>
        <w:t>Archetype values of the yearly bui</w:t>
      </w:r>
      <w:r w:rsidRPr="00CD2CDB">
        <w:t xml:space="preserve">lding </w:t>
      </w:r>
      <w:r>
        <w:t>HD</w:t>
      </w:r>
      <w:r w:rsidRPr="00CD2CDB">
        <w:t xml:space="preserve"> were needed to </w:t>
      </w:r>
      <w:r>
        <w:t>calculate the HDs of the commercial buildings</w:t>
      </w:r>
      <w:r w:rsidRPr="00CD2CDB">
        <w:t>. CIBSE energy benchmarks TM46</w:t>
      </w:r>
      <w:r>
        <w:t xml:space="preserve"> </w:t>
      </w:r>
      <w:r>
        <w:fldChar w:fldCharType="begin" w:fldLock="1"/>
      </w:r>
      <w:r w:rsidR="002A6A73">
        <w:instrText>ADDIN CSL_CITATION {"citationItems":[{"id":"ITEM-1","itemData":{"ISBN":"978-1-903287-95-8","author":[{"dropping-particle":"","family":"CIBSE","given":"","non-dropping-particle":"","parse-names":false,"suffix":""}],"id":"ITEM-1","issued":{"date-parts":[["2008"]]},"publisher-place":"London, England","title":"Energy benchmarks TM46: 2008","type":"report"},"uris":["http://www.mendeley.com/documents/?uuid=55ad8b56-2d41-4067-8e96-bf96159c14a9"]}],"mendeley":{"formattedCitation":"(CIBSE, 2008)","plainTextFormattedCitation":"(CIBSE, 2008)","previouslyFormattedCitation":"(CIBSE, 2008)"},"properties":{"noteIndex":0},"schema":"https://github.com/citation-style-language/schema/raw/master/csl-citation.json"}</w:instrText>
      </w:r>
      <w:r>
        <w:fldChar w:fldCharType="separate"/>
      </w:r>
      <w:r w:rsidR="002A6A73" w:rsidRPr="002A6A73">
        <w:rPr>
          <w:noProof/>
        </w:rPr>
        <w:t>(CIBSE, 2008)</w:t>
      </w:r>
      <w:r>
        <w:fldChar w:fldCharType="end"/>
      </w:r>
      <w:r w:rsidRPr="00CD2CDB">
        <w:t xml:space="preserve"> w</w:t>
      </w:r>
      <w:r>
        <w:t>ere</w:t>
      </w:r>
      <w:r w:rsidRPr="00CD2CDB">
        <w:t xml:space="preserve"> used to give the typical yearly electricity and fossil fuel use (</w:t>
      </w:r>
      <w:r>
        <w:t>k</w:t>
      </w:r>
      <w:r w:rsidRPr="00CD2CDB">
        <w:t>Wh/m</w:t>
      </w:r>
      <w:r w:rsidRPr="00CD2CDB">
        <w:rPr>
          <w:vertAlign w:val="superscript"/>
        </w:rPr>
        <w:t>2</w:t>
      </w:r>
      <w:r w:rsidRPr="00CD2CDB">
        <w:t>)</w:t>
      </w:r>
      <w:r>
        <w:t xml:space="preserve"> for 29 archetype building categories. The CIBSE TM46 building categories are shown in </w:t>
      </w:r>
      <w:r>
        <w:fldChar w:fldCharType="begin"/>
      </w:r>
      <w:r>
        <w:instrText xml:space="preserve"> REF _Ref525661699 \h </w:instrText>
      </w:r>
      <w:r>
        <w:fldChar w:fldCharType="separate"/>
      </w:r>
      <w:r w:rsidR="00CB7456">
        <w:t xml:space="preserve">Table </w:t>
      </w:r>
      <w:r w:rsidR="00CB7456">
        <w:rPr>
          <w:noProof/>
        </w:rPr>
        <w:t>3</w:t>
      </w:r>
      <w:r w:rsidR="00CB7456">
        <w:t>.</w:t>
      </w:r>
      <w:r w:rsidR="00CB7456">
        <w:rPr>
          <w:noProof/>
        </w:rPr>
        <w:t>1</w:t>
      </w:r>
      <w:r>
        <w:fldChar w:fldCharType="end"/>
      </w:r>
      <w:r>
        <w:t>.</w:t>
      </w:r>
    </w:p>
    <w:p w14:paraId="695753B2" w14:textId="77777777" w:rsidR="000F16EB" w:rsidRDefault="000F16EB" w:rsidP="000F16EB">
      <w:pPr>
        <w:jc w:val="left"/>
        <w:rPr>
          <w:b/>
          <w:bCs/>
          <w:sz w:val="18"/>
          <w:szCs w:val="18"/>
        </w:rPr>
      </w:pPr>
      <w:bookmarkStart w:id="415" w:name="_Ref467840214"/>
      <w:bookmarkStart w:id="416" w:name="_Toc468265821"/>
      <w:r>
        <w:br w:type="page"/>
      </w:r>
    </w:p>
    <w:p w14:paraId="5632D238" w14:textId="21EEEED4" w:rsidR="000F16EB" w:rsidRDefault="000F16EB" w:rsidP="000F16EB">
      <w:pPr>
        <w:pStyle w:val="Caption"/>
      </w:pPr>
      <w:bookmarkStart w:id="417" w:name="_Ref525661699"/>
      <w:bookmarkStart w:id="418" w:name="_Toc525230121"/>
      <w:bookmarkStart w:id="419" w:name="_Toc7187674"/>
      <w:bookmarkEnd w:id="415"/>
      <w:r>
        <w:lastRenderedPageBreak/>
        <w:t xml:space="preserve">Table </w:t>
      </w:r>
      <w:fldSimple w:instr=" STYLEREF 1 \s ">
        <w:r w:rsidR="00CB7456">
          <w:rPr>
            <w:noProof/>
          </w:rPr>
          <w:t>3</w:t>
        </w:r>
      </w:fldSimple>
      <w:r w:rsidR="009E1A67">
        <w:t>.</w:t>
      </w:r>
      <w:fldSimple w:instr=" SEQ Table \* ARABIC \s 1 ">
        <w:r w:rsidR="00CB7456">
          <w:rPr>
            <w:noProof/>
          </w:rPr>
          <w:t>1</w:t>
        </w:r>
      </w:fldSimple>
      <w:bookmarkEnd w:id="417"/>
      <w:r>
        <w:rPr>
          <w:noProof/>
        </w:rPr>
        <w:t>:</w:t>
      </w:r>
      <w:r>
        <w:t xml:space="preserve"> CIBSE building energy benchmark </w:t>
      </w:r>
      <w:r w:rsidRPr="003A609A">
        <w:t xml:space="preserve">categories </w:t>
      </w:r>
      <w:r w:rsidRPr="0040484F">
        <w:fldChar w:fldCharType="begin" w:fldLock="1"/>
      </w:r>
      <w:r w:rsidR="002A6A73" w:rsidRPr="0040484F">
        <w:instrText>ADDIN CSL_CITATION {"citationItems":[{"id":"ITEM-1","itemData":{"ISBN":"978-1-903287-95-8","author":[{"dropping-particle":"","family":"CIBSE","given":"","non-dropping-particle":"","parse-names":false,"suffix":""}],"id":"ITEM-1","issued":{"date-parts":[["2008"]]},"publisher-place":"London, England","title":"Energy benchmarks TM46: 2008","type":"report"},"uris":["http://www.mendeley.com/documents/?uuid=55ad8b56-2d41-4067-8e96-bf96159c14a9"]}],"mendeley":{"formattedCitation":"(CIBSE, 2008)","plainTextFormattedCitation":"(CIBSE, 2008)","previouslyFormattedCitation":"(CIBSE, 2008)"},"properties":{"noteIndex":0},"schema":"https://github.com/citation-style-language/schema/raw/master/csl-citation.json"}</w:instrText>
      </w:r>
      <w:r w:rsidRPr="0040484F">
        <w:fldChar w:fldCharType="separate"/>
      </w:r>
      <w:r w:rsidR="002A6A73" w:rsidRPr="0040484F">
        <w:rPr>
          <w:noProof/>
        </w:rPr>
        <w:t>(CIBSE, 2008)</w:t>
      </w:r>
      <w:r w:rsidRPr="0040484F">
        <w:fldChar w:fldCharType="end"/>
      </w:r>
      <w:r w:rsidRPr="0040484F">
        <w:t>.</w:t>
      </w:r>
      <w:bookmarkEnd w:id="416"/>
      <w:bookmarkEnd w:id="418"/>
      <w:bookmarkEnd w:id="419"/>
    </w:p>
    <w:tbl>
      <w:tblPr>
        <w:tblW w:w="8306" w:type="dxa"/>
        <w:jc w:val="center"/>
        <w:tblBorders>
          <w:top w:val="single" w:sz="4" w:space="0" w:color="auto"/>
          <w:bottom w:val="single" w:sz="4" w:space="0" w:color="auto"/>
        </w:tblBorders>
        <w:tblLook w:val="00A0" w:firstRow="1" w:lastRow="0" w:firstColumn="1" w:lastColumn="0" w:noHBand="0" w:noVBand="0"/>
      </w:tblPr>
      <w:tblGrid>
        <w:gridCol w:w="1065"/>
        <w:gridCol w:w="3558"/>
        <w:gridCol w:w="1841"/>
        <w:gridCol w:w="1842"/>
      </w:tblGrid>
      <w:tr w:rsidR="000F16EB" w14:paraId="1264AB6D" w14:textId="77777777" w:rsidTr="00A7521D">
        <w:trPr>
          <w:jc w:val="center"/>
        </w:trPr>
        <w:tc>
          <w:tcPr>
            <w:tcW w:w="1065" w:type="dxa"/>
            <w:tcBorders>
              <w:top w:val="single" w:sz="4" w:space="0" w:color="auto"/>
              <w:left w:val="nil"/>
              <w:bottom w:val="single" w:sz="4" w:space="0" w:color="auto"/>
              <w:right w:val="nil"/>
            </w:tcBorders>
            <w:hideMark/>
          </w:tcPr>
          <w:p w14:paraId="76B7802A" w14:textId="77777777" w:rsidR="000F16EB" w:rsidRDefault="000F16EB" w:rsidP="00A7521D">
            <w:pPr>
              <w:spacing w:after="0" w:line="240" w:lineRule="auto"/>
              <w:jc w:val="center"/>
            </w:pPr>
            <w:r>
              <w:t>CIBSE category</w:t>
            </w:r>
          </w:p>
        </w:tc>
        <w:tc>
          <w:tcPr>
            <w:tcW w:w="3558" w:type="dxa"/>
            <w:tcBorders>
              <w:top w:val="single" w:sz="4" w:space="0" w:color="auto"/>
              <w:left w:val="nil"/>
              <w:bottom w:val="single" w:sz="4" w:space="0" w:color="auto"/>
              <w:right w:val="nil"/>
            </w:tcBorders>
            <w:hideMark/>
          </w:tcPr>
          <w:p w14:paraId="78BCB295" w14:textId="77777777" w:rsidR="000F16EB" w:rsidRDefault="000F16EB" w:rsidP="00A7521D">
            <w:pPr>
              <w:spacing w:after="0" w:line="240" w:lineRule="auto"/>
              <w:jc w:val="center"/>
            </w:pPr>
            <w:r>
              <w:t>Building type</w:t>
            </w:r>
          </w:p>
        </w:tc>
        <w:tc>
          <w:tcPr>
            <w:tcW w:w="1841" w:type="dxa"/>
            <w:tcBorders>
              <w:top w:val="single" w:sz="4" w:space="0" w:color="auto"/>
              <w:left w:val="nil"/>
              <w:bottom w:val="single" w:sz="4" w:space="0" w:color="auto"/>
              <w:right w:val="nil"/>
            </w:tcBorders>
            <w:hideMark/>
          </w:tcPr>
          <w:p w14:paraId="7A1BEA8C" w14:textId="77777777" w:rsidR="000F16EB" w:rsidRDefault="000F16EB" w:rsidP="00A7521D">
            <w:pPr>
              <w:spacing w:after="0" w:line="240" w:lineRule="auto"/>
              <w:jc w:val="center"/>
            </w:pPr>
            <w:r>
              <w:t>Typical electricity benchmark per year (kWh/m</w:t>
            </w:r>
            <w:r>
              <w:rPr>
                <w:vertAlign w:val="superscript"/>
              </w:rPr>
              <w:t>2</w:t>
            </w:r>
            <w:r>
              <w:t>)</w:t>
            </w:r>
          </w:p>
        </w:tc>
        <w:tc>
          <w:tcPr>
            <w:tcW w:w="1842" w:type="dxa"/>
            <w:tcBorders>
              <w:top w:val="single" w:sz="4" w:space="0" w:color="auto"/>
              <w:left w:val="nil"/>
              <w:bottom w:val="single" w:sz="4" w:space="0" w:color="auto"/>
              <w:right w:val="nil"/>
            </w:tcBorders>
            <w:hideMark/>
          </w:tcPr>
          <w:p w14:paraId="1C01F6C5" w14:textId="77777777" w:rsidR="000F16EB" w:rsidRDefault="000F16EB" w:rsidP="00A7521D">
            <w:pPr>
              <w:spacing w:after="0" w:line="240" w:lineRule="auto"/>
              <w:jc w:val="center"/>
            </w:pPr>
            <w:r>
              <w:t>Typical fossil fuel benchmark per year (kWh/m</w:t>
            </w:r>
            <w:r>
              <w:rPr>
                <w:vertAlign w:val="superscript"/>
              </w:rPr>
              <w:t>2</w:t>
            </w:r>
            <w:r>
              <w:t>)</w:t>
            </w:r>
          </w:p>
        </w:tc>
      </w:tr>
      <w:tr w:rsidR="000F16EB" w14:paraId="2488F4BE" w14:textId="77777777" w:rsidTr="00A7521D">
        <w:trPr>
          <w:jc w:val="center"/>
        </w:trPr>
        <w:tc>
          <w:tcPr>
            <w:tcW w:w="1065" w:type="dxa"/>
            <w:tcBorders>
              <w:top w:val="single" w:sz="4" w:space="0" w:color="auto"/>
              <w:left w:val="nil"/>
              <w:bottom w:val="nil"/>
              <w:right w:val="nil"/>
            </w:tcBorders>
            <w:hideMark/>
          </w:tcPr>
          <w:p w14:paraId="3B112F7E" w14:textId="77777777" w:rsidR="000F16EB" w:rsidRDefault="000F16EB" w:rsidP="00A7521D">
            <w:pPr>
              <w:spacing w:after="0" w:line="240" w:lineRule="auto"/>
              <w:jc w:val="center"/>
            </w:pPr>
            <w:r>
              <w:t>1</w:t>
            </w:r>
          </w:p>
        </w:tc>
        <w:tc>
          <w:tcPr>
            <w:tcW w:w="3558" w:type="dxa"/>
            <w:tcBorders>
              <w:top w:val="single" w:sz="4" w:space="0" w:color="auto"/>
              <w:left w:val="nil"/>
              <w:bottom w:val="nil"/>
              <w:right w:val="nil"/>
            </w:tcBorders>
            <w:hideMark/>
          </w:tcPr>
          <w:p w14:paraId="1D57C5C6" w14:textId="77777777" w:rsidR="000F16EB" w:rsidRDefault="000F16EB" w:rsidP="00A7521D">
            <w:pPr>
              <w:spacing w:after="0" w:line="240" w:lineRule="auto"/>
              <w:jc w:val="center"/>
            </w:pPr>
            <w:r>
              <w:t>General office</w:t>
            </w:r>
          </w:p>
        </w:tc>
        <w:tc>
          <w:tcPr>
            <w:tcW w:w="1841" w:type="dxa"/>
            <w:tcBorders>
              <w:top w:val="single" w:sz="4" w:space="0" w:color="auto"/>
              <w:left w:val="nil"/>
              <w:bottom w:val="nil"/>
              <w:right w:val="nil"/>
            </w:tcBorders>
            <w:hideMark/>
          </w:tcPr>
          <w:p w14:paraId="4B4AFDF8" w14:textId="77777777" w:rsidR="000F16EB" w:rsidRDefault="000F16EB" w:rsidP="00A7521D">
            <w:pPr>
              <w:spacing w:after="0" w:line="240" w:lineRule="auto"/>
              <w:jc w:val="center"/>
            </w:pPr>
            <w:r>
              <w:t>95</w:t>
            </w:r>
          </w:p>
        </w:tc>
        <w:tc>
          <w:tcPr>
            <w:tcW w:w="1842" w:type="dxa"/>
            <w:tcBorders>
              <w:top w:val="single" w:sz="4" w:space="0" w:color="auto"/>
              <w:left w:val="nil"/>
              <w:bottom w:val="nil"/>
              <w:right w:val="nil"/>
            </w:tcBorders>
            <w:hideMark/>
          </w:tcPr>
          <w:p w14:paraId="16FDE00C" w14:textId="77777777" w:rsidR="000F16EB" w:rsidRDefault="000F16EB" w:rsidP="00A7521D">
            <w:pPr>
              <w:spacing w:after="0" w:line="240" w:lineRule="auto"/>
              <w:jc w:val="center"/>
            </w:pPr>
            <w:r>
              <w:t>120</w:t>
            </w:r>
          </w:p>
        </w:tc>
      </w:tr>
      <w:tr w:rsidR="000F16EB" w14:paraId="155E20E4" w14:textId="77777777" w:rsidTr="00A7521D">
        <w:trPr>
          <w:jc w:val="center"/>
        </w:trPr>
        <w:tc>
          <w:tcPr>
            <w:tcW w:w="1065" w:type="dxa"/>
            <w:tcBorders>
              <w:top w:val="nil"/>
              <w:left w:val="nil"/>
              <w:bottom w:val="nil"/>
              <w:right w:val="nil"/>
            </w:tcBorders>
            <w:hideMark/>
          </w:tcPr>
          <w:p w14:paraId="3521E255" w14:textId="77777777" w:rsidR="000F16EB" w:rsidRDefault="000F16EB" w:rsidP="00A7521D">
            <w:pPr>
              <w:spacing w:after="0" w:line="240" w:lineRule="auto"/>
              <w:jc w:val="center"/>
            </w:pPr>
            <w:r>
              <w:t>2</w:t>
            </w:r>
          </w:p>
        </w:tc>
        <w:tc>
          <w:tcPr>
            <w:tcW w:w="3558" w:type="dxa"/>
            <w:tcBorders>
              <w:top w:val="nil"/>
              <w:left w:val="nil"/>
              <w:bottom w:val="nil"/>
              <w:right w:val="nil"/>
            </w:tcBorders>
            <w:hideMark/>
          </w:tcPr>
          <w:p w14:paraId="6FF4B164" w14:textId="77777777" w:rsidR="000F16EB" w:rsidRDefault="000F16EB" w:rsidP="00A7521D">
            <w:pPr>
              <w:spacing w:after="0" w:line="240" w:lineRule="auto"/>
              <w:jc w:val="center"/>
            </w:pPr>
            <w:r>
              <w:t>High street agency</w:t>
            </w:r>
          </w:p>
        </w:tc>
        <w:tc>
          <w:tcPr>
            <w:tcW w:w="1841" w:type="dxa"/>
            <w:tcBorders>
              <w:top w:val="nil"/>
              <w:left w:val="nil"/>
              <w:bottom w:val="nil"/>
              <w:right w:val="nil"/>
            </w:tcBorders>
            <w:hideMark/>
          </w:tcPr>
          <w:p w14:paraId="1946335B" w14:textId="77777777" w:rsidR="000F16EB" w:rsidRDefault="000F16EB" w:rsidP="00A7521D">
            <w:pPr>
              <w:spacing w:after="0" w:line="240" w:lineRule="auto"/>
              <w:jc w:val="center"/>
            </w:pPr>
            <w:r>
              <w:t>140</w:t>
            </w:r>
          </w:p>
        </w:tc>
        <w:tc>
          <w:tcPr>
            <w:tcW w:w="1842" w:type="dxa"/>
            <w:tcBorders>
              <w:top w:val="nil"/>
              <w:left w:val="nil"/>
              <w:bottom w:val="nil"/>
              <w:right w:val="nil"/>
            </w:tcBorders>
            <w:hideMark/>
          </w:tcPr>
          <w:p w14:paraId="352CDE6F" w14:textId="77777777" w:rsidR="000F16EB" w:rsidRDefault="000F16EB" w:rsidP="00A7521D">
            <w:pPr>
              <w:spacing w:after="0" w:line="240" w:lineRule="auto"/>
              <w:jc w:val="center"/>
            </w:pPr>
            <w:r>
              <w:t>0</w:t>
            </w:r>
          </w:p>
        </w:tc>
      </w:tr>
      <w:tr w:rsidR="000F16EB" w14:paraId="5A59FC7A" w14:textId="77777777" w:rsidTr="00A7521D">
        <w:trPr>
          <w:jc w:val="center"/>
        </w:trPr>
        <w:tc>
          <w:tcPr>
            <w:tcW w:w="1065" w:type="dxa"/>
            <w:tcBorders>
              <w:top w:val="nil"/>
              <w:left w:val="nil"/>
              <w:bottom w:val="nil"/>
              <w:right w:val="nil"/>
            </w:tcBorders>
            <w:hideMark/>
          </w:tcPr>
          <w:p w14:paraId="57209921" w14:textId="77777777" w:rsidR="000F16EB" w:rsidRDefault="000F16EB" w:rsidP="00A7521D">
            <w:pPr>
              <w:spacing w:after="0" w:line="240" w:lineRule="auto"/>
              <w:jc w:val="center"/>
            </w:pPr>
            <w:r>
              <w:t>3</w:t>
            </w:r>
          </w:p>
        </w:tc>
        <w:tc>
          <w:tcPr>
            <w:tcW w:w="3558" w:type="dxa"/>
            <w:tcBorders>
              <w:top w:val="nil"/>
              <w:left w:val="nil"/>
              <w:bottom w:val="nil"/>
              <w:right w:val="nil"/>
            </w:tcBorders>
            <w:hideMark/>
          </w:tcPr>
          <w:p w14:paraId="189F59B6" w14:textId="77777777" w:rsidR="000F16EB" w:rsidRDefault="000F16EB" w:rsidP="00A7521D">
            <w:pPr>
              <w:spacing w:after="0" w:line="240" w:lineRule="auto"/>
              <w:jc w:val="center"/>
            </w:pPr>
            <w:r>
              <w:t>General retail</w:t>
            </w:r>
          </w:p>
        </w:tc>
        <w:tc>
          <w:tcPr>
            <w:tcW w:w="1841" w:type="dxa"/>
            <w:tcBorders>
              <w:top w:val="nil"/>
              <w:left w:val="nil"/>
              <w:bottom w:val="nil"/>
              <w:right w:val="nil"/>
            </w:tcBorders>
            <w:hideMark/>
          </w:tcPr>
          <w:p w14:paraId="344162F9" w14:textId="77777777" w:rsidR="000F16EB" w:rsidRDefault="000F16EB" w:rsidP="00A7521D">
            <w:pPr>
              <w:spacing w:after="0" w:line="240" w:lineRule="auto"/>
              <w:jc w:val="center"/>
            </w:pPr>
            <w:r>
              <w:t>165</w:t>
            </w:r>
          </w:p>
        </w:tc>
        <w:tc>
          <w:tcPr>
            <w:tcW w:w="1842" w:type="dxa"/>
            <w:tcBorders>
              <w:top w:val="nil"/>
              <w:left w:val="nil"/>
              <w:bottom w:val="nil"/>
              <w:right w:val="nil"/>
            </w:tcBorders>
            <w:hideMark/>
          </w:tcPr>
          <w:p w14:paraId="4B7ECBB7" w14:textId="77777777" w:rsidR="000F16EB" w:rsidRDefault="000F16EB" w:rsidP="00A7521D">
            <w:pPr>
              <w:spacing w:after="0" w:line="240" w:lineRule="auto"/>
              <w:jc w:val="center"/>
            </w:pPr>
            <w:r>
              <w:t>0</w:t>
            </w:r>
          </w:p>
        </w:tc>
      </w:tr>
      <w:tr w:rsidR="000F16EB" w14:paraId="2F3A02B4" w14:textId="77777777" w:rsidTr="00A7521D">
        <w:trPr>
          <w:jc w:val="center"/>
        </w:trPr>
        <w:tc>
          <w:tcPr>
            <w:tcW w:w="1065" w:type="dxa"/>
            <w:tcBorders>
              <w:top w:val="nil"/>
              <w:left w:val="nil"/>
              <w:bottom w:val="nil"/>
              <w:right w:val="nil"/>
            </w:tcBorders>
            <w:hideMark/>
          </w:tcPr>
          <w:p w14:paraId="4937BBB9" w14:textId="77777777" w:rsidR="000F16EB" w:rsidRDefault="000F16EB" w:rsidP="00A7521D">
            <w:pPr>
              <w:spacing w:after="0" w:line="240" w:lineRule="auto"/>
              <w:jc w:val="center"/>
            </w:pPr>
            <w:r>
              <w:t>4</w:t>
            </w:r>
          </w:p>
        </w:tc>
        <w:tc>
          <w:tcPr>
            <w:tcW w:w="3558" w:type="dxa"/>
            <w:tcBorders>
              <w:top w:val="nil"/>
              <w:left w:val="nil"/>
              <w:bottom w:val="nil"/>
              <w:right w:val="nil"/>
            </w:tcBorders>
            <w:hideMark/>
          </w:tcPr>
          <w:p w14:paraId="7A297528" w14:textId="77777777" w:rsidR="000F16EB" w:rsidRDefault="000F16EB" w:rsidP="00A7521D">
            <w:pPr>
              <w:spacing w:after="0" w:line="240" w:lineRule="auto"/>
              <w:jc w:val="center"/>
            </w:pPr>
            <w:r>
              <w:t>Large non-food shop</w:t>
            </w:r>
          </w:p>
        </w:tc>
        <w:tc>
          <w:tcPr>
            <w:tcW w:w="1841" w:type="dxa"/>
            <w:tcBorders>
              <w:top w:val="nil"/>
              <w:left w:val="nil"/>
              <w:bottom w:val="nil"/>
              <w:right w:val="nil"/>
            </w:tcBorders>
            <w:hideMark/>
          </w:tcPr>
          <w:p w14:paraId="23806E47" w14:textId="77777777" w:rsidR="000F16EB" w:rsidRDefault="000F16EB" w:rsidP="00A7521D">
            <w:pPr>
              <w:spacing w:after="0" w:line="240" w:lineRule="auto"/>
              <w:jc w:val="center"/>
            </w:pPr>
            <w:r>
              <w:t>70</w:t>
            </w:r>
          </w:p>
        </w:tc>
        <w:tc>
          <w:tcPr>
            <w:tcW w:w="1842" w:type="dxa"/>
            <w:tcBorders>
              <w:top w:val="nil"/>
              <w:left w:val="nil"/>
              <w:bottom w:val="nil"/>
              <w:right w:val="nil"/>
            </w:tcBorders>
            <w:hideMark/>
          </w:tcPr>
          <w:p w14:paraId="11135F41" w14:textId="77777777" w:rsidR="000F16EB" w:rsidRDefault="000F16EB" w:rsidP="00A7521D">
            <w:pPr>
              <w:spacing w:after="0" w:line="240" w:lineRule="auto"/>
              <w:jc w:val="center"/>
            </w:pPr>
            <w:r>
              <w:t>170</w:t>
            </w:r>
          </w:p>
        </w:tc>
      </w:tr>
      <w:tr w:rsidR="000F16EB" w14:paraId="09CAC90F" w14:textId="77777777" w:rsidTr="00A7521D">
        <w:trPr>
          <w:jc w:val="center"/>
        </w:trPr>
        <w:tc>
          <w:tcPr>
            <w:tcW w:w="1065" w:type="dxa"/>
            <w:tcBorders>
              <w:top w:val="nil"/>
              <w:left w:val="nil"/>
              <w:bottom w:val="nil"/>
              <w:right w:val="nil"/>
            </w:tcBorders>
            <w:hideMark/>
          </w:tcPr>
          <w:p w14:paraId="5F866ECF" w14:textId="77777777" w:rsidR="000F16EB" w:rsidRDefault="000F16EB" w:rsidP="00A7521D">
            <w:pPr>
              <w:spacing w:after="0" w:line="240" w:lineRule="auto"/>
              <w:jc w:val="center"/>
            </w:pPr>
            <w:r>
              <w:t>5</w:t>
            </w:r>
          </w:p>
        </w:tc>
        <w:tc>
          <w:tcPr>
            <w:tcW w:w="3558" w:type="dxa"/>
            <w:tcBorders>
              <w:top w:val="nil"/>
              <w:left w:val="nil"/>
              <w:bottom w:val="nil"/>
              <w:right w:val="nil"/>
            </w:tcBorders>
            <w:hideMark/>
          </w:tcPr>
          <w:p w14:paraId="4355D69D" w14:textId="77777777" w:rsidR="000F16EB" w:rsidRDefault="000F16EB" w:rsidP="00A7521D">
            <w:pPr>
              <w:spacing w:after="0" w:line="240" w:lineRule="auto"/>
              <w:jc w:val="center"/>
            </w:pPr>
            <w:r>
              <w:t>Small food store</w:t>
            </w:r>
          </w:p>
        </w:tc>
        <w:tc>
          <w:tcPr>
            <w:tcW w:w="1841" w:type="dxa"/>
            <w:tcBorders>
              <w:top w:val="nil"/>
              <w:left w:val="nil"/>
              <w:bottom w:val="nil"/>
              <w:right w:val="nil"/>
            </w:tcBorders>
            <w:hideMark/>
          </w:tcPr>
          <w:p w14:paraId="4F170F97" w14:textId="77777777" w:rsidR="000F16EB" w:rsidRDefault="000F16EB" w:rsidP="00A7521D">
            <w:pPr>
              <w:spacing w:after="0" w:line="240" w:lineRule="auto"/>
              <w:jc w:val="center"/>
            </w:pPr>
            <w:r>
              <w:t>310</w:t>
            </w:r>
          </w:p>
        </w:tc>
        <w:tc>
          <w:tcPr>
            <w:tcW w:w="1842" w:type="dxa"/>
            <w:tcBorders>
              <w:top w:val="nil"/>
              <w:left w:val="nil"/>
              <w:bottom w:val="nil"/>
              <w:right w:val="nil"/>
            </w:tcBorders>
            <w:hideMark/>
          </w:tcPr>
          <w:p w14:paraId="42BDE36E" w14:textId="77777777" w:rsidR="000F16EB" w:rsidRDefault="000F16EB" w:rsidP="00A7521D">
            <w:pPr>
              <w:spacing w:after="0" w:line="240" w:lineRule="auto"/>
              <w:jc w:val="center"/>
            </w:pPr>
            <w:r>
              <w:t>0</w:t>
            </w:r>
          </w:p>
        </w:tc>
      </w:tr>
      <w:tr w:rsidR="000F16EB" w14:paraId="78DF0977" w14:textId="77777777" w:rsidTr="00A7521D">
        <w:trPr>
          <w:jc w:val="center"/>
        </w:trPr>
        <w:tc>
          <w:tcPr>
            <w:tcW w:w="1065" w:type="dxa"/>
            <w:tcBorders>
              <w:top w:val="nil"/>
              <w:left w:val="nil"/>
              <w:bottom w:val="nil"/>
              <w:right w:val="nil"/>
            </w:tcBorders>
            <w:hideMark/>
          </w:tcPr>
          <w:p w14:paraId="438FEC9C" w14:textId="77777777" w:rsidR="000F16EB" w:rsidRDefault="000F16EB" w:rsidP="00A7521D">
            <w:pPr>
              <w:spacing w:after="0" w:line="240" w:lineRule="auto"/>
              <w:jc w:val="center"/>
            </w:pPr>
            <w:r>
              <w:t>6</w:t>
            </w:r>
          </w:p>
        </w:tc>
        <w:tc>
          <w:tcPr>
            <w:tcW w:w="3558" w:type="dxa"/>
            <w:tcBorders>
              <w:top w:val="nil"/>
              <w:left w:val="nil"/>
              <w:bottom w:val="nil"/>
              <w:right w:val="nil"/>
            </w:tcBorders>
            <w:hideMark/>
          </w:tcPr>
          <w:p w14:paraId="0375044D" w14:textId="77777777" w:rsidR="000F16EB" w:rsidRDefault="000F16EB" w:rsidP="00A7521D">
            <w:pPr>
              <w:spacing w:after="0" w:line="240" w:lineRule="auto"/>
              <w:jc w:val="center"/>
            </w:pPr>
            <w:r>
              <w:t>Large food store</w:t>
            </w:r>
          </w:p>
        </w:tc>
        <w:tc>
          <w:tcPr>
            <w:tcW w:w="1841" w:type="dxa"/>
            <w:tcBorders>
              <w:top w:val="nil"/>
              <w:left w:val="nil"/>
              <w:bottom w:val="nil"/>
              <w:right w:val="nil"/>
            </w:tcBorders>
            <w:hideMark/>
          </w:tcPr>
          <w:p w14:paraId="3B32B977" w14:textId="77777777" w:rsidR="000F16EB" w:rsidRDefault="000F16EB" w:rsidP="00A7521D">
            <w:pPr>
              <w:spacing w:after="0" w:line="240" w:lineRule="auto"/>
              <w:jc w:val="center"/>
            </w:pPr>
            <w:r>
              <w:t>400</w:t>
            </w:r>
          </w:p>
        </w:tc>
        <w:tc>
          <w:tcPr>
            <w:tcW w:w="1842" w:type="dxa"/>
            <w:tcBorders>
              <w:top w:val="nil"/>
              <w:left w:val="nil"/>
              <w:bottom w:val="nil"/>
              <w:right w:val="nil"/>
            </w:tcBorders>
            <w:hideMark/>
          </w:tcPr>
          <w:p w14:paraId="2401EC9D" w14:textId="77777777" w:rsidR="000F16EB" w:rsidRDefault="000F16EB" w:rsidP="00A7521D">
            <w:pPr>
              <w:spacing w:after="0" w:line="240" w:lineRule="auto"/>
              <w:jc w:val="center"/>
            </w:pPr>
            <w:r>
              <w:t>105</w:t>
            </w:r>
          </w:p>
        </w:tc>
      </w:tr>
      <w:tr w:rsidR="000F16EB" w14:paraId="6134CFE3" w14:textId="77777777" w:rsidTr="00A7521D">
        <w:trPr>
          <w:jc w:val="center"/>
        </w:trPr>
        <w:tc>
          <w:tcPr>
            <w:tcW w:w="1065" w:type="dxa"/>
            <w:tcBorders>
              <w:top w:val="nil"/>
              <w:left w:val="nil"/>
              <w:bottom w:val="nil"/>
              <w:right w:val="nil"/>
            </w:tcBorders>
            <w:hideMark/>
          </w:tcPr>
          <w:p w14:paraId="1F7B108B" w14:textId="77777777" w:rsidR="000F16EB" w:rsidRDefault="000F16EB" w:rsidP="00A7521D">
            <w:pPr>
              <w:spacing w:after="0" w:line="240" w:lineRule="auto"/>
              <w:jc w:val="center"/>
            </w:pPr>
            <w:r>
              <w:t>7</w:t>
            </w:r>
          </w:p>
        </w:tc>
        <w:tc>
          <w:tcPr>
            <w:tcW w:w="3558" w:type="dxa"/>
            <w:tcBorders>
              <w:top w:val="nil"/>
              <w:left w:val="nil"/>
              <w:bottom w:val="nil"/>
              <w:right w:val="nil"/>
            </w:tcBorders>
            <w:hideMark/>
          </w:tcPr>
          <w:p w14:paraId="4F367724" w14:textId="77777777" w:rsidR="000F16EB" w:rsidRDefault="000F16EB" w:rsidP="00A7521D">
            <w:pPr>
              <w:spacing w:after="0" w:line="240" w:lineRule="auto"/>
              <w:jc w:val="center"/>
            </w:pPr>
            <w:r>
              <w:t>Restaurant</w:t>
            </w:r>
          </w:p>
        </w:tc>
        <w:tc>
          <w:tcPr>
            <w:tcW w:w="1841" w:type="dxa"/>
            <w:tcBorders>
              <w:top w:val="nil"/>
              <w:left w:val="nil"/>
              <w:bottom w:val="nil"/>
              <w:right w:val="nil"/>
            </w:tcBorders>
            <w:hideMark/>
          </w:tcPr>
          <w:p w14:paraId="77858754" w14:textId="77777777" w:rsidR="000F16EB" w:rsidRDefault="000F16EB" w:rsidP="00A7521D">
            <w:pPr>
              <w:spacing w:after="0" w:line="240" w:lineRule="auto"/>
              <w:jc w:val="center"/>
            </w:pPr>
            <w:r>
              <w:t>90</w:t>
            </w:r>
          </w:p>
        </w:tc>
        <w:tc>
          <w:tcPr>
            <w:tcW w:w="1842" w:type="dxa"/>
            <w:tcBorders>
              <w:top w:val="nil"/>
              <w:left w:val="nil"/>
              <w:bottom w:val="nil"/>
              <w:right w:val="nil"/>
            </w:tcBorders>
            <w:hideMark/>
          </w:tcPr>
          <w:p w14:paraId="58A586E4" w14:textId="77777777" w:rsidR="000F16EB" w:rsidRDefault="000F16EB" w:rsidP="00A7521D">
            <w:pPr>
              <w:spacing w:after="0" w:line="240" w:lineRule="auto"/>
              <w:jc w:val="center"/>
            </w:pPr>
            <w:r>
              <w:t>370</w:t>
            </w:r>
          </w:p>
        </w:tc>
      </w:tr>
      <w:tr w:rsidR="000F16EB" w14:paraId="355EDED3" w14:textId="77777777" w:rsidTr="00A7521D">
        <w:trPr>
          <w:jc w:val="center"/>
        </w:trPr>
        <w:tc>
          <w:tcPr>
            <w:tcW w:w="1065" w:type="dxa"/>
            <w:tcBorders>
              <w:top w:val="nil"/>
              <w:left w:val="nil"/>
              <w:bottom w:val="nil"/>
              <w:right w:val="nil"/>
            </w:tcBorders>
            <w:hideMark/>
          </w:tcPr>
          <w:p w14:paraId="4218295B" w14:textId="77777777" w:rsidR="000F16EB" w:rsidRDefault="000F16EB" w:rsidP="00A7521D">
            <w:pPr>
              <w:spacing w:after="0" w:line="240" w:lineRule="auto"/>
              <w:jc w:val="center"/>
            </w:pPr>
            <w:r>
              <w:t>8</w:t>
            </w:r>
          </w:p>
        </w:tc>
        <w:tc>
          <w:tcPr>
            <w:tcW w:w="3558" w:type="dxa"/>
            <w:tcBorders>
              <w:top w:val="nil"/>
              <w:left w:val="nil"/>
              <w:bottom w:val="nil"/>
              <w:right w:val="nil"/>
            </w:tcBorders>
            <w:hideMark/>
          </w:tcPr>
          <w:p w14:paraId="33F7657F" w14:textId="77777777" w:rsidR="000F16EB" w:rsidRDefault="000F16EB" w:rsidP="00A7521D">
            <w:pPr>
              <w:spacing w:after="0" w:line="240" w:lineRule="auto"/>
              <w:jc w:val="center"/>
            </w:pPr>
            <w:r>
              <w:t>Bar/ pub</w:t>
            </w:r>
          </w:p>
        </w:tc>
        <w:tc>
          <w:tcPr>
            <w:tcW w:w="1841" w:type="dxa"/>
            <w:tcBorders>
              <w:top w:val="nil"/>
              <w:left w:val="nil"/>
              <w:bottom w:val="nil"/>
              <w:right w:val="nil"/>
            </w:tcBorders>
            <w:hideMark/>
          </w:tcPr>
          <w:p w14:paraId="34FD8005" w14:textId="77777777" w:rsidR="000F16EB" w:rsidRDefault="000F16EB" w:rsidP="00A7521D">
            <w:pPr>
              <w:spacing w:after="0" w:line="240" w:lineRule="auto"/>
              <w:jc w:val="center"/>
            </w:pPr>
            <w:r>
              <w:t>130</w:t>
            </w:r>
          </w:p>
        </w:tc>
        <w:tc>
          <w:tcPr>
            <w:tcW w:w="1842" w:type="dxa"/>
            <w:tcBorders>
              <w:top w:val="nil"/>
              <w:left w:val="nil"/>
              <w:bottom w:val="nil"/>
              <w:right w:val="nil"/>
            </w:tcBorders>
            <w:hideMark/>
          </w:tcPr>
          <w:p w14:paraId="7C251335" w14:textId="77777777" w:rsidR="000F16EB" w:rsidRDefault="000F16EB" w:rsidP="00A7521D">
            <w:pPr>
              <w:spacing w:after="0" w:line="240" w:lineRule="auto"/>
              <w:jc w:val="center"/>
            </w:pPr>
            <w:r>
              <w:t>350</w:t>
            </w:r>
          </w:p>
        </w:tc>
      </w:tr>
      <w:tr w:rsidR="000F16EB" w14:paraId="4B9A7C5E" w14:textId="77777777" w:rsidTr="00A7521D">
        <w:trPr>
          <w:jc w:val="center"/>
        </w:trPr>
        <w:tc>
          <w:tcPr>
            <w:tcW w:w="1065" w:type="dxa"/>
            <w:tcBorders>
              <w:top w:val="nil"/>
              <w:left w:val="nil"/>
              <w:bottom w:val="nil"/>
              <w:right w:val="nil"/>
            </w:tcBorders>
            <w:hideMark/>
          </w:tcPr>
          <w:p w14:paraId="13972730" w14:textId="77777777" w:rsidR="000F16EB" w:rsidRDefault="000F16EB" w:rsidP="00A7521D">
            <w:pPr>
              <w:spacing w:after="0" w:line="240" w:lineRule="auto"/>
              <w:jc w:val="center"/>
            </w:pPr>
            <w:r>
              <w:t>9</w:t>
            </w:r>
          </w:p>
        </w:tc>
        <w:tc>
          <w:tcPr>
            <w:tcW w:w="3558" w:type="dxa"/>
            <w:tcBorders>
              <w:top w:val="nil"/>
              <w:left w:val="nil"/>
              <w:bottom w:val="nil"/>
              <w:right w:val="nil"/>
            </w:tcBorders>
            <w:hideMark/>
          </w:tcPr>
          <w:p w14:paraId="28C70A72" w14:textId="77777777" w:rsidR="000F16EB" w:rsidRDefault="000F16EB" w:rsidP="00A7521D">
            <w:pPr>
              <w:spacing w:after="0" w:line="240" w:lineRule="auto"/>
              <w:jc w:val="center"/>
            </w:pPr>
            <w:r>
              <w:t>Hotel</w:t>
            </w:r>
          </w:p>
        </w:tc>
        <w:tc>
          <w:tcPr>
            <w:tcW w:w="1841" w:type="dxa"/>
            <w:tcBorders>
              <w:top w:val="nil"/>
              <w:left w:val="nil"/>
              <w:bottom w:val="nil"/>
              <w:right w:val="nil"/>
            </w:tcBorders>
            <w:hideMark/>
          </w:tcPr>
          <w:p w14:paraId="76E87F1E" w14:textId="77777777" w:rsidR="000F16EB" w:rsidRDefault="000F16EB" w:rsidP="00A7521D">
            <w:pPr>
              <w:spacing w:after="0" w:line="240" w:lineRule="auto"/>
              <w:jc w:val="center"/>
            </w:pPr>
            <w:r>
              <w:t>105</w:t>
            </w:r>
          </w:p>
        </w:tc>
        <w:tc>
          <w:tcPr>
            <w:tcW w:w="1842" w:type="dxa"/>
            <w:tcBorders>
              <w:top w:val="nil"/>
              <w:left w:val="nil"/>
              <w:bottom w:val="nil"/>
              <w:right w:val="nil"/>
            </w:tcBorders>
            <w:hideMark/>
          </w:tcPr>
          <w:p w14:paraId="50619B95" w14:textId="77777777" w:rsidR="000F16EB" w:rsidRDefault="000F16EB" w:rsidP="00A7521D">
            <w:pPr>
              <w:spacing w:after="0" w:line="240" w:lineRule="auto"/>
              <w:jc w:val="center"/>
            </w:pPr>
            <w:r>
              <w:t>330</w:t>
            </w:r>
          </w:p>
        </w:tc>
      </w:tr>
      <w:tr w:rsidR="000F16EB" w14:paraId="763D7B8F" w14:textId="77777777" w:rsidTr="00A7521D">
        <w:trPr>
          <w:jc w:val="center"/>
        </w:trPr>
        <w:tc>
          <w:tcPr>
            <w:tcW w:w="1065" w:type="dxa"/>
            <w:tcBorders>
              <w:top w:val="nil"/>
              <w:left w:val="nil"/>
              <w:bottom w:val="nil"/>
              <w:right w:val="nil"/>
            </w:tcBorders>
            <w:hideMark/>
          </w:tcPr>
          <w:p w14:paraId="00A208CE" w14:textId="77777777" w:rsidR="000F16EB" w:rsidRDefault="000F16EB" w:rsidP="00A7521D">
            <w:pPr>
              <w:spacing w:after="0" w:line="240" w:lineRule="auto"/>
              <w:jc w:val="center"/>
            </w:pPr>
            <w:r>
              <w:t>10</w:t>
            </w:r>
          </w:p>
        </w:tc>
        <w:tc>
          <w:tcPr>
            <w:tcW w:w="3558" w:type="dxa"/>
            <w:tcBorders>
              <w:top w:val="nil"/>
              <w:left w:val="nil"/>
              <w:bottom w:val="nil"/>
              <w:right w:val="nil"/>
            </w:tcBorders>
            <w:hideMark/>
          </w:tcPr>
          <w:p w14:paraId="63387477" w14:textId="77777777" w:rsidR="000F16EB" w:rsidRDefault="000F16EB" w:rsidP="00A7521D">
            <w:pPr>
              <w:spacing w:after="0" w:line="240" w:lineRule="auto"/>
              <w:jc w:val="center"/>
            </w:pPr>
            <w:r>
              <w:t>Cultural activities</w:t>
            </w:r>
          </w:p>
        </w:tc>
        <w:tc>
          <w:tcPr>
            <w:tcW w:w="1841" w:type="dxa"/>
            <w:tcBorders>
              <w:top w:val="nil"/>
              <w:left w:val="nil"/>
              <w:bottom w:val="nil"/>
              <w:right w:val="nil"/>
            </w:tcBorders>
            <w:hideMark/>
          </w:tcPr>
          <w:p w14:paraId="07D8EAD4" w14:textId="77777777" w:rsidR="000F16EB" w:rsidRDefault="000F16EB" w:rsidP="00A7521D">
            <w:pPr>
              <w:spacing w:after="0" w:line="240" w:lineRule="auto"/>
              <w:jc w:val="center"/>
            </w:pPr>
            <w:r>
              <w:t>70</w:t>
            </w:r>
          </w:p>
        </w:tc>
        <w:tc>
          <w:tcPr>
            <w:tcW w:w="1842" w:type="dxa"/>
            <w:tcBorders>
              <w:top w:val="nil"/>
              <w:left w:val="nil"/>
              <w:bottom w:val="nil"/>
              <w:right w:val="nil"/>
            </w:tcBorders>
            <w:hideMark/>
          </w:tcPr>
          <w:p w14:paraId="27B56DAE" w14:textId="77777777" w:rsidR="000F16EB" w:rsidRDefault="000F16EB" w:rsidP="00A7521D">
            <w:pPr>
              <w:spacing w:after="0" w:line="240" w:lineRule="auto"/>
              <w:jc w:val="center"/>
            </w:pPr>
            <w:r>
              <w:t>200</w:t>
            </w:r>
          </w:p>
        </w:tc>
      </w:tr>
      <w:tr w:rsidR="000F16EB" w14:paraId="5B44A48B" w14:textId="77777777" w:rsidTr="00A7521D">
        <w:trPr>
          <w:jc w:val="center"/>
        </w:trPr>
        <w:tc>
          <w:tcPr>
            <w:tcW w:w="1065" w:type="dxa"/>
            <w:tcBorders>
              <w:top w:val="nil"/>
              <w:left w:val="nil"/>
              <w:bottom w:val="nil"/>
              <w:right w:val="nil"/>
            </w:tcBorders>
            <w:hideMark/>
          </w:tcPr>
          <w:p w14:paraId="2FBA0480" w14:textId="77777777" w:rsidR="000F16EB" w:rsidRDefault="000F16EB" w:rsidP="00A7521D">
            <w:pPr>
              <w:spacing w:after="0" w:line="240" w:lineRule="auto"/>
              <w:jc w:val="center"/>
            </w:pPr>
            <w:r>
              <w:t>11</w:t>
            </w:r>
          </w:p>
        </w:tc>
        <w:tc>
          <w:tcPr>
            <w:tcW w:w="3558" w:type="dxa"/>
            <w:tcBorders>
              <w:top w:val="nil"/>
              <w:left w:val="nil"/>
              <w:bottom w:val="nil"/>
              <w:right w:val="nil"/>
            </w:tcBorders>
            <w:hideMark/>
          </w:tcPr>
          <w:p w14:paraId="0E4B7D8B" w14:textId="77777777" w:rsidR="000F16EB" w:rsidRDefault="000F16EB" w:rsidP="00A7521D">
            <w:pPr>
              <w:spacing w:after="0" w:line="240" w:lineRule="auto"/>
              <w:jc w:val="center"/>
            </w:pPr>
            <w:r>
              <w:t>Entertainment halls</w:t>
            </w:r>
          </w:p>
        </w:tc>
        <w:tc>
          <w:tcPr>
            <w:tcW w:w="1841" w:type="dxa"/>
            <w:tcBorders>
              <w:top w:val="nil"/>
              <w:left w:val="nil"/>
              <w:bottom w:val="nil"/>
              <w:right w:val="nil"/>
            </w:tcBorders>
            <w:hideMark/>
          </w:tcPr>
          <w:p w14:paraId="011BE536" w14:textId="77777777" w:rsidR="000F16EB" w:rsidRDefault="000F16EB" w:rsidP="00A7521D">
            <w:pPr>
              <w:spacing w:after="0" w:line="240" w:lineRule="auto"/>
              <w:jc w:val="center"/>
            </w:pPr>
            <w:r>
              <w:t>150</w:t>
            </w:r>
          </w:p>
        </w:tc>
        <w:tc>
          <w:tcPr>
            <w:tcW w:w="1842" w:type="dxa"/>
            <w:tcBorders>
              <w:top w:val="nil"/>
              <w:left w:val="nil"/>
              <w:bottom w:val="nil"/>
              <w:right w:val="nil"/>
            </w:tcBorders>
            <w:hideMark/>
          </w:tcPr>
          <w:p w14:paraId="2635066F" w14:textId="77777777" w:rsidR="000F16EB" w:rsidRDefault="000F16EB" w:rsidP="00A7521D">
            <w:pPr>
              <w:spacing w:after="0" w:line="240" w:lineRule="auto"/>
              <w:jc w:val="center"/>
            </w:pPr>
            <w:r>
              <w:t>420</w:t>
            </w:r>
          </w:p>
        </w:tc>
      </w:tr>
      <w:tr w:rsidR="000F16EB" w14:paraId="7D1EDAED" w14:textId="77777777" w:rsidTr="00A7521D">
        <w:trPr>
          <w:jc w:val="center"/>
        </w:trPr>
        <w:tc>
          <w:tcPr>
            <w:tcW w:w="1065" w:type="dxa"/>
            <w:tcBorders>
              <w:top w:val="nil"/>
              <w:left w:val="nil"/>
              <w:bottom w:val="nil"/>
              <w:right w:val="nil"/>
            </w:tcBorders>
            <w:hideMark/>
          </w:tcPr>
          <w:p w14:paraId="73695421" w14:textId="77777777" w:rsidR="000F16EB" w:rsidRDefault="000F16EB" w:rsidP="00A7521D">
            <w:pPr>
              <w:spacing w:after="0" w:line="240" w:lineRule="auto"/>
              <w:jc w:val="center"/>
            </w:pPr>
            <w:r>
              <w:t>12</w:t>
            </w:r>
          </w:p>
        </w:tc>
        <w:tc>
          <w:tcPr>
            <w:tcW w:w="3558" w:type="dxa"/>
            <w:tcBorders>
              <w:top w:val="nil"/>
              <w:left w:val="nil"/>
              <w:bottom w:val="nil"/>
              <w:right w:val="nil"/>
            </w:tcBorders>
            <w:hideMark/>
          </w:tcPr>
          <w:p w14:paraId="2ACD603D" w14:textId="77777777" w:rsidR="000F16EB" w:rsidRDefault="000F16EB" w:rsidP="00A7521D">
            <w:pPr>
              <w:spacing w:after="0" w:line="240" w:lineRule="auto"/>
              <w:jc w:val="center"/>
            </w:pPr>
            <w:r>
              <w:t>Swimming pool centre</w:t>
            </w:r>
          </w:p>
        </w:tc>
        <w:tc>
          <w:tcPr>
            <w:tcW w:w="1841" w:type="dxa"/>
            <w:tcBorders>
              <w:top w:val="nil"/>
              <w:left w:val="nil"/>
              <w:bottom w:val="nil"/>
              <w:right w:val="nil"/>
            </w:tcBorders>
            <w:hideMark/>
          </w:tcPr>
          <w:p w14:paraId="23F1CD84" w14:textId="77777777" w:rsidR="000F16EB" w:rsidRDefault="000F16EB" w:rsidP="00A7521D">
            <w:pPr>
              <w:spacing w:after="0" w:line="240" w:lineRule="auto"/>
              <w:jc w:val="center"/>
            </w:pPr>
            <w:r>
              <w:t>245</w:t>
            </w:r>
          </w:p>
        </w:tc>
        <w:tc>
          <w:tcPr>
            <w:tcW w:w="1842" w:type="dxa"/>
            <w:tcBorders>
              <w:top w:val="nil"/>
              <w:left w:val="nil"/>
              <w:bottom w:val="nil"/>
              <w:right w:val="nil"/>
            </w:tcBorders>
            <w:hideMark/>
          </w:tcPr>
          <w:p w14:paraId="0E661420" w14:textId="77777777" w:rsidR="000F16EB" w:rsidRDefault="000F16EB" w:rsidP="00A7521D">
            <w:pPr>
              <w:spacing w:after="0" w:line="240" w:lineRule="auto"/>
              <w:jc w:val="center"/>
            </w:pPr>
            <w:r>
              <w:t>1,130</w:t>
            </w:r>
          </w:p>
        </w:tc>
      </w:tr>
      <w:tr w:rsidR="000F16EB" w14:paraId="6ED0C865" w14:textId="77777777" w:rsidTr="00A7521D">
        <w:trPr>
          <w:jc w:val="center"/>
        </w:trPr>
        <w:tc>
          <w:tcPr>
            <w:tcW w:w="1065" w:type="dxa"/>
            <w:tcBorders>
              <w:top w:val="nil"/>
              <w:left w:val="nil"/>
              <w:bottom w:val="nil"/>
              <w:right w:val="nil"/>
            </w:tcBorders>
            <w:hideMark/>
          </w:tcPr>
          <w:p w14:paraId="23C1A4FE" w14:textId="77777777" w:rsidR="000F16EB" w:rsidRDefault="000F16EB" w:rsidP="00A7521D">
            <w:pPr>
              <w:spacing w:after="0" w:line="240" w:lineRule="auto"/>
              <w:jc w:val="center"/>
            </w:pPr>
            <w:r>
              <w:t>13</w:t>
            </w:r>
          </w:p>
        </w:tc>
        <w:tc>
          <w:tcPr>
            <w:tcW w:w="3558" w:type="dxa"/>
            <w:tcBorders>
              <w:top w:val="nil"/>
              <w:left w:val="nil"/>
              <w:bottom w:val="nil"/>
              <w:right w:val="nil"/>
            </w:tcBorders>
            <w:hideMark/>
          </w:tcPr>
          <w:p w14:paraId="56E37785" w14:textId="77777777" w:rsidR="000F16EB" w:rsidRDefault="000F16EB" w:rsidP="00A7521D">
            <w:pPr>
              <w:spacing w:after="0" w:line="240" w:lineRule="auto"/>
              <w:jc w:val="center"/>
            </w:pPr>
            <w:r>
              <w:t>Fitness and health</w:t>
            </w:r>
          </w:p>
        </w:tc>
        <w:tc>
          <w:tcPr>
            <w:tcW w:w="1841" w:type="dxa"/>
            <w:tcBorders>
              <w:top w:val="nil"/>
              <w:left w:val="nil"/>
              <w:bottom w:val="nil"/>
              <w:right w:val="nil"/>
            </w:tcBorders>
            <w:hideMark/>
          </w:tcPr>
          <w:p w14:paraId="6F6CFB96" w14:textId="77777777" w:rsidR="000F16EB" w:rsidRDefault="000F16EB" w:rsidP="00A7521D">
            <w:pPr>
              <w:spacing w:after="0" w:line="240" w:lineRule="auto"/>
              <w:jc w:val="center"/>
            </w:pPr>
            <w:r>
              <w:t>160</w:t>
            </w:r>
          </w:p>
        </w:tc>
        <w:tc>
          <w:tcPr>
            <w:tcW w:w="1842" w:type="dxa"/>
            <w:tcBorders>
              <w:top w:val="nil"/>
              <w:left w:val="nil"/>
              <w:bottom w:val="nil"/>
              <w:right w:val="nil"/>
            </w:tcBorders>
            <w:hideMark/>
          </w:tcPr>
          <w:p w14:paraId="42FC9444" w14:textId="77777777" w:rsidR="000F16EB" w:rsidRDefault="000F16EB" w:rsidP="00A7521D">
            <w:pPr>
              <w:spacing w:after="0" w:line="240" w:lineRule="auto"/>
              <w:jc w:val="center"/>
            </w:pPr>
            <w:r>
              <w:t>440</w:t>
            </w:r>
          </w:p>
        </w:tc>
      </w:tr>
      <w:tr w:rsidR="000F16EB" w14:paraId="4917911A" w14:textId="77777777" w:rsidTr="00A7521D">
        <w:trPr>
          <w:jc w:val="center"/>
        </w:trPr>
        <w:tc>
          <w:tcPr>
            <w:tcW w:w="1065" w:type="dxa"/>
            <w:tcBorders>
              <w:top w:val="nil"/>
              <w:left w:val="nil"/>
              <w:bottom w:val="nil"/>
              <w:right w:val="nil"/>
            </w:tcBorders>
            <w:hideMark/>
          </w:tcPr>
          <w:p w14:paraId="5AA4C6C5" w14:textId="77777777" w:rsidR="000F16EB" w:rsidRDefault="000F16EB" w:rsidP="00A7521D">
            <w:pPr>
              <w:spacing w:after="0" w:line="240" w:lineRule="auto"/>
              <w:jc w:val="center"/>
            </w:pPr>
            <w:r>
              <w:t>14</w:t>
            </w:r>
          </w:p>
        </w:tc>
        <w:tc>
          <w:tcPr>
            <w:tcW w:w="3558" w:type="dxa"/>
            <w:tcBorders>
              <w:top w:val="nil"/>
              <w:left w:val="nil"/>
              <w:bottom w:val="nil"/>
              <w:right w:val="nil"/>
            </w:tcBorders>
            <w:hideMark/>
          </w:tcPr>
          <w:p w14:paraId="7E6A6BF9" w14:textId="77777777" w:rsidR="000F16EB" w:rsidRDefault="000F16EB" w:rsidP="00A7521D">
            <w:pPr>
              <w:spacing w:after="0" w:line="240" w:lineRule="auto"/>
              <w:jc w:val="center"/>
            </w:pPr>
            <w:r>
              <w:t>Dry sports</w:t>
            </w:r>
          </w:p>
        </w:tc>
        <w:tc>
          <w:tcPr>
            <w:tcW w:w="1841" w:type="dxa"/>
            <w:tcBorders>
              <w:top w:val="nil"/>
              <w:left w:val="nil"/>
              <w:bottom w:val="nil"/>
              <w:right w:val="nil"/>
            </w:tcBorders>
            <w:hideMark/>
          </w:tcPr>
          <w:p w14:paraId="53BD2BB0" w14:textId="77777777" w:rsidR="000F16EB" w:rsidRDefault="000F16EB" w:rsidP="00A7521D">
            <w:pPr>
              <w:spacing w:after="0" w:line="240" w:lineRule="auto"/>
              <w:jc w:val="center"/>
            </w:pPr>
            <w:r>
              <w:t>95</w:t>
            </w:r>
          </w:p>
        </w:tc>
        <w:tc>
          <w:tcPr>
            <w:tcW w:w="1842" w:type="dxa"/>
            <w:tcBorders>
              <w:top w:val="nil"/>
              <w:left w:val="nil"/>
              <w:bottom w:val="nil"/>
              <w:right w:val="nil"/>
            </w:tcBorders>
            <w:hideMark/>
          </w:tcPr>
          <w:p w14:paraId="1B41DF13" w14:textId="77777777" w:rsidR="000F16EB" w:rsidRDefault="000F16EB" w:rsidP="00A7521D">
            <w:pPr>
              <w:spacing w:after="0" w:line="240" w:lineRule="auto"/>
              <w:jc w:val="center"/>
            </w:pPr>
            <w:r>
              <w:t>330</w:t>
            </w:r>
          </w:p>
        </w:tc>
      </w:tr>
      <w:tr w:rsidR="000F16EB" w14:paraId="6B94F0A7" w14:textId="77777777" w:rsidTr="00A7521D">
        <w:trPr>
          <w:jc w:val="center"/>
        </w:trPr>
        <w:tc>
          <w:tcPr>
            <w:tcW w:w="1065" w:type="dxa"/>
            <w:tcBorders>
              <w:top w:val="nil"/>
              <w:left w:val="nil"/>
              <w:bottom w:val="nil"/>
              <w:right w:val="nil"/>
            </w:tcBorders>
            <w:hideMark/>
          </w:tcPr>
          <w:p w14:paraId="28266AF0" w14:textId="77777777" w:rsidR="000F16EB" w:rsidRDefault="000F16EB" w:rsidP="00A7521D">
            <w:pPr>
              <w:spacing w:after="0" w:line="240" w:lineRule="auto"/>
              <w:jc w:val="center"/>
            </w:pPr>
            <w:r>
              <w:t>15</w:t>
            </w:r>
          </w:p>
        </w:tc>
        <w:tc>
          <w:tcPr>
            <w:tcW w:w="3558" w:type="dxa"/>
            <w:tcBorders>
              <w:top w:val="nil"/>
              <w:left w:val="nil"/>
              <w:bottom w:val="nil"/>
              <w:right w:val="nil"/>
            </w:tcBorders>
            <w:hideMark/>
          </w:tcPr>
          <w:p w14:paraId="64E14084" w14:textId="77777777" w:rsidR="000F16EB" w:rsidRDefault="000F16EB" w:rsidP="00A7521D">
            <w:pPr>
              <w:spacing w:after="0" w:line="240" w:lineRule="auto"/>
              <w:jc w:val="center"/>
            </w:pPr>
            <w:r>
              <w:t>Covered car park</w:t>
            </w:r>
          </w:p>
        </w:tc>
        <w:tc>
          <w:tcPr>
            <w:tcW w:w="1841" w:type="dxa"/>
            <w:tcBorders>
              <w:top w:val="nil"/>
              <w:left w:val="nil"/>
              <w:bottom w:val="nil"/>
              <w:right w:val="nil"/>
            </w:tcBorders>
            <w:hideMark/>
          </w:tcPr>
          <w:p w14:paraId="30750529" w14:textId="77777777" w:rsidR="000F16EB" w:rsidRDefault="000F16EB" w:rsidP="00A7521D">
            <w:pPr>
              <w:spacing w:after="0" w:line="240" w:lineRule="auto"/>
              <w:jc w:val="center"/>
            </w:pPr>
            <w:r>
              <w:t>20</w:t>
            </w:r>
          </w:p>
        </w:tc>
        <w:tc>
          <w:tcPr>
            <w:tcW w:w="1842" w:type="dxa"/>
            <w:tcBorders>
              <w:top w:val="nil"/>
              <w:left w:val="nil"/>
              <w:bottom w:val="nil"/>
              <w:right w:val="nil"/>
            </w:tcBorders>
            <w:hideMark/>
          </w:tcPr>
          <w:p w14:paraId="1453BD61" w14:textId="77777777" w:rsidR="000F16EB" w:rsidRDefault="000F16EB" w:rsidP="00A7521D">
            <w:pPr>
              <w:spacing w:after="0" w:line="240" w:lineRule="auto"/>
              <w:jc w:val="center"/>
            </w:pPr>
            <w:r>
              <w:t>0</w:t>
            </w:r>
          </w:p>
        </w:tc>
      </w:tr>
      <w:tr w:rsidR="000F16EB" w14:paraId="329B2BC4" w14:textId="77777777" w:rsidTr="00A7521D">
        <w:trPr>
          <w:jc w:val="center"/>
        </w:trPr>
        <w:tc>
          <w:tcPr>
            <w:tcW w:w="1065" w:type="dxa"/>
            <w:tcBorders>
              <w:top w:val="nil"/>
              <w:left w:val="nil"/>
              <w:bottom w:val="nil"/>
              <w:right w:val="nil"/>
            </w:tcBorders>
            <w:hideMark/>
          </w:tcPr>
          <w:p w14:paraId="4BE11C45" w14:textId="77777777" w:rsidR="000F16EB" w:rsidRDefault="000F16EB" w:rsidP="00A7521D">
            <w:pPr>
              <w:spacing w:after="0" w:line="240" w:lineRule="auto"/>
              <w:jc w:val="center"/>
            </w:pPr>
            <w:r>
              <w:t>16</w:t>
            </w:r>
          </w:p>
        </w:tc>
        <w:tc>
          <w:tcPr>
            <w:tcW w:w="3558" w:type="dxa"/>
            <w:tcBorders>
              <w:top w:val="nil"/>
              <w:left w:val="nil"/>
              <w:bottom w:val="nil"/>
              <w:right w:val="nil"/>
            </w:tcBorders>
            <w:hideMark/>
          </w:tcPr>
          <w:p w14:paraId="16066899" w14:textId="77777777" w:rsidR="000F16EB" w:rsidRDefault="000F16EB" w:rsidP="00A7521D">
            <w:pPr>
              <w:spacing w:after="0" w:line="240" w:lineRule="auto"/>
              <w:jc w:val="center"/>
            </w:pPr>
            <w:r>
              <w:t>Public buildings with light use</w:t>
            </w:r>
          </w:p>
        </w:tc>
        <w:tc>
          <w:tcPr>
            <w:tcW w:w="1841" w:type="dxa"/>
            <w:tcBorders>
              <w:top w:val="nil"/>
              <w:left w:val="nil"/>
              <w:bottom w:val="nil"/>
              <w:right w:val="nil"/>
            </w:tcBorders>
            <w:hideMark/>
          </w:tcPr>
          <w:p w14:paraId="0EE76DC8" w14:textId="77777777" w:rsidR="000F16EB" w:rsidRDefault="000F16EB" w:rsidP="00A7521D">
            <w:pPr>
              <w:spacing w:after="0" w:line="240" w:lineRule="auto"/>
              <w:jc w:val="center"/>
            </w:pPr>
            <w:r>
              <w:t>20</w:t>
            </w:r>
          </w:p>
        </w:tc>
        <w:tc>
          <w:tcPr>
            <w:tcW w:w="1842" w:type="dxa"/>
            <w:tcBorders>
              <w:top w:val="nil"/>
              <w:left w:val="nil"/>
              <w:bottom w:val="nil"/>
              <w:right w:val="nil"/>
            </w:tcBorders>
            <w:hideMark/>
          </w:tcPr>
          <w:p w14:paraId="5F6B4DF9" w14:textId="77777777" w:rsidR="000F16EB" w:rsidRDefault="000F16EB" w:rsidP="00A7521D">
            <w:pPr>
              <w:spacing w:after="0" w:line="240" w:lineRule="auto"/>
              <w:jc w:val="center"/>
            </w:pPr>
            <w:r>
              <w:t>105</w:t>
            </w:r>
          </w:p>
        </w:tc>
      </w:tr>
      <w:tr w:rsidR="000F16EB" w14:paraId="63B2FACA" w14:textId="77777777" w:rsidTr="00A7521D">
        <w:trPr>
          <w:jc w:val="center"/>
        </w:trPr>
        <w:tc>
          <w:tcPr>
            <w:tcW w:w="1065" w:type="dxa"/>
            <w:tcBorders>
              <w:top w:val="nil"/>
              <w:left w:val="nil"/>
              <w:bottom w:val="nil"/>
              <w:right w:val="nil"/>
            </w:tcBorders>
            <w:hideMark/>
          </w:tcPr>
          <w:p w14:paraId="05EABDAC" w14:textId="77777777" w:rsidR="000F16EB" w:rsidRDefault="000F16EB" w:rsidP="00A7521D">
            <w:pPr>
              <w:spacing w:after="0" w:line="240" w:lineRule="auto"/>
              <w:jc w:val="center"/>
            </w:pPr>
            <w:r>
              <w:t>17</w:t>
            </w:r>
          </w:p>
        </w:tc>
        <w:tc>
          <w:tcPr>
            <w:tcW w:w="3558" w:type="dxa"/>
            <w:tcBorders>
              <w:top w:val="nil"/>
              <w:left w:val="nil"/>
              <w:bottom w:val="nil"/>
              <w:right w:val="nil"/>
            </w:tcBorders>
            <w:hideMark/>
          </w:tcPr>
          <w:p w14:paraId="197B1D31" w14:textId="77777777" w:rsidR="000F16EB" w:rsidRDefault="000F16EB" w:rsidP="00A7521D">
            <w:pPr>
              <w:spacing w:after="0" w:line="240" w:lineRule="auto"/>
              <w:jc w:val="center"/>
            </w:pPr>
            <w:r>
              <w:t>Schools and seasonal public buildings</w:t>
            </w:r>
          </w:p>
        </w:tc>
        <w:tc>
          <w:tcPr>
            <w:tcW w:w="1841" w:type="dxa"/>
            <w:tcBorders>
              <w:top w:val="nil"/>
              <w:left w:val="nil"/>
              <w:bottom w:val="nil"/>
              <w:right w:val="nil"/>
            </w:tcBorders>
            <w:hideMark/>
          </w:tcPr>
          <w:p w14:paraId="231BB300" w14:textId="77777777" w:rsidR="000F16EB" w:rsidRDefault="000F16EB" w:rsidP="00A7521D">
            <w:pPr>
              <w:spacing w:after="0" w:line="240" w:lineRule="auto"/>
              <w:jc w:val="center"/>
            </w:pPr>
            <w:r>
              <w:t>40</w:t>
            </w:r>
          </w:p>
        </w:tc>
        <w:tc>
          <w:tcPr>
            <w:tcW w:w="1842" w:type="dxa"/>
            <w:tcBorders>
              <w:top w:val="nil"/>
              <w:left w:val="nil"/>
              <w:bottom w:val="nil"/>
              <w:right w:val="nil"/>
            </w:tcBorders>
            <w:hideMark/>
          </w:tcPr>
          <w:p w14:paraId="78AEC470" w14:textId="77777777" w:rsidR="000F16EB" w:rsidRDefault="000F16EB" w:rsidP="00A7521D">
            <w:pPr>
              <w:spacing w:after="0" w:line="240" w:lineRule="auto"/>
              <w:jc w:val="center"/>
            </w:pPr>
            <w:r>
              <w:t>150</w:t>
            </w:r>
          </w:p>
        </w:tc>
      </w:tr>
      <w:tr w:rsidR="000F16EB" w14:paraId="7E310A11" w14:textId="77777777" w:rsidTr="00A7521D">
        <w:trPr>
          <w:jc w:val="center"/>
        </w:trPr>
        <w:tc>
          <w:tcPr>
            <w:tcW w:w="1065" w:type="dxa"/>
            <w:tcBorders>
              <w:top w:val="nil"/>
              <w:left w:val="nil"/>
              <w:bottom w:val="nil"/>
              <w:right w:val="nil"/>
            </w:tcBorders>
            <w:hideMark/>
          </w:tcPr>
          <w:p w14:paraId="644C0C32" w14:textId="77777777" w:rsidR="000F16EB" w:rsidRDefault="000F16EB" w:rsidP="00A7521D">
            <w:pPr>
              <w:spacing w:after="0" w:line="240" w:lineRule="auto"/>
              <w:jc w:val="center"/>
            </w:pPr>
            <w:r>
              <w:t>18</w:t>
            </w:r>
          </w:p>
        </w:tc>
        <w:tc>
          <w:tcPr>
            <w:tcW w:w="3558" w:type="dxa"/>
            <w:tcBorders>
              <w:top w:val="nil"/>
              <w:left w:val="nil"/>
              <w:bottom w:val="nil"/>
              <w:right w:val="nil"/>
            </w:tcBorders>
            <w:hideMark/>
          </w:tcPr>
          <w:p w14:paraId="547CBAD2" w14:textId="77777777" w:rsidR="000F16EB" w:rsidRDefault="000F16EB" w:rsidP="00A7521D">
            <w:pPr>
              <w:spacing w:after="0" w:line="240" w:lineRule="auto"/>
              <w:jc w:val="center"/>
            </w:pPr>
            <w:r>
              <w:t>University campus</w:t>
            </w:r>
          </w:p>
        </w:tc>
        <w:tc>
          <w:tcPr>
            <w:tcW w:w="1841" w:type="dxa"/>
            <w:tcBorders>
              <w:top w:val="nil"/>
              <w:left w:val="nil"/>
              <w:bottom w:val="nil"/>
              <w:right w:val="nil"/>
            </w:tcBorders>
            <w:hideMark/>
          </w:tcPr>
          <w:p w14:paraId="5017F044" w14:textId="77777777" w:rsidR="000F16EB" w:rsidRDefault="000F16EB" w:rsidP="00A7521D">
            <w:pPr>
              <w:spacing w:after="0" w:line="240" w:lineRule="auto"/>
              <w:jc w:val="center"/>
            </w:pPr>
            <w:r>
              <w:t>80</w:t>
            </w:r>
          </w:p>
        </w:tc>
        <w:tc>
          <w:tcPr>
            <w:tcW w:w="1842" w:type="dxa"/>
            <w:tcBorders>
              <w:top w:val="nil"/>
              <w:left w:val="nil"/>
              <w:bottom w:val="nil"/>
              <w:right w:val="nil"/>
            </w:tcBorders>
            <w:hideMark/>
          </w:tcPr>
          <w:p w14:paraId="416942B6" w14:textId="77777777" w:rsidR="000F16EB" w:rsidRDefault="000F16EB" w:rsidP="00A7521D">
            <w:pPr>
              <w:spacing w:after="0" w:line="240" w:lineRule="auto"/>
              <w:jc w:val="center"/>
            </w:pPr>
            <w:r>
              <w:t>240</w:t>
            </w:r>
          </w:p>
        </w:tc>
      </w:tr>
      <w:tr w:rsidR="000F16EB" w14:paraId="2B55E0CE" w14:textId="77777777" w:rsidTr="00A7521D">
        <w:trPr>
          <w:jc w:val="center"/>
        </w:trPr>
        <w:tc>
          <w:tcPr>
            <w:tcW w:w="1065" w:type="dxa"/>
            <w:tcBorders>
              <w:top w:val="nil"/>
              <w:left w:val="nil"/>
              <w:bottom w:val="nil"/>
              <w:right w:val="nil"/>
            </w:tcBorders>
            <w:hideMark/>
          </w:tcPr>
          <w:p w14:paraId="3A5C3918" w14:textId="77777777" w:rsidR="000F16EB" w:rsidRDefault="000F16EB" w:rsidP="00A7521D">
            <w:pPr>
              <w:spacing w:after="0" w:line="240" w:lineRule="auto"/>
              <w:jc w:val="center"/>
            </w:pPr>
            <w:r>
              <w:t>19</w:t>
            </w:r>
          </w:p>
        </w:tc>
        <w:tc>
          <w:tcPr>
            <w:tcW w:w="3558" w:type="dxa"/>
            <w:tcBorders>
              <w:top w:val="nil"/>
              <w:left w:val="nil"/>
              <w:bottom w:val="nil"/>
              <w:right w:val="nil"/>
            </w:tcBorders>
            <w:hideMark/>
          </w:tcPr>
          <w:p w14:paraId="7F071E90" w14:textId="77777777" w:rsidR="000F16EB" w:rsidRDefault="000F16EB" w:rsidP="00A7521D">
            <w:pPr>
              <w:spacing w:after="0" w:line="240" w:lineRule="auto"/>
              <w:jc w:val="center"/>
            </w:pPr>
            <w:r>
              <w:t>Clinic</w:t>
            </w:r>
          </w:p>
        </w:tc>
        <w:tc>
          <w:tcPr>
            <w:tcW w:w="1841" w:type="dxa"/>
            <w:tcBorders>
              <w:top w:val="nil"/>
              <w:left w:val="nil"/>
              <w:bottom w:val="nil"/>
              <w:right w:val="nil"/>
            </w:tcBorders>
            <w:hideMark/>
          </w:tcPr>
          <w:p w14:paraId="4F2C7A24" w14:textId="77777777" w:rsidR="000F16EB" w:rsidRDefault="000F16EB" w:rsidP="00A7521D">
            <w:pPr>
              <w:spacing w:after="0" w:line="240" w:lineRule="auto"/>
              <w:jc w:val="center"/>
            </w:pPr>
            <w:r>
              <w:t>70</w:t>
            </w:r>
          </w:p>
        </w:tc>
        <w:tc>
          <w:tcPr>
            <w:tcW w:w="1842" w:type="dxa"/>
            <w:tcBorders>
              <w:top w:val="nil"/>
              <w:left w:val="nil"/>
              <w:bottom w:val="nil"/>
              <w:right w:val="nil"/>
            </w:tcBorders>
            <w:hideMark/>
          </w:tcPr>
          <w:p w14:paraId="78568C6B" w14:textId="77777777" w:rsidR="000F16EB" w:rsidRDefault="000F16EB" w:rsidP="00A7521D">
            <w:pPr>
              <w:spacing w:after="0" w:line="240" w:lineRule="auto"/>
              <w:jc w:val="center"/>
            </w:pPr>
            <w:r>
              <w:t>200</w:t>
            </w:r>
          </w:p>
        </w:tc>
      </w:tr>
      <w:tr w:rsidR="000F16EB" w14:paraId="0481D02C" w14:textId="77777777" w:rsidTr="00A7521D">
        <w:trPr>
          <w:jc w:val="center"/>
        </w:trPr>
        <w:tc>
          <w:tcPr>
            <w:tcW w:w="1065" w:type="dxa"/>
            <w:tcBorders>
              <w:top w:val="nil"/>
              <w:left w:val="nil"/>
              <w:bottom w:val="nil"/>
              <w:right w:val="nil"/>
            </w:tcBorders>
            <w:hideMark/>
          </w:tcPr>
          <w:p w14:paraId="189E0319" w14:textId="77777777" w:rsidR="000F16EB" w:rsidRDefault="000F16EB" w:rsidP="00A7521D">
            <w:pPr>
              <w:spacing w:after="0" w:line="240" w:lineRule="auto"/>
              <w:jc w:val="center"/>
            </w:pPr>
            <w:r>
              <w:t>20</w:t>
            </w:r>
          </w:p>
        </w:tc>
        <w:tc>
          <w:tcPr>
            <w:tcW w:w="3558" w:type="dxa"/>
            <w:tcBorders>
              <w:top w:val="nil"/>
              <w:left w:val="nil"/>
              <w:bottom w:val="nil"/>
              <w:right w:val="nil"/>
            </w:tcBorders>
            <w:hideMark/>
          </w:tcPr>
          <w:p w14:paraId="00E99BC5" w14:textId="77777777" w:rsidR="000F16EB" w:rsidRDefault="000F16EB" w:rsidP="00A7521D">
            <w:pPr>
              <w:spacing w:after="0" w:line="240" w:lineRule="auto"/>
              <w:jc w:val="center"/>
            </w:pPr>
            <w:r>
              <w:t>Hospital</w:t>
            </w:r>
          </w:p>
        </w:tc>
        <w:tc>
          <w:tcPr>
            <w:tcW w:w="1841" w:type="dxa"/>
            <w:tcBorders>
              <w:top w:val="nil"/>
              <w:left w:val="nil"/>
              <w:bottom w:val="nil"/>
              <w:right w:val="nil"/>
            </w:tcBorders>
            <w:hideMark/>
          </w:tcPr>
          <w:p w14:paraId="1D098533" w14:textId="77777777" w:rsidR="000F16EB" w:rsidRDefault="000F16EB" w:rsidP="00A7521D">
            <w:pPr>
              <w:spacing w:after="0" w:line="240" w:lineRule="auto"/>
              <w:jc w:val="center"/>
            </w:pPr>
            <w:r>
              <w:t>90</w:t>
            </w:r>
          </w:p>
        </w:tc>
        <w:tc>
          <w:tcPr>
            <w:tcW w:w="1842" w:type="dxa"/>
            <w:tcBorders>
              <w:top w:val="nil"/>
              <w:left w:val="nil"/>
              <w:bottom w:val="nil"/>
              <w:right w:val="nil"/>
            </w:tcBorders>
            <w:hideMark/>
          </w:tcPr>
          <w:p w14:paraId="1147A496" w14:textId="77777777" w:rsidR="000F16EB" w:rsidRDefault="000F16EB" w:rsidP="00A7521D">
            <w:pPr>
              <w:spacing w:after="0" w:line="240" w:lineRule="auto"/>
              <w:jc w:val="center"/>
            </w:pPr>
            <w:r>
              <w:t>420</w:t>
            </w:r>
          </w:p>
        </w:tc>
      </w:tr>
      <w:tr w:rsidR="000F16EB" w14:paraId="3DA236CE" w14:textId="77777777" w:rsidTr="00A7521D">
        <w:trPr>
          <w:jc w:val="center"/>
        </w:trPr>
        <w:tc>
          <w:tcPr>
            <w:tcW w:w="1065" w:type="dxa"/>
            <w:tcBorders>
              <w:top w:val="nil"/>
              <w:left w:val="nil"/>
              <w:bottom w:val="nil"/>
              <w:right w:val="nil"/>
            </w:tcBorders>
            <w:hideMark/>
          </w:tcPr>
          <w:p w14:paraId="031BD043" w14:textId="77777777" w:rsidR="000F16EB" w:rsidRDefault="000F16EB" w:rsidP="00A7521D">
            <w:pPr>
              <w:spacing w:after="0" w:line="240" w:lineRule="auto"/>
              <w:jc w:val="center"/>
            </w:pPr>
            <w:r>
              <w:t>21</w:t>
            </w:r>
          </w:p>
        </w:tc>
        <w:tc>
          <w:tcPr>
            <w:tcW w:w="3558" w:type="dxa"/>
            <w:tcBorders>
              <w:top w:val="nil"/>
              <w:left w:val="nil"/>
              <w:bottom w:val="nil"/>
              <w:right w:val="nil"/>
            </w:tcBorders>
            <w:hideMark/>
          </w:tcPr>
          <w:p w14:paraId="5D1152DF" w14:textId="77777777" w:rsidR="000F16EB" w:rsidRDefault="000F16EB" w:rsidP="00A7521D">
            <w:pPr>
              <w:spacing w:after="0" w:line="240" w:lineRule="auto"/>
              <w:jc w:val="center"/>
            </w:pPr>
            <w:r>
              <w:t>Long term residential</w:t>
            </w:r>
          </w:p>
        </w:tc>
        <w:tc>
          <w:tcPr>
            <w:tcW w:w="1841" w:type="dxa"/>
            <w:tcBorders>
              <w:top w:val="nil"/>
              <w:left w:val="nil"/>
              <w:bottom w:val="nil"/>
              <w:right w:val="nil"/>
            </w:tcBorders>
            <w:hideMark/>
          </w:tcPr>
          <w:p w14:paraId="7CA523DE" w14:textId="77777777" w:rsidR="000F16EB" w:rsidRDefault="000F16EB" w:rsidP="00A7521D">
            <w:pPr>
              <w:spacing w:after="0" w:line="240" w:lineRule="auto"/>
              <w:jc w:val="center"/>
            </w:pPr>
            <w:r>
              <w:t>65</w:t>
            </w:r>
          </w:p>
        </w:tc>
        <w:tc>
          <w:tcPr>
            <w:tcW w:w="1842" w:type="dxa"/>
            <w:tcBorders>
              <w:top w:val="nil"/>
              <w:left w:val="nil"/>
              <w:bottom w:val="nil"/>
              <w:right w:val="nil"/>
            </w:tcBorders>
            <w:hideMark/>
          </w:tcPr>
          <w:p w14:paraId="665DF58E" w14:textId="77777777" w:rsidR="000F16EB" w:rsidRDefault="000F16EB" w:rsidP="00A7521D">
            <w:pPr>
              <w:spacing w:after="0" w:line="240" w:lineRule="auto"/>
              <w:jc w:val="center"/>
            </w:pPr>
            <w:r>
              <w:t>420</w:t>
            </w:r>
          </w:p>
        </w:tc>
      </w:tr>
      <w:tr w:rsidR="000F16EB" w14:paraId="7D7AF677" w14:textId="77777777" w:rsidTr="00A7521D">
        <w:trPr>
          <w:jc w:val="center"/>
        </w:trPr>
        <w:tc>
          <w:tcPr>
            <w:tcW w:w="1065" w:type="dxa"/>
            <w:tcBorders>
              <w:top w:val="nil"/>
              <w:left w:val="nil"/>
              <w:bottom w:val="nil"/>
              <w:right w:val="nil"/>
            </w:tcBorders>
            <w:hideMark/>
          </w:tcPr>
          <w:p w14:paraId="131D5E19" w14:textId="77777777" w:rsidR="000F16EB" w:rsidRDefault="000F16EB" w:rsidP="00A7521D">
            <w:pPr>
              <w:spacing w:after="0" w:line="240" w:lineRule="auto"/>
              <w:jc w:val="center"/>
            </w:pPr>
            <w:r>
              <w:t>22</w:t>
            </w:r>
          </w:p>
        </w:tc>
        <w:tc>
          <w:tcPr>
            <w:tcW w:w="3558" w:type="dxa"/>
            <w:tcBorders>
              <w:top w:val="nil"/>
              <w:left w:val="nil"/>
              <w:bottom w:val="nil"/>
              <w:right w:val="nil"/>
            </w:tcBorders>
            <w:hideMark/>
          </w:tcPr>
          <w:p w14:paraId="68AF8FB7" w14:textId="77777777" w:rsidR="000F16EB" w:rsidRDefault="000F16EB" w:rsidP="00A7521D">
            <w:pPr>
              <w:spacing w:after="0" w:line="240" w:lineRule="auto"/>
              <w:jc w:val="center"/>
            </w:pPr>
            <w:r>
              <w:t>General accommodation</w:t>
            </w:r>
          </w:p>
        </w:tc>
        <w:tc>
          <w:tcPr>
            <w:tcW w:w="1841" w:type="dxa"/>
            <w:tcBorders>
              <w:top w:val="nil"/>
              <w:left w:val="nil"/>
              <w:bottom w:val="nil"/>
              <w:right w:val="nil"/>
            </w:tcBorders>
            <w:hideMark/>
          </w:tcPr>
          <w:p w14:paraId="322946E2" w14:textId="77777777" w:rsidR="000F16EB" w:rsidRDefault="000F16EB" w:rsidP="00A7521D">
            <w:pPr>
              <w:spacing w:after="0" w:line="240" w:lineRule="auto"/>
              <w:jc w:val="center"/>
            </w:pPr>
            <w:r>
              <w:t>60</w:t>
            </w:r>
          </w:p>
        </w:tc>
        <w:tc>
          <w:tcPr>
            <w:tcW w:w="1842" w:type="dxa"/>
            <w:tcBorders>
              <w:top w:val="nil"/>
              <w:left w:val="nil"/>
              <w:bottom w:val="nil"/>
              <w:right w:val="nil"/>
            </w:tcBorders>
            <w:hideMark/>
          </w:tcPr>
          <w:p w14:paraId="7491190D" w14:textId="77777777" w:rsidR="000F16EB" w:rsidRDefault="000F16EB" w:rsidP="00A7521D">
            <w:pPr>
              <w:spacing w:after="0" w:line="240" w:lineRule="auto"/>
              <w:jc w:val="center"/>
            </w:pPr>
            <w:r>
              <w:t>300</w:t>
            </w:r>
          </w:p>
        </w:tc>
      </w:tr>
      <w:tr w:rsidR="000F16EB" w14:paraId="0BEBDB0D" w14:textId="77777777" w:rsidTr="00A7521D">
        <w:trPr>
          <w:jc w:val="center"/>
        </w:trPr>
        <w:tc>
          <w:tcPr>
            <w:tcW w:w="1065" w:type="dxa"/>
            <w:tcBorders>
              <w:top w:val="nil"/>
              <w:left w:val="nil"/>
              <w:bottom w:val="nil"/>
              <w:right w:val="nil"/>
            </w:tcBorders>
            <w:hideMark/>
          </w:tcPr>
          <w:p w14:paraId="714E1F0D" w14:textId="77777777" w:rsidR="000F16EB" w:rsidRDefault="000F16EB" w:rsidP="00A7521D">
            <w:pPr>
              <w:spacing w:after="0" w:line="240" w:lineRule="auto"/>
              <w:jc w:val="center"/>
            </w:pPr>
            <w:r>
              <w:t>23</w:t>
            </w:r>
          </w:p>
        </w:tc>
        <w:tc>
          <w:tcPr>
            <w:tcW w:w="3558" w:type="dxa"/>
            <w:tcBorders>
              <w:top w:val="nil"/>
              <w:left w:val="nil"/>
              <w:bottom w:val="nil"/>
              <w:right w:val="nil"/>
            </w:tcBorders>
            <w:hideMark/>
          </w:tcPr>
          <w:p w14:paraId="5D0A1E3F" w14:textId="77777777" w:rsidR="000F16EB" w:rsidRDefault="000F16EB" w:rsidP="00A7521D">
            <w:pPr>
              <w:spacing w:after="0" w:line="240" w:lineRule="auto"/>
              <w:jc w:val="center"/>
            </w:pPr>
            <w:r>
              <w:t>Emergency services</w:t>
            </w:r>
          </w:p>
        </w:tc>
        <w:tc>
          <w:tcPr>
            <w:tcW w:w="1841" w:type="dxa"/>
            <w:tcBorders>
              <w:top w:val="nil"/>
              <w:left w:val="nil"/>
              <w:bottom w:val="nil"/>
              <w:right w:val="nil"/>
            </w:tcBorders>
            <w:hideMark/>
          </w:tcPr>
          <w:p w14:paraId="68373FB6" w14:textId="77777777" w:rsidR="000F16EB" w:rsidRDefault="000F16EB" w:rsidP="00A7521D">
            <w:pPr>
              <w:spacing w:after="0" w:line="240" w:lineRule="auto"/>
              <w:jc w:val="center"/>
            </w:pPr>
            <w:r>
              <w:t>70</w:t>
            </w:r>
          </w:p>
        </w:tc>
        <w:tc>
          <w:tcPr>
            <w:tcW w:w="1842" w:type="dxa"/>
            <w:tcBorders>
              <w:top w:val="nil"/>
              <w:left w:val="nil"/>
              <w:bottom w:val="nil"/>
              <w:right w:val="nil"/>
            </w:tcBorders>
            <w:hideMark/>
          </w:tcPr>
          <w:p w14:paraId="2A940761" w14:textId="77777777" w:rsidR="000F16EB" w:rsidRDefault="000F16EB" w:rsidP="00A7521D">
            <w:pPr>
              <w:spacing w:after="0" w:line="240" w:lineRule="auto"/>
              <w:jc w:val="center"/>
            </w:pPr>
            <w:r>
              <w:t>390</w:t>
            </w:r>
          </w:p>
        </w:tc>
      </w:tr>
      <w:tr w:rsidR="000F16EB" w14:paraId="2808F50C" w14:textId="77777777" w:rsidTr="00A7521D">
        <w:trPr>
          <w:jc w:val="center"/>
        </w:trPr>
        <w:tc>
          <w:tcPr>
            <w:tcW w:w="1065" w:type="dxa"/>
            <w:tcBorders>
              <w:top w:val="nil"/>
              <w:left w:val="nil"/>
              <w:bottom w:val="nil"/>
              <w:right w:val="nil"/>
            </w:tcBorders>
            <w:hideMark/>
          </w:tcPr>
          <w:p w14:paraId="723F27C9" w14:textId="77777777" w:rsidR="000F16EB" w:rsidRDefault="000F16EB" w:rsidP="00A7521D">
            <w:pPr>
              <w:spacing w:after="0" w:line="240" w:lineRule="auto"/>
              <w:jc w:val="center"/>
            </w:pPr>
            <w:r>
              <w:t>24</w:t>
            </w:r>
          </w:p>
        </w:tc>
        <w:tc>
          <w:tcPr>
            <w:tcW w:w="3558" w:type="dxa"/>
            <w:tcBorders>
              <w:top w:val="nil"/>
              <w:left w:val="nil"/>
              <w:bottom w:val="nil"/>
              <w:right w:val="nil"/>
            </w:tcBorders>
            <w:hideMark/>
          </w:tcPr>
          <w:p w14:paraId="7BE62E58" w14:textId="77777777" w:rsidR="000F16EB" w:rsidRDefault="000F16EB" w:rsidP="00A7521D">
            <w:pPr>
              <w:spacing w:after="0" w:line="240" w:lineRule="auto"/>
              <w:jc w:val="center"/>
            </w:pPr>
            <w:r>
              <w:t>Lab/ operating theatre</w:t>
            </w:r>
          </w:p>
        </w:tc>
        <w:tc>
          <w:tcPr>
            <w:tcW w:w="1841" w:type="dxa"/>
            <w:tcBorders>
              <w:top w:val="nil"/>
              <w:left w:val="nil"/>
              <w:bottom w:val="nil"/>
              <w:right w:val="nil"/>
            </w:tcBorders>
            <w:hideMark/>
          </w:tcPr>
          <w:p w14:paraId="488CEE90" w14:textId="77777777" w:rsidR="000F16EB" w:rsidRDefault="000F16EB" w:rsidP="00A7521D">
            <w:pPr>
              <w:spacing w:after="0" w:line="240" w:lineRule="auto"/>
              <w:jc w:val="center"/>
            </w:pPr>
            <w:r>
              <w:t>160</w:t>
            </w:r>
          </w:p>
        </w:tc>
        <w:tc>
          <w:tcPr>
            <w:tcW w:w="1842" w:type="dxa"/>
            <w:tcBorders>
              <w:top w:val="nil"/>
              <w:left w:val="nil"/>
              <w:bottom w:val="nil"/>
              <w:right w:val="nil"/>
            </w:tcBorders>
            <w:hideMark/>
          </w:tcPr>
          <w:p w14:paraId="61A8E93F" w14:textId="77777777" w:rsidR="000F16EB" w:rsidRDefault="000F16EB" w:rsidP="00A7521D">
            <w:pPr>
              <w:spacing w:after="0" w:line="240" w:lineRule="auto"/>
              <w:jc w:val="center"/>
            </w:pPr>
            <w:r>
              <w:t>160</w:t>
            </w:r>
          </w:p>
        </w:tc>
      </w:tr>
      <w:tr w:rsidR="000F16EB" w14:paraId="3C79EA6E" w14:textId="77777777" w:rsidTr="00A7521D">
        <w:trPr>
          <w:jc w:val="center"/>
        </w:trPr>
        <w:tc>
          <w:tcPr>
            <w:tcW w:w="1065" w:type="dxa"/>
            <w:tcBorders>
              <w:top w:val="nil"/>
              <w:left w:val="nil"/>
              <w:bottom w:val="nil"/>
              <w:right w:val="nil"/>
            </w:tcBorders>
            <w:hideMark/>
          </w:tcPr>
          <w:p w14:paraId="7AAD9B0F" w14:textId="77777777" w:rsidR="000F16EB" w:rsidRDefault="000F16EB" w:rsidP="00A7521D">
            <w:pPr>
              <w:spacing w:after="0" w:line="240" w:lineRule="auto"/>
              <w:jc w:val="center"/>
            </w:pPr>
            <w:r>
              <w:t>25</w:t>
            </w:r>
          </w:p>
        </w:tc>
        <w:tc>
          <w:tcPr>
            <w:tcW w:w="3558" w:type="dxa"/>
            <w:tcBorders>
              <w:top w:val="nil"/>
              <w:left w:val="nil"/>
              <w:bottom w:val="nil"/>
              <w:right w:val="nil"/>
            </w:tcBorders>
            <w:hideMark/>
          </w:tcPr>
          <w:p w14:paraId="71227626" w14:textId="77777777" w:rsidR="000F16EB" w:rsidRDefault="000F16EB" w:rsidP="00A7521D">
            <w:pPr>
              <w:spacing w:after="0" w:line="240" w:lineRule="auto"/>
              <w:jc w:val="center"/>
            </w:pPr>
            <w:r>
              <w:t>Public waiting/ circulation</w:t>
            </w:r>
          </w:p>
        </w:tc>
        <w:tc>
          <w:tcPr>
            <w:tcW w:w="1841" w:type="dxa"/>
            <w:tcBorders>
              <w:top w:val="nil"/>
              <w:left w:val="nil"/>
              <w:bottom w:val="nil"/>
              <w:right w:val="nil"/>
            </w:tcBorders>
            <w:hideMark/>
          </w:tcPr>
          <w:p w14:paraId="521B78A1" w14:textId="77777777" w:rsidR="000F16EB" w:rsidRDefault="000F16EB" w:rsidP="00A7521D">
            <w:pPr>
              <w:spacing w:after="0" w:line="240" w:lineRule="auto"/>
              <w:jc w:val="center"/>
            </w:pPr>
            <w:r>
              <w:t>30</w:t>
            </w:r>
          </w:p>
        </w:tc>
        <w:tc>
          <w:tcPr>
            <w:tcW w:w="1842" w:type="dxa"/>
            <w:tcBorders>
              <w:top w:val="nil"/>
              <w:left w:val="nil"/>
              <w:bottom w:val="nil"/>
              <w:right w:val="nil"/>
            </w:tcBorders>
            <w:hideMark/>
          </w:tcPr>
          <w:p w14:paraId="02EF96D4" w14:textId="77777777" w:rsidR="000F16EB" w:rsidRDefault="000F16EB" w:rsidP="00A7521D">
            <w:pPr>
              <w:spacing w:after="0" w:line="240" w:lineRule="auto"/>
              <w:jc w:val="center"/>
            </w:pPr>
            <w:r>
              <w:t>120</w:t>
            </w:r>
          </w:p>
        </w:tc>
      </w:tr>
      <w:tr w:rsidR="000F16EB" w14:paraId="5F21C9F7" w14:textId="77777777" w:rsidTr="00A7521D">
        <w:trPr>
          <w:jc w:val="center"/>
        </w:trPr>
        <w:tc>
          <w:tcPr>
            <w:tcW w:w="1065" w:type="dxa"/>
            <w:tcBorders>
              <w:top w:val="nil"/>
              <w:left w:val="nil"/>
              <w:bottom w:val="nil"/>
              <w:right w:val="nil"/>
            </w:tcBorders>
            <w:hideMark/>
          </w:tcPr>
          <w:p w14:paraId="2C234645" w14:textId="77777777" w:rsidR="000F16EB" w:rsidRDefault="000F16EB" w:rsidP="00A7521D">
            <w:pPr>
              <w:spacing w:after="0" w:line="240" w:lineRule="auto"/>
              <w:jc w:val="center"/>
            </w:pPr>
            <w:r>
              <w:t>26</w:t>
            </w:r>
          </w:p>
        </w:tc>
        <w:tc>
          <w:tcPr>
            <w:tcW w:w="3558" w:type="dxa"/>
            <w:tcBorders>
              <w:top w:val="nil"/>
              <w:left w:val="nil"/>
              <w:bottom w:val="nil"/>
              <w:right w:val="nil"/>
            </w:tcBorders>
            <w:hideMark/>
          </w:tcPr>
          <w:p w14:paraId="604B9A68" w14:textId="77777777" w:rsidR="000F16EB" w:rsidRDefault="000F16EB" w:rsidP="00A7521D">
            <w:pPr>
              <w:spacing w:after="0" w:line="240" w:lineRule="auto"/>
              <w:jc w:val="center"/>
            </w:pPr>
            <w:r>
              <w:t>Terminal</w:t>
            </w:r>
          </w:p>
        </w:tc>
        <w:tc>
          <w:tcPr>
            <w:tcW w:w="1841" w:type="dxa"/>
            <w:tcBorders>
              <w:top w:val="nil"/>
              <w:left w:val="nil"/>
              <w:bottom w:val="nil"/>
              <w:right w:val="nil"/>
            </w:tcBorders>
            <w:hideMark/>
          </w:tcPr>
          <w:p w14:paraId="4F6F83B6" w14:textId="77777777" w:rsidR="000F16EB" w:rsidRDefault="000F16EB" w:rsidP="00A7521D">
            <w:pPr>
              <w:spacing w:after="0" w:line="240" w:lineRule="auto"/>
              <w:jc w:val="center"/>
            </w:pPr>
            <w:r>
              <w:t>75</w:t>
            </w:r>
          </w:p>
        </w:tc>
        <w:tc>
          <w:tcPr>
            <w:tcW w:w="1842" w:type="dxa"/>
            <w:tcBorders>
              <w:top w:val="nil"/>
              <w:left w:val="nil"/>
              <w:bottom w:val="nil"/>
              <w:right w:val="nil"/>
            </w:tcBorders>
            <w:hideMark/>
          </w:tcPr>
          <w:p w14:paraId="041CC798" w14:textId="77777777" w:rsidR="000F16EB" w:rsidRDefault="000F16EB" w:rsidP="00A7521D">
            <w:pPr>
              <w:spacing w:after="0" w:line="240" w:lineRule="auto"/>
              <w:jc w:val="center"/>
            </w:pPr>
            <w:r>
              <w:t>200</w:t>
            </w:r>
          </w:p>
        </w:tc>
      </w:tr>
      <w:tr w:rsidR="000F16EB" w14:paraId="6C927854" w14:textId="77777777" w:rsidTr="00A7521D">
        <w:trPr>
          <w:jc w:val="center"/>
        </w:trPr>
        <w:tc>
          <w:tcPr>
            <w:tcW w:w="1065" w:type="dxa"/>
            <w:tcBorders>
              <w:top w:val="nil"/>
              <w:left w:val="nil"/>
              <w:bottom w:val="nil"/>
              <w:right w:val="nil"/>
            </w:tcBorders>
            <w:hideMark/>
          </w:tcPr>
          <w:p w14:paraId="2E4DE7F7" w14:textId="77777777" w:rsidR="000F16EB" w:rsidRDefault="000F16EB" w:rsidP="00A7521D">
            <w:pPr>
              <w:spacing w:after="0" w:line="240" w:lineRule="auto"/>
              <w:jc w:val="center"/>
            </w:pPr>
            <w:r>
              <w:t>27</w:t>
            </w:r>
          </w:p>
        </w:tc>
        <w:tc>
          <w:tcPr>
            <w:tcW w:w="3558" w:type="dxa"/>
            <w:tcBorders>
              <w:top w:val="nil"/>
              <w:left w:val="nil"/>
              <w:bottom w:val="nil"/>
              <w:right w:val="nil"/>
            </w:tcBorders>
            <w:hideMark/>
          </w:tcPr>
          <w:p w14:paraId="7DC8C365" w14:textId="77777777" w:rsidR="000F16EB" w:rsidRDefault="000F16EB" w:rsidP="00A7521D">
            <w:pPr>
              <w:spacing w:after="0" w:line="240" w:lineRule="auto"/>
              <w:jc w:val="center"/>
            </w:pPr>
            <w:r>
              <w:t>Workshop</w:t>
            </w:r>
          </w:p>
        </w:tc>
        <w:tc>
          <w:tcPr>
            <w:tcW w:w="1841" w:type="dxa"/>
            <w:tcBorders>
              <w:top w:val="nil"/>
              <w:left w:val="nil"/>
              <w:bottom w:val="nil"/>
              <w:right w:val="nil"/>
            </w:tcBorders>
            <w:hideMark/>
          </w:tcPr>
          <w:p w14:paraId="19FD03A3" w14:textId="77777777" w:rsidR="000F16EB" w:rsidRDefault="000F16EB" w:rsidP="00A7521D">
            <w:pPr>
              <w:spacing w:after="0" w:line="240" w:lineRule="auto"/>
              <w:jc w:val="center"/>
            </w:pPr>
            <w:r>
              <w:t>35</w:t>
            </w:r>
          </w:p>
        </w:tc>
        <w:tc>
          <w:tcPr>
            <w:tcW w:w="1842" w:type="dxa"/>
            <w:tcBorders>
              <w:top w:val="nil"/>
              <w:left w:val="nil"/>
              <w:bottom w:val="nil"/>
              <w:right w:val="nil"/>
            </w:tcBorders>
            <w:hideMark/>
          </w:tcPr>
          <w:p w14:paraId="1A814721" w14:textId="77777777" w:rsidR="000F16EB" w:rsidRDefault="000F16EB" w:rsidP="00A7521D">
            <w:pPr>
              <w:spacing w:after="0" w:line="240" w:lineRule="auto"/>
              <w:jc w:val="center"/>
            </w:pPr>
            <w:r>
              <w:t>180</w:t>
            </w:r>
          </w:p>
        </w:tc>
      </w:tr>
      <w:tr w:rsidR="000F16EB" w14:paraId="48A538A0" w14:textId="77777777" w:rsidTr="00A7521D">
        <w:trPr>
          <w:jc w:val="center"/>
        </w:trPr>
        <w:tc>
          <w:tcPr>
            <w:tcW w:w="1065" w:type="dxa"/>
            <w:tcBorders>
              <w:top w:val="nil"/>
              <w:left w:val="nil"/>
              <w:bottom w:val="nil"/>
              <w:right w:val="nil"/>
            </w:tcBorders>
            <w:hideMark/>
          </w:tcPr>
          <w:p w14:paraId="4A1F2953" w14:textId="77777777" w:rsidR="000F16EB" w:rsidRDefault="000F16EB" w:rsidP="00A7521D">
            <w:pPr>
              <w:spacing w:after="0" w:line="240" w:lineRule="auto"/>
              <w:jc w:val="center"/>
            </w:pPr>
            <w:r>
              <w:t>28</w:t>
            </w:r>
          </w:p>
        </w:tc>
        <w:tc>
          <w:tcPr>
            <w:tcW w:w="3558" w:type="dxa"/>
            <w:tcBorders>
              <w:top w:val="nil"/>
              <w:left w:val="nil"/>
              <w:bottom w:val="nil"/>
              <w:right w:val="nil"/>
            </w:tcBorders>
            <w:hideMark/>
          </w:tcPr>
          <w:p w14:paraId="288123E7" w14:textId="77777777" w:rsidR="000F16EB" w:rsidRDefault="000F16EB" w:rsidP="00A7521D">
            <w:pPr>
              <w:spacing w:after="0" w:line="240" w:lineRule="auto"/>
              <w:jc w:val="center"/>
            </w:pPr>
            <w:r>
              <w:t>Storage facility</w:t>
            </w:r>
          </w:p>
        </w:tc>
        <w:tc>
          <w:tcPr>
            <w:tcW w:w="1841" w:type="dxa"/>
            <w:tcBorders>
              <w:top w:val="nil"/>
              <w:left w:val="nil"/>
              <w:bottom w:val="nil"/>
              <w:right w:val="nil"/>
            </w:tcBorders>
            <w:hideMark/>
          </w:tcPr>
          <w:p w14:paraId="7D4B2B15" w14:textId="77777777" w:rsidR="000F16EB" w:rsidRDefault="000F16EB" w:rsidP="00A7521D">
            <w:pPr>
              <w:spacing w:after="0" w:line="240" w:lineRule="auto"/>
              <w:jc w:val="center"/>
            </w:pPr>
            <w:r>
              <w:t>35</w:t>
            </w:r>
          </w:p>
        </w:tc>
        <w:tc>
          <w:tcPr>
            <w:tcW w:w="1842" w:type="dxa"/>
            <w:tcBorders>
              <w:top w:val="nil"/>
              <w:left w:val="nil"/>
              <w:bottom w:val="nil"/>
              <w:right w:val="nil"/>
            </w:tcBorders>
            <w:hideMark/>
          </w:tcPr>
          <w:p w14:paraId="47C0C07C" w14:textId="77777777" w:rsidR="000F16EB" w:rsidRDefault="000F16EB" w:rsidP="00A7521D">
            <w:pPr>
              <w:spacing w:after="0" w:line="240" w:lineRule="auto"/>
              <w:jc w:val="center"/>
            </w:pPr>
            <w:r>
              <w:t>160</w:t>
            </w:r>
          </w:p>
        </w:tc>
      </w:tr>
      <w:tr w:rsidR="000F16EB" w14:paraId="31EF0AFF" w14:textId="77777777" w:rsidTr="00A7521D">
        <w:trPr>
          <w:jc w:val="center"/>
        </w:trPr>
        <w:tc>
          <w:tcPr>
            <w:tcW w:w="1065" w:type="dxa"/>
            <w:tcBorders>
              <w:top w:val="nil"/>
              <w:left w:val="nil"/>
              <w:bottom w:val="single" w:sz="4" w:space="0" w:color="auto"/>
              <w:right w:val="nil"/>
            </w:tcBorders>
            <w:hideMark/>
          </w:tcPr>
          <w:p w14:paraId="057A3B54" w14:textId="77777777" w:rsidR="000F16EB" w:rsidRDefault="000F16EB" w:rsidP="00A7521D">
            <w:pPr>
              <w:spacing w:after="0" w:line="240" w:lineRule="auto"/>
              <w:jc w:val="center"/>
            </w:pPr>
            <w:r>
              <w:t>29</w:t>
            </w:r>
          </w:p>
        </w:tc>
        <w:tc>
          <w:tcPr>
            <w:tcW w:w="3558" w:type="dxa"/>
            <w:tcBorders>
              <w:top w:val="nil"/>
              <w:left w:val="nil"/>
              <w:bottom w:val="single" w:sz="4" w:space="0" w:color="auto"/>
              <w:right w:val="nil"/>
            </w:tcBorders>
            <w:hideMark/>
          </w:tcPr>
          <w:p w14:paraId="3D42B9E4" w14:textId="77777777" w:rsidR="000F16EB" w:rsidRDefault="000F16EB" w:rsidP="00A7521D">
            <w:pPr>
              <w:spacing w:after="0" w:line="240" w:lineRule="auto"/>
              <w:jc w:val="center"/>
            </w:pPr>
            <w:r>
              <w:t>Cold storage</w:t>
            </w:r>
          </w:p>
        </w:tc>
        <w:tc>
          <w:tcPr>
            <w:tcW w:w="1841" w:type="dxa"/>
            <w:tcBorders>
              <w:top w:val="nil"/>
              <w:left w:val="nil"/>
              <w:bottom w:val="single" w:sz="4" w:space="0" w:color="auto"/>
              <w:right w:val="nil"/>
            </w:tcBorders>
            <w:hideMark/>
          </w:tcPr>
          <w:p w14:paraId="43E23865" w14:textId="77777777" w:rsidR="000F16EB" w:rsidRDefault="000F16EB" w:rsidP="00A7521D">
            <w:pPr>
              <w:spacing w:after="0" w:line="240" w:lineRule="auto"/>
              <w:jc w:val="center"/>
            </w:pPr>
            <w:r>
              <w:t>145</w:t>
            </w:r>
          </w:p>
        </w:tc>
        <w:tc>
          <w:tcPr>
            <w:tcW w:w="1842" w:type="dxa"/>
            <w:tcBorders>
              <w:top w:val="nil"/>
              <w:left w:val="nil"/>
              <w:bottom w:val="single" w:sz="4" w:space="0" w:color="auto"/>
              <w:right w:val="nil"/>
            </w:tcBorders>
            <w:hideMark/>
          </w:tcPr>
          <w:p w14:paraId="589A48FE" w14:textId="77777777" w:rsidR="000F16EB" w:rsidRDefault="000F16EB" w:rsidP="00A7521D">
            <w:pPr>
              <w:spacing w:after="0" w:line="240" w:lineRule="auto"/>
              <w:jc w:val="center"/>
            </w:pPr>
            <w:r>
              <w:t>80</w:t>
            </w:r>
          </w:p>
        </w:tc>
      </w:tr>
    </w:tbl>
    <w:p w14:paraId="3A85A07E" w14:textId="77777777" w:rsidR="000F16EB" w:rsidRDefault="000F16EB" w:rsidP="00196CD6">
      <w:pPr>
        <w:pStyle w:val="NoSpacing"/>
      </w:pPr>
    </w:p>
    <w:p w14:paraId="336AE308" w14:textId="22DF5332" w:rsidR="000F16EB" w:rsidRDefault="000F16EB" w:rsidP="000F16EB">
      <w:r>
        <w:t xml:space="preserve">The heat mapping work only required the yearly energy use for heating purposes. Therefore, the CIBSE TM46 values needed to be converted to only show the energy use for heating. The conversion was achieved using the USA EIA </w:t>
      </w:r>
      <w:r>
        <w:rPr>
          <w:color w:val="000000" w:themeColor="text1"/>
        </w:rPr>
        <w:t xml:space="preserve">commercial buildings energy consumption </w:t>
      </w:r>
      <w:r>
        <w:t xml:space="preserve">study </w:t>
      </w:r>
      <w:r>
        <w:fldChar w:fldCharType="begin" w:fldLock="1"/>
      </w:r>
      <w:r w:rsidR="002A6A73">
        <w:instrText>ADDIN CSL_CITATION {"citationItems":[{"id":"ITEM-1","itemData":{"author":[{"dropping-particle":"","family":"EIA","given":"","non-dropping-particle":"","parse-names":false,"suffix":""}],"id":"ITEM-1","issued":{"date-parts":[["2016"]]},"publisher-place":"Washington, USA","title":"2012 Commercial Buildings Energy Consumption Survey: Energy Usage Summary","type":"report"},"uris":["http://www.mendeley.com/documents/?uuid=e0609b0a-c171-4324-929d-133bbc4f25f5"]}],"mendeley":{"formattedCitation":"(EIA, 2016)","plainTextFormattedCitation":"(EIA, 2016)","previouslyFormattedCitation":"(EIA, 2016)"},"properties":{"noteIndex":0},"schema":"https://github.com/citation-style-language/schema/raw/master/csl-citation.json"}</w:instrText>
      </w:r>
      <w:r>
        <w:fldChar w:fldCharType="separate"/>
      </w:r>
      <w:r w:rsidR="002A6A73" w:rsidRPr="002A6A73">
        <w:rPr>
          <w:noProof/>
        </w:rPr>
        <w:t>(EIA, 2016)</w:t>
      </w:r>
      <w:r>
        <w:fldChar w:fldCharType="end"/>
      </w:r>
      <w:r>
        <w:t xml:space="preserve">. The study split the fuel use of 18 different archetype building categories into heat and electricity demands, as shown in </w:t>
      </w:r>
      <w:r>
        <w:fldChar w:fldCharType="begin"/>
      </w:r>
      <w:r>
        <w:instrText xml:space="preserve"> REF _Ref529531054 \h </w:instrText>
      </w:r>
      <w:r>
        <w:fldChar w:fldCharType="separate"/>
      </w:r>
      <w:r w:rsidR="00CB7456">
        <w:t xml:space="preserve">Table </w:t>
      </w:r>
      <w:r w:rsidR="00CB7456">
        <w:rPr>
          <w:noProof/>
        </w:rPr>
        <w:t>3</w:t>
      </w:r>
      <w:r w:rsidR="00CB7456">
        <w:t>.</w:t>
      </w:r>
      <w:r w:rsidR="00CB7456">
        <w:rPr>
          <w:noProof/>
        </w:rPr>
        <w:t>2</w:t>
      </w:r>
      <w:r>
        <w:fldChar w:fldCharType="end"/>
      </w:r>
      <w:r>
        <w:t xml:space="preserve">. The CIBSE and EIA studies were combined to estimate the total yearly energy use for heating </w:t>
      </w:r>
      <w:r w:rsidRPr="00CD2CDB">
        <w:t>(</w:t>
      </w:r>
      <w:r>
        <w:t>k</w:t>
      </w:r>
      <w:r w:rsidRPr="00CD2CDB">
        <w:t>Wh/m</w:t>
      </w:r>
      <w:r w:rsidRPr="00CD2CDB">
        <w:rPr>
          <w:vertAlign w:val="superscript"/>
        </w:rPr>
        <w:t>2</w:t>
      </w:r>
      <w:r w:rsidRPr="00CD2CDB">
        <w:t>)</w:t>
      </w:r>
      <w:r>
        <w:t xml:space="preserve"> for each of the 29 CIBSE archetype building categories. As the EIA study used data for American and not English buildings, it was assumed that the proportion of energy used for heating purposes is similar for both.</w:t>
      </w:r>
      <w:bookmarkStart w:id="420" w:name="_Ref468116811"/>
      <w:bookmarkStart w:id="421" w:name="_Toc468265822"/>
    </w:p>
    <w:p w14:paraId="26947AE8" w14:textId="77777777" w:rsidR="000F16EB" w:rsidRDefault="000F16EB" w:rsidP="000F16EB">
      <w:pPr>
        <w:jc w:val="left"/>
        <w:rPr>
          <w:b/>
          <w:bCs/>
          <w:sz w:val="18"/>
          <w:szCs w:val="18"/>
        </w:rPr>
      </w:pPr>
      <w:bookmarkStart w:id="422" w:name="_Ref522541068"/>
      <w:bookmarkStart w:id="423" w:name="_Toc525230122"/>
      <w:r>
        <w:br w:type="page"/>
      </w:r>
    </w:p>
    <w:p w14:paraId="293BD752" w14:textId="301F1BE8" w:rsidR="000F16EB" w:rsidRPr="00C34FF0" w:rsidRDefault="000F16EB" w:rsidP="000F16EB">
      <w:pPr>
        <w:pStyle w:val="Caption"/>
      </w:pPr>
      <w:bookmarkStart w:id="424" w:name="_Ref529531054"/>
      <w:bookmarkStart w:id="425" w:name="_Toc7187675"/>
      <w:r>
        <w:lastRenderedPageBreak/>
        <w:t xml:space="preserve">Table </w:t>
      </w:r>
      <w:fldSimple w:instr=" STYLEREF 1 \s ">
        <w:r w:rsidR="00CB7456">
          <w:rPr>
            <w:noProof/>
          </w:rPr>
          <w:t>3</w:t>
        </w:r>
      </w:fldSimple>
      <w:r w:rsidR="009E1A67">
        <w:t>.</w:t>
      </w:r>
      <w:fldSimple w:instr=" SEQ Table \* ARABIC \s 1 ">
        <w:r w:rsidR="00CB7456">
          <w:rPr>
            <w:noProof/>
          </w:rPr>
          <w:t>2</w:t>
        </w:r>
      </w:fldSimple>
      <w:bookmarkEnd w:id="420"/>
      <w:bookmarkEnd w:id="422"/>
      <w:bookmarkEnd w:id="424"/>
      <w:r>
        <w:t xml:space="preserve">: EIA electricity and fossil fuel building energy consumption by end </w:t>
      </w:r>
      <w:r w:rsidRPr="0040484F">
        <w:t xml:space="preserve">use </w:t>
      </w:r>
      <w:r w:rsidRPr="0040484F">
        <w:fldChar w:fldCharType="begin" w:fldLock="1"/>
      </w:r>
      <w:r w:rsidR="002A6A73" w:rsidRPr="0040484F">
        <w:instrText>ADDIN CSL_CITATION {"citationItems":[{"id":"ITEM-1","itemData":{"author":[{"dropping-particle":"","family":"EIA","given":"","non-dropping-particle":"","parse-names":false,"suffix":""}],"id":"ITEM-1","issued":{"date-parts":[["2016"]]},"publisher-place":"Washington, USA","title":"2012 Commercial Buildings Energy Consumption Survey: Energy Usage Summary","type":"report"},"uris":["http://www.mendeley.com/documents/?uuid=e0609b0a-c171-4324-929d-133bbc4f25f5"]}],"mendeley":{"formattedCitation":"(EIA, 2016)","plainTextFormattedCitation":"(EIA, 2016)","previouslyFormattedCitation":"(EIA, 2016)"},"properties":{"noteIndex":0},"schema":"https://github.com/citation-style-language/schema/raw/master/csl-citation.json"}</w:instrText>
      </w:r>
      <w:r w:rsidRPr="0040484F">
        <w:fldChar w:fldCharType="separate"/>
      </w:r>
      <w:r w:rsidR="002A6A73" w:rsidRPr="0040484F">
        <w:rPr>
          <w:noProof/>
        </w:rPr>
        <w:t>(EIA, 2016)</w:t>
      </w:r>
      <w:r w:rsidRPr="0040484F">
        <w:fldChar w:fldCharType="end"/>
      </w:r>
      <w:r w:rsidRPr="0040484F">
        <w:t>.</w:t>
      </w:r>
      <w:bookmarkEnd w:id="421"/>
      <w:bookmarkEnd w:id="423"/>
      <w:bookmarkEnd w:id="425"/>
    </w:p>
    <w:tbl>
      <w:tblPr>
        <w:tblW w:w="8364" w:type="dxa"/>
        <w:jc w:val="center"/>
        <w:tblBorders>
          <w:top w:val="single" w:sz="4" w:space="0" w:color="auto"/>
          <w:bottom w:val="single" w:sz="4" w:space="0" w:color="auto"/>
        </w:tblBorders>
        <w:tblLook w:val="00A0" w:firstRow="1" w:lastRow="0" w:firstColumn="1" w:lastColumn="0" w:noHBand="0" w:noVBand="0"/>
      </w:tblPr>
      <w:tblGrid>
        <w:gridCol w:w="1048"/>
        <w:gridCol w:w="2278"/>
        <w:gridCol w:w="1870"/>
        <w:gridCol w:w="1820"/>
        <w:gridCol w:w="1348"/>
      </w:tblGrid>
      <w:tr w:rsidR="002132B0" w14:paraId="3CA5D88E" w14:textId="77777777" w:rsidTr="002132B0">
        <w:trPr>
          <w:jc w:val="center"/>
        </w:trPr>
        <w:tc>
          <w:tcPr>
            <w:tcW w:w="1050" w:type="dxa"/>
            <w:tcBorders>
              <w:top w:val="single" w:sz="4" w:space="0" w:color="auto"/>
              <w:left w:val="nil"/>
              <w:bottom w:val="single" w:sz="4" w:space="0" w:color="auto"/>
              <w:right w:val="nil"/>
            </w:tcBorders>
            <w:hideMark/>
          </w:tcPr>
          <w:p w14:paraId="77C031BD" w14:textId="77777777" w:rsidR="002132B0" w:rsidRDefault="002132B0" w:rsidP="002132B0">
            <w:pPr>
              <w:spacing w:after="0" w:line="240" w:lineRule="auto"/>
              <w:jc w:val="center"/>
            </w:pPr>
            <w:r>
              <w:t>EIA category</w:t>
            </w:r>
          </w:p>
        </w:tc>
        <w:tc>
          <w:tcPr>
            <w:tcW w:w="2305" w:type="dxa"/>
            <w:tcBorders>
              <w:top w:val="single" w:sz="4" w:space="0" w:color="auto"/>
              <w:left w:val="nil"/>
              <w:bottom w:val="single" w:sz="4" w:space="0" w:color="auto"/>
              <w:right w:val="nil"/>
            </w:tcBorders>
            <w:hideMark/>
          </w:tcPr>
          <w:p w14:paraId="23410E68" w14:textId="77777777" w:rsidR="002132B0" w:rsidRDefault="002132B0" w:rsidP="002132B0">
            <w:pPr>
              <w:spacing w:after="0" w:line="240" w:lineRule="auto"/>
              <w:jc w:val="center"/>
            </w:pPr>
            <w:r>
              <w:t>Building type</w:t>
            </w:r>
          </w:p>
        </w:tc>
        <w:tc>
          <w:tcPr>
            <w:tcW w:w="1890" w:type="dxa"/>
            <w:tcBorders>
              <w:top w:val="single" w:sz="4" w:space="0" w:color="auto"/>
              <w:left w:val="nil"/>
              <w:bottom w:val="single" w:sz="4" w:space="0" w:color="auto"/>
              <w:right w:val="nil"/>
            </w:tcBorders>
            <w:hideMark/>
          </w:tcPr>
          <w:p w14:paraId="11D2713E" w14:textId="68634918" w:rsidR="002132B0" w:rsidRDefault="002132B0" w:rsidP="002132B0">
            <w:pPr>
              <w:spacing w:after="0" w:line="240" w:lineRule="auto"/>
              <w:jc w:val="center"/>
            </w:pPr>
            <w:r>
              <w:t>How much of the total electricity demand is used for heating (%)</w:t>
            </w:r>
          </w:p>
        </w:tc>
        <w:tc>
          <w:tcPr>
            <w:tcW w:w="1843" w:type="dxa"/>
            <w:tcBorders>
              <w:top w:val="single" w:sz="4" w:space="0" w:color="auto"/>
              <w:left w:val="nil"/>
              <w:bottom w:val="single" w:sz="4" w:space="0" w:color="auto"/>
              <w:right w:val="nil"/>
            </w:tcBorders>
            <w:hideMark/>
          </w:tcPr>
          <w:p w14:paraId="514F199C" w14:textId="20067E87" w:rsidR="002132B0" w:rsidRDefault="002132B0" w:rsidP="002132B0">
            <w:pPr>
              <w:spacing w:after="0" w:line="240" w:lineRule="auto"/>
              <w:jc w:val="center"/>
            </w:pPr>
            <w:r>
              <w:t>How much of the total fossil fuel demand is used for heating (%)</w:t>
            </w:r>
          </w:p>
        </w:tc>
        <w:tc>
          <w:tcPr>
            <w:tcW w:w="1276" w:type="dxa"/>
            <w:tcBorders>
              <w:top w:val="single" w:sz="4" w:space="0" w:color="auto"/>
              <w:left w:val="nil"/>
              <w:bottom w:val="single" w:sz="4" w:space="0" w:color="auto"/>
              <w:right w:val="nil"/>
            </w:tcBorders>
          </w:tcPr>
          <w:p w14:paraId="62965774" w14:textId="77777777" w:rsidR="002132B0" w:rsidRDefault="002132B0" w:rsidP="002132B0">
            <w:pPr>
              <w:spacing w:after="0" w:line="240" w:lineRule="auto"/>
              <w:jc w:val="center"/>
            </w:pPr>
            <w:r>
              <w:t>Corresponds to CIBSE categories</w:t>
            </w:r>
          </w:p>
        </w:tc>
      </w:tr>
      <w:tr w:rsidR="000F16EB" w14:paraId="23CBBA01" w14:textId="77777777" w:rsidTr="002132B0">
        <w:trPr>
          <w:jc w:val="center"/>
        </w:trPr>
        <w:tc>
          <w:tcPr>
            <w:tcW w:w="1050" w:type="dxa"/>
            <w:tcBorders>
              <w:top w:val="single" w:sz="4" w:space="0" w:color="auto"/>
              <w:left w:val="nil"/>
              <w:bottom w:val="nil"/>
              <w:right w:val="nil"/>
            </w:tcBorders>
            <w:hideMark/>
          </w:tcPr>
          <w:p w14:paraId="41718A24" w14:textId="77777777" w:rsidR="000F16EB" w:rsidRDefault="000F16EB" w:rsidP="00A7521D">
            <w:pPr>
              <w:spacing w:after="0" w:line="240" w:lineRule="auto"/>
              <w:jc w:val="center"/>
            </w:pPr>
            <w:r>
              <w:t>A</w:t>
            </w:r>
          </w:p>
        </w:tc>
        <w:tc>
          <w:tcPr>
            <w:tcW w:w="2305" w:type="dxa"/>
            <w:tcBorders>
              <w:top w:val="single" w:sz="4" w:space="0" w:color="auto"/>
              <w:left w:val="nil"/>
              <w:bottom w:val="nil"/>
              <w:right w:val="nil"/>
            </w:tcBorders>
            <w:hideMark/>
          </w:tcPr>
          <w:p w14:paraId="3BCD56A7" w14:textId="77777777" w:rsidR="000F16EB" w:rsidRDefault="000F16EB" w:rsidP="00A7521D">
            <w:pPr>
              <w:spacing w:after="0" w:line="240" w:lineRule="auto"/>
              <w:jc w:val="center"/>
            </w:pPr>
            <w:r>
              <w:t>Education</w:t>
            </w:r>
          </w:p>
        </w:tc>
        <w:tc>
          <w:tcPr>
            <w:tcW w:w="1890" w:type="dxa"/>
            <w:tcBorders>
              <w:top w:val="single" w:sz="4" w:space="0" w:color="auto"/>
              <w:left w:val="nil"/>
              <w:bottom w:val="nil"/>
              <w:right w:val="nil"/>
            </w:tcBorders>
            <w:hideMark/>
          </w:tcPr>
          <w:p w14:paraId="4F821AC3" w14:textId="77777777" w:rsidR="000F16EB" w:rsidRDefault="000F16EB" w:rsidP="00A7521D">
            <w:pPr>
              <w:spacing w:after="0" w:line="240" w:lineRule="auto"/>
              <w:jc w:val="center"/>
            </w:pPr>
            <w:r>
              <w:t>2.8</w:t>
            </w:r>
          </w:p>
        </w:tc>
        <w:tc>
          <w:tcPr>
            <w:tcW w:w="1843" w:type="dxa"/>
            <w:tcBorders>
              <w:top w:val="single" w:sz="4" w:space="0" w:color="auto"/>
              <w:left w:val="nil"/>
              <w:bottom w:val="nil"/>
              <w:right w:val="nil"/>
            </w:tcBorders>
            <w:hideMark/>
          </w:tcPr>
          <w:p w14:paraId="4D49795D" w14:textId="77777777" w:rsidR="000F16EB" w:rsidRDefault="000F16EB" w:rsidP="00A7521D">
            <w:pPr>
              <w:spacing w:after="0" w:line="240" w:lineRule="auto"/>
              <w:jc w:val="center"/>
            </w:pPr>
            <w:r>
              <w:t>91.4</w:t>
            </w:r>
          </w:p>
        </w:tc>
        <w:tc>
          <w:tcPr>
            <w:tcW w:w="1276" w:type="dxa"/>
            <w:tcBorders>
              <w:top w:val="single" w:sz="4" w:space="0" w:color="auto"/>
              <w:left w:val="nil"/>
              <w:bottom w:val="nil"/>
              <w:right w:val="nil"/>
            </w:tcBorders>
          </w:tcPr>
          <w:p w14:paraId="16C1CC6A" w14:textId="77777777" w:rsidR="000F16EB" w:rsidRDefault="000F16EB" w:rsidP="00A7521D">
            <w:pPr>
              <w:spacing w:after="0" w:line="240" w:lineRule="auto"/>
              <w:jc w:val="center"/>
            </w:pPr>
            <w:r>
              <w:t>17, 18</w:t>
            </w:r>
          </w:p>
        </w:tc>
      </w:tr>
      <w:tr w:rsidR="000F16EB" w14:paraId="64EC7A74" w14:textId="77777777" w:rsidTr="002132B0">
        <w:trPr>
          <w:jc w:val="center"/>
        </w:trPr>
        <w:tc>
          <w:tcPr>
            <w:tcW w:w="1050" w:type="dxa"/>
            <w:tcBorders>
              <w:top w:val="nil"/>
              <w:left w:val="nil"/>
              <w:bottom w:val="nil"/>
              <w:right w:val="nil"/>
            </w:tcBorders>
            <w:hideMark/>
          </w:tcPr>
          <w:p w14:paraId="59AB7461" w14:textId="77777777" w:rsidR="000F16EB" w:rsidRDefault="000F16EB" w:rsidP="00A7521D">
            <w:pPr>
              <w:spacing w:after="0" w:line="240" w:lineRule="auto"/>
              <w:jc w:val="center"/>
            </w:pPr>
            <w:r>
              <w:t>B</w:t>
            </w:r>
          </w:p>
        </w:tc>
        <w:tc>
          <w:tcPr>
            <w:tcW w:w="2305" w:type="dxa"/>
            <w:tcBorders>
              <w:top w:val="nil"/>
              <w:left w:val="nil"/>
              <w:bottom w:val="nil"/>
              <w:right w:val="nil"/>
            </w:tcBorders>
            <w:hideMark/>
          </w:tcPr>
          <w:p w14:paraId="219C9A09" w14:textId="77777777" w:rsidR="000F16EB" w:rsidRDefault="000F16EB" w:rsidP="00A7521D">
            <w:pPr>
              <w:spacing w:after="0" w:line="240" w:lineRule="auto"/>
              <w:jc w:val="center"/>
            </w:pPr>
            <w:r>
              <w:t>Food sales</w:t>
            </w:r>
          </w:p>
        </w:tc>
        <w:tc>
          <w:tcPr>
            <w:tcW w:w="1890" w:type="dxa"/>
            <w:tcBorders>
              <w:top w:val="nil"/>
              <w:left w:val="nil"/>
              <w:bottom w:val="nil"/>
              <w:right w:val="nil"/>
            </w:tcBorders>
            <w:hideMark/>
          </w:tcPr>
          <w:p w14:paraId="0FCE1B39" w14:textId="77777777" w:rsidR="000F16EB" w:rsidRDefault="000F16EB" w:rsidP="00A7521D">
            <w:pPr>
              <w:spacing w:after="0" w:line="240" w:lineRule="auto"/>
              <w:jc w:val="center"/>
            </w:pPr>
            <w:r>
              <w:t>1.0</w:t>
            </w:r>
          </w:p>
        </w:tc>
        <w:tc>
          <w:tcPr>
            <w:tcW w:w="1843" w:type="dxa"/>
            <w:tcBorders>
              <w:top w:val="nil"/>
              <w:left w:val="nil"/>
              <w:bottom w:val="nil"/>
              <w:right w:val="nil"/>
            </w:tcBorders>
            <w:hideMark/>
          </w:tcPr>
          <w:p w14:paraId="70F705E9" w14:textId="77777777" w:rsidR="000F16EB" w:rsidRDefault="000F16EB" w:rsidP="00A7521D">
            <w:pPr>
              <w:spacing w:after="0" w:line="240" w:lineRule="auto"/>
              <w:jc w:val="center"/>
            </w:pPr>
            <w:r>
              <w:t>60.4</w:t>
            </w:r>
          </w:p>
        </w:tc>
        <w:tc>
          <w:tcPr>
            <w:tcW w:w="1276" w:type="dxa"/>
            <w:tcBorders>
              <w:top w:val="nil"/>
              <w:left w:val="nil"/>
              <w:bottom w:val="nil"/>
              <w:right w:val="nil"/>
            </w:tcBorders>
          </w:tcPr>
          <w:p w14:paraId="4FAAC24A" w14:textId="77777777" w:rsidR="000F16EB" w:rsidRDefault="000F16EB" w:rsidP="00A7521D">
            <w:pPr>
              <w:spacing w:after="0" w:line="240" w:lineRule="auto"/>
              <w:jc w:val="center"/>
            </w:pPr>
            <w:r>
              <w:t>5, 6</w:t>
            </w:r>
          </w:p>
        </w:tc>
      </w:tr>
      <w:tr w:rsidR="000F16EB" w14:paraId="72C264BF" w14:textId="77777777" w:rsidTr="002132B0">
        <w:trPr>
          <w:jc w:val="center"/>
        </w:trPr>
        <w:tc>
          <w:tcPr>
            <w:tcW w:w="1050" w:type="dxa"/>
            <w:tcBorders>
              <w:top w:val="nil"/>
              <w:left w:val="nil"/>
              <w:bottom w:val="nil"/>
              <w:right w:val="nil"/>
            </w:tcBorders>
            <w:hideMark/>
          </w:tcPr>
          <w:p w14:paraId="5F22B1B8" w14:textId="77777777" w:rsidR="000F16EB" w:rsidRDefault="000F16EB" w:rsidP="00A7521D">
            <w:pPr>
              <w:spacing w:after="0" w:line="240" w:lineRule="auto"/>
              <w:jc w:val="center"/>
            </w:pPr>
            <w:r>
              <w:t>C</w:t>
            </w:r>
          </w:p>
        </w:tc>
        <w:tc>
          <w:tcPr>
            <w:tcW w:w="2305" w:type="dxa"/>
            <w:tcBorders>
              <w:top w:val="nil"/>
              <w:left w:val="nil"/>
              <w:bottom w:val="nil"/>
              <w:right w:val="nil"/>
            </w:tcBorders>
            <w:hideMark/>
          </w:tcPr>
          <w:p w14:paraId="5108CA2B" w14:textId="77777777" w:rsidR="000F16EB" w:rsidRDefault="000F16EB" w:rsidP="00A7521D">
            <w:pPr>
              <w:spacing w:after="0" w:line="240" w:lineRule="auto"/>
              <w:jc w:val="center"/>
            </w:pPr>
            <w:r>
              <w:t>Food service</w:t>
            </w:r>
          </w:p>
        </w:tc>
        <w:tc>
          <w:tcPr>
            <w:tcW w:w="1890" w:type="dxa"/>
            <w:tcBorders>
              <w:top w:val="nil"/>
              <w:left w:val="nil"/>
              <w:bottom w:val="nil"/>
              <w:right w:val="nil"/>
            </w:tcBorders>
            <w:hideMark/>
          </w:tcPr>
          <w:p w14:paraId="5940A3CB" w14:textId="77777777" w:rsidR="000F16EB" w:rsidRDefault="000F16EB" w:rsidP="00A7521D">
            <w:pPr>
              <w:spacing w:after="0" w:line="240" w:lineRule="auto"/>
              <w:jc w:val="center"/>
            </w:pPr>
            <w:r>
              <w:t>2.9</w:t>
            </w:r>
          </w:p>
        </w:tc>
        <w:tc>
          <w:tcPr>
            <w:tcW w:w="1843" w:type="dxa"/>
            <w:tcBorders>
              <w:top w:val="nil"/>
              <w:left w:val="nil"/>
              <w:bottom w:val="nil"/>
              <w:right w:val="nil"/>
            </w:tcBorders>
            <w:hideMark/>
          </w:tcPr>
          <w:p w14:paraId="1FD88A39" w14:textId="77777777" w:rsidR="000F16EB" w:rsidRDefault="000F16EB" w:rsidP="00A7521D">
            <w:pPr>
              <w:spacing w:after="0" w:line="240" w:lineRule="auto"/>
              <w:jc w:val="center"/>
            </w:pPr>
            <w:r>
              <w:t>33.0</w:t>
            </w:r>
          </w:p>
        </w:tc>
        <w:tc>
          <w:tcPr>
            <w:tcW w:w="1276" w:type="dxa"/>
            <w:tcBorders>
              <w:top w:val="nil"/>
              <w:left w:val="nil"/>
              <w:bottom w:val="nil"/>
              <w:right w:val="nil"/>
            </w:tcBorders>
          </w:tcPr>
          <w:p w14:paraId="513B80A0" w14:textId="77777777" w:rsidR="000F16EB" w:rsidRDefault="000F16EB" w:rsidP="00A7521D">
            <w:pPr>
              <w:spacing w:after="0" w:line="240" w:lineRule="auto"/>
              <w:jc w:val="center"/>
            </w:pPr>
            <w:r>
              <w:t>7, 8</w:t>
            </w:r>
          </w:p>
        </w:tc>
      </w:tr>
      <w:tr w:rsidR="000F16EB" w14:paraId="77C2BCB3" w14:textId="77777777" w:rsidTr="002132B0">
        <w:trPr>
          <w:jc w:val="center"/>
        </w:trPr>
        <w:tc>
          <w:tcPr>
            <w:tcW w:w="1050" w:type="dxa"/>
            <w:tcBorders>
              <w:top w:val="nil"/>
              <w:left w:val="nil"/>
              <w:bottom w:val="nil"/>
              <w:right w:val="nil"/>
            </w:tcBorders>
            <w:hideMark/>
          </w:tcPr>
          <w:p w14:paraId="269FDF6F" w14:textId="77777777" w:rsidR="000F16EB" w:rsidRDefault="000F16EB" w:rsidP="00A7521D">
            <w:pPr>
              <w:spacing w:after="0" w:line="240" w:lineRule="auto"/>
              <w:jc w:val="center"/>
            </w:pPr>
            <w:r>
              <w:t>D</w:t>
            </w:r>
          </w:p>
        </w:tc>
        <w:tc>
          <w:tcPr>
            <w:tcW w:w="2305" w:type="dxa"/>
            <w:tcBorders>
              <w:top w:val="nil"/>
              <w:left w:val="nil"/>
              <w:bottom w:val="nil"/>
              <w:right w:val="nil"/>
            </w:tcBorders>
            <w:hideMark/>
          </w:tcPr>
          <w:p w14:paraId="5E4B7C77" w14:textId="77777777" w:rsidR="000F16EB" w:rsidRDefault="000F16EB" w:rsidP="00A7521D">
            <w:pPr>
              <w:spacing w:after="0" w:line="240" w:lineRule="auto"/>
              <w:jc w:val="center"/>
            </w:pPr>
            <w:r>
              <w:t>Health care</w:t>
            </w:r>
          </w:p>
        </w:tc>
        <w:tc>
          <w:tcPr>
            <w:tcW w:w="1890" w:type="dxa"/>
            <w:tcBorders>
              <w:top w:val="nil"/>
              <w:left w:val="nil"/>
              <w:bottom w:val="nil"/>
              <w:right w:val="nil"/>
            </w:tcBorders>
            <w:hideMark/>
          </w:tcPr>
          <w:p w14:paraId="10F2C497" w14:textId="77777777" w:rsidR="000F16EB" w:rsidRDefault="000F16EB" w:rsidP="00A7521D">
            <w:pPr>
              <w:spacing w:after="0" w:line="240" w:lineRule="auto"/>
              <w:jc w:val="center"/>
            </w:pPr>
            <w:r>
              <w:t>1.4</w:t>
            </w:r>
          </w:p>
        </w:tc>
        <w:tc>
          <w:tcPr>
            <w:tcW w:w="1843" w:type="dxa"/>
            <w:tcBorders>
              <w:top w:val="nil"/>
              <w:left w:val="nil"/>
              <w:bottom w:val="nil"/>
              <w:right w:val="nil"/>
            </w:tcBorders>
            <w:hideMark/>
          </w:tcPr>
          <w:p w14:paraId="4C6C82C9" w14:textId="77777777" w:rsidR="000F16EB" w:rsidRDefault="000F16EB" w:rsidP="00A7521D">
            <w:pPr>
              <w:spacing w:after="0" w:line="240" w:lineRule="auto"/>
              <w:jc w:val="center"/>
            </w:pPr>
            <w:r>
              <w:t>83.0</w:t>
            </w:r>
          </w:p>
        </w:tc>
        <w:tc>
          <w:tcPr>
            <w:tcW w:w="1276" w:type="dxa"/>
            <w:tcBorders>
              <w:top w:val="nil"/>
              <w:left w:val="nil"/>
              <w:bottom w:val="nil"/>
              <w:right w:val="nil"/>
            </w:tcBorders>
          </w:tcPr>
          <w:p w14:paraId="79E2401E" w14:textId="77777777" w:rsidR="000F16EB" w:rsidRDefault="000F16EB" w:rsidP="00A7521D">
            <w:pPr>
              <w:spacing w:after="0" w:line="240" w:lineRule="auto"/>
              <w:jc w:val="center"/>
            </w:pPr>
            <w:r>
              <w:t>-</w:t>
            </w:r>
          </w:p>
        </w:tc>
      </w:tr>
      <w:tr w:rsidR="000F16EB" w14:paraId="629ABAE6" w14:textId="77777777" w:rsidTr="002132B0">
        <w:trPr>
          <w:jc w:val="center"/>
        </w:trPr>
        <w:tc>
          <w:tcPr>
            <w:tcW w:w="1050" w:type="dxa"/>
            <w:tcBorders>
              <w:top w:val="nil"/>
              <w:left w:val="nil"/>
              <w:bottom w:val="nil"/>
              <w:right w:val="nil"/>
            </w:tcBorders>
            <w:hideMark/>
          </w:tcPr>
          <w:p w14:paraId="04CE1E56" w14:textId="77777777" w:rsidR="000F16EB" w:rsidRDefault="000F16EB" w:rsidP="00A7521D">
            <w:pPr>
              <w:spacing w:after="0" w:line="240" w:lineRule="auto"/>
              <w:jc w:val="center"/>
            </w:pPr>
            <w:r>
              <w:t>E</w:t>
            </w:r>
          </w:p>
        </w:tc>
        <w:tc>
          <w:tcPr>
            <w:tcW w:w="2305" w:type="dxa"/>
            <w:tcBorders>
              <w:top w:val="nil"/>
              <w:left w:val="nil"/>
              <w:bottom w:val="nil"/>
              <w:right w:val="nil"/>
            </w:tcBorders>
            <w:hideMark/>
          </w:tcPr>
          <w:p w14:paraId="726E6DBB" w14:textId="77777777" w:rsidR="000F16EB" w:rsidRDefault="000F16EB" w:rsidP="00A7521D">
            <w:pPr>
              <w:spacing w:after="0" w:line="240" w:lineRule="auto"/>
              <w:jc w:val="center"/>
            </w:pPr>
            <w:r>
              <w:t>Inpatient</w:t>
            </w:r>
          </w:p>
        </w:tc>
        <w:tc>
          <w:tcPr>
            <w:tcW w:w="1890" w:type="dxa"/>
            <w:tcBorders>
              <w:top w:val="nil"/>
              <w:left w:val="nil"/>
              <w:bottom w:val="nil"/>
              <w:right w:val="nil"/>
            </w:tcBorders>
            <w:hideMark/>
          </w:tcPr>
          <w:p w14:paraId="11748A62" w14:textId="77777777" w:rsidR="000F16EB" w:rsidRDefault="000F16EB" w:rsidP="00A7521D">
            <w:pPr>
              <w:spacing w:after="0" w:line="240" w:lineRule="auto"/>
              <w:jc w:val="center"/>
            </w:pPr>
            <w:r>
              <w:t>1.2</w:t>
            </w:r>
          </w:p>
        </w:tc>
        <w:tc>
          <w:tcPr>
            <w:tcW w:w="1843" w:type="dxa"/>
            <w:tcBorders>
              <w:top w:val="nil"/>
              <w:left w:val="nil"/>
              <w:bottom w:val="nil"/>
              <w:right w:val="nil"/>
            </w:tcBorders>
            <w:hideMark/>
          </w:tcPr>
          <w:p w14:paraId="3EED975C" w14:textId="77777777" w:rsidR="000F16EB" w:rsidRDefault="000F16EB" w:rsidP="00A7521D">
            <w:pPr>
              <w:spacing w:after="0" w:line="240" w:lineRule="auto"/>
              <w:jc w:val="center"/>
            </w:pPr>
            <w:r>
              <w:t>81.7</w:t>
            </w:r>
          </w:p>
        </w:tc>
        <w:tc>
          <w:tcPr>
            <w:tcW w:w="1276" w:type="dxa"/>
            <w:tcBorders>
              <w:top w:val="nil"/>
              <w:left w:val="nil"/>
              <w:bottom w:val="nil"/>
              <w:right w:val="nil"/>
            </w:tcBorders>
          </w:tcPr>
          <w:p w14:paraId="3BD48262" w14:textId="77777777" w:rsidR="000F16EB" w:rsidRDefault="000F16EB" w:rsidP="00A7521D">
            <w:pPr>
              <w:spacing w:after="0" w:line="240" w:lineRule="auto"/>
              <w:jc w:val="center"/>
            </w:pPr>
            <w:r>
              <w:t>20</w:t>
            </w:r>
          </w:p>
        </w:tc>
      </w:tr>
      <w:tr w:rsidR="000F16EB" w14:paraId="2EC03075" w14:textId="77777777" w:rsidTr="002132B0">
        <w:trPr>
          <w:jc w:val="center"/>
        </w:trPr>
        <w:tc>
          <w:tcPr>
            <w:tcW w:w="1050" w:type="dxa"/>
            <w:tcBorders>
              <w:top w:val="nil"/>
              <w:left w:val="nil"/>
              <w:bottom w:val="nil"/>
              <w:right w:val="nil"/>
            </w:tcBorders>
            <w:hideMark/>
          </w:tcPr>
          <w:p w14:paraId="6500E677" w14:textId="77777777" w:rsidR="000F16EB" w:rsidRDefault="000F16EB" w:rsidP="00A7521D">
            <w:pPr>
              <w:spacing w:after="0" w:line="240" w:lineRule="auto"/>
              <w:jc w:val="center"/>
            </w:pPr>
            <w:r>
              <w:t>F</w:t>
            </w:r>
          </w:p>
        </w:tc>
        <w:tc>
          <w:tcPr>
            <w:tcW w:w="2305" w:type="dxa"/>
            <w:tcBorders>
              <w:top w:val="nil"/>
              <w:left w:val="nil"/>
              <w:bottom w:val="nil"/>
              <w:right w:val="nil"/>
            </w:tcBorders>
            <w:hideMark/>
          </w:tcPr>
          <w:p w14:paraId="6E96460F" w14:textId="77777777" w:rsidR="000F16EB" w:rsidRDefault="000F16EB" w:rsidP="00A7521D">
            <w:pPr>
              <w:spacing w:after="0" w:line="240" w:lineRule="auto"/>
              <w:jc w:val="center"/>
            </w:pPr>
            <w:r>
              <w:t>Outpatient</w:t>
            </w:r>
          </w:p>
        </w:tc>
        <w:tc>
          <w:tcPr>
            <w:tcW w:w="1890" w:type="dxa"/>
            <w:tcBorders>
              <w:top w:val="nil"/>
              <w:left w:val="nil"/>
              <w:bottom w:val="nil"/>
              <w:right w:val="nil"/>
            </w:tcBorders>
            <w:hideMark/>
          </w:tcPr>
          <w:p w14:paraId="160A9DB2" w14:textId="77777777" w:rsidR="000F16EB" w:rsidRDefault="000F16EB" w:rsidP="00A7521D">
            <w:pPr>
              <w:spacing w:after="0" w:line="240" w:lineRule="auto"/>
              <w:jc w:val="center"/>
            </w:pPr>
            <w:r>
              <w:t>1.8</w:t>
            </w:r>
          </w:p>
        </w:tc>
        <w:tc>
          <w:tcPr>
            <w:tcW w:w="1843" w:type="dxa"/>
            <w:tcBorders>
              <w:top w:val="nil"/>
              <w:left w:val="nil"/>
              <w:bottom w:val="nil"/>
              <w:right w:val="nil"/>
            </w:tcBorders>
            <w:hideMark/>
          </w:tcPr>
          <w:p w14:paraId="30506D0A" w14:textId="77777777" w:rsidR="000F16EB" w:rsidRDefault="000F16EB" w:rsidP="00A7521D">
            <w:pPr>
              <w:spacing w:after="0" w:line="240" w:lineRule="auto"/>
              <w:jc w:val="center"/>
            </w:pPr>
            <w:r>
              <w:t>93.5</w:t>
            </w:r>
          </w:p>
        </w:tc>
        <w:tc>
          <w:tcPr>
            <w:tcW w:w="1276" w:type="dxa"/>
            <w:tcBorders>
              <w:top w:val="nil"/>
              <w:left w:val="nil"/>
              <w:bottom w:val="nil"/>
              <w:right w:val="nil"/>
            </w:tcBorders>
          </w:tcPr>
          <w:p w14:paraId="1873D507" w14:textId="77777777" w:rsidR="000F16EB" w:rsidRDefault="000F16EB" w:rsidP="00A7521D">
            <w:pPr>
              <w:spacing w:after="0" w:line="240" w:lineRule="auto"/>
              <w:jc w:val="center"/>
            </w:pPr>
            <w:r>
              <w:t>19</w:t>
            </w:r>
          </w:p>
        </w:tc>
      </w:tr>
      <w:tr w:rsidR="000F16EB" w14:paraId="05B8D16D" w14:textId="77777777" w:rsidTr="002132B0">
        <w:trPr>
          <w:jc w:val="center"/>
        </w:trPr>
        <w:tc>
          <w:tcPr>
            <w:tcW w:w="1050" w:type="dxa"/>
            <w:tcBorders>
              <w:top w:val="nil"/>
              <w:left w:val="nil"/>
              <w:bottom w:val="nil"/>
              <w:right w:val="nil"/>
            </w:tcBorders>
            <w:hideMark/>
          </w:tcPr>
          <w:p w14:paraId="1E0FB3D9" w14:textId="77777777" w:rsidR="000F16EB" w:rsidRDefault="000F16EB" w:rsidP="00A7521D">
            <w:pPr>
              <w:spacing w:after="0" w:line="240" w:lineRule="auto"/>
              <w:jc w:val="center"/>
            </w:pPr>
            <w:r>
              <w:t>G</w:t>
            </w:r>
          </w:p>
        </w:tc>
        <w:tc>
          <w:tcPr>
            <w:tcW w:w="2305" w:type="dxa"/>
            <w:tcBorders>
              <w:top w:val="nil"/>
              <w:left w:val="nil"/>
              <w:bottom w:val="nil"/>
              <w:right w:val="nil"/>
            </w:tcBorders>
            <w:hideMark/>
          </w:tcPr>
          <w:p w14:paraId="5B736046" w14:textId="77777777" w:rsidR="000F16EB" w:rsidRDefault="000F16EB" w:rsidP="00A7521D">
            <w:pPr>
              <w:spacing w:after="0" w:line="240" w:lineRule="auto"/>
              <w:jc w:val="center"/>
            </w:pPr>
            <w:r>
              <w:t>Lodging</w:t>
            </w:r>
          </w:p>
        </w:tc>
        <w:tc>
          <w:tcPr>
            <w:tcW w:w="1890" w:type="dxa"/>
            <w:tcBorders>
              <w:top w:val="nil"/>
              <w:left w:val="nil"/>
              <w:bottom w:val="nil"/>
              <w:right w:val="nil"/>
            </w:tcBorders>
            <w:hideMark/>
          </w:tcPr>
          <w:p w14:paraId="74415277" w14:textId="77777777" w:rsidR="000F16EB" w:rsidRDefault="000F16EB" w:rsidP="00A7521D">
            <w:pPr>
              <w:spacing w:after="0" w:line="240" w:lineRule="auto"/>
              <w:jc w:val="center"/>
            </w:pPr>
            <w:r>
              <w:t>3.6</w:t>
            </w:r>
          </w:p>
        </w:tc>
        <w:tc>
          <w:tcPr>
            <w:tcW w:w="1843" w:type="dxa"/>
            <w:tcBorders>
              <w:top w:val="nil"/>
              <w:left w:val="nil"/>
              <w:bottom w:val="nil"/>
              <w:right w:val="nil"/>
            </w:tcBorders>
            <w:hideMark/>
          </w:tcPr>
          <w:p w14:paraId="090594CC" w14:textId="77777777" w:rsidR="000F16EB" w:rsidRDefault="000F16EB" w:rsidP="00A7521D">
            <w:pPr>
              <w:spacing w:after="0" w:line="240" w:lineRule="auto"/>
              <w:jc w:val="center"/>
            </w:pPr>
            <w:r>
              <w:t>71.9</w:t>
            </w:r>
          </w:p>
        </w:tc>
        <w:tc>
          <w:tcPr>
            <w:tcW w:w="1276" w:type="dxa"/>
            <w:tcBorders>
              <w:top w:val="nil"/>
              <w:left w:val="nil"/>
              <w:bottom w:val="nil"/>
              <w:right w:val="nil"/>
            </w:tcBorders>
          </w:tcPr>
          <w:p w14:paraId="362A0970" w14:textId="77777777" w:rsidR="000F16EB" w:rsidRDefault="000F16EB" w:rsidP="00A7521D">
            <w:pPr>
              <w:spacing w:after="0" w:line="240" w:lineRule="auto"/>
              <w:jc w:val="center"/>
            </w:pPr>
            <w:r>
              <w:t>9, 20, 21</w:t>
            </w:r>
          </w:p>
        </w:tc>
      </w:tr>
      <w:tr w:rsidR="000F16EB" w14:paraId="7F38E6DC" w14:textId="77777777" w:rsidTr="002132B0">
        <w:trPr>
          <w:jc w:val="center"/>
        </w:trPr>
        <w:tc>
          <w:tcPr>
            <w:tcW w:w="1050" w:type="dxa"/>
            <w:tcBorders>
              <w:top w:val="nil"/>
              <w:left w:val="nil"/>
              <w:bottom w:val="nil"/>
              <w:right w:val="nil"/>
            </w:tcBorders>
            <w:hideMark/>
          </w:tcPr>
          <w:p w14:paraId="1E46FDDE" w14:textId="77777777" w:rsidR="000F16EB" w:rsidRDefault="000F16EB" w:rsidP="00A7521D">
            <w:pPr>
              <w:spacing w:after="0" w:line="240" w:lineRule="auto"/>
              <w:jc w:val="center"/>
            </w:pPr>
            <w:r>
              <w:t>H</w:t>
            </w:r>
          </w:p>
        </w:tc>
        <w:tc>
          <w:tcPr>
            <w:tcW w:w="2305" w:type="dxa"/>
            <w:tcBorders>
              <w:top w:val="nil"/>
              <w:left w:val="nil"/>
              <w:bottom w:val="nil"/>
              <w:right w:val="nil"/>
            </w:tcBorders>
            <w:hideMark/>
          </w:tcPr>
          <w:p w14:paraId="2485FB20" w14:textId="77777777" w:rsidR="000F16EB" w:rsidRDefault="000F16EB" w:rsidP="00A7521D">
            <w:pPr>
              <w:spacing w:after="0" w:line="240" w:lineRule="auto"/>
              <w:jc w:val="center"/>
            </w:pPr>
            <w:r>
              <w:t>Mercantile</w:t>
            </w:r>
          </w:p>
        </w:tc>
        <w:tc>
          <w:tcPr>
            <w:tcW w:w="1890" w:type="dxa"/>
            <w:tcBorders>
              <w:top w:val="nil"/>
              <w:left w:val="nil"/>
              <w:bottom w:val="nil"/>
              <w:right w:val="nil"/>
            </w:tcBorders>
            <w:hideMark/>
          </w:tcPr>
          <w:p w14:paraId="42FFCD6C" w14:textId="77777777" w:rsidR="000F16EB" w:rsidRDefault="000F16EB" w:rsidP="00A7521D">
            <w:pPr>
              <w:spacing w:after="0" w:line="240" w:lineRule="auto"/>
              <w:jc w:val="center"/>
            </w:pPr>
            <w:r>
              <w:t>2.8</w:t>
            </w:r>
          </w:p>
        </w:tc>
        <w:tc>
          <w:tcPr>
            <w:tcW w:w="1843" w:type="dxa"/>
            <w:tcBorders>
              <w:top w:val="nil"/>
              <w:left w:val="nil"/>
              <w:bottom w:val="nil"/>
              <w:right w:val="nil"/>
            </w:tcBorders>
            <w:hideMark/>
          </w:tcPr>
          <w:p w14:paraId="6A78770F" w14:textId="77777777" w:rsidR="000F16EB" w:rsidRDefault="000F16EB" w:rsidP="00A7521D">
            <w:pPr>
              <w:spacing w:after="0" w:line="240" w:lineRule="auto"/>
              <w:jc w:val="center"/>
            </w:pPr>
            <w:r>
              <w:t>74.6</w:t>
            </w:r>
          </w:p>
        </w:tc>
        <w:tc>
          <w:tcPr>
            <w:tcW w:w="1276" w:type="dxa"/>
            <w:tcBorders>
              <w:top w:val="nil"/>
              <w:left w:val="nil"/>
              <w:bottom w:val="nil"/>
              <w:right w:val="nil"/>
            </w:tcBorders>
          </w:tcPr>
          <w:p w14:paraId="2A7C5796" w14:textId="77777777" w:rsidR="000F16EB" w:rsidRDefault="000F16EB" w:rsidP="00A7521D">
            <w:pPr>
              <w:spacing w:after="0" w:line="240" w:lineRule="auto"/>
              <w:jc w:val="center"/>
            </w:pPr>
            <w:r>
              <w:t>-</w:t>
            </w:r>
          </w:p>
        </w:tc>
      </w:tr>
      <w:tr w:rsidR="000F16EB" w14:paraId="20787D9D" w14:textId="77777777" w:rsidTr="002132B0">
        <w:trPr>
          <w:jc w:val="center"/>
        </w:trPr>
        <w:tc>
          <w:tcPr>
            <w:tcW w:w="1050" w:type="dxa"/>
            <w:tcBorders>
              <w:top w:val="nil"/>
              <w:left w:val="nil"/>
              <w:bottom w:val="nil"/>
              <w:right w:val="nil"/>
            </w:tcBorders>
            <w:hideMark/>
          </w:tcPr>
          <w:p w14:paraId="44FD902A" w14:textId="77777777" w:rsidR="000F16EB" w:rsidRDefault="000F16EB" w:rsidP="00A7521D">
            <w:pPr>
              <w:spacing w:after="0" w:line="240" w:lineRule="auto"/>
              <w:jc w:val="center"/>
            </w:pPr>
            <w:r>
              <w:t>I</w:t>
            </w:r>
          </w:p>
        </w:tc>
        <w:tc>
          <w:tcPr>
            <w:tcW w:w="2305" w:type="dxa"/>
            <w:tcBorders>
              <w:top w:val="nil"/>
              <w:left w:val="nil"/>
              <w:bottom w:val="nil"/>
              <w:right w:val="nil"/>
            </w:tcBorders>
            <w:hideMark/>
          </w:tcPr>
          <w:p w14:paraId="4E907A0B" w14:textId="77777777" w:rsidR="000F16EB" w:rsidRDefault="000F16EB" w:rsidP="00A7521D">
            <w:pPr>
              <w:spacing w:after="0" w:line="240" w:lineRule="auto"/>
              <w:jc w:val="center"/>
            </w:pPr>
            <w:r>
              <w:t>Retail (other than mall)</w:t>
            </w:r>
          </w:p>
        </w:tc>
        <w:tc>
          <w:tcPr>
            <w:tcW w:w="1890" w:type="dxa"/>
            <w:tcBorders>
              <w:top w:val="nil"/>
              <w:left w:val="nil"/>
              <w:bottom w:val="nil"/>
              <w:right w:val="nil"/>
            </w:tcBorders>
            <w:hideMark/>
          </w:tcPr>
          <w:p w14:paraId="17A6C939" w14:textId="77777777" w:rsidR="000F16EB" w:rsidRDefault="000F16EB" w:rsidP="00A7521D">
            <w:pPr>
              <w:spacing w:after="0" w:line="240" w:lineRule="auto"/>
              <w:jc w:val="center"/>
            </w:pPr>
            <w:r>
              <w:t>2.1</w:t>
            </w:r>
          </w:p>
        </w:tc>
        <w:tc>
          <w:tcPr>
            <w:tcW w:w="1843" w:type="dxa"/>
            <w:tcBorders>
              <w:top w:val="nil"/>
              <w:left w:val="nil"/>
              <w:bottom w:val="nil"/>
              <w:right w:val="nil"/>
            </w:tcBorders>
            <w:hideMark/>
          </w:tcPr>
          <w:p w14:paraId="74823F49" w14:textId="77777777" w:rsidR="000F16EB" w:rsidRDefault="000F16EB" w:rsidP="00A7521D">
            <w:pPr>
              <w:spacing w:after="0" w:line="240" w:lineRule="auto"/>
              <w:jc w:val="center"/>
            </w:pPr>
            <w:r>
              <w:t>90.5</w:t>
            </w:r>
          </w:p>
        </w:tc>
        <w:tc>
          <w:tcPr>
            <w:tcW w:w="1276" w:type="dxa"/>
            <w:tcBorders>
              <w:top w:val="nil"/>
              <w:left w:val="nil"/>
              <w:bottom w:val="nil"/>
              <w:right w:val="nil"/>
            </w:tcBorders>
          </w:tcPr>
          <w:p w14:paraId="43C2BA79" w14:textId="77777777" w:rsidR="000F16EB" w:rsidRDefault="000F16EB" w:rsidP="00A7521D">
            <w:pPr>
              <w:spacing w:after="0" w:line="240" w:lineRule="auto"/>
              <w:jc w:val="center"/>
            </w:pPr>
            <w:r>
              <w:t>2, 3, 4</w:t>
            </w:r>
          </w:p>
        </w:tc>
      </w:tr>
      <w:tr w:rsidR="000F16EB" w14:paraId="2C487FCE" w14:textId="77777777" w:rsidTr="002132B0">
        <w:trPr>
          <w:jc w:val="center"/>
        </w:trPr>
        <w:tc>
          <w:tcPr>
            <w:tcW w:w="1050" w:type="dxa"/>
            <w:tcBorders>
              <w:top w:val="nil"/>
              <w:left w:val="nil"/>
              <w:bottom w:val="nil"/>
              <w:right w:val="nil"/>
            </w:tcBorders>
            <w:hideMark/>
          </w:tcPr>
          <w:p w14:paraId="4977B8B7" w14:textId="77777777" w:rsidR="000F16EB" w:rsidRDefault="000F16EB" w:rsidP="00A7521D">
            <w:pPr>
              <w:spacing w:after="0" w:line="240" w:lineRule="auto"/>
              <w:jc w:val="center"/>
            </w:pPr>
            <w:r>
              <w:t>J</w:t>
            </w:r>
          </w:p>
        </w:tc>
        <w:tc>
          <w:tcPr>
            <w:tcW w:w="2305" w:type="dxa"/>
            <w:tcBorders>
              <w:top w:val="nil"/>
              <w:left w:val="nil"/>
              <w:bottom w:val="nil"/>
              <w:right w:val="nil"/>
            </w:tcBorders>
            <w:hideMark/>
          </w:tcPr>
          <w:p w14:paraId="10F625AA" w14:textId="77777777" w:rsidR="000F16EB" w:rsidRDefault="000F16EB" w:rsidP="00A7521D">
            <w:pPr>
              <w:spacing w:after="0" w:line="240" w:lineRule="auto"/>
              <w:jc w:val="center"/>
            </w:pPr>
            <w:r>
              <w:t>Enclosed and strip malls</w:t>
            </w:r>
          </w:p>
        </w:tc>
        <w:tc>
          <w:tcPr>
            <w:tcW w:w="1890" w:type="dxa"/>
            <w:tcBorders>
              <w:top w:val="nil"/>
              <w:left w:val="nil"/>
              <w:bottom w:val="nil"/>
              <w:right w:val="nil"/>
            </w:tcBorders>
            <w:hideMark/>
          </w:tcPr>
          <w:p w14:paraId="4E0FB4C9" w14:textId="77777777" w:rsidR="000F16EB" w:rsidRDefault="000F16EB" w:rsidP="00A7521D">
            <w:pPr>
              <w:spacing w:after="0" w:line="240" w:lineRule="auto"/>
              <w:jc w:val="center"/>
            </w:pPr>
            <w:r>
              <w:t>3.5</w:t>
            </w:r>
          </w:p>
        </w:tc>
        <w:tc>
          <w:tcPr>
            <w:tcW w:w="1843" w:type="dxa"/>
            <w:tcBorders>
              <w:top w:val="nil"/>
              <w:left w:val="nil"/>
              <w:bottom w:val="nil"/>
              <w:right w:val="nil"/>
            </w:tcBorders>
            <w:hideMark/>
          </w:tcPr>
          <w:p w14:paraId="4B976E8B" w14:textId="77777777" w:rsidR="000F16EB" w:rsidRDefault="000F16EB" w:rsidP="00A7521D">
            <w:pPr>
              <w:spacing w:after="0" w:line="240" w:lineRule="auto"/>
              <w:jc w:val="center"/>
            </w:pPr>
            <w:r>
              <w:t>69.6</w:t>
            </w:r>
          </w:p>
        </w:tc>
        <w:tc>
          <w:tcPr>
            <w:tcW w:w="1276" w:type="dxa"/>
            <w:tcBorders>
              <w:top w:val="nil"/>
              <w:left w:val="nil"/>
              <w:bottom w:val="nil"/>
              <w:right w:val="nil"/>
            </w:tcBorders>
          </w:tcPr>
          <w:p w14:paraId="0B789714" w14:textId="77777777" w:rsidR="000F16EB" w:rsidRDefault="000F16EB" w:rsidP="00A7521D">
            <w:pPr>
              <w:spacing w:after="0" w:line="240" w:lineRule="auto"/>
              <w:jc w:val="center"/>
            </w:pPr>
            <w:r>
              <w:t>25</w:t>
            </w:r>
          </w:p>
        </w:tc>
      </w:tr>
      <w:tr w:rsidR="000F16EB" w14:paraId="17746B93" w14:textId="77777777" w:rsidTr="002132B0">
        <w:trPr>
          <w:jc w:val="center"/>
        </w:trPr>
        <w:tc>
          <w:tcPr>
            <w:tcW w:w="1050" w:type="dxa"/>
            <w:tcBorders>
              <w:top w:val="nil"/>
              <w:left w:val="nil"/>
              <w:bottom w:val="nil"/>
              <w:right w:val="nil"/>
            </w:tcBorders>
            <w:hideMark/>
          </w:tcPr>
          <w:p w14:paraId="745BDBBF" w14:textId="77777777" w:rsidR="000F16EB" w:rsidRDefault="000F16EB" w:rsidP="00A7521D">
            <w:pPr>
              <w:spacing w:after="0" w:line="240" w:lineRule="auto"/>
              <w:jc w:val="center"/>
            </w:pPr>
            <w:r>
              <w:t>K</w:t>
            </w:r>
          </w:p>
        </w:tc>
        <w:tc>
          <w:tcPr>
            <w:tcW w:w="2305" w:type="dxa"/>
            <w:tcBorders>
              <w:top w:val="nil"/>
              <w:left w:val="nil"/>
              <w:bottom w:val="nil"/>
              <w:right w:val="nil"/>
            </w:tcBorders>
            <w:hideMark/>
          </w:tcPr>
          <w:p w14:paraId="030A2D65" w14:textId="77777777" w:rsidR="000F16EB" w:rsidRDefault="000F16EB" w:rsidP="00A7521D">
            <w:pPr>
              <w:spacing w:after="0" w:line="240" w:lineRule="auto"/>
              <w:jc w:val="center"/>
            </w:pPr>
            <w:r>
              <w:t>Office</w:t>
            </w:r>
          </w:p>
        </w:tc>
        <w:tc>
          <w:tcPr>
            <w:tcW w:w="1890" w:type="dxa"/>
            <w:tcBorders>
              <w:top w:val="nil"/>
              <w:left w:val="nil"/>
              <w:bottom w:val="nil"/>
              <w:right w:val="nil"/>
            </w:tcBorders>
            <w:hideMark/>
          </w:tcPr>
          <w:p w14:paraId="387C2AAC" w14:textId="77777777" w:rsidR="000F16EB" w:rsidRDefault="000F16EB" w:rsidP="00A7521D">
            <w:pPr>
              <w:spacing w:after="0" w:line="240" w:lineRule="auto"/>
              <w:jc w:val="center"/>
            </w:pPr>
            <w:r>
              <w:t>2.4</w:t>
            </w:r>
          </w:p>
        </w:tc>
        <w:tc>
          <w:tcPr>
            <w:tcW w:w="1843" w:type="dxa"/>
            <w:tcBorders>
              <w:top w:val="nil"/>
              <w:left w:val="nil"/>
              <w:bottom w:val="nil"/>
              <w:right w:val="nil"/>
            </w:tcBorders>
            <w:hideMark/>
          </w:tcPr>
          <w:p w14:paraId="0E7DDE0F" w14:textId="77777777" w:rsidR="000F16EB" w:rsidRDefault="000F16EB" w:rsidP="00A7521D">
            <w:pPr>
              <w:spacing w:after="0" w:line="240" w:lineRule="auto"/>
              <w:jc w:val="center"/>
            </w:pPr>
            <w:r>
              <w:t>88.3</w:t>
            </w:r>
          </w:p>
        </w:tc>
        <w:tc>
          <w:tcPr>
            <w:tcW w:w="1276" w:type="dxa"/>
            <w:tcBorders>
              <w:top w:val="nil"/>
              <w:left w:val="nil"/>
              <w:bottom w:val="nil"/>
              <w:right w:val="nil"/>
            </w:tcBorders>
          </w:tcPr>
          <w:p w14:paraId="0DBC9A34" w14:textId="77777777" w:rsidR="000F16EB" w:rsidRDefault="000F16EB" w:rsidP="00A7521D">
            <w:pPr>
              <w:spacing w:after="0" w:line="240" w:lineRule="auto"/>
              <w:jc w:val="center"/>
            </w:pPr>
            <w:r>
              <w:t>1</w:t>
            </w:r>
          </w:p>
        </w:tc>
      </w:tr>
      <w:tr w:rsidR="000F16EB" w14:paraId="1527376A" w14:textId="77777777" w:rsidTr="002132B0">
        <w:trPr>
          <w:jc w:val="center"/>
        </w:trPr>
        <w:tc>
          <w:tcPr>
            <w:tcW w:w="1050" w:type="dxa"/>
            <w:tcBorders>
              <w:top w:val="nil"/>
              <w:left w:val="nil"/>
              <w:bottom w:val="nil"/>
              <w:right w:val="nil"/>
            </w:tcBorders>
            <w:hideMark/>
          </w:tcPr>
          <w:p w14:paraId="684FA018" w14:textId="77777777" w:rsidR="000F16EB" w:rsidRDefault="000F16EB" w:rsidP="00A7521D">
            <w:pPr>
              <w:spacing w:after="0" w:line="240" w:lineRule="auto"/>
              <w:jc w:val="center"/>
            </w:pPr>
            <w:r>
              <w:t>L</w:t>
            </w:r>
          </w:p>
        </w:tc>
        <w:tc>
          <w:tcPr>
            <w:tcW w:w="2305" w:type="dxa"/>
            <w:tcBorders>
              <w:top w:val="nil"/>
              <w:left w:val="nil"/>
              <w:bottom w:val="nil"/>
              <w:right w:val="nil"/>
            </w:tcBorders>
            <w:hideMark/>
          </w:tcPr>
          <w:p w14:paraId="51BDB3AD" w14:textId="77777777" w:rsidR="000F16EB" w:rsidRDefault="000F16EB" w:rsidP="00A7521D">
            <w:pPr>
              <w:spacing w:after="0" w:line="240" w:lineRule="auto"/>
              <w:jc w:val="center"/>
            </w:pPr>
            <w:r>
              <w:t>Public assembly</w:t>
            </w:r>
          </w:p>
        </w:tc>
        <w:tc>
          <w:tcPr>
            <w:tcW w:w="1890" w:type="dxa"/>
            <w:tcBorders>
              <w:top w:val="nil"/>
              <w:left w:val="nil"/>
              <w:bottom w:val="nil"/>
              <w:right w:val="nil"/>
            </w:tcBorders>
            <w:hideMark/>
          </w:tcPr>
          <w:p w14:paraId="75A2D075" w14:textId="77777777" w:rsidR="000F16EB" w:rsidRDefault="000F16EB" w:rsidP="00A7521D">
            <w:pPr>
              <w:spacing w:after="0" w:line="240" w:lineRule="auto"/>
              <w:jc w:val="center"/>
            </w:pPr>
            <w:r>
              <w:t>3.3</w:t>
            </w:r>
          </w:p>
        </w:tc>
        <w:tc>
          <w:tcPr>
            <w:tcW w:w="1843" w:type="dxa"/>
            <w:tcBorders>
              <w:top w:val="nil"/>
              <w:left w:val="nil"/>
              <w:bottom w:val="nil"/>
              <w:right w:val="nil"/>
            </w:tcBorders>
            <w:hideMark/>
          </w:tcPr>
          <w:p w14:paraId="022405D4" w14:textId="77777777" w:rsidR="000F16EB" w:rsidRDefault="000F16EB" w:rsidP="00A7521D">
            <w:pPr>
              <w:spacing w:after="0" w:line="240" w:lineRule="auto"/>
              <w:jc w:val="center"/>
            </w:pPr>
            <w:r>
              <w:t>91.9</w:t>
            </w:r>
          </w:p>
        </w:tc>
        <w:tc>
          <w:tcPr>
            <w:tcW w:w="1276" w:type="dxa"/>
            <w:tcBorders>
              <w:top w:val="nil"/>
              <w:left w:val="nil"/>
              <w:bottom w:val="nil"/>
              <w:right w:val="nil"/>
            </w:tcBorders>
          </w:tcPr>
          <w:p w14:paraId="3B004A17" w14:textId="77777777" w:rsidR="000F16EB" w:rsidRDefault="000F16EB" w:rsidP="00A7521D">
            <w:pPr>
              <w:spacing w:after="0" w:line="240" w:lineRule="auto"/>
              <w:jc w:val="center"/>
            </w:pPr>
            <w:r>
              <w:t>10, 11, 12, 13, 14, 16</w:t>
            </w:r>
          </w:p>
        </w:tc>
      </w:tr>
      <w:tr w:rsidR="000F16EB" w14:paraId="5FC3BA67" w14:textId="77777777" w:rsidTr="002132B0">
        <w:trPr>
          <w:jc w:val="center"/>
        </w:trPr>
        <w:tc>
          <w:tcPr>
            <w:tcW w:w="1050" w:type="dxa"/>
            <w:tcBorders>
              <w:top w:val="nil"/>
              <w:left w:val="nil"/>
              <w:bottom w:val="nil"/>
              <w:right w:val="nil"/>
            </w:tcBorders>
            <w:hideMark/>
          </w:tcPr>
          <w:p w14:paraId="1C85ACEF" w14:textId="77777777" w:rsidR="000F16EB" w:rsidRDefault="000F16EB" w:rsidP="00A7521D">
            <w:pPr>
              <w:spacing w:after="0" w:line="240" w:lineRule="auto"/>
              <w:jc w:val="center"/>
            </w:pPr>
            <w:r>
              <w:t>M</w:t>
            </w:r>
          </w:p>
        </w:tc>
        <w:tc>
          <w:tcPr>
            <w:tcW w:w="2305" w:type="dxa"/>
            <w:tcBorders>
              <w:top w:val="nil"/>
              <w:left w:val="nil"/>
              <w:bottom w:val="nil"/>
              <w:right w:val="nil"/>
            </w:tcBorders>
            <w:hideMark/>
          </w:tcPr>
          <w:p w14:paraId="4F4814FB" w14:textId="77777777" w:rsidR="000F16EB" w:rsidRDefault="000F16EB" w:rsidP="00A7521D">
            <w:pPr>
              <w:spacing w:after="0" w:line="240" w:lineRule="auto"/>
              <w:jc w:val="center"/>
            </w:pPr>
            <w:r>
              <w:t>Public order and safety</w:t>
            </w:r>
          </w:p>
        </w:tc>
        <w:tc>
          <w:tcPr>
            <w:tcW w:w="1890" w:type="dxa"/>
            <w:tcBorders>
              <w:top w:val="nil"/>
              <w:left w:val="nil"/>
              <w:bottom w:val="nil"/>
              <w:right w:val="nil"/>
            </w:tcBorders>
            <w:hideMark/>
          </w:tcPr>
          <w:p w14:paraId="1B59B7F4" w14:textId="77777777" w:rsidR="000F16EB" w:rsidRDefault="000F16EB" w:rsidP="00A7521D">
            <w:pPr>
              <w:spacing w:after="0" w:line="240" w:lineRule="auto"/>
              <w:jc w:val="center"/>
            </w:pPr>
            <w:r>
              <w:t>2.7</w:t>
            </w:r>
          </w:p>
        </w:tc>
        <w:tc>
          <w:tcPr>
            <w:tcW w:w="1843" w:type="dxa"/>
            <w:tcBorders>
              <w:top w:val="nil"/>
              <w:left w:val="nil"/>
              <w:bottom w:val="nil"/>
              <w:right w:val="nil"/>
            </w:tcBorders>
            <w:hideMark/>
          </w:tcPr>
          <w:p w14:paraId="5BF2CC27" w14:textId="77777777" w:rsidR="000F16EB" w:rsidRDefault="000F16EB" w:rsidP="00A7521D">
            <w:pPr>
              <w:spacing w:after="0" w:line="240" w:lineRule="auto"/>
              <w:jc w:val="center"/>
            </w:pPr>
            <w:r>
              <w:t>92.7</w:t>
            </w:r>
          </w:p>
        </w:tc>
        <w:tc>
          <w:tcPr>
            <w:tcW w:w="1276" w:type="dxa"/>
            <w:tcBorders>
              <w:top w:val="nil"/>
              <w:left w:val="nil"/>
              <w:bottom w:val="nil"/>
              <w:right w:val="nil"/>
            </w:tcBorders>
          </w:tcPr>
          <w:p w14:paraId="0C8EDD12" w14:textId="77777777" w:rsidR="000F16EB" w:rsidRDefault="000F16EB" w:rsidP="00A7521D">
            <w:pPr>
              <w:spacing w:after="0" w:line="240" w:lineRule="auto"/>
              <w:jc w:val="center"/>
            </w:pPr>
            <w:r>
              <w:t>22</w:t>
            </w:r>
          </w:p>
        </w:tc>
      </w:tr>
      <w:tr w:rsidR="000F16EB" w14:paraId="38D4C751" w14:textId="77777777" w:rsidTr="002132B0">
        <w:trPr>
          <w:jc w:val="center"/>
        </w:trPr>
        <w:tc>
          <w:tcPr>
            <w:tcW w:w="1050" w:type="dxa"/>
            <w:tcBorders>
              <w:top w:val="nil"/>
              <w:left w:val="nil"/>
              <w:bottom w:val="nil"/>
              <w:right w:val="nil"/>
            </w:tcBorders>
            <w:hideMark/>
          </w:tcPr>
          <w:p w14:paraId="72D2EA77" w14:textId="77777777" w:rsidR="000F16EB" w:rsidRDefault="000F16EB" w:rsidP="00A7521D">
            <w:pPr>
              <w:spacing w:after="0" w:line="240" w:lineRule="auto"/>
              <w:jc w:val="center"/>
            </w:pPr>
            <w:r>
              <w:t>N</w:t>
            </w:r>
          </w:p>
        </w:tc>
        <w:tc>
          <w:tcPr>
            <w:tcW w:w="2305" w:type="dxa"/>
            <w:tcBorders>
              <w:top w:val="nil"/>
              <w:left w:val="nil"/>
              <w:bottom w:val="nil"/>
              <w:right w:val="nil"/>
            </w:tcBorders>
            <w:hideMark/>
          </w:tcPr>
          <w:p w14:paraId="2079CA66" w14:textId="77777777" w:rsidR="000F16EB" w:rsidRDefault="000F16EB" w:rsidP="00A7521D">
            <w:pPr>
              <w:spacing w:after="0" w:line="240" w:lineRule="auto"/>
              <w:jc w:val="center"/>
            </w:pPr>
            <w:r>
              <w:t>Religious worship</w:t>
            </w:r>
          </w:p>
        </w:tc>
        <w:tc>
          <w:tcPr>
            <w:tcW w:w="1890" w:type="dxa"/>
            <w:tcBorders>
              <w:top w:val="nil"/>
              <w:left w:val="nil"/>
              <w:bottom w:val="nil"/>
              <w:right w:val="nil"/>
            </w:tcBorders>
            <w:hideMark/>
          </w:tcPr>
          <w:p w14:paraId="7B566592" w14:textId="77777777" w:rsidR="000F16EB" w:rsidRDefault="000F16EB" w:rsidP="00A7521D">
            <w:pPr>
              <w:spacing w:after="0" w:line="240" w:lineRule="auto"/>
              <w:jc w:val="center"/>
            </w:pPr>
            <w:r>
              <w:t>3.7</w:t>
            </w:r>
          </w:p>
        </w:tc>
        <w:tc>
          <w:tcPr>
            <w:tcW w:w="1843" w:type="dxa"/>
            <w:tcBorders>
              <w:top w:val="nil"/>
              <w:left w:val="nil"/>
              <w:bottom w:val="nil"/>
              <w:right w:val="nil"/>
            </w:tcBorders>
            <w:hideMark/>
          </w:tcPr>
          <w:p w14:paraId="3C838CEC" w14:textId="77777777" w:rsidR="000F16EB" w:rsidRDefault="000F16EB" w:rsidP="00A7521D">
            <w:pPr>
              <w:spacing w:after="0" w:line="240" w:lineRule="auto"/>
              <w:jc w:val="center"/>
            </w:pPr>
            <w:r>
              <w:t>82.8</w:t>
            </w:r>
          </w:p>
        </w:tc>
        <w:tc>
          <w:tcPr>
            <w:tcW w:w="1276" w:type="dxa"/>
            <w:tcBorders>
              <w:top w:val="nil"/>
              <w:left w:val="nil"/>
              <w:bottom w:val="nil"/>
              <w:right w:val="nil"/>
            </w:tcBorders>
          </w:tcPr>
          <w:p w14:paraId="1DC20F61" w14:textId="77777777" w:rsidR="000F16EB" w:rsidRDefault="000F16EB" w:rsidP="00A7521D">
            <w:pPr>
              <w:spacing w:after="0" w:line="240" w:lineRule="auto"/>
              <w:jc w:val="center"/>
            </w:pPr>
            <w:r>
              <w:t>-</w:t>
            </w:r>
          </w:p>
        </w:tc>
      </w:tr>
      <w:tr w:rsidR="000F16EB" w14:paraId="17F851C6" w14:textId="77777777" w:rsidTr="002132B0">
        <w:trPr>
          <w:jc w:val="center"/>
        </w:trPr>
        <w:tc>
          <w:tcPr>
            <w:tcW w:w="1050" w:type="dxa"/>
            <w:tcBorders>
              <w:top w:val="nil"/>
              <w:left w:val="nil"/>
              <w:bottom w:val="nil"/>
              <w:right w:val="nil"/>
            </w:tcBorders>
            <w:hideMark/>
          </w:tcPr>
          <w:p w14:paraId="55EF486A" w14:textId="77777777" w:rsidR="000F16EB" w:rsidRDefault="000F16EB" w:rsidP="00A7521D">
            <w:pPr>
              <w:spacing w:after="0" w:line="240" w:lineRule="auto"/>
              <w:jc w:val="center"/>
            </w:pPr>
            <w:r>
              <w:t>O</w:t>
            </w:r>
          </w:p>
        </w:tc>
        <w:tc>
          <w:tcPr>
            <w:tcW w:w="2305" w:type="dxa"/>
            <w:tcBorders>
              <w:top w:val="nil"/>
              <w:left w:val="nil"/>
              <w:bottom w:val="nil"/>
              <w:right w:val="nil"/>
            </w:tcBorders>
            <w:hideMark/>
          </w:tcPr>
          <w:p w14:paraId="57B9EA1D" w14:textId="77777777" w:rsidR="000F16EB" w:rsidRDefault="000F16EB" w:rsidP="00A7521D">
            <w:pPr>
              <w:spacing w:after="0" w:line="240" w:lineRule="auto"/>
              <w:jc w:val="center"/>
            </w:pPr>
            <w:r>
              <w:t>Service</w:t>
            </w:r>
          </w:p>
        </w:tc>
        <w:tc>
          <w:tcPr>
            <w:tcW w:w="1890" w:type="dxa"/>
            <w:tcBorders>
              <w:top w:val="nil"/>
              <w:left w:val="nil"/>
              <w:bottom w:val="nil"/>
              <w:right w:val="nil"/>
            </w:tcBorders>
            <w:hideMark/>
          </w:tcPr>
          <w:p w14:paraId="1257520D" w14:textId="77777777" w:rsidR="000F16EB" w:rsidRDefault="000F16EB" w:rsidP="00A7521D">
            <w:pPr>
              <w:spacing w:after="0" w:line="240" w:lineRule="auto"/>
              <w:jc w:val="center"/>
            </w:pPr>
            <w:r>
              <w:t>2.4</w:t>
            </w:r>
          </w:p>
        </w:tc>
        <w:tc>
          <w:tcPr>
            <w:tcW w:w="1843" w:type="dxa"/>
            <w:tcBorders>
              <w:top w:val="nil"/>
              <w:left w:val="nil"/>
              <w:bottom w:val="nil"/>
              <w:right w:val="nil"/>
            </w:tcBorders>
            <w:hideMark/>
          </w:tcPr>
          <w:p w14:paraId="3AF36556" w14:textId="77777777" w:rsidR="000F16EB" w:rsidRDefault="000F16EB" w:rsidP="00A7521D">
            <w:pPr>
              <w:spacing w:after="0" w:line="240" w:lineRule="auto"/>
              <w:jc w:val="center"/>
            </w:pPr>
            <w:r>
              <w:t>97.5</w:t>
            </w:r>
          </w:p>
        </w:tc>
        <w:tc>
          <w:tcPr>
            <w:tcW w:w="1276" w:type="dxa"/>
            <w:tcBorders>
              <w:top w:val="nil"/>
              <w:left w:val="nil"/>
              <w:bottom w:val="nil"/>
              <w:right w:val="nil"/>
            </w:tcBorders>
          </w:tcPr>
          <w:p w14:paraId="268358F4" w14:textId="77777777" w:rsidR="000F16EB" w:rsidRDefault="000F16EB" w:rsidP="00A7521D">
            <w:pPr>
              <w:spacing w:after="0" w:line="240" w:lineRule="auto"/>
              <w:jc w:val="center"/>
            </w:pPr>
            <w:r>
              <w:t>26</w:t>
            </w:r>
          </w:p>
        </w:tc>
      </w:tr>
      <w:tr w:rsidR="000F16EB" w14:paraId="49EC33E3" w14:textId="77777777" w:rsidTr="002132B0">
        <w:trPr>
          <w:jc w:val="center"/>
        </w:trPr>
        <w:tc>
          <w:tcPr>
            <w:tcW w:w="1050" w:type="dxa"/>
            <w:tcBorders>
              <w:top w:val="nil"/>
              <w:left w:val="nil"/>
              <w:bottom w:val="nil"/>
              <w:right w:val="nil"/>
            </w:tcBorders>
            <w:hideMark/>
          </w:tcPr>
          <w:p w14:paraId="2C65D732" w14:textId="77777777" w:rsidR="000F16EB" w:rsidRDefault="000F16EB" w:rsidP="00A7521D">
            <w:pPr>
              <w:spacing w:after="0" w:line="240" w:lineRule="auto"/>
              <w:jc w:val="center"/>
            </w:pPr>
            <w:r>
              <w:t>P</w:t>
            </w:r>
          </w:p>
        </w:tc>
        <w:tc>
          <w:tcPr>
            <w:tcW w:w="2305" w:type="dxa"/>
            <w:tcBorders>
              <w:top w:val="nil"/>
              <w:left w:val="nil"/>
              <w:bottom w:val="nil"/>
              <w:right w:val="nil"/>
            </w:tcBorders>
            <w:hideMark/>
          </w:tcPr>
          <w:p w14:paraId="59FD70D4" w14:textId="77777777" w:rsidR="000F16EB" w:rsidRDefault="000F16EB" w:rsidP="00A7521D">
            <w:pPr>
              <w:spacing w:after="0" w:line="240" w:lineRule="auto"/>
              <w:jc w:val="center"/>
            </w:pPr>
            <w:r>
              <w:t>Warehouse and storage</w:t>
            </w:r>
          </w:p>
        </w:tc>
        <w:tc>
          <w:tcPr>
            <w:tcW w:w="1890" w:type="dxa"/>
            <w:tcBorders>
              <w:top w:val="nil"/>
              <w:left w:val="nil"/>
              <w:bottom w:val="nil"/>
              <w:right w:val="nil"/>
            </w:tcBorders>
            <w:hideMark/>
          </w:tcPr>
          <w:p w14:paraId="6ADE62C9" w14:textId="77777777" w:rsidR="000F16EB" w:rsidRDefault="000F16EB" w:rsidP="00A7521D">
            <w:pPr>
              <w:spacing w:after="0" w:line="240" w:lineRule="auto"/>
              <w:jc w:val="center"/>
            </w:pPr>
            <w:r>
              <w:t>1.8</w:t>
            </w:r>
          </w:p>
        </w:tc>
        <w:tc>
          <w:tcPr>
            <w:tcW w:w="1843" w:type="dxa"/>
            <w:tcBorders>
              <w:top w:val="nil"/>
              <w:left w:val="nil"/>
              <w:bottom w:val="nil"/>
              <w:right w:val="nil"/>
            </w:tcBorders>
            <w:hideMark/>
          </w:tcPr>
          <w:p w14:paraId="708096D4" w14:textId="77777777" w:rsidR="000F16EB" w:rsidRDefault="000F16EB" w:rsidP="00A7521D">
            <w:pPr>
              <w:spacing w:after="0" w:line="240" w:lineRule="auto"/>
              <w:jc w:val="center"/>
            </w:pPr>
            <w:r>
              <w:t>85.6</w:t>
            </w:r>
          </w:p>
        </w:tc>
        <w:tc>
          <w:tcPr>
            <w:tcW w:w="1276" w:type="dxa"/>
            <w:tcBorders>
              <w:top w:val="nil"/>
              <w:left w:val="nil"/>
              <w:bottom w:val="nil"/>
              <w:right w:val="nil"/>
            </w:tcBorders>
          </w:tcPr>
          <w:p w14:paraId="10272CBE" w14:textId="77777777" w:rsidR="000F16EB" w:rsidRDefault="000F16EB" w:rsidP="00A7521D">
            <w:pPr>
              <w:spacing w:after="0" w:line="240" w:lineRule="auto"/>
              <w:jc w:val="center"/>
            </w:pPr>
            <w:r>
              <w:t>27, 28, 29</w:t>
            </w:r>
          </w:p>
        </w:tc>
      </w:tr>
      <w:tr w:rsidR="000F16EB" w14:paraId="639D1439" w14:textId="77777777" w:rsidTr="002132B0">
        <w:trPr>
          <w:jc w:val="center"/>
        </w:trPr>
        <w:tc>
          <w:tcPr>
            <w:tcW w:w="1050" w:type="dxa"/>
            <w:tcBorders>
              <w:top w:val="nil"/>
              <w:left w:val="nil"/>
              <w:bottom w:val="nil"/>
              <w:right w:val="nil"/>
            </w:tcBorders>
            <w:hideMark/>
          </w:tcPr>
          <w:p w14:paraId="058F7485" w14:textId="77777777" w:rsidR="000F16EB" w:rsidRDefault="000F16EB" w:rsidP="00A7521D">
            <w:pPr>
              <w:spacing w:after="0" w:line="240" w:lineRule="auto"/>
              <w:jc w:val="center"/>
            </w:pPr>
            <w:r>
              <w:t>Q</w:t>
            </w:r>
          </w:p>
        </w:tc>
        <w:tc>
          <w:tcPr>
            <w:tcW w:w="2305" w:type="dxa"/>
            <w:tcBorders>
              <w:top w:val="nil"/>
              <w:left w:val="nil"/>
              <w:bottom w:val="nil"/>
              <w:right w:val="nil"/>
            </w:tcBorders>
            <w:hideMark/>
          </w:tcPr>
          <w:p w14:paraId="6B75B8C1" w14:textId="77777777" w:rsidR="000F16EB" w:rsidRDefault="000F16EB" w:rsidP="00A7521D">
            <w:pPr>
              <w:spacing w:after="0" w:line="240" w:lineRule="auto"/>
              <w:jc w:val="center"/>
            </w:pPr>
            <w:r>
              <w:t>Other</w:t>
            </w:r>
          </w:p>
        </w:tc>
        <w:tc>
          <w:tcPr>
            <w:tcW w:w="1890" w:type="dxa"/>
            <w:tcBorders>
              <w:top w:val="nil"/>
              <w:left w:val="nil"/>
              <w:bottom w:val="nil"/>
              <w:right w:val="nil"/>
            </w:tcBorders>
            <w:hideMark/>
          </w:tcPr>
          <w:p w14:paraId="1E3DA4EC" w14:textId="77777777" w:rsidR="000F16EB" w:rsidRDefault="000F16EB" w:rsidP="00A7521D">
            <w:pPr>
              <w:spacing w:after="0" w:line="240" w:lineRule="auto"/>
              <w:jc w:val="center"/>
            </w:pPr>
            <w:r>
              <w:t>1.6</w:t>
            </w:r>
          </w:p>
        </w:tc>
        <w:tc>
          <w:tcPr>
            <w:tcW w:w="1843" w:type="dxa"/>
            <w:tcBorders>
              <w:top w:val="nil"/>
              <w:left w:val="nil"/>
              <w:bottom w:val="nil"/>
              <w:right w:val="nil"/>
            </w:tcBorders>
            <w:hideMark/>
          </w:tcPr>
          <w:p w14:paraId="3DECBF49" w14:textId="77777777" w:rsidR="000F16EB" w:rsidRDefault="000F16EB" w:rsidP="00A7521D">
            <w:pPr>
              <w:spacing w:after="0" w:line="240" w:lineRule="auto"/>
              <w:jc w:val="center"/>
            </w:pPr>
            <w:r>
              <w:t>70.4</w:t>
            </w:r>
          </w:p>
        </w:tc>
        <w:tc>
          <w:tcPr>
            <w:tcW w:w="1276" w:type="dxa"/>
            <w:tcBorders>
              <w:top w:val="nil"/>
              <w:left w:val="nil"/>
              <w:bottom w:val="nil"/>
              <w:right w:val="nil"/>
            </w:tcBorders>
          </w:tcPr>
          <w:p w14:paraId="3E732D49" w14:textId="77777777" w:rsidR="000F16EB" w:rsidRDefault="000F16EB" w:rsidP="00A7521D">
            <w:pPr>
              <w:spacing w:after="0" w:line="240" w:lineRule="auto"/>
              <w:jc w:val="center"/>
            </w:pPr>
            <w:r>
              <w:t>23</w:t>
            </w:r>
          </w:p>
        </w:tc>
      </w:tr>
      <w:tr w:rsidR="000F16EB" w14:paraId="23529D08" w14:textId="77777777" w:rsidTr="002132B0">
        <w:trPr>
          <w:jc w:val="center"/>
        </w:trPr>
        <w:tc>
          <w:tcPr>
            <w:tcW w:w="1050" w:type="dxa"/>
            <w:tcBorders>
              <w:top w:val="nil"/>
              <w:left w:val="nil"/>
              <w:bottom w:val="single" w:sz="4" w:space="0" w:color="auto"/>
              <w:right w:val="nil"/>
            </w:tcBorders>
            <w:hideMark/>
          </w:tcPr>
          <w:p w14:paraId="1C1DAC38" w14:textId="77777777" w:rsidR="000F16EB" w:rsidRDefault="000F16EB" w:rsidP="00A7521D">
            <w:pPr>
              <w:spacing w:after="0" w:line="240" w:lineRule="auto"/>
              <w:jc w:val="center"/>
            </w:pPr>
            <w:r>
              <w:t>R</w:t>
            </w:r>
          </w:p>
        </w:tc>
        <w:tc>
          <w:tcPr>
            <w:tcW w:w="2305" w:type="dxa"/>
            <w:tcBorders>
              <w:top w:val="nil"/>
              <w:left w:val="nil"/>
              <w:bottom w:val="single" w:sz="4" w:space="0" w:color="auto"/>
              <w:right w:val="nil"/>
            </w:tcBorders>
            <w:hideMark/>
          </w:tcPr>
          <w:p w14:paraId="3964AE32" w14:textId="77777777" w:rsidR="000F16EB" w:rsidRDefault="000F16EB" w:rsidP="00A7521D">
            <w:pPr>
              <w:spacing w:after="0" w:line="240" w:lineRule="auto"/>
              <w:jc w:val="center"/>
            </w:pPr>
            <w:r>
              <w:t>Vacant</w:t>
            </w:r>
          </w:p>
        </w:tc>
        <w:tc>
          <w:tcPr>
            <w:tcW w:w="1890" w:type="dxa"/>
            <w:tcBorders>
              <w:top w:val="nil"/>
              <w:left w:val="nil"/>
              <w:bottom w:val="single" w:sz="4" w:space="0" w:color="auto"/>
              <w:right w:val="nil"/>
            </w:tcBorders>
            <w:hideMark/>
          </w:tcPr>
          <w:p w14:paraId="667B8370" w14:textId="77777777" w:rsidR="000F16EB" w:rsidRDefault="000F16EB" w:rsidP="00A7521D">
            <w:pPr>
              <w:spacing w:after="0" w:line="240" w:lineRule="auto"/>
              <w:jc w:val="center"/>
            </w:pPr>
            <w:r>
              <w:t>3.8</w:t>
            </w:r>
          </w:p>
        </w:tc>
        <w:tc>
          <w:tcPr>
            <w:tcW w:w="1843" w:type="dxa"/>
            <w:tcBorders>
              <w:top w:val="nil"/>
              <w:left w:val="nil"/>
              <w:bottom w:val="single" w:sz="4" w:space="0" w:color="auto"/>
              <w:right w:val="nil"/>
            </w:tcBorders>
            <w:hideMark/>
          </w:tcPr>
          <w:p w14:paraId="2B6E4046" w14:textId="77777777" w:rsidR="000F16EB" w:rsidRDefault="000F16EB" w:rsidP="00A7521D">
            <w:pPr>
              <w:spacing w:after="0" w:line="240" w:lineRule="auto"/>
              <w:jc w:val="center"/>
            </w:pPr>
            <w:r>
              <w:t>89.7</w:t>
            </w:r>
          </w:p>
        </w:tc>
        <w:tc>
          <w:tcPr>
            <w:tcW w:w="1276" w:type="dxa"/>
            <w:tcBorders>
              <w:top w:val="nil"/>
              <w:left w:val="nil"/>
              <w:bottom w:val="single" w:sz="4" w:space="0" w:color="auto"/>
              <w:right w:val="nil"/>
            </w:tcBorders>
          </w:tcPr>
          <w:p w14:paraId="3FA47613" w14:textId="77777777" w:rsidR="000F16EB" w:rsidRDefault="000F16EB" w:rsidP="00A7521D">
            <w:pPr>
              <w:spacing w:after="0" w:line="240" w:lineRule="auto"/>
              <w:jc w:val="center"/>
            </w:pPr>
            <w:r>
              <w:t>15</w:t>
            </w:r>
          </w:p>
        </w:tc>
      </w:tr>
    </w:tbl>
    <w:p w14:paraId="335F057D" w14:textId="77777777" w:rsidR="000F16EB" w:rsidRDefault="000F16EB" w:rsidP="00196CD6">
      <w:pPr>
        <w:pStyle w:val="NoSpacing"/>
      </w:pPr>
    </w:p>
    <w:p w14:paraId="5F624E1F" w14:textId="31DFBA9F" w:rsidR="000F16EB" w:rsidRDefault="000F16EB" w:rsidP="000F16EB">
      <w:r>
        <w:t>The yearly energy use for heating needed to be further converted into peak and average power heating demands (kW/m</w:t>
      </w:r>
      <w:r>
        <w:rPr>
          <w:vertAlign w:val="superscript"/>
        </w:rPr>
        <w:t>2</w:t>
      </w:r>
      <w:r>
        <w:t xml:space="preserve">). The average power demand was calculated by dividing the total yearly energy use by the assumed number of hours of operation in a year </w:t>
      </w:r>
      <w:r>
        <w:fldChar w:fldCharType="begin" w:fldLock="1"/>
      </w:r>
      <w:r w:rsidR="002A6A73">
        <w:instrText xml:space="preserve">ADDIN CSL_CITATION {"citationItems":[{"id":"ITEM-1","itemData":{"DOI":"10.1016/j.enconman.2012.03.006","ISBN":"01968904","ISSN":"01968904","abstract":"District heating can provide cost-effective and low-carbon energy to local populations, such as space heating in winter and year-round hot/cold water; this is also associated with electricity generation in combined-heat-and-power systems. Although this is currently rare in the UK, many legislative policies, including the Renewable Heat Incentive, aim to increase the amount of energy from such sources; including new installations, as well as extending/upgrading existing distributed energy schemes. Sheffield already has an award-winning district energy network, incorporating city-wide heat distribution. This paper aimed to demonstrate the opportunities for expansions to this through geographical information systems software modelling for an in-depth analysis of the heat demands in the city. ‘Heat maps’ were produced, locating existing and emerging heat sources and sinks. Heat loads (industrial, commercial, educational, health care, council and leisure facilities/complex) total 53MW, with existing residential areas accounting for </w:instrText>
      </w:r>
      <w:r w:rsidR="002A6A73">
        <w:rPr>
          <w:rFonts w:ascii="Cambria Math" w:hAnsi="Cambria Math" w:cs="Cambria Math"/>
        </w:rPr>
        <w:instrText>∼</w:instrText>
      </w:r>
      <w:r w:rsidR="002A6A73">
        <w:instrText xml:space="preserve">1500MW and new housing developments potentially adding a further 35MW in the future. A number of current and emerging heat sources were also discovered </w:instrText>
      </w:r>
      <w:r w:rsidR="002A6A73">
        <w:rPr>
          <w:rFonts w:ascii="Calibri" w:hAnsi="Calibri" w:cs="Calibri"/>
        </w:rPr>
        <w:instrText>–</w:instrText>
      </w:r>
      <w:r w:rsidR="002A6A73">
        <w:instrText xml:space="preserve"> potential suppliers of thermal energy to the above-defined heat sinks. From these, six ‘heat zones’ where an expansion to the existing network could be possible were identified and the infrastructure planned for each development.","author":[{"dropping-particle":"","family":"Finney","given":"Karen N.","non-dropping-particle":"","parse-names":false,"suffix":""},{"dropping-particle":"","family":"Sharifi","given":"Vida N.","non-dropping-particle":"","parse-names":false,"suffix":""},{"dropping-particle":"","family":"Swithenbank","given":"Jim","non-dropping-particle":"","parse-names":false,"suffix":""},{"dropping-particle":"","family":"Nolan","given":"Andy","non-dropping-particle":"","parse-names":false,"suffix":""},{"dropping-particle":"","family":"White","given":"Simon","non-dropping-particle":"","parse-names":false,"suffix":""},{"dropping-particle":"","family":"Ogden","given":"Simon","non-dropping-particle":"","parse-names":false,"suffix":""}],"container-title":"Energy Conversion and Management","id":"ITEM-1","issued":{"date-parts":[["2012"]]},"page":"165-175","publisher":"Elsevier Ltd","title":"Developments to an existing city-wide district energy network – Part I: Identification of potential expansions using heat mapping","type":"article-journal","volume":"62"},"uris":["http://www.mendeley.com/documents/?uuid=cff41c61-20f7-4b1e-ba33-764fb84901d7"]}],"mendeley":{"formattedCitation":"(Finney &lt;i&gt;et al.&lt;/i&gt;, 2012)","plainTextFormattedCitation":"(Finney et al., 2012)","previouslyFormattedCitation":"(Finney &lt;i&gt;et al.&lt;/i&gt;, 2012)"},"properties":{"noteIndex":0},"schema":"https://github.com/citation-style-language/schema/raw/master/csl-citation.json"}</w:instrText>
      </w:r>
      <w:r>
        <w:fldChar w:fldCharType="separate"/>
      </w:r>
      <w:r w:rsidR="002A6A73" w:rsidRPr="002A6A73">
        <w:rPr>
          <w:noProof/>
        </w:rPr>
        <w:t xml:space="preserve">(Finney </w:t>
      </w:r>
      <w:r w:rsidR="002A6A73" w:rsidRPr="002A6A73">
        <w:rPr>
          <w:i/>
          <w:noProof/>
        </w:rPr>
        <w:t>et al.</w:t>
      </w:r>
      <w:r w:rsidR="002A6A73" w:rsidRPr="002A6A73">
        <w:rPr>
          <w:noProof/>
        </w:rPr>
        <w:t>, 2012)</w:t>
      </w:r>
      <w:r>
        <w:fldChar w:fldCharType="end"/>
      </w:r>
      <w:r>
        <w:t xml:space="preserve">. The conversion of average to peak power was completed using a study by the UK ERC </w:t>
      </w:r>
      <w:r>
        <w:fldChar w:fldCharType="begin" w:fldLock="1"/>
      </w:r>
      <w:r w:rsidR="002A6A73">
        <w:instrText>ADDIN CSL_CITATION {"citationItems":[{"id":"ITEM-1","itemData":{"URL":"http://ukedc.rl.ac.uk/cgi-bin/edc_search.pl?GoButton=Detail&amp;WantComp=30&amp;WantResult=&amp;WantText=EDC0000030&amp;","accessed":{"date-parts":[["2018","9","14"]]},"author":[{"dropping-particle":"","family":"UK ERC","given":"","non-dropping-particle":"","parse-names":false,"suffix":""}],"id":"ITEM-1","issued":{"date-parts":[["2006"]]},"title":"Carbon Trust Advanced Metering Trial (2004 - 2006)","type":"webpage"},"uris":["http://www.mendeley.com/documents/?uuid=3f689cda-e6e6-46b6-8586-a80115fd94e4"]}],"mendeley":{"formattedCitation":"(UK ERC, 2006)","plainTextFormattedCitation":"(UK ERC, 2006)","previouslyFormattedCitation":"(UK ERC, 2006)"},"properties":{"noteIndex":0},"schema":"https://github.com/citation-style-language/schema/raw/master/csl-citation.json"}</w:instrText>
      </w:r>
      <w:r>
        <w:fldChar w:fldCharType="separate"/>
      </w:r>
      <w:r w:rsidR="002A6A73" w:rsidRPr="002A6A73">
        <w:rPr>
          <w:noProof/>
        </w:rPr>
        <w:t>(UK ERC, 2006)</w:t>
      </w:r>
      <w:r>
        <w:fldChar w:fldCharType="end"/>
      </w:r>
      <w:r>
        <w:t xml:space="preserve">. The UK ERC study investigated the gas and electricity demand profiles for a range of UK building archetypes, generating a series of typical demand profiles. The typical demand profiles were used to find a ratio of average to peak power for each archetype category, as shown in </w:t>
      </w:r>
      <w:r>
        <w:fldChar w:fldCharType="begin"/>
      </w:r>
      <w:r>
        <w:instrText xml:space="preserve"> REF _Ref525137557 \h </w:instrText>
      </w:r>
      <w:r>
        <w:fldChar w:fldCharType="separate"/>
      </w:r>
      <w:r w:rsidR="00CB7456">
        <w:t xml:space="preserve">Table </w:t>
      </w:r>
      <w:r w:rsidR="00CB7456">
        <w:rPr>
          <w:noProof/>
        </w:rPr>
        <w:t>3</w:t>
      </w:r>
      <w:r w:rsidR="00CB7456">
        <w:t>.</w:t>
      </w:r>
      <w:r w:rsidR="00CB7456">
        <w:rPr>
          <w:noProof/>
        </w:rPr>
        <w:t>3</w:t>
      </w:r>
      <w:r>
        <w:fldChar w:fldCharType="end"/>
      </w:r>
      <w:r>
        <w:t xml:space="preserve">. Only the gas profiles of the UK ERC datasets were studied as </w:t>
      </w:r>
      <w:r>
        <w:fldChar w:fldCharType="begin"/>
      </w:r>
      <w:r>
        <w:instrText xml:space="preserve"> REF _Ref529531054 \h </w:instrText>
      </w:r>
      <w:r>
        <w:fldChar w:fldCharType="separate"/>
      </w:r>
      <w:r w:rsidR="00CB7456">
        <w:t xml:space="preserve">Table </w:t>
      </w:r>
      <w:r w:rsidR="00CB7456">
        <w:rPr>
          <w:noProof/>
        </w:rPr>
        <w:t>3</w:t>
      </w:r>
      <w:r w:rsidR="00CB7456">
        <w:t>.</w:t>
      </w:r>
      <w:r w:rsidR="00CB7456">
        <w:rPr>
          <w:noProof/>
        </w:rPr>
        <w:t>2</w:t>
      </w:r>
      <w:r>
        <w:fldChar w:fldCharType="end"/>
      </w:r>
      <w:r>
        <w:t xml:space="preserve"> shows that the percentage of total electricity used for heating is low, at less than 4%.</w:t>
      </w:r>
    </w:p>
    <w:p w14:paraId="595BE090" w14:textId="77777777" w:rsidR="000F16EB" w:rsidRDefault="000F16EB" w:rsidP="000F16EB">
      <w:bookmarkStart w:id="426" w:name="_Ref468116827"/>
      <w:bookmarkStart w:id="427" w:name="_Toc468265823"/>
      <w:r>
        <w:t>The commercial heat mapping work required an assumption to be made that the CIBSE, EIA and UK ERC datasets could be accurately applied to the buildings in the study.</w:t>
      </w:r>
    </w:p>
    <w:p w14:paraId="34C2E455" w14:textId="77777777" w:rsidR="000F16EB" w:rsidRDefault="000F16EB" w:rsidP="000F16EB">
      <w:pPr>
        <w:jc w:val="left"/>
        <w:rPr>
          <w:b/>
          <w:bCs/>
          <w:sz w:val="18"/>
          <w:szCs w:val="18"/>
        </w:rPr>
      </w:pPr>
      <w:r>
        <w:br w:type="page"/>
      </w:r>
    </w:p>
    <w:p w14:paraId="33BE598F" w14:textId="538EF5B0" w:rsidR="000F16EB" w:rsidRDefault="000F16EB" w:rsidP="000F16EB">
      <w:pPr>
        <w:pStyle w:val="Caption"/>
      </w:pPr>
      <w:bookmarkStart w:id="428" w:name="_Ref525137557"/>
      <w:bookmarkStart w:id="429" w:name="_Toc525230123"/>
      <w:bookmarkStart w:id="430" w:name="_Toc7187676"/>
      <w:r>
        <w:lastRenderedPageBreak/>
        <w:t xml:space="preserve">Table </w:t>
      </w:r>
      <w:fldSimple w:instr=" STYLEREF 1 \s ">
        <w:r w:rsidR="00CB7456">
          <w:rPr>
            <w:noProof/>
          </w:rPr>
          <w:t>3</w:t>
        </w:r>
      </w:fldSimple>
      <w:r w:rsidR="009E1A67">
        <w:t>.</w:t>
      </w:r>
      <w:fldSimple w:instr=" SEQ Table \* ARABIC \s 1 ">
        <w:r w:rsidR="00CB7456">
          <w:rPr>
            <w:noProof/>
          </w:rPr>
          <w:t>3</w:t>
        </w:r>
      </w:fldSimple>
      <w:bookmarkEnd w:id="426"/>
      <w:bookmarkEnd w:id="428"/>
      <w:r>
        <w:rPr>
          <w:noProof/>
        </w:rPr>
        <w:t>:</w:t>
      </w:r>
      <w:r>
        <w:t xml:space="preserve"> Summary of the UK ERC heating power variation </w:t>
      </w:r>
      <w:r w:rsidRPr="0040484F">
        <w:t xml:space="preserve">study </w:t>
      </w:r>
      <w:r w:rsidRPr="0040484F">
        <w:fldChar w:fldCharType="begin" w:fldLock="1"/>
      </w:r>
      <w:r w:rsidR="002A6A73" w:rsidRPr="0040484F">
        <w:instrText>ADDIN CSL_CITATION {"citationItems":[{"id":"ITEM-1","itemData":{"URL":"http://ukedc.rl.ac.uk/cgi-bin/edc_search.pl?GoButton=Detail&amp;WantComp=30&amp;WantResult=&amp;WantText=EDC0000030&amp;","accessed":{"date-parts":[["2018","9","14"]]},"author":[{"dropping-particle":"","family":"UK ERC","given":"","non-dropping-particle":"","parse-names":false,"suffix":""}],"id":"ITEM-1","issued":{"date-parts":[["2006"]]},"title":"Carbon Trust Advanced Metering Trial (2004 - 2006)","type":"webpage"},"uris":["http://www.mendeley.com/documents/?uuid=3f689cda-e6e6-46b6-8586-a80115fd94e4"]}],"mendeley":{"formattedCitation":"(UK ERC, 2006)","plainTextFormattedCitation":"(UK ERC, 2006)","previouslyFormattedCitation":"(UK ERC, 2006)"},"properties":{"noteIndex":0},"schema":"https://github.com/citation-style-language/schema/raw/master/csl-citation.json"}</w:instrText>
      </w:r>
      <w:r w:rsidRPr="0040484F">
        <w:fldChar w:fldCharType="separate"/>
      </w:r>
      <w:r w:rsidR="002A6A73" w:rsidRPr="0040484F">
        <w:rPr>
          <w:noProof/>
        </w:rPr>
        <w:t>(UK ERC, 2006)</w:t>
      </w:r>
      <w:r w:rsidRPr="0040484F">
        <w:fldChar w:fldCharType="end"/>
      </w:r>
      <w:r w:rsidRPr="0040484F">
        <w:t>.</w:t>
      </w:r>
      <w:bookmarkEnd w:id="427"/>
      <w:bookmarkEnd w:id="429"/>
      <w:bookmarkEnd w:id="430"/>
    </w:p>
    <w:tbl>
      <w:tblPr>
        <w:tblW w:w="8316" w:type="dxa"/>
        <w:tblBorders>
          <w:top w:val="single" w:sz="4" w:space="0" w:color="auto"/>
          <w:bottom w:val="single" w:sz="4" w:space="0" w:color="auto"/>
        </w:tblBorders>
        <w:tblLook w:val="00A0" w:firstRow="1" w:lastRow="0" w:firstColumn="1" w:lastColumn="0" w:noHBand="0" w:noVBand="0"/>
      </w:tblPr>
      <w:tblGrid>
        <w:gridCol w:w="2268"/>
        <w:gridCol w:w="1512"/>
        <w:gridCol w:w="2267"/>
        <w:gridCol w:w="2269"/>
      </w:tblGrid>
      <w:tr w:rsidR="000F16EB" w14:paraId="189A07C7" w14:textId="77777777" w:rsidTr="00A7521D">
        <w:tc>
          <w:tcPr>
            <w:tcW w:w="2268" w:type="dxa"/>
            <w:tcBorders>
              <w:top w:val="single" w:sz="4" w:space="0" w:color="auto"/>
              <w:left w:val="nil"/>
              <w:bottom w:val="single" w:sz="4" w:space="0" w:color="auto"/>
              <w:right w:val="nil"/>
            </w:tcBorders>
            <w:hideMark/>
          </w:tcPr>
          <w:p w14:paraId="287EA422" w14:textId="77777777" w:rsidR="000F16EB" w:rsidRDefault="000F16EB" w:rsidP="00A7521D">
            <w:pPr>
              <w:spacing w:after="0" w:line="240" w:lineRule="auto"/>
              <w:jc w:val="center"/>
            </w:pPr>
            <w:r>
              <w:t>Building type</w:t>
            </w:r>
          </w:p>
        </w:tc>
        <w:tc>
          <w:tcPr>
            <w:tcW w:w="1512" w:type="dxa"/>
            <w:tcBorders>
              <w:top w:val="single" w:sz="4" w:space="0" w:color="auto"/>
              <w:left w:val="nil"/>
              <w:bottom w:val="single" w:sz="4" w:space="0" w:color="auto"/>
              <w:right w:val="nil"/>
            </w:tcBorders>
            <w:hideMark/>
          </w:tcPr>
          <w:p w14:paraId="1D6B7662" w14:textId="77777777" w:rsidR="000F16EB" w:rsidRDefault="000F16EB" w:rsidP="00A7521D">
            <w:pPr>
              <w:spacing w:after="0" w:line="240" w:lineRule="auto"/>
              <w:jc w:val="center"/>
            </w:pPr>
            <w:r>
              <w:t>Yearly hours of operation</w:t>
            </w:r>
          </w:p>
        </w:tc>
        <w:tc>
          <w:tcPr>
            <w:tcW w:w="2267" w:type="dxa"/>
            <w:tcBorders>
              <w:top w:val="single" w:sz="4" w:space="0" w:color="auto"/>
              <w:left w:val="nil"/>
              <w:bottom w:val="single" w:sz="4" w:space="0" w:color="auto"/>
              <w:right w:val="nil"/>
            </w:tcBorders>
            <w:hideMark/>
          </w:tcPr>
          <w:p w14:paraId="3EA952C3" w14:textId="77777777" w:rsidR="000F16EB" w:rsidRDefault="000F16EB" w:rsidP="00A7521D">
            <w:pPr>
              <w:spacing w:after="0" w:line="240" w:lineRule="auto"/>
              <w:jc w:val="center"/>
            </w:pPr>
            <w:r>
              <w:t>Ratio average power to peak power</w:t>
            </w:r>
          </w:p>
        </w:tc>
        <w:tc>
          <w:tcPr>
            <w:tcW w:w="2269" w:type="dxa"/>
            <w:tcBorders>
              <w:top w:val="single" w:sz="4" w:space="0" w:color="auto"/>
              <w:left w:val="nil"/>
              <w:bottom w:val="single" w:sz="4" w:space="0" w:color="auto"/>
              <w:right w:val="nil"/>
            </w:tcBorders>
          </w:tcPr>
          <w:p w14:paraId="00D8CF6C" w14:textId="77777777" w:rsidR="000F16EB" w:rsidRDefault="000F16EB" w:rsidP="00A7521D">
            <w:pPr>
              <w:spacing w:after="0" w:line="240" w:lineRule="auto"/>
              <w:jc w:val="center"/>
            </w:pPr>
            <w:r>
              <w:t>Corresponds to CIBSE categories</w:t>
            </w:r>
          </w:p>
        </w:tc>
      </w:tr>
      <w:tr w:rsidR="000F16EB" w14:paraId="1AC065F9" w14:textId="77777777" w:rsidTr="00A7521D">
        <w:tc>
          <w:tcPr>
            <w:tcW w:w="2268" w:type="dxa"/>
            <w:tcBorders>
              <w:top w:val="single" w:sz="4" w:space="0" w:color="auto"/>
              <w:left w:val="nil"/>
              <w:bottom w:val="nil"/>
              <w:right w:val="nil"/>
            </w:tcBorders>
            <w:hideMark/>
          </w:tcPr>
          <w:p w14:paraId="682910D8" w14:textId="77777777" w:rsidR="000F16EB" w:rsidRDefault="000F16EB" w:rsidP="00A7521D">
            <w:pPr>
              <w:spacing w:after="0" w:line="240" w:lineRule="auto"/>
              <w:jc w:val="center"/>
            </w:pPr>
            <w:r>
              <w:t>School</w:t>
            </w:r>
          </w:p>
        </w:tc>
        <w:tc>
          <w:tcPr>
            <w:tcW w:w="1512" w:type="dxa"/>
            <w:tcBorders>
              <w:top w:val="single" w:sz="4" w:space="0" w:color="auto"/>
              <w:left w:val="nil"/>
              <w:bottom w:val="nil"/>
              <w:right w:val="nil"/>
            </w:tcBorders>
            <w:hideMark/>
          </w:tcPr>
          <w:p w14:paraId="0A78129D" w14:textId="77777777" w:rsidR="000F16EB" w:rsidRDefault="000F16EB" w:rsidP="00A7521D">
            <w:pPr>
              <w:spacing w:after="0" w:line="240" w:lineRule="auto"/>
              <w:jc w:val="center"/>
            </w:pPr>
            <w:r>
              <w:t>1,850</w:t>
            </w:r>
          </w:p>
        </w:tc>
        <w:tc>
          <w:tcPr>
            <w:tcW w:w="2267" w:type="dxa"/>
            <w:tcBorders>
              <w:top w:val="single" w:sz="4" w:space="0" w:color="auto"/>
              <w:left w:val="nil"/>
              <w:bottom w:val="nil"/>
              <w:right w:val="nil"/>
            </w:tcBorders>
            <w:hideMark/>
          </w:tcPr>
          <w:p w14:paraId="3B6ECEA0" w14:textId="77777777" w:rsidR="000F16EB" w:rsidRDefault="000F16EB" w:rsidP="00A7521D">
            <w:pPr>
              <w:spacing w:after="0" w:line="240" w:lineRule="auto"/>
              <w:jc w:val="center"/>
            </w:pPr>
            <w:r>
              <w:t>5.6</w:t>
            </w:r>
          </w:p>
        </w:tc>
        <w:tc>
          <w:tcPr>
            <w:tcW w:w="2269" w:type="dxa"/>
            <w:tcBorders>
              <w:top w:val="single" w:sz="4" w:space="0" w:color="auto"/>
              <w:left w:val="nil"/>
              <w:bottom w:val="nil"/>
              <w:right w:val="nil"/>
            </w:tcBorders>
          </w:tcPr>
          <w:p w14:paraId="24F9B5CE" w14:textId="77777777" w:rsidR="000F16EB" w:rsidRDefault="000F16EB" w:rsidP="00A7521D">
            <w:pPr>
              <w:spacing w:after="0" w:line="240" w:lineRule="auto"/>
              <w:jc w:val="center"/>
            </w:pPr>
            <w:r>
              <w:t>17, 18</w:t>
            </w:r>
          </w:p>
        </w:tc>
      </w:tr>
      <w:tr w:rsidR="000F16EB" w14:paraId="3A6EE9C6" w14:textId="77777777" w:rsidTr="00A7521D">
        <w:tc>
          <w:tcPr>
            <w:tcW w:w="2268" w:type="dxa"/>
            <w:tcBorders>
              <w:top w:val="nil"/>
              <w:left w:val="nil"/>
              <w:bottom w:val="nil"/>
              <w:right w:val="nil"/>
            </w:tcBorders>
            <w:hideMark/>
          </w:tcPr>
          <w:p w14:paraId="6214B588" w14:textId="77777777" w:rsidR="000F16EB" w:rsidRDefault="000F16EB" w:rsidP="00A7521D">
            <w:pPr>
              <w:spacing w:after="0" w:line="240" w:lineRule="auto"/>
              <w:jc w:val="center"/>
            </w:pPr>
            <w:r>
              <w:t>Leisure centre</w:t>
            </w:r>
          </w:p>
        </w:tc>
        <w:tc>
          <w:tcPr>
            <w:tcW w:w="1512" w:type="dxa"/>
            <w:tcBorders>
              <w:top w:val="nil"/>
              <w:left w:val="nil"/>
              <w:bottom w:val="nil"/>
              <w:right w:val="nil"/>
            </w:tcBorders>
            <w:hideMark/>
          </w:tcPr>
          <w:p w14:paraId="4F850576" w14:textId="77777777" w:rsidR="000F16EB" w:rsidRDefault="000F16EB" w:rsidP="00A7521D">
            <w:pPr>
              <w:spacing w:after="0" w:line="240" w:lineRule="auto"/>
              <w:jc w:val="center"/>
            </w:pPr>
            <w:r>
              <w:t>5,890</w:t>
            </w:r>
          </w:p>
        </w:tc>
        <w:tc>
          <w:tcPr>
            <w:tcW w:w="2267" w:type="dxa"/>
            <w:tcBorders>
              <w:top w:val="nil"/>
              <w:left w:val="nil"/>
              <w:bottom w:val="nil"/>
              <w:right w:val="nil"/>
            </w:tcBorders>
            <w:hideMark/>
          </w:tcPr>
          <w:p w14:paraId="3D2F5EA7" w14:textId="77777777" w:rsidR="000F16EB" w:rsidRDefault="000F16EB" w:rsidP="00A7521D">
            <w:pPr>
              <w:spacing w:after="0" w:line="240" w:lineRule="auto"/>
              <w:jc w:val="center"/>
            </w:pPr>
            <w:r>
              <w:t>1.8</w:t>
            </w:r>
          </w:p>
        </w:tc>
        <w:tc>
          <w:tcPr>
            <w:tcW w:w="2269" w:type="dxa"/>
            <w:tcBorders>
              <w:top w:val="nil"/>
              <w:left w:val="nil"/>
              <w:bottom w:val="nil"/>
              <w:right w:val="nil"/>
            </w:tcBorders>
          </w:tcPr>
          <w:p w14:paraId="5D4EFDE4" w14:textId="77777777" w:rsidR="000F16EB" w:rsidRDefault="000F16EB" w:rsidP="00A7521D">
            <w:pPr>
              <w:spacing w:after="0" w:line="240" w:lineRule="auto"/>
              <w:jc w:val="center"/>
            </w:pPr>
            <w:r>
              <w:t>12, 13, 14</w:t>
            </w:r>
          </w:p>
        </w:tc>
      </w:tr>
      <w:tr w:rsidR="000F16EB" w14:paraId="2D0BF92E" w14:textId="77777777" w:rsidTr="00A7521D">
        <w:tc>
          <w:tcPr>
            <w:tcW w:w="2268" w:type="dxa"/>
            <w:tcBorders>
              <w:top w:val="nil"/>
              <w:left w:val="nil"/>
              <w:bottom w:val="nil"/>
              <w:right w:val="nil"/>
            </w:tcBorders>
            <w:hideMark/>
          </w:tcPr>
          <w:p w14:paraId="4C0B1184" w14:textId="77777777" w:rsidR="000F16EB" w:rsidRDefault="000F16EB" w:rsidP="00A7521D">
            <w:pPr>
              <w:spacing w:after="0" w:line="240" w:lineRule="auto"/>
              <w:jc w:val="center"/>
            </w:pPr>
            <w:r>
              <w:t>Care home</w:t>
            </w:r>
          </w:p>
        </w:tc>
        <w:tc>
          <w:tcPr>
            <w:tcW w:w="1512" w:type="dxa"/>
            <w:tcBorders>
              <w:top w:val="nil"/>
              <w:left w:val="nil"/>
              <w:bottom w:val="nil"/>
              <w:right w:val="nil"/>
            </w:tcBorders>
            <w:hideMark/>
          </w:tcPr>
          <w:p w14:paraId="5FABE4D2" w14:textId="77777777" w:rsidR="000F16EB" w:rsidRDefault="000F16EB" w:rsidP="00A7521D">
            <w:pPr>
              <w:spacing w:after="0" w:line="240" w:lineRule="auto"/>
              <w:jc w:val="center"/>
            </w:pPr>
            <w:r>
              <w:t>6,550</w:t>
            </w:r>
          </w:p>
        </w:tc>
        <w:tc>
          <w:tcPr>
            <w:tcW w:w="2267" w:type="dxa"/>
            <w:tcBorders>
              <w:top w:val="nil"/>
              <w:left w:val="nil"/>
              <w:bottom w:val="nil"/>
              <w:right w:val="nil"/>
            </w:tcBorders>
            <w:hideMark/>
          </w:tcPr>
          <w:p w14:paraId="60762D65" w14:textId="77777777" w:rsidR="000F16EB" w:rsidRDefault="000F16EB" w:rsidP="00A7521D">
            <w:pPr>
              <w:spacing w:after="0" w:line="240" w:lineRule="auto"/>
              <w:jc w:val="center"/>
            </w:pPr>
            <w:r>
              <w:t>1.8</w:t>
            </w:r>
          </w:p>
        </w:tc>
        <w:tc>
          <w:tcPr>
            <w:tcW w:w="2269" w:type="dxa"/>
            <w:tcBorders>
              <w:top w:val="nil"/>
              <w:left w:val="nil"/>
              <w:bottom w:val="nil"/>
              <w:right w:val="nil"/>
            </w:tcBorders>
          </w:tcPr>
          <w:p w14:paraId="30B8651E" w14:textId="77777777" w:rsidR="000F16EB" w:rsidRDefault="000F16EB" w:rsidP="00A7521D">
            <w:pPr>
              <w:spacing w:after="0" w:line="240" w:lineRule="auto"/>
              <w:jc w:val="center"/>
            </w:pPr>
            <w:r>
              <w:t>19, 20, 22, 23</w:t>
            </w:r>
          </w:p>
        </w:tc>
      </w:tr>
      <w:tr w:rsidR="000F16EB" w14:paraId="03D602A8" w14:textId="77777777" w:rsidTr="00A7521D">
        <w:tc>
          <w:tcPr>
            <w:tcW w:w="2268" w:type="dxa"/>
            <w:tcBorders>
              <w:top w:val="nil"/>
              <w:left w:val="nil"/>
              <w:bottom w:val="nil"/>
              <w:right w:val="nil"/>
            </w:tcBorders>
            <w:hideMark/>
          </w:tcPr>
          <w:p w14:paraId="3F6325EA" w14:textId="77777777" w:rsidR="000F16EB" w:rsidRDefault="000F16EB" w:rsidP="00A7521D">
            <w:pPr>
              <w:spacing w:after="0" w:line="240" w:lineRule="auto"/>
              <w:jc w:val="center"/>
            </w:pPr>
            <w:r>
              <w:t>Retail (large shops)</w:t>
            </w:r>
          </w:p>
        </w:tc>
        <w:tc>
          <w:tcPr>
            <w:tcW w:w="1512" w:type="dxa"/>
            <w:tcBorders>
              <w:top w:val="nil"/>
              <w:left w:val="nil"/>
              <w:bottom w:val="nil"/>
              <w:right w:val="nil"/>
            </w:tcBorders>
            <w:hideMark/>
          </w:tcPr>
          <w:p w14:paraId="59B2516E" w14:textId="77777777" w:rsidR="000F16EB" w:rsidRDefault="000F16EB" w:rsidP="00A7521D">
            <w:pPr>
              <w:spacing w:after="0" w:line="240" w:lineRule="auto"/>
              <w:jc w:val="center"/>
            </w:pPr>
            <w:r>
              <w:t>3,390</w:t>
            </w:r>
          </w:p>
        </w:tc>
        <w:tc>
          <w:tcPr>
            <w:tcW w:w="2267" w:type="dxa"/>
            <w:tcBorders>
              <w:top w:val="nil"/>
              <w:left w:val="nil"/>
              <w:bottom w:val="nil"/>
              <w:right w:val="nil"/>
            </w:tcBorders>
            <w:hideMark/>
          </w:tcPr>
          <w:p w14:paraId="28EAD77B" w14:textId="77777777" w:rsidR="000F16EB" w:rsidRDefault="000F16EB" w:rsidP="00A7521D">
            <w:pPr>
              <w:spacing w:after="0" w:line="240" w:lineRule="auto"/>
              <w:jc w:val="center"/>
            </w:pPr>
            <w:r>
              <w:t>2.0</w:t>
            </w:r>
          </w:p>
        </w:tc>
        <w:tc>
          <w:tcPr>
            <w:tcW w:w="2269" w:type="dxa"/>
            <w:tcBorders>
              <w:top w:val="nil"/>
              <w:left w:val="nil"/>
              <w:bottom w:val="nil"/>
              <w:right w:val="nil"/>
            </w:tcBorders>
          </w:tcPr>
          <w:p w14:paraId="54596073" w14:textId="77777777" w:rsidR="000F16EB" w:rsidRDefault="000F16EB" w:rsidP="00A7521D">
            <w:pPr>
              <w:spacing w:after="0" w:line="240" w:lineRule="auto"/>
              <w:jc w:val="center"/>
            </w:pPr>
            <w:r>
              <w:t>2, 3, 4</w:t>
            </w:r>
          </w:p>
        </w:tc>
      </w:tr>
      <w:tr w:rsidR="000F16EB" w14:paraId="4FB5DA00" w14:textId="77777777" w:rsidTr="00A7521D">
        <w:tc>
          <w:tcPr>
            <w:tcW w:w="2268" w:type="dxa"/>
            <w:tcBorders>
              <w:top w:val="nil"/>
              <w:left w:val="nil"/>
              <w:bottom w:val="nil"/>
              <w:right w:val="nil"/>
            </w:tcBorders>
            <w:hideMark/>
          </w:tcPr>
          <w:p w14:paraId="4430A991" w14:textId="77777777" w:rsidR="000F16EB" w:rsidRDefault="000F16EB" w:rsidP="00A7521D">
            <w:pPr>
              <w:spacing w:after="0" w:line="240" w:lineRule="auto"/>
              <w:jc w:val="center"/>
            </w:pPr>
            <w:r>
              <w:t>Hotels and hostels</w:t>
            </w:r>
          </w:p>
        </w:tc>
        <w:tc>
          <w:tcPr>
            <w:tcW w:w="1512" w:type="dxa"/>
            <w:tcBorders>
              <w:top w:val="nil"/>
              <w:left w:val="nil"/>
              <w:bottom w:val="nil"/>
              <w:right w:val="nil"/>
            </w:tcBorders>
            <w:hideMark/>
          </w:tcPr>
          <w:p w14:paraId="19E604E8" w14:textId="77777777" w:rsidR="000F16EB" w:rsidRDefault="000F16EB" w:rsidP="00A7521D">
            <w:pPr>
              <w:spacing w:after="0" w:line="240" w:lineRule="auto"/>
              <w:jc w:val="center"/>
            </w:pPr>
            <w:r>
              <w:t>3,640</w:t>
            </w:r>
          </w:p>
        </w:tc>
        <w:tc>
          <w:tcPr>
            <w:tcW w:w="2267" w:type="dxa"/>
            <w:tcBorders>
              <w:top w:val="nil"/>
              <w:left w:val="nil"/>
              <w:bottom w:val="nil"/>
              <w:right w:val="nil"/>
            </w:tcBorders>
            <w:hideMark/>
          </w:tcPr>
          <w:p w14:paraId="2856FAF8" w14:textId="77777777" w:rsidR="000F16EB" w:rsidRDefault="000F16EB" w:rsidP="00A7521D">
            <w:pPr>
              <w:spacing w:after="0" w:line="240" w:lineRule="auto"/>
              <w:jc w:val="center"/>
            </w:pPr>
            <w:r>
              <w:t>1.7</w:t>
            </w:r>
          </w:p>
        </w:tc>
        <w:tc>
          <w:tcPr>
            <w:tcW w:w="2269" w:type="dxa"/>
            <w:tcBorders>
              <w:top w:val="nil"/>
              <w:left w:val="nil"/>
              <w:bottom w:val="nil"/>
              <w:right w:val="nil"/>
            </w:tcBorders>
          </w:tcPr>
          <w:p w14:paraId="2BE6C8E6" w14:textId="77777777" w:rsidR="000F16EB" w:rsidRDefault="000F16EB" w:rsidP="00A7521D">
            <w:pPr>
              <w:spacing w:after="0" w:line="240" w:lineRule="auto"/>
              <w:jc w:val="center"/>
            </w:pPr>
            <w:r>
              <w:t>9</w:t>
            </w:r>
          </w:p>
        </w:tc>
      </w:tr>
      <w:tr w:rsidR="000F16EB" w14:paraId="744081B5" w14:textId="77777777" w:rsidTr="00A7521D">
        <w:tc>
          <w:tcPr>
            <w:tcW w:w="2268" w:type="dxa"/>
            <w:tcBorders>
              <w:top w:val="nil"/>
              <w:left w:val="nil"/>
              <w:bottom w:val="nil"/>
              <w:right w:val="nil"/>
            </w:tcBorders>
            <w:hideMark/>
          </w:tcPr>
          <w:p w14:paraId="0E78FF8E" w14:textId="77777777" w:rsidR="000F16EB" w:rsidRDefault="000F16EB" w:rsidP="00A7521D">
            <w:pPr>
              <w:spacing w:after="0" w:line="240" w:lineRule="auto"/>
              <w:jc w:val="center"/>
            </w:pPr>
            <w:r>
              <w:t>Pubs and clubs</w:t>
            </w:r>
          </w:p>
        </w:tc>
        <w:tc>
          <w:tcPr>
            <w:tcW w:w="1512" w:type="dxa"/>
            <w:tcBorders>
              <w:top w:val="nil"/>
              <w:left w:val="nil"/>
              <w:bottom w:val="nil"/>
              <w:right w:val="nil"/>
            </w:tcBorders>
            <w:hideMark/>
          </w:tcPr>
          <w:p w14:paraId="52F09DFC" w14:textId="77777777" w:rsidR="000F16EB" w:rsidRDefault="000F16EB" w:rsidP="00A7521D">
            <w:pPr>
              <w:spacing w:after="0" w:line="240" w:lineRule="auto"/>
              <w:jc w:val="center"/>
            </w:pPr>
            <w:r>
              <w:t>2,140</w:t>
            </w:r>
          </w:p>
        </w:tc>
        <w:tc>
          <w:tcPr>
            <w:tcW w:w="2267" w:type="dxa"/>
            <w:tcBorders>
              <w:top w:val="nil"/>
              <w:left w:val="nil"/>
              <w:bottom w:val="nil"/>
              <w:right w:val="nil"/>
            </w:tcBorders>
            <w:hideMark/>
          </w:tcPr>
          <w:p w14:paraId="73E9BD9C" w14:textId="77777777" w:rsidR="000F16EB" w:rsidRDefault="000F16EB" w:rsidP="00A7521D">
            <w:pPr>
              <w:spacing w:after="0" w:line="240" w:lineRule="auto"/>
              <w:jc w:val="center"/>
            </w:pPr>
            <w:r>
              <w:t>1.4</w:t>
            </w:r>
          </w:p>
        </w:tc>
        <w:tc>
          <w:tcPr>
            <w:tcW w:w="2269" w:type="dxa"/>
            <w:tcBorders>
              <w:top w:val="nil"/>
              <w:left w:val="nil"/>
              <w:bottom w:val="nil"/>
              <w:right w:val="nil"/>
            </w:tcBorders>
          </w:tcPr>
          <w:p w14:paraId="691C0D8B" w14:textId="77777777" w:rsidR="000F16EB" w:rsidRDefault="000F16EB" w:rsidP="00A7521D">
            <w:pPr>
              <w:spacing w:after="0" w:line="240" w:lineRule="auto"/>
              <w:jc w:val="center"/>
            </w:pPr>
            <w:r>
              <w:t>8</w:t>
            </w:r>
          </w:p>
        </w:tc>
      </w:tr>
      <w:tr w:rsidR="000F16EB" w14:paraId="6E876718" w14:textId="77777777" w:rsidTr="00A7521D">
        <w:tc>
          <w:tcPr>
            <w:tcW w:w="2268" w:type="dxa"/>
            <w:tcBorders>
              <w:top w:val="nil"/>
              <w:left w:val="nil"/>
              <w:bottom w:val="nil"/>
              <w:right w:val="nil"/>
            </w:tcBorders>
            <w:hideMark/>
          </w:tcPr>
          <w:p w14:paraId="69BCF264" w14:textId="77777777" w:rsidR="000F16EB" w:rsidRDefault="000F16EB" w:rsidP="00A7521D">
            <w:pPr>
              <w:spacing w:after="0" w:line="240" w:lineRule="auto"/>
              <w:jc w:val="center"/>
            </w:pPr>
            <w:r>
              <w:t>Restaurants and food</w:t>
            </w:r>
          </w:p>
        </w:tc>
        <w:tc>
          <w:tcPr>
            <w:tcW w:w="1512" w:type="dxa"/>
            <w:tcBorders>
              <w:top w:val="nil"/>
              <w:left w:val="nil"/>
              <w:bottom w:val="nil"/>
              <w:right w:val="nil"/>
            </w:tcBorders>
            <w:hideMark/>
          </w:tcPr>
          <w:p w14:paraId="10ABC710" w14:textId="77777777" w:rsidR="000F16EB" w:rsidRDefault="000F16EB" w:rsidP="00A7521D">
            <w:pPr>
              <w:spacing w:after="0" w:line="240" w:lineRule="auto"/>
              <w:jc w:val="center"/>
            </w:pPr>
            <w:r>
              <w:t>5,360</w:t>
            </w:r>
          </w:p>
        </w:tc>
        <w:tc>
          <w:tcPr>
            <w:tcW w:w="2267" w:type="dxa"/>
            <w:tcBorders>
              <w:top w:val="nil"/>
              <w:left w:val="nil"/>
              <w:bottom w:val="nil"/>
              <w:right w:val="nil"/>
            </w:tcBorders>
            <w:hideMark/>
          </w:tcPr>
          <w:p w14:paraId="29007766" w14:textId="77777777" w:rsidR="000F16EB" w:rsidRDefault="000F16EB" w:rsidP="00A7521D">
            <w:pPr>
              <w:spacing w:after="0" w:line="240" w:lineRule="auto"/>
              <w:jc w:val="center"/>
            </w:pPr>
            <w:r>
              <w:t>2.5</w:t>
            </w:r>
          </w:p>
        </w:tc>
        <w:tc>
          <w:tcPr>
            <w:tcW w:w="2269" w:type="dxa"/>
            <w:tcBorders>
              <w:top w:val="nil"/>
              <w:left w:val="nil"/>
              <w:bottom w:val="nil"/>
              <w:right w:val="nil"/>
            </w:tcBorders>
          </w:tcPr>
          <w:p w14:paraId="11F13B94" w14:textId="77777777" w:rsidR="000F16EB" w:rsidRDefault="000F16EB" w:rsidP="00A7521D">
            <w:pPr>
              <w:spacing w:after="0" w:line="240" w:lineRule="auto"/>
              <w:jc w:val="center"/>
            </w:pPr>
            <w:r>
              <w:t>7</w:t>
            </w:r>
          </w:p>
        </w:tc>
      </w:tr>
      <w:tr w:rsidR="000F16EB" w14:paraId="1CDA8CD0" w14:textId="77777777" w:rsidTr="00A7521D">
        <w:tc>
          <w:tcPr>
            <w:tcW w:w="2268" w:type="dxa"/>
            <w:tcBorders>
              <w:top w:val="nil"/>
              <w:left w:val="nil"/>
              <w:bottom w:val="nil"/>
              <w:right w:val="nil"/>
            </w:tcBorders>
            <w:hideMark/>
          </w:tcPr>
          <w:p w14:paraId="5B8AE4C0" w14:textId="77777777" w:rsidR="000F16EB" w:rsidRDefault="000F16EB" w:rsidP="00A7521D">
            <w:pPr>
              <w:spacing w:after="0" w:line="240" w:lineRule="auto"/>
              <w:jc w:val="center"/>
            </w:pPr>
            <w:r>
              <w:t>Supermarket</w:t>
            </w:r>
          </w:p>
        </w:tc>
        <w:tc>
          <w:tcPr>
            <w:tcW w:w="1512" w:type="dxa"/>
            <w:tcBorders>
              <w:top w:val="nil"/>
              <w:left w:val="nil"/>
              <w:bottom w:val="nil"/>
              <w:right w:val="nil"/>
            </w:tcBorders>
            <w:hideMark/>
          </w:tcPr>
          <w:p w14:paraId="7A767C47" w14:textId="77777777" w:rsidR="000F16EB" w:rsidRDefault="000F16EB" w:rsidP="00A7521D">
            <w:pPr>
              <w:spacing w:after="0" w:line="240" w:lineRule="auto"/>
              <w:jc w:val="center"/>
            </w:pPr>
            <w:r>
              <w:t>2,550</w:t>
            </w:r>
          </w:p>
        </w:tc>
        <w:tc>
          <w:tcPr>
            <w:tcW w:w="2267" w:type="dxa"/>
            <w:tcBorders>
              <w:top w:val="nil"/>
              <w:left w:val="nil"/>
              <w:bottom w:val="nil"/>
              <w:right w:val="nil"/>
            </w:tcBorders>
            <w:hideMark/>
          </w:tcPr>
          <w:p w14:paraId="2E8AAA87" w14:textId="77777777" w:rsidR="000F16EB" w:rsidRDefault="000F16EB" w:rsidP="00A7521D">
            <w:pPr>
              <w:spacing w:after="0" w:line="240" w:lineRule="auto"/>
              <w:jc w:val="center"/>
            </w:pPr>
            <w:r>
              <w:t>3.2</w:t>
            </w:r>
          </w:p>
        </w:tc>
        <w:tc>
          <w:tcPr>
            <w:tcW w:w="2269" w:type="dxa"/>
            <w:tcBorders>
              <w:top w:val="nil"/>
              <w:left w:val="nil"/>
              <w:bottom w:val="nil"/>
              <w:right w:val="nil"/>
            </w:tcBorders>
          </w:tcPr>
          <w:p w14:paraId="18BCC4E7" w14:textId="77777777" w:rsidR="000F16EB" w:rsidRDefault="000F16EB" w:rsidP="00A7521D">
            <w:pPr>
              <w:spacing w:after="0" w:line="240" w:lineRule="auto"/>
              <w:jc w:val="center"/>
            </w:pPr>
            <w:r>
              <w:t>5, 6</w:t>
            </w:r>
          </w:p>
        </w:tc>
      </w:tr>
      <w:tr w:rsidR="000F16EB" w14:paraId="5CD45F1E" w14:textId="77777777" w:rsidTr="00A7521D">
        <w:tc>
          <w:tcPr>
            <w:tcW w:w="2268" w:type="dxa"/>
            <w:tcBorders>
              <w:top w:val="nil"/>
              <w:left w:val="nil"/>
              <w:bottom w:val="nil"/>
              <w:right w:val="nil"/>
            </w:tcBorders>
            <w:hideMark/>
          </w:tcPr>
          <w:p w14:paraId="0758D890" w14:textId="77777777" w:rsidR="000F16EB" w:rsidRDefault="000F16EB" w:rsidP="00A7521D">
            <w:pPr>
              <w:spacing w:after="0" w:line="240" w:lineRule="auto"/>
              <w:jc w:val="center"/>
            </w:pPr>
            <w:r>
              <w:t>Local government and offices</w:t>
            </w:r>
          </w:p>
        </w:tc>
        <w:tc>
          <w:tcPr>
            <w:tcW w:w="1512" w:type="dxa"/>
            <w:tcBorders>
              <w:top w:val="nil"/>
              <w:left w:val="nil"/>
              <w:bottom w:val="nil"/>
              <w:right w:val="nil"/>
            </w:tcBorders>
            <w:hideMark/>
          </w:tcPr>
          <w:p w14:paraId="7678CD59" w14:textId="77777777" w:rsidR="000F16EB" w:rsidRDefault="000F16EB" w:rsidP="00A7521D">
            <w:pPr>
              <w:spacing w:after="0" w:line="240" w:lineRule="auto"/>
              <w:jc w:val="center"/>
            </w:pPr>
            <w:r>
              <w:t>2,550</w:t>
            </w:r>
          </w:p>
        </w:tc>
        <w:tc>
          <w:tcPr>
            <w:tcW w:w="2267" w:type="dxa"/>
            <w:tcBorders>
              <w:top w:val="nil"/>
              <w:left w:val="nil"/>
              <w:bottom w:val="nil"/>
              <w:right w:val="nil"/>
            </w:tcBorders>
            <w:hideMark/>
          </w:tcPr>
          <w:p w14:paraId="136AC2A6" w14:textId="77777777" w:rsidR="000F16EB" w:rsidRDefault="000F16EB" w:rsidP="00A7521D">
            <w:pPr>
              <w:spacing w:after="0" w:line="240" w:lineRule="auto"/>
              <w:jc w:val="center"/>
            </w:pPr>
            <w:r>
              <w:t>4.5</w:t>
            </w:r>
          </w:p>
        </w:tc>
        <w:tc>
          <w:tcPr>
            <w:tcW w:w="2269" w:type="dxa"/>
            <w:tcBorders>
              <w:top w:val="nil"/>
              <w:left w:val="nil"/>
              <w:bottom w:val="nil"/>
              <w:right w:val="nil"/>
            </w:tcBorders>
          </w:tcPr>
          <w:p w14:paraId="01BA22C4" w14:textId="77777777" w:rsidR="000F16EB" w:rsidRDefault="000F16EB" w:rsidP="00A7521D">
            <w:pPr>
              <w:spacing w:after="0" w:line="240" w:lineRule="auto"/>
              <w:jc w:val="center"/>
            </w:pPr>
            <w:r>
              <w:t>1</w:t>
            </w:r>
          </w:p>
        </w:tc>
      </w:tr>
      <w:tr w:rsidR="000F16EB" w14:paraId="1E4F3A47" w14:textId="77777777" w:rsidTr="00A7521D">
        <w:tc>
          <w:tcPr>
            <w:tcW w:w="2268" w:type="dxa"/>
            <w:tcBorders>
              <w:top w:val="nil"/>
              <w:left w:val="nil"/>
              <w:bottom w:val="single" w:sz="4" w:space="0" w:color="auto"/>
              <w:right w:val="nil"/>
            </w:tcBorders>
            <w:hideMark/>
          </w:tcPr>
          <w:p w14:paraId="5A51D84B" w14:textId="77777777" w:rsidR="000F16EB" w:rsidRDefault="000F16EB" w:rsidP="00A7521D">
            <w:pPr>
              <w:spacing w:after="0" w:line="240" w:lineRule="auto"/>
              <w:jc w:val="center"/>
            </w:pPr>
            <w:r>
              <w:t>Miscellaneous</w:t>
            </w:r>
          </w:p>
        </w:tc>
        <w:tc>
          <w:tcPr>
            <w:tcW w:w="1512" w:type="dxa"/>
            <w:tcBorders>
              <w:top w:val="nil"/>
              <w:left w:val="nil"/>
              <w:bottom w:val="single" w:sz="4" w:space="0" w:color="auto"/>
              <w:right w:val="nil"/>
            </w:tcBorders>
            <w:hideMark/>
          </w:tcPr>
          <w:p w14:paraId="10E3904A" w14:textId="77777777" w:rsidR="000F16EB" w:rsidRDefault="000F16EB" w:rsidP="00A7521D">
            <w:pPr>
              <w:spacing w:after="0" w:line="240" w:lineRule="auto"/>
              <w:jc w:val="center"/>
            </w:pPr>
            <w:r>
              <w:t>2,500</w:t>
            </w:r>
          </w:p>
        </w:tc>
        <w:tc>
          <w:tcPr>
            <w:tcW w:w="2267" w:type="dxa"/>
            <w:tcBorders>
              <w:top w:val="nil"/>
              <w:left w:val="nil"/>
              <w:bottom w:val="single" w:sz="4" w:space="0" w:color="auto"/>
              <w:right w:val="nil"/>
            </w:tcBorders>
            <w:hideMark/>
          </w:tcPr>
          <w:p w14:paraId="05230E99" w14:textId="77777777" w:rsidR="000F16EB" w:rsidRDefault="000F16EB" w:rsidP="00A7521D">
            <w:pPr>
              <w:spacing w:after="0" w:line="240" w:lineRule="auto"/>
              <w:jc w:val="center"/>
            </w:pPr>
            <w:r>
              <w:t>2.7</w:t>
            </w:r>
          </w:p>
        </w:tc>
        <w:tc>
          <w:tcPr>
            <w:tcW w:w="2269" w:type="dxa"/>
            <w:tcBorders>
              <w:top w:val="nil"/>
              <w:left w:val="nil"/>
              <w:bottom w:val="single" w:sz="4" w:space="0" w:color="auto"/>
              <w:right w:val="nil"/>
            </w:tcBorders>
          </w:tcPr>
          <w:p w14:paraId="2CF3C166" w14:textId="77777777" w:rsidR="000F16EB" w:rsidRDefault="000F16EB" w:rsidP="00A7521D">
            <w:pPr>
              <w:spacing w:after="0" w:line="240" w:lineRule="auto"/>
              <w:jc w:val="center"/>
            </w:pPr>
            <w:r>
              <w:t>10, 11, 15, 16, 21, 24, 25, 26, 27, 28, 29</w:t>
            </w:r>
          </w:p>
        </w:tc>
      </w:tr>
    </w:tbl>
    <w:p w14:paraId="607B6F90" w14:textId="77777777" w:rsidR="000F16EB" w:rsidRDefault="000F16EB" w:rsidP="00196CD6">
      <w:pPr>
        <w:pStyle w:val="NoSpacing"/>
      </w:pPr>
    </w:p>
    <w:p w14:paraId="7A73C2DF" w14:textId="77777777" w:rsidR="000F16EB" w:rsidRDefault="000F16EB" w:rsidP="000F16EB">
      <w:pPr>
        <w:pStyle w:val="Heading3"/>
      </w:pPr>
      <w:bookmarkStart w:id="431" w:name="_Toc525229994"/>
      <w:bookmarkStart w:id="432" w:name="_Toc7187509"/>
      <w:r>
        <w:t>Domestic Heat Mapping Methodology</w:t>
      </w:r>
      <w:bookmarkEnd w:id="431"/>
      <w:bookmarkEnd w:id="432"/>
    </w:p>
    <w:p w14:paraId="4607E3DE" w14:textId="19DBE663" w:rsidR="000F16EB" w:rsidRDefault="000F16EB" w:rsidP="000F16EB">
      <w:r>
        <w:t xml:space="preserve">The purpose of the domestic heat mapping was to determine the overall HD density of the case study area to determine if it meets the recommended threshold for profitable DH </w:t>
      </w:r>
      <w:r w:rsidRPr="003D7103">
        <w:fldChar w:fldCharType="begin" w:fldLock="1"/>
      </w:r>
      <w:r w:rsidR="002A6A73">
        <w:instrText>ADDIN CSL_CITATION {"citationItems":[{"id":"ITEM-1","itemData":{"ISBN":"9780108508158","author":[{"dropping-particle":"","family":"DECC","given":"","non-dropping-particle":"","parse-names":false,"suffix":""}],"id":"ITEM-1","issued":{"date-parts":[["2009"]]},"publisher-place":"London, England","title":"HEAT AND ENERGY SAVING STRATEGY: Consultation","type":"report"},"uris":["http://www.mendeley.com/documents/?uuid=c859c22b-3035-4801-9bfb-6699a3da9716"]}],"mendeley":{"formattedCitation":"(DECC, 2009a)","plainTextFormattedCitation":"(DECC, 2009a)","previouslyFormattedCitation":"(DECC, 2009a)"},"properties":{"noteIndex":0},"schema":"https://github.com/citation-style-language/schema/raw/master/csl-citation.json"}</w:instrText>
      </w:r>
      <w:r w:rsidRPr="003D7103">
        <w:fldChar w:fldCharType="separate"/>
      </w:r>
      <w:r w:rsidR="002A6A73" w:rsidRPr="002A6A73">
        <w:rPr>
          <w:noProof/>
        </w:rPr>
        <w:t>(DECC, 2009a)</w:t>
      </w:r>
      <w:r w:rsidRPr="003D7103">
        <w:fldChar w:fldCharType="end"/>
      </w:r>
      <w:r>
        <w:t xml:space="preserve">. The domestic heat mapping process used a technique outlined by Finney </w:t>
      </w:r>
      <w:r w:rsidRPr="00441038">
        <w:rPr>
          <w:i/>
        </w:rPr>
        <w:t>et al</w:t>
      </w:r>
      <w:r>
        <w:t>., calculating the domestic HD density based on a conversion from the population density</w:t>
      </w:r>
      <w:r w:rsidR="00441038">
        <w:t xml:space="preserve"> </w:t>
      </w:r>
      <w:r w:rsidR="00441038">
        <w:fldChar w:fldCharType="begin" w:fldLock="1"/>
      </w:r>
      <w:r w:rsidR="00441038">
        <w:instrText xml:space="preserve">ADDIN CSL_CITATION {"citationItems":[{"id":"ITEM-1","itemData":{"DOI":"10.1016/j.enconman.2012.03.006","ISBN":"01968904","ISSN":"01968904","abstract":"District heating can provide cost-effective and low-carbon energy to local populations, such as space heating in winter and year-round hot/cold water; this is also associated with electricity generation in combined-heat-and-power systems. Although this is currently rare in the UK, many legislative policies, including the Renewable Heat Incentive, aim to increase the amount of energy from such sources; including new installations, as well as extending/upgrading existing distributed energy schemes. Sheffield already has an award-winning district energy network, incorporating city-wide heat distribution. This paper aimed to demonstrate the opportunities for expansions to this through geographical information systems software modelling for an in-depth analysis of the heat demands in the city. ‘Heat maps’ were produced, locating existing and emerging heat sources and sinks. Heat loads (industrial, commercial, educational, health care, council and leisure facilities/complex) total 53MW, with existing residential areas accounting for </w:instrText>
      </w:r>
      <w:r w:rsidR="00441038">
        <w:rPr>
          <w:rFonts w:ascii="Cambria Math" w:hAnsi="Cambria Math" w:cs="Cambria Math"/>
        </w:rPr>
        <w:instrText>∼</w:instrText>
      </w:r>
      <w:r w:rsidR="00441038">
        <w:instrText xml:space="preserve">1500MW and new housing developments potentially adding a further 35MW in the future. A number of current and emerging heat sources were also discovered </w:instrText>
      </w:r>
      <w:r w:rsidR="00441038">
        <w:rPr>
          <w:rFonts w:ascii="Calibri" w:hAnsi="Calibri" w:cs="Calibri"/>
        </w:rPr>
        <w:instrText>–</w:instrText>
      </w:r>
      <w:r w:rsidR="00441038">
        <w:instrText xml:space="preserve"> potential suppliers of thermal energy to the above-defined heat sinks. From these, six ‘heat zones’ where an expansion to the existing network could be possible were identified and the infrastructure planned for each development.","author":[{"dropping-particle":"","family":"Finney","given":"Karen N.","non-dropping-particle":"","parse-names":false,"suffix":""},{"dropping-particle":"","family":"Sharifi","given":"Vida N.","non-dropping-particle":"","parse-names":false,"suffix":""},{"dropping-particle":"","family":"Swithenbank","given":"Jim","non-dropping-particle":"","parse-names":false,"suffix":""},{"dropping-particle":"","family":"Nolan","given":"Andy","non-dropping-particle":"","parse-names":false,"suffix":""},{"dropping-particle":"","family":"White","given":"Simon","non-dropping-particle":"","parse-names":false,"suffix":""},{"dropping-particle":"","family":"Ogden","given":"Simon","non-dropping-particle":"","parse-names":false,"suffix":""}],"container-title":"Energy Conversion and Management","id":"ITEM-1","issued":{"date-parts":[["2012"]]},"page":"165-175","publisher":"Elsevier Ltd","title":"Developments to an existing city-wide district energy network – Part I: Identification of potential expansions using heat mapping","type":"article-journal","volume":"62"},"uris":["http://www.mendeley.com/documents/?uuid=cff41c61-20f7-4b1e-ba33-764fb84901d7"]}],"mendeley":{"formattedCitation":"(Finney &lt;i&gt;et al.&lt;/i&gt;, 2012)","plainTextFormattedCitation":"(Finney et al., 2012)","previouslyFormattedCitation":"(Finney &lt;i&gt;et al.&lt;/i&gt;, 2012)"},"properties":{"noteIndex":0},"schema":"https://github.com/citation-style-language/schema/raw/master/csl-citation.json"}</w:instrText>
      </w:r>
      <w:r w:rsidR="00441038">
        <w:fldChar w:fldCharType="separate"/>
      </w:r>
      <w:r w:rsidR="00441038" w:rsidRPr="002A6A73">
        <w:rPr>
          <w:noProof/>
        </w:rPr>
        <w:t xml:space="preserve">(Finney </w:t>
      </w:r>
      <w:r w:rsidR="00441038" w:rsidRPr="002A6A73">
        <w:rPr>
          <w:i/>
          <w:noProof/>
        </w:rPr>
        <w:t>et al.</w:t>
      </w:r>
      <w:r w:rsidR="00441038" w:rsidRPr="002A6A73">
        <w:rPr>
          <w:noProof/>
        </w:rPr>
        <w:t>, 2012)</w:t>
      </w:r>
      <w:r w:rsidR="00441038">
        <w:fldChar w:fldCharType="end"/>
      </w:r>
      <w:r>
        <w:t xml:space="preserve">. UK census data was accessed that provided population density data for output areas, small geographical areas of at least 40 households </w:t>
      </w:r>
      <w:r>
        <w:fldChar w:fldCharType="begin" w:fldLock="1"/>
      </w:r>
      <w:r w:rsidR="002A6A73">
        <w:instrText>ADDIN CSL_CITATION {"citationItems":[{"id":"ITEM-1","itemData":{"author":[{"dropping-particle":"","family":"ONS","given":"","non-dropping-particle":"","parse-names":false,"suffix":""}],"id":"ITEM-1","issued":{"date-parts":[["2011"]]},"publisher-place":"London, England","title":"QS102EW - Population density","type":"report"},"uris":["http://www.mendeley.com/documents/?uuid=5fbffc5f-5e5a-4572-8a50-8efce6540647"]},{"id":"ITEM-2","itemData":{"URL":"http://webarchive.nationalarchives.gov.uk/20160105160709/http://www.ons.gov.uk/ons/guide-method/geography/beginner-s-guide/census/output-area--oas-/index.html","accessed":{"date-parts":[["2018","9","14"]]},"author":[{"dropping-particle":"","family":"ONS","given":"","non-dropping-particle":"","parse-names":false,"suffix":""}],"id":"ITEM-2","issued":{"date-parts":[["2011"]]},"title":"Output Area (OA)","type":"webpage"},"uris":["http://www.mendeley.com/documents/?uuid=19dc9aaf-c6a3-47de-ad2e-534c9443d008"]}],"mendeley":{"formattedCitation":"(ONS, 2011b, 2011a)","plainTextFormattedCitation":"(ONS, 2011b, 2011a)","previouslyFormattedCitation":"(ONS, 2011b, 2011a)"},"properties":{"noteIndex":0},"schema":"https://github.com/citation-style-language/schema/raw/master/csl-citation.json"}</w:instrText>
      </w:r>
      <w:r>
        <w:fldChar w:fldCharType="separate"/>
      </w:r>
      <w:r w:rsidR="002A6A73" w:rsidRPr="002A6A73">
        <w:rPr>
          <w:noProof/>
        </w:rPr>
        <w:t>(ONS, 2011b, 2011a)</w:t>
      </w:r>
      <w:r>
        <w:fldChar w:fldCharType="end"/>
      </w:r>
      <w:r>
        <w:t xml:space="preserve">. The conversion from population density to HD density was based on the following assumptions </w:t>
      </w:r>
      <w:r>
        <w:fldChar w:fldCharType="begin" w:fldLock="1"/>
      </w:r>
      <w:r w:rsidR="002A6A73">
        <w:instrText xml:space="preserve">ADDIN CSL_CITATION {"citationItems":[{"id":"ITEM-1","itemData":{"DOI":"10.1016/j.enconman.2012.03.006","ISBN":"01968904","ISSN":"01968904","abstract":"District heating can provide cost-effective and low-carbon energy to local populations, such as space heating in winter and year-round hot/cold water; this is also associated with electricity generation in combined-heat-and-power systems. Although this is currently rare in the UK, many legislative policies, including the Renewable Heat Incentive, aim to increase the amount of energy from such sources; including new installations, as well as extending/upgrading existing distributed energy schemes. Sheffield already has an award-winning district energy network, incorporating city-wide heat distribution. This paper aimed to demonstrate the opportunities for expansions to this through geographical information systems software modelling for an in-depth analysis of the heat demands in the city. ‘Heat maps’ were produced, locating existing and emerging heat sources and sinks. Heat loads (industrial, commercial, educational, health care, council and leisure facilities/complex) total 53MW, with existing residential areas accounting for </w:instrText>
      </w:r>
      <w:r w:rsidR="002A6A73">
        <w:rPr>
          <w:rFonts w:ascii="Cambria Math" w:hAnsi="Cambria Math" w:cs="Cambria Math"/>
        </w:rPr>
        <w:instrText>∼</w:instrText>
      </w:r>
      <w:r w:rsidR="002A6A73">
        <w:instrText>1500MW and new housing developments potentially adding a further 35MW in the future. A number of current and emerging heat sources were also discovered – potential suppliers of thermal energy to the above-defined heat sinks. From these, six ‘heat zones’ where an expansion to the existing network could be possible were identified and the infrastructure planned for each development.","author":[{"dropping-particle":"","family":"Finney","given":"Karen N.","non-dropping-particle":"","parse-names":false,"suffix":""},{"dropping-particle":"","family":"Sharifi","given":"Vida N.","non-dropping-particle":"","parse-names":false,"suffix":""},{"dropping-particle":"","family":"Swithenbank","given":"Jim","non-dropping-particle":"","parse-names":false,"suffix":""},{"dropping-particle":"","family":"Nolan","given":"Andy","non-dropping-particle":"","parse-names":false,"suffix":""},{"dropping-particle":"","family":"White","given":"Simon","non-dropping-particle":"","parse-names":false,"suffix":""},{"dropping-particle":"","family":"Ogden","given":"Simon","non-dropping-particle":"","parse-names":false,"suffix":""}],"container-title":"Energy Conversion and Management","id":"ITEM-1","issued":{"date-parts":[["2012"]]},"page":"165-175","publisher":"Elsevier Ltd","title":"Developments to an existing city-wide district energy network – Part I: Identification of potential expansions using heat mapping","type":"article-journal","volume":"62"},"uris":["http://www.mendeley.com/documents/?uuid=cff41c61-20f7-4b1e-ba33-764fb84901d7"]}],"mendeley":{"formattedCitation":"(Finney &lt;i&gt;et al.&lt;/i&gt;, 2012)","plainTextFormattedCitation":"(Finney et al., 2012)","previouslyFormattedCitation":"(Finney &lt;i&gt;et al.&lt;/i&gt;, 2012)"},"properties":{"noteIndex":0},"schema":"https://github.com/citation-style-language/schema/raw/master/csl-citation.json"}</w:instrText>
      </w:r>
      <w:r>
        <w:fldChar w:fldCharType="separate"/>
      </w:r>
      <w:r w:rsidR="002A6A73" w:rsidRPr="002A6A73">
        <w:rPr>
          <w:noProof/>
        </w:rPr>
        <w:t xml:space="preserve">(Finney </w:t>
      </w:r>
      <w:r w:rsidR="002A6A73" w:rsidRPr="002A6A73">
        <w:rPr>
          <w:i/>
          <w:noProof/>
        </w:rPr>
        <w:t>et al.</w:t>
      </w:r>
      <w:r w:rsidR="002A6A73" w:rsidRPr="002A6A73">
        <w:rPr>
          <w:noProof/>
        </w:rPr>
        <w:t>, 2012)</w:t>
      </w:r>
      <w:r>
        <w:fldChar w:fldCharType="end"/>
      </w:r>
      <w:r>
        <w:t>:</w:t>
      </w:r>
    </w:p>
    <w:p w14:paraId="37BD830E" w14:textId="77777777" w:rsidR="000F16EB" w:rsidRDefault="000F16EB" w:rsidP="00202E44">
      <w:pPr>
        <w:pStyle w:val="ListParagraph"/>
        <w:numPr>
          <w:ilvl w:val="0"/>
          <w:numId w:val="19"/>
        </w:numPr>
      </w:pPr>
      <w:r>
        <w:t>The average UK household used 20.5 MWh of TE per year for heating.</w:t>
      </w:r>
    </w:p>
    <w:p w14:paraId="7C598DE5" w14:textId="77777777" w:rsidR="000F16EB" w:rsidRDefault="000F16EB" w:rsidP="00202E44">
      <w:pPr>
        <w:pStyle w:val="ListParagraph"/>
        <w:numPr>
          <w:ilvl w:val="0"/>
          <w:numId w:val="19"/>
        </w:numPr>
      </w:pPr>
      <w:r>
        <w:t>The average number of people living in a UK household was 2.37.</w:t>
      </w:r>
    </w:p>
    <w:p w14:paraId="12A573EB" w14:textId="77777777" w:rsidR="000F16EB" w:rsidRDefault="000F16EB" w:rsidP="00202E44">
      <w:pPr>
        <w:pStyle w:val="ListParagraph"/>
        <w:numPr>
          <w:ilvl w:val="0"/>
          <w:numId w:val="19"/>
        </w:numPr>
      </w:pPr>
      <w:r>
        <w:t>The average number of domestic heating hours per year was 3,000.</w:t>
      </w:r>
    </w:p>
    <w:p w14:paraId="705CBD3C" w14:textId="53F50AEA" w:rsidR="000F16EB" w:rsidRDefault="000F16EB" w:rsidP="000F16EB">
      <w:r>
        <w:t xml:space="preserve">The yearly energy use for heating was converted into peak and average power demands for heating using </w:t>
      </w:r>
      <w:r>
        <w:fldChar w:fldCharType="begin"/>
      </w:r>
      <w:r>
        <w:instrText xml:space="preserve"> REF _Ref525137557 \h </w:instrText>
      </w:r>
      <w:r>
        <w:fldChar w:fldCharType="separate"/>
      </w:r>
      <w:r w:rsidR="00CB7456">
        <w:t xml:space="preserve">Table </w:t>
      </w:r>
      <w:r w:rsidR="00CB7456">
        <w:rPr>
          <w:noProof/>
        </w:rPr>
        <w:t>3</w:t>
      </w:r>
      <w:r w:rsidR="00CB7456">
        <w:t>.</w:t>
      </w:r>
      <w:r w:rsidR="00CB7456">
        <w:rPr>
          <w:noProof/>
        </w:rPr>
        <w:t>3</w:t>
      </w:r>
      <w:r>
        <w:fldChar w:fldCharType="end"/>
      </w:r>
      <w:r>
        <w:t xml:space="preserve"> </w:t>
      </w:r>
      <w:r>
        <w:fldChar w:fldCharType="begin" w:fldLock="1"/>
      </w:r>
      <w:r w:rsidR="002A6A73">
        <w:instrText>ADDIN CSL_CITATION {"citationItems":[{"id":"ITEM-1","itemData":{"URL":"http://ukedc.rl.ac.uk/cgi-bin/edc_search.pl?GoButton=Detail&amp;WantComp=30&amp;WantResult=&amp;WantText=EDC0000030&amp;","accessed":{"date-parts":[["2018","9","14"]]},"author":[{"dropping-particle":"","family":"UK ERC","given":"","non-dropping-particle":"","parse-names":false,"suffix":""}],"id":"ITEM-1","issued":{"date-parts":[["2006"]]},"title":"Carbon Trust Advanced Metering Trial (2004 - 2006)","type":"webpage"},"uris":["http://www.mendeley.com/documents/?uuid=3f689cda-e6e6-46b6-8586-a80115fd94e4"]}],"mendeley":{"formattedCitation":"(UK ERC, 2006)","plainTextFormattedCitation":"(UK ERC, 2006)","previouslyFormattedCitation":"(UK ERC, 2006)"},"properties":{"noteIndex":0},"schema":"https://github.com/citation-style-language/schema/raw/master/csl-citation.json"}</w:instrText>
      </w:r>
      <w:r>
        <w:fldChar w:fldCharType="separate"/>
      </w:r>
      <w:r w:rsidR="002A6A73" w:rsidRPr="002A6A73">
        <w:rPr>
          <w:noProof/>
        </w:rPr>
        <w:t>(UK ERC, 2006)</w:t>
      </w:r>
      <w:r>
        <w:fldChar w:fldCharType="end"/>
      </w:r>
      <w:r>
        <w:t>.</w:t>
      </w:r>
    </w:p>
    <w:p w14:paraId="4CFCC86E" w14:textId="2BA83DC1" w:rsidR="0024009E" w:rsidRDefault="000F16EB" w:rsidP="000F16EB">
      <w:r>
        <w:t>Both the domestic and the commercial heat mapping methodologies were simple to carry out, allowing them to be completed by a non-technical user. The methodology of the commercial heat mapping only required the location, type and size of each building in the local area, which any user should be capable of finding. The domestic heat mapping only required population density records, which are freely available.</w:t>
      </w:r>
      <w:r w:rsidR="0024009E">
        <w:t xml:space="preserve"> Neither of the domestic or commercial heat mapping calculations include any consideration of the weather across the year of calculation. In both cases the results are calculated for an average year.</w:t>
      </w:r>
    </w:p>
    <w:p w14:paraId="659F44C8" w14:textId="77777777" w:rsidR="000F16EB" w:rsidRDefault="000F16EB" w:rsidP="000F16EB">
      <w:pPr>
        <w:pStyle w:val="Heading2"/>
      </w:pPr>
      <w:bookmarkStart w:id="433" w:name="_Toc525229995"/>
      <w:bookmarkStart w:id="434" w:name="_Toc7187510"/>
      <w:r>
        <w:t>Results</w:t>
      </w:r>
      <w:bookmarkEnd w:id="433"/>
      <w:bookmarkEnd w:id="434"/>
    </w:p>
    <w:p w14:paraId="2A1E9B67" w14:textId="683EAA0C" w:rsidR="000F16EB" w:rsidRDefault="000F16EB" w:rsidP="000F16EB">
      <w:r>
        <w:t xml:space="preserve">The heat mapping process was carried out over the locations that could potentially be connected to a DHN around the case study heat source, the HJE site. After communication with HJE staff, two criteria were identified to determine which potential locations would be included in the heat mapping process. The potential locations had to be within an 8 km radius </w:t>
      </w:r>
      <w:r>
        <w:lastRenderedPageBreak/>
        <w:t xml:space="preserve">of the HJE site and had to have a minimum population of 1,000 people. Seven possible locations were identified: </w:t>
      </w:r>
      <w:r w:rsidRPr="003D7103">
        <w:t xml:space="preserve">Bakewell, </w:t>
      </w:r>
      <w:proofErr w:type="spellStart"/>
      <w:r w:rsidRPr="003D7103">
        <w:t>Rowsley</w:t>
      </w:r>
      <w:proofErr w:type="spellEnd"/>
      <w:r w:rsidRPr="003D7103">
        <w:t xml:space="preserve">, </w:t>
      </w:r>
      <w:proofErr w:type="spellStart"/>
      <w:r w:rsidRPr="003D7103">
        <w:t>Youlgreave</w:t>
      </w:r>
      <w:proofErr w:type="spellEnd"/>
      <w:r w:rsidRPr="003D7103">
        <w:t>, Darley Dale, Matlock, Matlock Bath</w:t>
      </w:r>
      <w:r>
        <w:t>,</w:t>
      </w:r>
      <w:r w:rsidRPr="003D7103">
        <w:t xml:space="preserve"> and Cromford.</w:t>
      </w:r>
      <w:r>
        <w:t xml:space="preserve"> Six of the seven areas and the HJE site were located near to a disused railway line, which would be an ideal route for the DH pipes. In addition to HJE a second possible heat source was identified: Chatsworth House. The heat sources, the potential locations, and the possible network route are shown in </w:t>
      </w:r>
      <w:r>
        <w:fldChar w:fldCharType="begin"/>
      </w:r>
      <w:r>
        <w:instrText xml:space="preserve"> REF _Ref525661718 \h </w:instrText>
      </w:r>
      <w:r>
        <w:fldChar w:fldCharType="separate"/>
      </w:r>
      <w:r w:rsidR="00CB7456">
        <w:t xml:space="preserve">Figure </w:t>
      </w:r>
      <w:r w:rsidR="00CB7456">
        <w:rPr>
          <w:noProof/>
        </w:rPr>
        <w:t>3</w:t>
      </w:r>
      <w:r w:rsidR="00CB7456">
        <w:t>.</w:t>
      </w:r>
      <w:r w:rsidR="00CB7456">
        <w:rPr>
          <w:noProof/>
        </w:rPr>
        <w:t>1</w:t>
      </w:r>
      <w:r>
        <w:fldChar w:fldCharType="end"/>
      </w:r>
      <w:r>
        <w:t>.</w:t>
      </w:r>
    </w:p>
    <w:p w14:paraId="733C83B9" w14:textId="77777777" w:rsidR="000F16EB" w:rsidRPr="003D7103" w:rsidRDefault="000F16EB" w:rsidP="000F16EB">
      <w:pPr>
        <w:keepNext/>
        <w:jc w:val="center"/>
      </w:pPr>
      <w:r>
        <w:rPr>
          <w:noProof/>
          <w:lang w:eastAsia="en-GB"/>
        </w:rPr>
        <w:drawing>
          <wp:inline distT="0" distB="0" distL="0" distR="0" wp14:anchorId="5CCC9457" wp14:editId="23A36CEA">
            <wp:extent cx="3168000" cy="3723790"/>
            <wp:effectExtent l="19050" t="19050" r="13970" b="1016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Map overview.png"/>
                    <pic:cNvPicPr/>
                  </pic:nvPicPr>
                  <pic:blipFill rotWithShape="1">
                    <a:blip r:embed="rId19" cstate="print">
                      <a:extLst>
                        <a:ext uri="{28A0092B-C50C-407E-A947-70E740481C1C}">
                          <a14:useLocalDpi xmlns:a14="http://schemas.microsoft.com/office/drawing/2010/main" val="0"/>
                        </a:ext>
                      </a:extLst>
                    </a:blip>
                    <a:srcRect l="21438" t="13865" r="31199" b="7411"/>
                    <a:stretch/>
                  </pic:blipFill>
                  <pic:spPr bwMode="auto">
                    <a:xfrm>
                      <a:off x="0" y="0"/>
                      <a:ext cx="3168000" cy="372379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3965115" w14:textId="773C31C1" w:rsidR="000F16EB" w:rsidRDefault="000F16EB" w:rsidP="000F16EB">
      <w:pPr>
        <w:pStyle w:val="Caption"/>
      </w:pPr>
      <w:bookmarkStart w:id="435" w:name="_Ref525661718"/>
      <w:bookmarkStart w:id="436" w:name="_Toc468265805"/>
      <w:bookmarkStart w:id="437" w:name="_Toc525230073"/>
      <w:bookmarkStart w:id="438" w:name="_Toc7187621"/>
      <w:r>
        <w:t xml:space="preserve">Figure </w:t>
      </w:r>
      <w:fldSimple w:instr=" STYLEREF 1 \s ">
        <w:r w:rsidR="00CB7456">
          <w:rPr>
            <w:noProof/>
          </w:rPr>
          <w:t>3</w:t>
        </w:r>
      </w:fldSimple>
      <w:r w:rsidR="007B29C3">
        <w:t>.</w:t>
      </w:r>
      <w:fldSimple w:instr=" SEQ Figure \* ARABIC \s 1 ">
        <w:r w:rsidR="00CB7456">
          <w:rPr>
            <w:noProof/>
          </w:rPr>
          <w:t>1</w:t>
        </w:r>
      </w:fldSimple>
      <w:bookmarkEnd w:id="435"/>
      <w:r>
        <w:t>:</w:t>
      </w:r>
      <w:r w:rsidRPr="003D7103">
        <w:t xml:space="preserve"> The loca</w:t>
      </w:r>
      <w:r w:rsidRPr="00147A2B">
        <w:t xml:space="preserve">tions of the two heat sources, seven </w:t>
      </w:r>
      <w:r>
        <w:t>possible locations to be mapped,</w:t>
      </w:r>
      <w:r w:rsidRPr="00147A2B">
        <w:t xml:space="preserve"> and suggested network route in the case study </w:t>
      </w:r>
      <w:r w:rsidRPr="0040484F">
        <w:t xml:space="preserve">area </w:t>
      </w:r>
      <w:r w:rsidRPr="0040484F">
        <w:fldChar w:fldCharType="begin" w:fldLock="1"/>
      </w:r>
      <w:r w:rsidR="002A6A73" w:rsidRPr="0040484F">
        <w:instrText>ADDIN CSL_CITATION {"citationItems":[{"id":"ITEM-1","itemData":{"author":[{"dropping-particle":"","family":"GEOFABRIK","given":"","non-dropping-particle":"","parse-names":false,"suffix":""}],"id":"ITEM-1","issued":{"date-parts":[["2017"]]},"publisher":"GEOFABRIK","publisher-place":"Karlsruhe, Germany","title":"Open Street Map","type":"article"},"uris":["http://www.mendeley.com/documents/?uuid=65f85c94-cbf2-4744-8258-97666b93bc39"]}],"mendeley":{"formattedCitation":"(GEOFABRIK, 2017)","plainTextFormattedCitation":"(GEOFABRIK, 2017)","previouslyFormattedCitation":"(GEOFABRIK, 2017)"},"properties":{"noteIndex":0},"schema":"https://github.com/citation-style-language/schema/raw/master/csl-citation.json"}</w:instrText>
      </w:r>
      <w:r w:rsidRPr="0040484F">
        <w:fldChar w:fldCharType="separate"/>
      </w:r>
      <w:r w:rsidR="002A6A73" w:rsidRPr="0040484F">
        <w:rPr>
          <w:noProof/>
        </w:rPr>
        <w:t>(GEOFABRIK, 2017)</w:t>
      </w:r>
      <w:r w:rsidRPr="0040484F">
        <w:fldChar w:fldCharType="end"/>
      </w:r>
      <w:r w:rsidRPr="0040484F">
        <w:t>.</w:t>
      </w:r>
      <w:bookmarkEnd w:id="436"/>
      <w:bookmarkEnd w:id="437"/>
      <w:bookmarkEnd w:id="438"/>
    </w:p>
    <w:p w14:paraId="68B17CA6" w14:textId="77777777" w:rsidR="000F16EB" w:rsidRDefault="000F16EB" w:rsidP="000F16EB">
      <w:pPr>
        <w:pStyle w:val="Heading3"/>
      </w:pPr>
      <w:bookmarkStart w:id="439" w:name="_Toc525229996"/>
      <w:bookmarkStart w:id="440" w:name="_Toc7187511"/>
      <w:r>
        <w:t>Commercial Heat Mapping</w:t>
      </w:r>
      <w:bookmarkEnd w:id="439"/>
      <w:bookmarkEnd w:id="440"/>
    </w:p>
    <w:p w14:paraId="3739820B" w14:textId="597391B1" w:rsidR="007B29C3" w:rsidRDefault="000F16EB">
      <w:pPr>
        <w:jc w:val="left"/>
      </w:pPr>
      <w:r>
        <w:t xml:space="preserve">The commercial heat mapping identified possible anchor loads in all of the potential locations. The energy and power demands of every building assessed in the heat mapping process is given in Appendix </w:t>
      </w:r>
      <w:r w:rsidR="0040484F">
        <w:fldChar w:fldCharType="begin"/>
      </w:r>
      <w:r w:rsidR="0040484F">
        <w:instrText xml:space="preserve"> REF _Ref531343806 \n \h </w:instrText>
      </w:r>
      <w:r w:rsidR="0040484F">
        <w:fldChar w:fldCharType="separate"/>
      </w:r>
      <w:r w:rsidR="00CB7456">
        <w:t>13.1</w:t>
      </w:r>
      <w:r w:rsidR="0040484F">
        <w:fldChar w:fldCharType="end"/>
      </w:r>
      <w:r>
        <w:t xml:space="preserve">. </w:t>
      </w:r>
      <w:r w:rsidR="007B29C3">
        <w:fldChar w:fldCharType="begin"/>
      </w:r>
      <w:r w:rsidR="007B29C3">
        <w:instrText xml:space="preserve"> REF _Ref5788222 \h </w:instrText>
      </w:r>
      <w:r w:rsidR="007B29C3">
        <w:fldChar w:fldCharType="separate"/>
      </w:r>
      <w:r w:rsidR="00CB7456" w:rsidRPr="003D7103">
        <w:t xml:space="preserve">Table </w:t>
      </w:r>
      <w:r w:rsidR="00CB7456">
        <w:rPr>
          <w:noProof/>
        </w:rPr>
        <w:t>3</w:t>
      </w:r>
      <w:r w:rsidR="00CB7456">
        <w:t>.</w:t>
      </w:r>
      <w:r w:rsidR="00CB7456">
        <w:rPr>
          <w:noProof/>
        </w:rPr>
        <w:t>4</w:t>
      </w:r>
      <w:r w:rsidR="007B29C3">
        <w:fldChar w:fldCharType="end"/>
      </w:r>
      <w:r w:rsidR="007B29C3">
        <w:t xml:space="preserve"> </w:t>
      </w:r>
      <w:r>
        <w:t>shows the total energy and power demands of all of the commercial buildings in each of the potential locations.</w:t>
      </w:r>
      <w:bookmarkStart w:id="441" w:name="_Ref465865705"/>
      <w:bookmarkStart w:id="442" w:name="_Toc468265824"/>
      <w:bookmarkStart w:id="443" w:name="_Toc525230124"/>
    </w:p>
    <w:p w14:paraId="343EC06E" w14:textId="0310E2DD" w:rsidR="007B29C3" w:rsidRDefault="007B29C3" w:rsidP="007B29C3">
      <w:pPr>
        <w:keepNext/>
      </w:pPr>
      <w:r>
        <w:t xml:space="preserve">Heat maps for each of the potential locations were produced, splitting the commercial buildings into eight categories: commercial, council, education, health, hospitality, industrial, leisure, </w:t>
      </w:r>
      <w:r w:rsidRPr="003D7103">
        <w:t xml:space="preserve">and residential. </w:t>
      </w:r>
      <w:r>
        <w:fldChar w:fldCharType="begin"/>
      </w:r>
      <w:r>
        <w:instrText xml:space="preserve"> REF _Ref522716513 \h </w:instrText>
      </w:r>
      <w:r>
        <w:fldChar w:fldCharType="separate"/>
      </w:r>
      <w:r w:rsidR="00CB7456">
        <w:t xml:space="preserve">Figure </w:t>
      </w:r>
      <w:r w:rsidR="00CB7456">
        <w:rPr>
          <w:noProof/>
        </w:rPr>
        <w:t>3</w:t>
      </w:r>
      <w:r w:rsidR="00CB7456">
        <w:t>.</w:t>
      </w:r>
      <w:r w:rsidR="00CB7456">
        <w:rPr>
          <w:noProof/>
        </w:rPr>
        <w:t>2</w:t>
      </w:r>
      <w:r>
        <w:fldChar w:fldCharType="end"/>
      </w:r>
      <w:r>
        <w:t xml:space="preserve"> shows all of the large commercial heat customers, the possible anchor loads, in the case study area.</w:t>
      </w:r>
    </w:p>
    <w:p w14:paraId="4CDED5B4" w14:textId="7E9863CC" w:rsidR="0064433B" w:rsidRDefault="0064433B">
      <w:pPr>
        <w:jc w:val="left"/>
        <w:rPr>
          <w:b/>
          <w:bCs/>
          <w:sz w:val="18"/>
          <w:szCs w:val="18"/>
        </w:rPr>
      </w:pPr>
      <w:r>
        <w:br w:type="page"/>
      </w:r>
    </w:p>
    <w:p w14:paraId="572B8758" w14:textId="29784871" w:rsidR="000F16EB" w:rsidRPr="003D7103" w:rsidRDefault="000F16EB" w:rsidP="000F16EB">
      <w:pPr>
        <w:pStyle w:val="Caption"/>
        <w:keepNext/>
      </w:pPr>
      <w:bookmarkStart w:id="444" w:name="_Ref5788222"/>
      <w:bookmarkStart w:id="445" w:name="_Toc7187677"/>
      <w:r w:rsidRPr="003D7103">
        <w:lastRenderedPageBreak/>
        <w:t xml:space="preserve">Table </w:t>
      </w:r>
      <w:fldSimple w:instr=" STYLEREF 1 \s ">
        <w:r w:rsidR="00CB7456">
          <w:rPr>
            <w:noProof/>
          </w:rPr>
          <w:t>3</w:t>
        </w:r>
      </w:fldSimple>
      <w:r w:rsidR="009E1A67">
        <w:t>.</w:t>
      </w:r>
      <w:fldSimple w:instr=" SEQ Table \* ARABIC \s 1 ">
        <w:r w:rsidR="00CB7456">
          <w:rPr>
            <w:noProof/>
          </w:rPr>
          <w:t>4</w:t>
        </w:r>
      </w:fldSimple>
      <w:bookmarkEnd w:id="441"/>
      <w:bookmarkEnd w:id="444"/>
      <w:r>
        <w:t>:</w:t>
      </w:r>
      <w:r w:rsidRPr="003D7103">
        <w:t xml:space="preserve"> Energy and power demands of the large heat users in the </w:t>
      </w:r>
      <w:r>
        <w:t>case study area</w:t>
      </w:r>
      <w:r w:rsidRPr="003D7103">
        <w:t>.</w:t>
      </w:r>
      <w:bookmarkEnd w:id="442"/>
      <w:bookmarkEnd w:id="443"/>
      <w:bookmarkEnd w:id="445"/>
    </w:p>
    <w:tbl>
      <w:tblPr>
        <w:tblW w:w="8333" w:type="dxa"/>
        <w:jc w:val="center"/>
        <w:tblBorders>
          <w:top w:val="single" w:sz="4" w:space="0" w:color="auto"/>
          <w:bottom w:val="single" w:sz="4" w:space="0" w:color="auto"/>
        </w:tblBorders>
        <w:tblLook w:val="00A0" w:firstRow="1" w:lastRow="0" w:firstColumn="1" w:lastColumn="0" w:noHBand="0" w:noVBand="0"/>
      </w:tblPr>
      <w:tblGrid>
        <w:gridCol w:w="2694"/>
        <w:gridCol w:w="1984"/>
        <w:gridCol w:w="1843"/>
        <w:gridCol w:w="1812"/>
      </w:tblGrid>
      <w:tr w:rsidR="000F16EB" w:rsidRPr="003D7103" w14:paraId="02877189" w14:textId="77777777" w:rsidTr="00A7521D">
        <w:trPr>
          <w:jc w:val="center"/>
        </w:trPr>
        <w:tc>
          <w:tcPr>
            <w:tcW w:w="2694" w:type="dxa"/>
            <w:tcBorders>
              <w:top w:val="single" w:sz="4" w:space="0" w:color="auto"/>
              <w:bottom w:val="single" w:sz="4" w:space="0" w:color="auto"/>
            </w:tcBorders>
          </w:tcPr>
          <w:p w14:paraId="3BF42FC8" w14:textId="77777777" w:rsidR="000F16EB" w:rsidRPr="003D7103" w:rsidRDefault="000F16EB" w:rsidP="00A7521D">
            <w:pPr>
              <w:spacing w:after="0" w:line="240" w:lineRule="auto"/>
              <w:jc w:val="center"/>
            </w:pPr>
            <w:r>
              <w:t>Potential l</w:t>
            </w:r>
            <w:r w:rsidRPr="003D7103">
              <w:t>ocation</w:t>
            </w:r>
          </w:p>
        </w:tc>
        <w:tc>
          <w:tcPr>
            <w:tcW w:w="1984" w:type="dxa"/>
            <w:tcBorders>
              <w:top w:val="single" w:sz="4" w:space="0" w:color="auto"/>
              <w:bottom w:val="single" w:sz="4" w:space="0" w:color="auto"/>
            </w:tcBorders>
          </w:tcPr>
          <w:p w14:paraId="21D9EC51" w14:textId="77777777" w:rsidR="000F16EB" w:rsidRPr="003D7103" w:rsidRDefault="000F16EB" w:rsidP="00A7521D">
            <w:pPr>
              <w:spacing w:after="0" w:line="240" w:lineRule="auto"/>
              <w:jc w:val="center"/>
            </w:pPr>
            <w:r w:rsidRPr="003D7103">
              <w:t>Total yearly energy use for heating</w:t>
            </w:r>
            <w:r>
              <w:t xml:space="preserve"> in the area</w:t>
            </w:r>
            <w:r w:rsidRPr="003D7103">
              <w:t xml:space="preserve"> (MWh)</w:t>
            </w:r>
          </w:p>
        </w:tc>
        <w:tc>
          <w:tcPr>
            <w:tcW w:w="1843" w:type="dxa"/>
            <w:tcBorders>
              <w:top w:val="single" w:sz="4" w:space="0" w:color="auto"/>
              <w:bottom w:val="single" w:sz="4" w:space="0" w:color="auto"/>
            </w:tcBorders>
          </w:tcPr>
          <w:p w14:paraId="404B9F0A" w14:textId="77777777" w:rsidR="000F16EB" w:rsidRPr="003D7103" w:rsidRDefault="000F16EB" w:rsidP="00A7521D">
            <w:pPr>
              <w:spacing w:after="0" w:line="240" w:lineRule="auto"/>
              <w:jc w:val="center"/>
            </w:pPr>
            <w:r w:rsidRPr="003D7103">
              <w:t>Total average power</w:t>
            </w:r>
            <w:r>
              <w:t xml:space="preserve"> for heating in the area</w:t>
            </w:r>
            <w:r w:rsidRPr="003D7103">
              <w:t xml:space="preserve"> (MW)</w:t>
            </w:r>
          </w:p>
        </w:tc>
        <w:tc>
          <w:tcPr>
            <w:tcW w:w="1812" w:type="dxa"/>
            <w:tcBorders>
              <w:top w:val="single" w:sz="4" w:space="0" w:color="auto"/>
              <w:bottom w:val="single" w:sz="4" w:space="0" w:color="auto"/>
            </w:tcBorders>
          </w:tcPr>
          <w:p w14:paraId="302124A4" w14:textId="77777777" w:rsidR="000F16EB" w:rsidRPr="003D7103" w:rsidRDefault="000F16EB" w:rsidP="00A7521D">
            <w:pPr>
              <w:spacing w:after="0" w:line="240" w:lineRule="auto"/>
              <w:jc w:val="center"/>
            </w:pPr>
            <w:r w:rsidRPr="003D7103">
              <w:t xml:space="preserve">Total peak power </w:t>
            </w:r>
            <w:r>
              <w:t>for heating in the area</w:t>
            </w:r>
            <w:r w:rsidRPr="003D7103">
              <w:t xml:space="preserve"> (MW)</w:t>
            </w:r>
          </w:p>
        </w:tc>
      </w:tr>
      <w:tr w:rsidR="000F16EB" w:rsidRPr="003D7103" w14:paraId="2354ED55" w14:textId="77777777" w:rsidTr="00A7521D">
        <w:trPr>
          <w:jc w:val="center"/>
        </w:trPr>
        <w:tc>
          <w:tcPr>
            <w:tcW w:w="2694" w:type="dxa"/>
            <w:tcBorders>
              <w:top w:val="single" w:sz="4" w:space="0" w:color="auto"/>
            </w:tcBorders>
          </w:tcPr>
          <w:p w14:paraId="211B52F6" w14:textId="77777777" w:rsidR="000F16EB" w:rsidRPr="003D7103" w:rsidRDefault="000F16EB" w:rsidP="00A7521D">
            <w:pPr>
              <w:spacing w:after="0" w:line="240" w:lineRule="auto"/>
              <w:jc w:val="center"/>
            </w:pPr>
            <w:r w:rsidRPr="003D7103">
              <w:t>Matlock</w:t>
            </w:r>
          </w:p>
        </w:tc>
        <w:tc>
          <w:tcPr>
            <w:tcW w:w="1984" w:type="dxa"/>
            <w:tcBorders>
              <w:top w:val="single" w:sz="4" w:space="0" w:color="auto"/>
            </w:tcBorders>
          </w:tcPr>
          <w:p w14:paraId="304A7812" w14:textId="77777777" w:rsidR="000F16EB" w:rsidRPr="003D7103" w:rsidRDefault="000F16EB" w:rsidP="00A7521D">
            <w:pPr>
              <w:spacing w:after="0" w:line="240" w:lineRule="auto"/>
              <w:jc w:val="center"/>
            </w:pPr>
            <w:r w:rsidRPr="003D7103">
              <w:t>24,000</w:t>
            </w:r>
          </w:p>
        </w:tc>
        <w:tc>
          <w:tcPr>
            <w:tcW w:w="1843" w:type="dxa"/>
            <w:tcBorders>
              <w:top w:val="single" w:sz="4" w:space="0" w:color="auto"/>
            </w:tcBorders>
          </w:tcPr>
          <w:p w14:paraId="33ED06B5" w14:textId="77777777" w:rsidR="000F16EB" w:rsidRPr="003D7103" w:rsidRDefault="000F16EB" w:rsidP="00A7521D">
            <w:pPr>
              <w:spacing w:after="0" w:line="240" w:lineRule="auto"/>
              <w:jc w:val="center"/>
            </w:pPr>
            <w:r w:rsidRPr="003D7103">
              <w:t>7.4</w:t>
            </w:r>
          </w:p>
        </w:tc>
        <w:tc>
          <w:tcPr>
            <w:tcW w:w="1812" w:type="dxa"/>
            <w:tcBorders>
              <w:top w:val="single" w:sz="4" w:space="0" w:color="auto"/>
            </w:tcBorders>
          </w:tcPr>
          <w:p w14:paraId="27272220" w14:textId="77777777" w:rsidR="000F16EB" w:rsidRPr="003D7103" w:rsidRDefault="000F16EB" w:rsidP="00A7521D">
            <w:pPr>
              <w:spacing w:after="0" w:line="240" w:lineRule="auto"/>
              <w:jc w:val="center"/>
            </w:pPr>
            <w:r w:rsidRPr="003D7103">
              <w:t>25</w:t>
            </w:r>
          </w:p>
        </w:tc>
      </w:tr>
      <w:tr w:rsidR="000F16EB" w:rsidRPr="003D7103" w14:paraId="67DEB1D1" w14:textId="77777777" w:rsidTr="00A7521D">
        <w:trPr>
          <w:jc w:val="center"/>
        </w:trPr>
        <w:tc>
          <w:tcPr>
            <w:tcW w:w="2694" w:type="dxa"/>
          </w:tcPr>
          <w:p w14:paraId="0C21A934" w14:textId="77777777" w:rsidR="000F16EB" w:rsidRPr="003D7103" w:rsidRDefault="000F16EB" w:rsidP="00A7521D">
            <w:pPr>
              <w:spacing w:after="0" w:line="240" w:lineRule="auto"/>
              <w:jc w:val="center"/>
            </w:pPr>
            <w:r w:rsidRPr="003D7103">
              <w:t>Darley Dale</w:t>
            </w:r>
          </w:p>
        </w:tc>
        <w:tc>
          <w:tcPr>
            <w:tcW w:w="1984" w:type="dxa"/>
          </w:tcPr>
          <w:p w14:paraId="0264E2C5" w14:textId="77777777" w:rsidR="000F16EB" w:rsidRPr="003D7103" w:rsidRDefault="000F16EB" w:rsidP="00A7521D">
            <w:pPr>
              <w:spacing w:after="0" w:line="240" w:lineRule="auto"/>
              <w:jc w:val="center"/>
            </w:pPr>
            <w:r w:rsidRPr="003D7103">
              <w:t>4,100</w:t>
            </w:r>
          </w:p>
        </w:tc>
        <w:tc>
          <w:tcPr>
            <w:tcW w:w="1843" w:type="dxa"/>
          </w:tcPr>
          <w:p w14:paraId="735C5FDA" w14:textId="77777777" w:rsidR="000F16EB" w:rsidRPr="003D7103" w:rsidRDefault="000F16EB" w:rsidP="00A7521D">
            <w:pPr>
              <w:spacing w:after="0" w:line="240" w:lineRule="auto"/>
              <w:jc w:val="center"/>
            </w:pPr>
            <w:r w:rsidRPr="003D7103">
              <w:t>1.6</w:t>
            </w:r>
          </w:p>
        </w:tc>
        <w:tc>
          <w:tcPr>
            <w:tcW w:w="1812" w:type="dxa"/>
          </w:tcPr>
          <w:p w14:paraId="39D6288E" w14:textId="77777777" w:rsidR="000F16EB" w:rsidRPr="003D7103" w:rsidRDefault="000F16EB" w:rsidP="00A7521D">
            <w:pPr>
              <w:spacing w:after="0" w:line="240" w:lineRule="auto"/>
              <w:jc w:val="center"/>
            </w:pPr>
            <w:r w:rsidRPr="003D7103">
              <w:t>4.8</w:t>
            </w:r>
          </w:p>
        </w:tc>
      </w:tr>
      <w:tr w:rsidR="000F16EB" w:rsidRPr="003D7103" w14:paraId="0CBE2071" w14:textId="77777777" w:rsidTr="00A7521D">
        <w:trPr>
          <w:jc w:val="center"/>
        </w:trPr>
        <w:tc>
          <w:tcPr>
            <w:tcW w:w="2694" w:type="dxa"/>
          </w:tcPr>
          <w:p w14:paraId="65587DC8" w14:textId="77777777" w:rsidR="000F16EB" w:rsidRPr="003D7103" w:rsidRDefault="000F16EB" w:rsidP="00A7521D">
            <w:pPr>
              <w:spacing w:after="0" w:line="240" w:lineRule="auto"/>
              <w:jc w:val="center"/>
            </w:pPr>
            <w:proofErr w:type="spellStart"/>
            <w:r w:rsidRPr="003D7103">
              <w:t>Rowsley</w:t>
            </w:r>
            <w:proofErr w:type="spellEnd"/>
          </w:p>
        </w:tc>
        <w:tc>
          <w:tcPr>
            <w:tcW w:w="1984" w:type="dxa"/>
          </w:tcPr>
          <w:p w14:paraId="0EDE6037" w14:textId="77777777" w:rsidR="000F16EB" w:rsidRPr="003D7103" w:rsidRDefault="000F16EB" w:rsidP="00A7521D">
            <w:pPr>
              <w:spacing w:after="0" w:line="240" w:lineRule="auto"/>
              <w:jc w:val="center"/>
            </w:pPr>
            <w:r w:rsidRPr="003D7103">
              <w:t>4,600</w:t>
            </w:r>
          </w:p>
        </w:tc>
        <w:tc>
          <w:tcPr>
            <w:tcW w:w="1843" w:type="dxa"/>
          </w:tcPr>
          <w:p w14:paraId="041DC971" w14:textId="77777777" w:rsidR="000F16EB" w:rsidRPr="003D7103" w:rsidRDefault="000F16EB" w:rsidP="00A7521D">
            <w:pPr>
              <w:spacing w:after="0" w:line="240" w:lineRule="auto"/>
              <w:jc w:val="center"/>
            </w:pPr>
            <w:r w:rsidRPr="003D7103">
              <w:t>1.8</w:t>
            </w:r>
          </w:p>
        </w:tc>
        <w:tc>
          <w:tcPr>
            <w:tcW w:w="1812" w:type="dxa"/>
          </w:tcPr>
          <w:p w14:paraId="05C5B504" w14:textId="77777777" w:rsidR="000F16EB" w:rsidRPr="003D7103" w:rsidRDefault="000F16EB" w:rsidP="00A7521D">
            <w:pPr>
              <w:spacing w:after="0" w:line="240" w:lineRule="auto"/>
              <w:jc w:val="center"/>
            </w:pPr>
            <w:r w:rsidRPr="003D7103">
              <w:t>4.6</w:t>
            </w:r>
          </w:p>
        </w:tc>
      </w:tr>
      <w:tr w:rsidR="000F16EB" w:rsidRPr="003D7103" w14:paraId="7BF8303A" w14:textId="77777777" w:rsidTr="00A7521D">
        <w:trPr>
          <w:jc w:val="center"/>
        </w:trPr>
        <w:tc>
          <w:tcPr>
            <w:tcW w:w="2694" w:type="dxa"/>
          </w:tcPr>
          <w:p w14:paraId="74EF3530" w14:textId="77777777" w:rsidR="000F16EB" w:rsidRPr="003D7103" w:rsidRDefault="000F16EB" w:rsidP="00A7521D">
            <w:pPr>
              <w:spacing w:after="0" w:line="240" w:lineRule="auto"/>
              <w:jc w:val="center"/>
            </w:pPr>
            <w:r w:rsidRPr="003D7103">
              <w:t>Bakewell</w:t>
            </w:r>
          </w:p>
        </w:tc>
        <w:tc>
          <w:tcPr>
            <w:tcW w:w="1984" w:type="dxa"/>
          </w:tcPr>
          <w:p w14:paraId="17D85DBD" w14:textId="77777777" w:rsidR="000F16EB" w:rsidRPr="003D7103" w:rsidRDefault="000F16EB" w:rsidP="00A7521D">
            <w:pPr>
              <w:spacing w:after="0" w:line="240" w:lineRule="auto"/>
              <w:jc w:val="center"/>
            </w:pPr>
            <w:r w:rsidRPr="003D7103">
              <w:t>9,000</w:t>
            </w:r>
          </w:p>
        </w:tc>
        <w:tc>
          <w:tcPr>
            <w:tcW w:w="1843" w:type="dxa"/>
          </w:tcPr>
          <w:p w14:paraId="6290D355" w14:textId="77777777" w:rsidR="000F16EB" w:rsidRPr="003D7103" w:rsidRDefault="000F16EB" w:rsidP="00A7521D">
            <w:pPr>
              <w:spacing w:after="0" w:line="240" w:lineRule="auto"/>
              <w:jc w:val="center"/>
            </w:pPr>
            <w:r w:rsidRPr="003D7103">
              <w:t>2.8</w:t>
            </w:r>
          </w:p>
        </w:tc>
        <w:tc>
          <w:tcPr>
            <w:tcW w:w="1812" w:type="dxa"/>
          </w:tcPr>
          <w:p w14:paraId="69083C24" w14:textId="77777777" w:rsidR="000F16EB" w:rsidRPr="003D7103" w:rsidRDefault="000F16EB" w:rsidP="00A7521D">
            <w:pPr>
              <w:spacing w:after="0" w:line="240" w:lineRule="auto"/>
              <w:jc w:val="center"/>
            </w:pPr>
            <w:r w:rsidRPr="003D7103">
              <w:t>7.4</w:t>
            </w:r>
          </w:p>
        </w:tc>
      </w:tr>
      <w:tr w:rsidR="000F16EB" w:rsidRPr="003D7103" w14:paraId="25F13603" w14:textId="77777777" w:rsidTr="00A7521D">
        <w:trPr>
          <w:jc w:val="center"/>
        </w:trPr>
        <w:tc>
          <w:tcPr>
            <w:tcW w:w="2694" w:type="dxa"/>
          </w:tcPr>
          <w:p w14:paraId="7B5F2AA3" w14:textId="77777777" w:rsidR="000F16EB" w:rsidRPr="003D7103" w:rsidRDefault="000F16EB" w:rsidP="00A7521D">
            <w:pPr>
              <w:spacing w:after="0" w:line="240" w:lineRule="auto"/>
              <w:jc w:val="center"/>
            </w:pPr>
            <w:proofErr w:type="spellStart"/>
            <w:r w:rsidRPr="003D7103">
              <w:t>Youlgreave</w:t>
            </w:r>
            <w:proofErr w:type="spellEnd"/>
          </w:p>
        </w:tc>
        <w:tc>
          <w:tcPr>
            <w:tcW w:w="1984" w:type="dxa"/>
          </w:tcPr>
          <w:p w14:paraId="0CF39BF0" w14:textId="77777777" w:rsidR="000F16EB" w:rsidRPr="003D7103" w:rsidRDefault="000F16EB" w:rsidP="00A7521D">
            <w:pPr>
              <w:spacing w:after="0" w:line="240" w:lineRule="auto"/>
              <w:jc w:val="center"/>
            </w:pPr>
            <w:r w:rsidRPr="003D7103">
              <w:t>350</w:t>
            </w:r>
          </w:p>
        </w:tc>
        <w:tc>
          <w:tcPr>
            <w:tcW w:w="1843" w:type="dxa"/>
          </w:tcPr>
          <w:p w14:paraId="78B20F3D" w14:textId="77777777" w:rsidR="000F16EB" w:rsidRPr="003D7103" w:rsidRDefault="000F16EB" w:rsidP="00A7521D">
            <w:pPr>
              <w:spacing w:after="0" w:line="240" w:lineRule="auto"/>
              <w:jc w:val="center"/>
            </w:pPr>
            <w:r w:rsidRPr="003D7103">
              <w:t>0.14</w:t>
            </w:r>
          </w:p>
        </w:tc>
        <w:tc>
          <w:tcPr>
            <w:tcW w:w="1812" w:type="dxa"/>
          </w:tcPr>
          <w:p w14:paraId="61FF9B2F" w14:textId="77777777" w:rsidR="000F16EB" w:rsidRPr="003D7103" w:rsidRDefault="000F16EB" w:rsidP="00A7521D">
            <w:pPr>
              <w:spacing w:after="0" w:line="240" w:lineRule="auto"/>
              <w:jc w:val="center"/>
            </w:pPr>
            <w:r w:rsidRPr="003D7103">
              <w:t>0.43</w:t>
            </w:r>
          </w:p>
        </w:tc>
      </w:tr>
      <w:tr w:rsidR="000F16EB" w:rsidRPr="003D7103" w14:paraId="3E042E05" w14:textId="77777777" w:rsidTr="00A7521D">
        <w:trPr>
          <w:jc w:val="center"/>
        </w:trPr>
        <w:tc>
          <w:tcPr>
            <w:tcW w:w="2694" w:type="dxa"/>
            <w:tcBorders>
              <w:bottom w:val="nil"/>
            </w:tcBorders>
          </w:tcPr>
          <w:p w14:paraId="31B1E60F" w14:textId="77777777" w:rsidR="000F16EB" w:rsidRPr="003D7103" w:rsidRDefault="000F16EB" w:rsidP="00A7521D">
            <w:pPr>
              <w:spacing w:after="0" w:line="240" w:lineRule="auto"/>
              <w:jc w:val="center"/>
            </w:pPr>
            <w:r w:rsidRPr="003D7103">
              <w:t>Matlock Bath and Cromford</w:t>
            </w:r>
          </w:p>
        </w:tc>
        <w:tc>
          <w:tcPr>
            <w:tcW w:w="1984" w:type="dxa"/>
            <w:tcBorders>
              <w:bottom w:val="nil"/>
            </w:tcBorders>
          </w:tcPr>
          <w:p w14:paraId="10D3A68B" w14:textId="77777777" w:rsidR="000F16EB" w:rsidRPr="003D7103" w:rsidRDefault="000F16EB" w:rsidP="00A7521D">
            <w:pPr>
              <w:spacing w:after="0" w:line="240" w:lineRule="auto"/>
              <w:jc w:val="center"/>
            </w:pPr>
            <w:r w:rsidRPr="003D7103">
              <w:t>3,200</w:t>
            </w:r>
          </w:p>
        </w:tc>
        <w:tc>
          <w:tcPr>
            <w:tcW w:w="1843" w:type="dxa"/>
            <w:tcBorders>
              <w:bottom w:val="nil"/>
            </w:tcBorders>
          </w:tcPr>
          <w:p w14:paraId="22A8D4DA" w14:textId="77777777" w:rsidR="000F16EB" w:rsidRPr="003D7103" w:rsidRDefault="000F16EB" w:rsidP="00A7521D">
            <w:pPr>
              <w:spacing w:after="0" w:line="240" w:lineRule="auto"/>
              <w:jc w:val="center"/>
            </w:pPr>
            <w:r w:rsidRPr="003D7103">
              <w:t>1.1</w:t>
            </w:r>
          </w:p>
        </w:tc>
        <w:tc>
          <w:tcPr>
            <w:tcW w:w="1812" w:type="dxa"/>
            <w:tcBorders>
              <w:bottom w:val="nil"/>
            </w:tcBorders>
          </w:tcPr>
          <w:p w14:paraId="41FA6512" w14:textId="77777777" w:rsidR="000F16EB" w:rsidRPr="003D7103" w:rsidRDefault="000F16EB" w:rsidP="00A7521D">
            <w:pPr>
              <w:spacing w:after="0" w:line="240" w:lineRule="auto"/>
              <w:jc w:val="center"/>
            </w:pPr>
            <w:r w:rsidRPr="003D7103">
              <w:t>3.5</w:t>
            </w:r>
          </w:p>
        </w:tc>
      </w:tr>
      <w:tr w:rsidR="000F16EB" w:rsidRPr="003D7103" w14:paraId="43666FFC" w14:textId="77777777" w:rsidTr="00A7521D">
        <w:trPr>
          <w:jc w:val="center"/>
        </w:trPr>
        <w:tc>
          <w:tcPr>
            <w:tcW w:w="2694" w:type="dxa"/>
            <w:tcBorders>
              <w:top w:val="nil"/>
              <w:bottom w:val="single" w:sz="4" w:space="0" w:color="auto"/>
            </w:tcBorders>
          </w:tcPr>
          <w:p w14:paraId="41663E6C" w14:textId="77777777" w:rsidR="000F16EB" w:rsidRPr="003D7103" w:rsidRDefault="000F16EB" w:rsidP="00A7521D">
            <w:pPr>
              <w:tabs>
                <w:tab w:val="right" w:pos="2274"/>
              </w:tabs>
              <w:spacing w:after="0" w:line="240" w:lineRule="auto"/>
              <w:jc w:val="center"/>
            </w:pPr>
            <w:r>
              <w:t>HJE</w:t>
            </w:r>
            <w:r w:rsidRPr="003D7103">
              <w:t xml:space="preserve"> site</w:t>
            </w:r>
          </w:p>
        </w:tc>
        <w:tc>
          <w:tcPr>
            <w:tcW w:w="1984" w:type="dxa"/>
            <w:tcBorders>
              <w:top w:val="nil"/>
              <w:bottom w:val="single" w:sz="4" w:space="0" w:color="auto"/>
            </w:tcBorders>
          </w:tcPr>
          <w:p w14:paraId="0A758F74" w14:textId="77777777" w:rsidR="000F16EB" w:rsidRPr="003D7103" w:rsidRDefault="000F16EB" w:rsidP="00A7521D">
            <w:pPr>
              <w:spacing w:after="0" w:line="240" w:lineRule="auto"/>
              <w:jc w:val="center"/>
            </w:pPr>
            <w:r w:rsidRPr="003D7103">
              <w:t>3,800</w:t>
            </w:r>
          </w:p>
        </w:tc>
        <w:tc>
          <w:tcPr>
            <w:tcW w:w="1843" w:type="dxa"/>
            <w:tcBorders>
              <w:top w:val="nil"/>
              <w:bottom w:val="single" w:sz="4" w:space="0" w:color="auto"/>
            </w:tcBorders>
          </w:tcPr>
          <w:p w14:paraId="5B0CFCED" w14:textId="77777777" w:rsidR="000F16EB" w:rsidRPr="003D7103" w:rsidRDefault="000F16EB" w:rsidP="00A7521D">
            <w:pPr>
              <w:spacing w:after="0" w:line="240" w:lineRule="auto"/>
              <w:jc w:val="center"/>
            </w:pPr>
            <w:r w:rsidRPr="003D7103">
              <w:t>0.53</w:t>
            </w:r>
          </w:p>
        </w:tc>
        <w:tc>
          <w:tcPr>
            <w:tcW w:w="1812" w:type="dxa"/>
            <w:tcBorders>
              <w:top w:val="nil"/>
              <w:bottom w:val="single" w:sz="4" w:space="0" w:color="auto"/>
            </w:tcBorders>
          </w:tcPr>
          <w:p w14:paraId="1C4FFB3F" w14:textId="77777777" w:rsidR="000F16EB" w:rsidRPr="003D7103" w:rsidRDefault="000F16EB" w:rsidP="00A7521D">
            <w:pPr>
              <w:spacing w:after="0" w:line="240" w:lineRule="auto"/>
              <w:jc w:val="center"/>
            </w:pPr>
            <w:r w:rsidRPr="003D7103">
              <w:t>1.6</w:t>
            </w:r>
          </w:p>
        </w:tc>
      </w:tr>
      <w:tr w:rsidR="000F16EB" w:rsidRPr="003D7103" w14:paraId="371D445D" w14:textId="77777777" w:rsidTr="00A7521D">
        <w:trPr>
          <w:jc w:val="center"/>
        </w:trPr>
        <w:tc>
          <w:tcPr>
            <w:tcW w:w="2694" w:type="dxa"/>
            <w:tcBorders>
              <w:top w:val="single" w:sz="4" w:space="0" w:color="auto"/>
              <w:bottom w:val="single" w:sz="4" w:space="0" w:color="auto"/>
            </w:tcBorders>
          </w:tcPr>
          <w:p w14:paraId="4BE2F70E" w14:textId="77777777" w:rsidR="000F16EB" w:rsidRPr="003D7103" w:rsidRDefault="000F16EB" w:rsidP="00A7521D">
            <w:pPr>
              <w:spacing w:after="0" w:line="240" w:lineRule="auto"/>
              <w:jc w:val="center"/>
            </w:pPr>
            <w:r w:rsidRPr="003D7103">
              <w:t>Total</w:t>
            </w:r>
          </w:p>
        </w:tc>
        <w:tc>
          <w:tcPr>
            <w:tcW w:w="1984" w:type="dxa"/>
            <w:tcBorders>
              <w:top w:val="single" w:sz="4" w:space="0" w:color="auto"/>
              <w:bottom w:val="single" w:sz="4" w:space="0" w:color="auto"/>
            </w:tcBorders>
          </w:tcPr>
          <w:p w14:paraId="5D2CAC20" w14:textId="77777777" w:rsidR="000F16EB" w:rsidRPr="003D7103" w:rsidRDefault="000F16EB" w:rsidP="00A7521D">
            <w:pPr>
              <w:spacing w:after="0" w:line="240" w:lineRule="auto"/>
              <w:jc w:val="center"/>
            </w:pPr>
            <w:r w:rsidRPr="003D7103">
              <w:t>49,000</w:t>
            </w:r>
          </w:p>
        </w:tc>
        <w:tc>
          <w:tcPr>
            <w:tcW w:w="1843" w:type="dxa"/>
            <w:tcBorders>
              <w:top w:val="single" w:sz="4" w:space="0" w:color="auto"/>
              <w:bottom w:val="single" w:sz="4" w:space="0" w:color="auto"/>
            </w:tcBorders>
          </w:tcPr>
          <w:p w14:paraId="15D431E0" w14:textId="77777777" w:rsidR="000F16EB" w:rsidRPr="003D7103" w:rsidRDefault="000F16EB" w:rsidP="00A7521D">
            <w:pPr>
              <w:spacing w:after="0" w:line="240" w:lineRule="auto"/>
              <w:jc w:val="center"/>
            </w:pPr>
            <w:r w:rsidRPr="003D7103">
              <w:t>15</w:t>
            </w:r>
          </w:p>
        </w:tc>
        <w:tc>
          <w:tcPr>
            <w:tcW w:w="1812" w:type="dxa"/>
            <w:tcBorders>
              <w:top w:val="single" w:sz="4" w:space="0" w:color="auto"/>
              <w:bottom w:val="single" w:sz="4" w:space="0" w:color="auto"/>
            </w:tcBorders>
          </w:tcPr>
          <w:p w14:paraId="088A2795" w14:textId="77777777" w:rsidR="000F16EB" w:rsidRPr="003D7103" w:rsidRDefault="000F16EB" w:rsidP="00A7521D">
            <w:pPr>
              <w:spacing w:after="0" w:line="240" w:lineRule="auto"/>
              <w:jc w:val="center"/>
            </w:pPr>
            <w:r w:rsidRPr="003D7103">
              <w:t>47</w:t>
            </w:r>
          </w:p>
        </w:tc>
      </w:tr>
    </w:tbl>
    <w:p w14:paraId="0326AA7A" w14:textId="77777777" w:rsidR="007B29C3" w:rsidRDefault="007B29C3" w:rsidP="000F16EB">
      <w:pPr>
        <w:keepNext/>
        <w:jc w:val="center"/>
      </w:pPr>
    </w:p>
    <w:p w14:paraId="09F2BFAA" w14:textId="52CD369F" w:rsidR="000F16EB" w:rsidRDefault="000F16EB" w:rsidP="000F16EB">
      <w:pPr>
        <w:keepNext/>
        <w:jc w:val="center"/>
      </w:pPr>
      <w:r w:rsidRPr="003D7103">
        <w:rPr>
          <w:noProof/>
          <w:lang w:eastAsia="en-GB"/>
        </w:rPr>
        <w:drawing>
          <wp:inline distT="0" distB="0" distL="0" distR="0" wp14:anchorId="20BC0851" wp14:editId="6897CA10">
            <wp:extent cx="5040000" cy="4934240"/>
            <wp:effectExtent l="19050" t="19050" r="27305" b="19050"/>
            <wp:docPr id="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20774" t="17392" r="19565"/>
                    <a:stretch/>
                  </pic:blipFill>
                  <pic:spPr bwMode="auto">
                    <a:xfrm>
                      <a:off x="0" y="0"/>
                      <a:ext cx="5040000" cy="493424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0AF90D5" w14:textId="1408E8CB" w:rsidR="000F16EB" w:rsidRPr="003A609A" w:rsidRDefault="000F16EB" w:rsidP="000F16EB">
      <w:pPr>
        <w:pStyle w:val="Caption"/>
      </w:pPr>
      <w:bookmarkStart w:id="446" w:name="_Ref522716513"/>
      <w:bookmarkStart w:id="447" w:name="_Toc525230074"/>
      <w:bookmarkStart w:id="448" w:name="_Toc7187622"/>
      <w:r>
        <w:t xml:space="preserve">Figure </w:t>
      </w:r>
      <w:fldSimple w:instr=" STYLEREF 1 \s ">
        <w:r w:rsidR="00CB7456">
          <w:rPr>
            <w:noProof/>
          </w:rPr>
          <w:t>3</w:t>
        </w:r>
      </w:fldSimple>
      <w:r w:rsidR="007B29C3">
        <w:t>.</w:t>
      </w:r>
      <w:fldSimple w:instr=" SEQ Figure \* ARABIC \s 1 ">
        <w:r w:rsidR="00CB7456">
          <w:rPr>
            <w:noProof/>
          </w:rPr>
          <w:t>2</w:t>
        </w:r>
      </w:fldSimple>
      <w:bookmarkEnd w:id="446"/>
      <w:r>
        <w:rPr>
          <w:noProof/>
        </w:rPr>
        <w:t>:</w:t>
      </w:r>
      <w:r>
        <w:t xml:space="preserve"> The large comme</w:t>
      </w:r>
      <w:r w:rsidRPr="0040484F">
        <w:t>rcial heat customers</w:t>
      </w:r>
      <w:r w:rsidR="002132B0">
        <w:t xml:space="preserve"> and their average power demand</w:t>
      </w:r>
      <w:r w:rsidRPr="0040484F">
        <w:t xml:space="preserve">, which can act as the possible anchor loads, in the case study area </w:t>
      </w:r>
      <w:r w:rsidRPr="0040484F">
        <w:fldChar w:fldCharType="begin" w:fldLock="1"/>
      </w:r>
      <w:r w:rsidR="002A6A73" w:rsidRPr="0040484F">
        <w:instrText>ADDIN CSL_CITATION {"citationItems":[{"id":"ITEM-1","itemData":{"author":[{"dropping-particle":"","family":"GEOFABRIK","given":"","non-dropping-particle":"","parse-names":false,"suffix":""}],"id":"ITEM-1","issued":{"date-parts":[["2017"]]},"publisher":"GEOFABRIK","publisher-place":"Karlsruhe, Germany","title":"Open Street Map","type":"article"},"uris":["http://www.mendeley.com/documents/?uuid=65f85c94-cbf2-4744-8258-97666b93bc39"]}],"mendeley":{"formattedCitation":"(GEOFABRIK, 2017)","plainTextFormattedCitation":"(GEOFABRIK, 2017)","previouslyFormattedCitation":"(GEOFABRIK, 2017)"},"properties":{"noteIndex":0},"schema":"https://github.com/citation-style-language/schema/raw/master/csl-citation.json"}</w:instrText>
      </w:r>
      <w:r w:rsidRPr="0040484F">
        <w:fldChar w:fldCharType="separate"/>
      </w:r>
      <w:r w:rsidR="002A6A73" w:rsidRPr="0040484F">
        <w:rPr>
          <w:noProof/>
        </w:rPr>
        <w:t>(GEOFABRIK, 2017)</w:t>
      </w:r>
      <w:r w:rsidRPr="0040484F">
        <w:fldChar w:fldCharType="end"/>
      </w:r>
      <w:r w:rsidRPr="0040484F">
        <w:t>.</w:t>
      </w:r>
      <w:bookmarkEnd w:id="447"/>
      <w:bookmarkEnd w:id="448"/>
    </w:p>
    <w:p w14:paraId="2A541E70" w14:textId="16EDE663" w:rsidR="000F16EB" w:rsidRDefault="000F16EB" w:rsidP="007B29C3">
      <w:r>
        <w:t xml:space="preserve">The largest concentrations of large commercial heat customers were found in Bakewell, Darley Dale, and Matlock. Heat maps showing the concentrations of the large heat customers in Bakewell, Darley Dale, and Matlock are shown in </w:t>
      </w:r>
      <w:r>
        <w:fldChar w:fldCharType="begin"/>
      </w:r>
      <w:r>
        <w:instrText xml:space="preserve"> REF _Ref465868999 \h </w:instrText>
      </w:r>
      <w:r>
        <w:fldChar w:fldCharType="separate"/>
      </w:r>
      <w:r w:rsidR="00CB7456" w:rsidRPr="003D7103">
        <w:t xml:space="preserve">Figure </w:t>
      </w:r>
      <w:r w:rsidR="00CB7456">
        <w:rPr>
          <w:noProof/>
        </w:rPr>
        <w:t>3</w:t>
      </w:r>
      <w:r w:rsidR="00CB7456">
        <w:t>.</w:t>
      </w:r>
      <w:r w:rsidR="00CB7456">
        <w:rPr>
          <w:noProof/>
        </w:rPr>
        <w:t>3</w:t>
      </w:r>
      <w:r>
        <w:fldChar w:fldCharType="end"/>
      </w:r>
      <w:r w:rsidR="002132B0">
        <w:t xml:space="preserve"> - </w:t>
      </w:r>
      <w:r w:rsidR="002132B0">
        <w:fldChar w:fldCharType="begin"/>
      </w:r>
      <w:r w:rsidR="002132B0">
        <w:instrText xml:space="preserve"> REF _Ref465869035 \h </w:instrText>
      </w:r>
      <w:r w:rsidR="002132B0">
        <w:fldChar w:fldCharType="separate"/>
      </w:r>
      <w:r w:rsidR="00CB7456" w:rsidRPr="003D7103">
        <w:t xml:space="preserve">Figure </w:t>
      </w:r>
      <w:r w:rsidR="00CB7456">
        <w:rPr>
          <w:noProof/>
        </w:rPr>
        <w:t>3</w:t>
      </w:r>
      <w:r w:rsidR="00CB7456">
        <w:t>.</w:t>
      </w:r>
      <w:r w:rsidR="00CB7456">
        <w:rPr>
          <w:noProof/>
        </w:rPr>
        <w:t>5</w:t>
      </w:r>
      <w:r w:rsidR="002132B0">
        <w:fldChar w:fldCharType="end"/>
      </w:r>
      <w:r>
        <w:t xml:space="preserve">. The large value of </w:t>
      </w:r>
      <w:r>
        <w:lastRenderedPageBreak/>
        <w:t xml:space="preserve">commercial heating energy and power demand found for </w:t>
      </w:r>
      <w:proofErr w:type="spellStart"/>
      <w:r>
        <w:t>Rowsley</w:t>
      </w:r>
      <w:proofErr w:type="spellEnd"/>
      <w:r>
        <w:t xml:space="preserve"> in </w:t>
      </w:r>
      <w:r w:rsidR="007B29C3">
        <w:fldChar w:fldCharType="begin"/>
      </w:r>
      <w:r w:rsidR="007B29C3">
        <w:instrText xml:space="preserve"> REF _Ref5788222 \h </w:instrText>
      </w:r>
      <w:r w:rsidR="007B29C3">
        <w:fldChar w:fldCharType="separate"/>
      </w:r>
      <w:r w:rsidR="00CB7456" w:rsidRPr="003D7103">
        <w:t xml:space="preserve">Table </w:t>
      </w:r>
      <w:r w:rsidR="00CB7456">
        <w:rPr>
          <w:noProof/>
        </w:rPr>
        <w:t>3</w:t>
      </w:r>
      <w:r w:rsidR="00CB7456">
        <w:t>.</w:t>
      </w:r>
      <w:r w:rsidR="00CB7456">
        <w:rPr>
          <w:noProof/>
        </w:rPr>
        <w:t>4</w:t>
      </w:r>
      <w:r w:rsidR="007B29C3">
        <w:fldChar w:fldCharType="end"/>
      </w:r>
      <w:r>
        <w:t xml:space="preserve"> is omitted from </w:t>
      </w:r>
      <w:r>
        <w:fldChar w:fldCharType="begin"/>
      </w:r>
      <w:r>
        <w:instrText xml:space="preserve"> REF _Ref522716513 \h </w:instrText>
      </w:r>
      <w:r>
        <w:fldChar w:fldCharType="separate"/>
      </w:r>
      <w:r w:rsidR="00CB7456">
        <w:t xml:space="preserve">Figure </w:t>
      </w:r>
      <w:r w:rsidR="00CB7456">
        <w:rPr>
          <w:noProof/>
        </w:rPr>
        <w:t>3</w:t>
      </w:r>
      <w:r w:rsidR="00CB7456">
        <w:t>.</w:t>
      </w:r>
      <w:r w:rsidR="00CB7456">
        <w:rPr>
          <w:noProof/>
        </w:rPr>
        <w:t>2</w:t>
      </w:r>
      <w:r>
        <w:fldChar w:fldCharType="end"/>
      </w:r>
      <w:r>
        <w:t xml:space="preserve"> as it was largely comprised of the industrial site located approximately halfway in</w:t>
      </w:r>
      <w:r>
        <w:noBreakHyphen/>
        <w:t xml:space="preserve">between </w:t>
      </w:r>
      <w:proofErr w:type="spellStart"/>
      <w:r>
        <w:t>Rowsley</w:t>
      </w:r>
      <w:proofErr w:type="spellEnd"/>
      <w:r>
        <w:t xml:space="preserve"> and Darley Dale. Using the relative concentrations of the commercial heat users, it is recommended that the non-technical user should prioritise DHN connection for Bakewell, Darley Dale, and Matlock. Due to the relative location of </w:t>
      </w:r>
      <w:proofErr w:type="spellStart"/>
      <w:r>
        <w:t>Rowsley</w:t>
      </w:r>
      <w:proofErr w:type="spellEnd"/>
      <w:r>
        <w:t xml:space="preserve"> with respect to the old railway line and the possible network route, it is also advised that the user prioritises the connection of </w:t>
      </w:r>
      <w:proofErr w:type="spellStart"/>
      <w:r>
        <w:t>Rowsley</w:t>
      </w:r>
      <w:proofErr w:type="spellEnd"/>
      <w:r>
        <w:t xml:space="preserve">. The areas of </w:t>
      </w:r>
      <w:r w:rsidRPr="003D7103">
        <w:t xml:space="preserve">Matlock Bath, Cromford and </w:t>
      </w:r>
      <w:proofErr w:type="spellStart"/>
      <w:r w:rsidRPr="003D7103">
        <w:t>Youlgreave</w:t>
      </w:r>
      <w:proofErr w:type="spellEnd"/>
      <w:r>
        <w:t xml:space="preserve"> should be connected to the DHN at a later date, dependent on the total network costs and revenues.</w:t>
      </w:r>
    </w:p>
    <w:p w14:paraId="7820671B" w14:textId="77777777" w:rsidR="000F16EB" w:rsidRPr="003D7103" w:rsidRDefault="000F16EB" w:rsidP="000F16EB">
      <w:pPr>
        <w:keepNext/>
        <w:jc w:val="center"/>
      </w:pPr>
      <w:r w:rsidRPr="003D7103">
        <w:rPr>
          <w:noProof/>
          <w:lang w:eastAsia="en-GB"/>
        </w:rPr>
        <w:drawing>
          <wp:inline distT="0" distB="0" distL="0" distR="0" wp14:anchorId="222FC253" wp14:editId="1D3E9CF5">
            <wp:extent cx="5040000" cy="3894014"/>
            <wp:effectExtent l="19050" t="19050" r="27305" b="11430"/>
            <wp:docPr id="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l="14624" t="11513" r="15080" b="9283"/>
                    <a:stretch>
                      <a:fillRect/>
                    </a:stretch>
                  </pic:blipFill>
                  <pic:spPr bwMode="auto">
                    <a:xfrm>
                      <a:off x="0" y="0"/>
                      <a:ext cx="5040000" cy="3894014"/>
                    </a:xfrm>
                    <a:prstGeom prst="rect">
                      <a:avLst/>
                    </a:prstGeom>
                    <a:noFill/>
                    <a:ln>
                      <a:solidFill>
                        <a:schemeClr val="tx1"/>
                      </a:solidFill>
                    </a:ln>
                  </pic:spPr>
                </pic:pic>
              </a:graphicData>
            </a:graphic>
          </wp:inline>
        </w:drawing>
      </w:r>
    </w:p>
    <w:p w14:paraId="0E206E66" w14:textId="09A9FB57" w:rsidR="000F16EB" w:rsidRPr="003B6751" w:rsidRDefault="000F16EB" w:rsidP="000F16EB">
      <w:pPr>
        <w:pStyle w:val="Caption"/>
        <w:jc w:val="left"/>
      </w:pPr>
      <w:bookmarkStart w:id="449" w:name="_Ref465868999"/>
      <w:bookmarkStart w:id="450" w:name="_Toc468265807"/>
      <w:bookmarkStart w:id="451" w:name="_Toc525230075"/>
      <w:bookmarkStart w:id="452" w:name="_Toc7187623"/>
      <w:r w:rsidRPr="003D7103">
        <w:t xml:space="preserve">Figure </w:t>
      </w:r>
      <w:fldSimple w:instr=" STYLEREF 1 \s ">
        <w:r w:rsidR="00CB7456">
          <w:rPr>
            <w:noProof/>
          </w:rPr>
          <w:t>3</w:t>
        </w:r>
      </w:fldSimple>
      <w:r w:rsidR="007B29C3">
        <w:t>.</w:t>
      </w:r>
      <w:fldSimple w:instr=" SEQ Figure \* ARABIC \s 1 ">
        <w:r w:rsidR="00CB7456">
          <w:rPr>
            <w:noProof/>
          </w:rPr>
          <w:t>3</w:t>
        </w:r>
      </w:fldSimple>
      <w:bookmarkEnd w:id="449"/>
      <w:r>
        <w:t>:</w:t>
      </w:r>
      <w:r w:rsidRPr="003D7103">
        <w:t xml:space="preserve"> Large heat users in </w:t>
      </w:r>
      <w:r w:rsidRPr="0040484F">
        <w:t>Bakewell</w:t>
      </w:r>
      <w:bookmarkEnd w:id="450"/>
      <w:r w:rsidRPr="0040484F">
        <w:t xml:space="preserve"> </w:t>
      </w:r>
      <w:r w:rsidR="002132B0">
        <w:t>and their average power demand</w:t>
      </w:r>
      <w:r w:rsidR="002132B0" w:rsidRPr="0040484F">
        <w:t xml:space="preserve"> </w:t>
      </w:r>
      <w:r w:rsidRPr="0040484F">
        <w:fldChar w:fldCharType="begin" w:fldLock="1"/>
      </w:r>
      <w:r w:rsidR="002A6A73" w:rsidRPr="0040484F">
        <w:instrText>ADDIN CSL_CITATION {"citationItems":[{"id":"ITEM-1","itemData":{"author":[{"dropping-particle":"","family":"GEOFABRIK","given":"","non-dropping-particle":"","parse-names":false,"suffix":""}],"id":"ITEM-1","issued":{"date-parts":[["2017"]]},"publisher":"GEOFABRIK","publisher-place":"Karlsruhe, Germany","title":"Open Street Map","type":"article"},"uris":["http://www.mendeley.com/documents/?uuid=65f85c94-cbf2-4744-8258-97666b93bc39"]}],"mendeley":{"formattedCitation":"(GEOFABRIK, 2017)","plainTextFormattedCitation":"(GEOFABRIK, 2017)","previouslyFormattedCitation":"(GEOFABRIK, 2017)"},"properties":{"noteIndex":0},"schema":"https://github.com/citation-style-language/schema/raw/master/csl-citation.json"}</w:instrText>
      </w:r>
      <w:r w:rsidRPr="0040484F">
        <w:fldChar w:fldCharType="separate"/>
      </w:r>
      <w:r w:rsidR="002A6A73" w:rsidRPr="0040484F">
        <w:rPr>
          <w:noProof/>
        </w:rPr>
        <w:t>(GEOFABRIK, 2017)</w:t>
      </w:r>
      <w:r w:rsidRPr="0040484F">
        <w:fldChar w:fldCharType="end"/>
      </w:r>
      <w:r w:rsidRPr="0040484F">
        <w:t>.</w:t>
      </w:r>
      <w:bookmarkEnd w:id="451"/>
      <w:bookmarkEnd w:id="452"/>
    </w:p>
    <w:p w14:paraId="0D37EEA3" w14:textId="77777777" w:rsidR="000F16EB" w:rsidRPr="003D7103" w:rsidRDefault="000F16EB" w:rsidP="000F16EB">
      <w:pPr>
        <w:keepNext/>
        <w:jc w:val="center"/>
      </w:pPr>
      <w:r w:rsidRPr="003D7103">
        <w:rPr>
          <w:noProof/>
          <w:lang w:eastAsia="en-GB"/>
        </w:rPr>
        <w:lastRenderedPageBreak/>
        <w:drawing>
          <wp:inline distT="0" distB="0" distL="0" distR="0" wp14:anchorId="06181C54" wp14:editId="66037444">
            <wp:extent cx="5040000" cy="4371185"/>
            <wp:effectExtent l="19050" t="19050" r="27305" b="10795"/>
            <wp:docPr id="2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l="7150" t="18333" r="27049"/>
                    <a:stretch>
                      <a:fillRect/>
                    </a:stretch>
                  </pic:blipFill>
                  <pic:spPr bwMode="auto">
                    <a:xfrm>
                      <a:off x="0" y="0"/>
                      <a:ext cx="5040000" cy="4371185"/>
                    </a:xfrm>
                    <a:prstGeom prst="rect">
                      <a:avLst/>
                    </a:prstGeom>
                    <a:noFill/>
                    <a:ln>
                      <a:solidFill>
                        <a:schemeClr val="tx1"/>
                      </a:solidFill>
                    </a:ln>
                  </pic:spPr>
                </pic:pic>
              </a:graphicData>
            </a:graphic>
          </wp:inline>
        </w:drawing>
      </w:r>
    </w:p>
    <w:p w14:paraId="35CAA3CE" w14:textId="2354E0E6" w:rsidR="000F16EB" w:rsidRPr="003D7103" w:rsidRDefault="000F16EB" w:rsidP="000F16EB">
      <w:pPr>
        <w:pStyle w:val="Caption"/>
      </w:pPr>
      <w:bookmarkStart w:id="453" w:name="_Ref465869015"/>
      <w:bookmarkStart w:id="454" w:name="_Toc468265808"/>
      <w:bookmarkStart w:id="455" w:name="_Toc525230076"/>
      <w:bookmarkStart w:id="456" w:name="_Toc7187624"/>
      <w:r w:rsidRPr="003D7103">
        <w:t xml:space="preserve">Figure </w:t>
      </w:r>
      <w:fldSimple w:instr=" STYLEREF 1 \s ">
        <w:r w:rsidR="00CB7456">
          <w:rPr>
            <w:noProof/>
          </w:rPr>
          <w:t>3</w:t>
        </w:r>
      </w:fldSimple>
      <w:r w:rsidR="007B29C3">
        <w:t>.</w:t>
      </w:r>
      <w:fldSimple w:instr=" SEQ Figure \* ARABIC \s 1 ">
        <w:r w:rsidR="00CB7456">
          <w:rPr>
            <w:noProof/>
          </w:rPr>
          <w:t>4</w:t>
        </w:r>
      </w:fldSimple>
      <w:bookmarkEnd w:id="453"/>
      <w:r>
        <w:t>:</w:t>
      </w:r>
      <w:r w:rsidRPr="003D7103">
        <w:t xml:space="preserve"> Large heat </w:t>
      </w:r>
      <w:r w:rsidRPr="00B3471B">
        <w:t xml:space="preserve">users in Darley </w:t>
      </w:r>
      <w:r w:rsidRPr="0040484F">
        <w:t>Dale</w:t>
      </w:r>
      <w:bookmarkEnd w:id="454"/>
      <w:r w:rsidR="002132B0">
        <w:t xml:space="preserve"> and their average power demand</w:t>
      </w:r>
      <w:r w:rsidRPr="0040484F">
        <w:t xml:space="preserve"> </w:t>
      </w:r>
      <w:r w:rsidRPr="0040484F">
        <w:fldChar w:fldCharType="begin" w:fldLock="1"/>
      </w:r>
      <w:r w:rsidR="002A6A73" w:rsidRPr="0040484F">
        <w:instrText>ADDIN CSL_CITATION {"citationItems":[{"id":"ITEM-1","itemData":{"author":[{"dropping-particle":"","family":"GEOFABRIK","given":"","non-dropping-particle":"","parse-names":false,"suffix":""}],"id":"ITEM-1","issued":{"date-parts":[["2017"]]},"publisher":"GEOFABRIK","publisher-place":"Karlsruhe, Germany","title":"Open Street Map","type":"article"},"uris":["http://www.mendeley.com/documents/?uuid=65f85c94-cbf2-4744-8258-97666b93bc39"]}],"mendeley":{"formattedCitation":"(GEOFABRIK, 2017)","plainTextFormattedCitation":"(GEOFABRIK, 2017)","previouslyFormattedCitation":"(GEOFABRIK, 2017)"},"properties":{"noteIndex":0},"schema":"https://github.com/citation-style-language/schema/raw/master/csl-citation.json"}</w:instrText>
      </w:r>
      <w:r w:rsidRPr="0040484F">
        <w:fldChar w:fldCharType="separate"/>
      </w:r>
      <w:r w:rsidR="002A6A73" w:rsidRPr="0040484F">
        <w:rPr>
          <w:noProof/>
        </w:rPr>
        <w:t>(GEOFABRIK, 2017)</w:t>
      </w:r>
      <w:r w:rsidRPr="0040484F">
        <w:fldChar w:fldCharType="end"/>
      </w:r>
      <w:r w:rsidRPr="0040484F">
        <w:t>.</w:t>
      </w:r>
      <w:bookmarkEnd w:id="455"/>
      <w:bookmarkEnd w:id="456"/>
    </w:p>
    <w:p w14:paraId="39FADF57" w14:textId="77777777" w:rsidR="000F16EB" w:rsidRPr="003D7103" w:rsidRDefault="000F16EB" w:rsidP="000F16EB">
      <w:pPr>
        <w:keepNext/>
        <w:jc w:val="center"/>
      </w:pPr>
      <w:r w:rsidRPr="003D7103">
        <w:rPr>
          <w:noProof/>
          <w:lang w:eastAsia="en-GB"/>
        </w:rPr>
        <w:drawing>
          <wp:inline distT="0" distB="0" distL="0" distR="0" wp14:anchorId="2D9045EC" wp14:editId="12D733D2">
            <wp:extent cx="5040000" cy="3549428"/>
            <wp:effectExtent l="19050" t="19050" r="27305" b="13335"/>
            <wp:docPr id="2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cstate="print">
                      <a:extLst>
                        <a:ext uri="{28A0092B-C50C-407E-A947-70E740481C1C}">
                          <a14:useLocalDpi xmlns:a14="http://schemas.microsoft.com/office/drawing/2010/main" val="0"/>
                        </a:ext>
                      </a:extLst>
                    </a:blip>
                    <a:srcRect l="1662" r="5943" b="6230"/>
                    <a:stretch>
                      <a:fillRect/>
                    </a:stretch>
                  </pic:blipFill>
                  <pic:spPr bwMode="auto">
                    <a:xfrm>
                      <a:off x="0" y="0"/>
                      <a:ext cx="5040000" cy="3549428"/>
                    </a:xfrm>
                    <a:prstGeom prst="rect">
                      <a:avLst/>
                    </a:prstGeom>
                    <a:noFill/>
                    <a:ln>
                      <a:solidFill>
                        <a:schemeClr val="tx1"/>
                      </a:solidFill>
                    </a:ln>
                  </pic:spPr>
                </pic:pic>
              </a:graphicData>
            </a:graphic>
          </wp:inline>
        </w:drawing>
      </w:r>
    </w:p>
    <w:p w14:paraId="6856EDB6" w14:textId="7195D4D9" w:rsidR="000F16EB" w:rsidRPr="00B3471B" w:rsidRDefault="000F16EB" w:rsidP="000F16EB">
      <w:pPr>
        <w:pStyle w:val="Caption"/>
        <w:jc w:val="left"/>
      </w:pPr>
      <w:bookmarkStart w:id="457" w:name="_Ref465869035"/>
      <w:bookmarkStart w:id="458" w:name="_Toc468265809"/>
      <w:bookmarkStart w:id="459" w:name="_Toc525230077"/>
      <w:bookmarkStart w:id="460" w:name="_Toc7187625"/>
      <w:r w:rsidRPr="003D7103">
        <w:t xml:space="preserve">Figure </w:t>
      </w:r>
      <w:fldSimple w:instr=" STYLEREF 1 \s ">
        <w:r w:rsidR="00CB7456">
          <w:rPr>
            <w:noProof/>
          </w:rPr>
          <w:t>3</w:t>
        </w:r>
      </w:fldSimple>
      <w:r w:rsidR="007B29C3">
        <w:t>.</w:t>
      </w:r>
      <w:fldSimple w:instr=" SEQ Figure \* ARABIC \s 1 ">
        <w:r w:rsidR="00CB7456">
          <w:rPr>
            <w:noProof/>
          </w:rPr>
          <w:t>5</w:t>
        </w:r>
      </w:fldSimple>
      <w:bookmarkEnd w:id="457"/>
      <w:r>
        <w:t>:</w:t>
      </w:r>
      <w:r w:rsidRPr="003D7103">
        <w:t xml:space="preserve"> Large heat users in </w:t>
      </w:r>
      <w:r w:rsidRPr="0040484F">
        <w:t>Matlock</w:t>
      </w:r>
      <w:bookmarkEnd w:id="458"/>
      <w:r w:rsidRPr="0040484F">
        <w:t xml:space="preserve"> </w:t>
      </w:r>
      <w:r w:rsidR="002132B0">
        <w:t>and their average power demand</w:t>
      </w:r>
      <w:r w:rsidR="002132B0" w:rsidRPr="0040484F">
        <w:t xml:space="preserve"> </w:t>
      </w:r>
      <w:r w:rsidRPr="0040484F">
        <w:fldChar w:fldCharType="begin" w:fldLock="1"/>
      </w:r>
      <w:r w:rsidR="002A6A73" w:rsidRPr="0040484F">
        <w:instrText>ADDIN CSL_CITATION {"citationItems":[{"id":"ITEM-1","itemData":{"author":[{"dropping-particle":"","family":"GEOFABRIK","given":"","non-dropping-particle":"","parse-names":false,"suffix":""}],"id":"ITEM-1","issued":{"date-parts":[["2017"]]},"publisher":"GEOFABRIK","publisher-place":"Karlsruhe, Germany","title":"Open Street Map","type":"article"},"uris":["http://www.mendeley.com/documents/?uuid=65f85c94-cbf2-4744-8258-97666b93bc39"]}],"mendeley":{"formattedCitation":"(GEOFABRIK, 2017)","plainTextFormattedCitation":"(GEOFABRIK, 2017)","previouslyFormattedCitation":"(GEOFABRIK, 2017)"},"properties":{"noteIndex":0},"schema":"https://github.com/citation-style-language/schema/raw/master/csl-citation.json"}</w:instrText>
      </w:r>
      <w:r w:rsidRPr="0040484F">
        <w:fldChar w:fldCharType="separate"/>
      </w:r>
      <w:r w:rsidR="002A6A73" w:rsidRPr="0040484F">
        <w:rPr>
          <w:noProof/>
        </w:rPr>
        <w:t>(GEOFABRIK, 2017)</w:t>
      </w:r>
      <w:r w:rsidRPr="0040484F">
        <w:fldChar w:fldCharType="end"/>
      </w:r>
      <w:r w:rsidRPr="0040484F">
        <w:t>.</w:t>
      </w:r>
      <w:bookmarkEnd w:id="459"/>
      <w:bookmarkEnd w:id="460"/>
    </w:p>
    <w:p w14:paraId="69EA488A" w14:textId="77777777" w:rsidR="000F16EB" w:rsidRDefault="000F16EB" w:rsidP="000F16EB">
      <w:pPr>
        <w:pStyle w:val="Heading3"/>
      </w:pPr>
      <w:bookmarkStart w:id="461" w:name="_Toc525229997"/>
      <w:bookmarkStart w:id="462" w:name="_Toc7187512"/>
      <w:r>
        <w:lastRenderedPageBreak/>
        <w:t>Domestic Heat Mapping</w:t>
      </w:r>
      <w:bookmarkEnd w:id="461"/>
      <w:bookmarkEnd w:id="462"/>
    </w:p>
    <w:p w14:paraId="5BEDC5C6" w14:textId="66D0E89D" w:rsidR="000F16EB" w:rsidRDefault="000F16EB" w:rsidP="000F16EB">
      <w:r>
        <w:t>The domestic heat mapping found that four of the seven potential locations had HD densities greater than the 3 MW/km</w:t>
      </w:r>
      <w:r>
        <w:rPr>
          <w:vertAlign w:val="superscript"/>
        </w:rPr>
        <w:t>2</w:t>
      </w:r>
      <w:r>
        <w:t xml:space="preserve"> government threshold for profitable DH </w:t>
      </w:r>
      <w:r w:rsidRPr="003D7103">
        <w:fldChar w:fldCharType="begin" w:fldLock="1"/>
      </w:r>
      <w:r w:rsidR="002A6A73">
        <w:instrText>ADDIN CSL_CITATION {"citationItems":[{"id":"ITEM-1","itemData":{"ISBN":"9780108508158","author":[{"dropping-particle":"","family":"DECC","given":"","non-dropping-particle":"","parse-names":false,"suffix":""}],"id":"ITEM-1","issued":{"date-parts":[["2009"]]},"publisher-place":"London, England","title":"HEAT AND ENERGY SAVING STRATEGY: Consultation","type":"report"},"uris":["http://www.mendeley.com/documents/?uuid=c859c22b-3035-4801-9bfb-6699a3da9716"]}],"mendeley":{"formattedCitation":"(DECC, 2009a)","plainTextFormattedCitation":"(DECC, 2009a)","previouslyFormattedCitation":"(DECC, 2009a)"},"properties":{"noteIndex":0},"schema":"https://github.com/citation-style-language/schema/raw/master/csl-citation.json"}</w:instrText>
      </w:r>
      <w:r w:rsidRPr="003D7103">
        <w:fldChar w:fldCharType="separate"/>
      </w:r>
      <w:r w:rsidR="002A6A73" w:rsidRPr="002A6A73">
        <w:rPr>
          <w:noProof/>
        </w:rPr>
        <w:t>(DECC, 2009a)</w:t>
      </w:r>
      <w:r w:rsidRPr="003D7103">
        <w:fldChar w:fldCharType="end"/>
      </w:r>
      <w:r>
        <w:t xml:space="preserve">, as shown in </w:t>
      </w:r>
      <w:r>
        <w:fldChar w:fldCharType="begin"/>
      </w:r>
      <w:r>
        <w:instrText xml:space="preserve"> REF _Ref466983793 \h </w:instrText>
      </w:r>
      <w:r>
        <w:fldChar w:fldCharType="separate"/>
      </w:r>
      <w:r w:rsidR="00CB7456" w:rsidRPr="003D7103">
        <w:t xml:space="preserve">Figure </w:t>
      </w:r>
      <w:r w:rsidR="00CB7456">
        <w:rPr>
          <w:noProof/>
        </w:rPr>
        <w:t>3</w:t>
      </w:r>
      <w:r w:rsidR="00CB7456">
        <w:t>.</w:t>
      </w:r>
      <w:r w:rsidR="00CB7456">
        <w:rPr>
          <w:noProof/>
        </w:rPr>
        <w:t>6</w:t>
      </w:r>
      <w:r>
        <w:fldChar w:fldCharType="end"/>
      </w:r>
      <w:r w:rsidRPr="003D7103">
        <w:t>.</w:t>
      </w:r>
      <w:r>
        <w:t xml:space="preserve"> The four potential locations were Matlock, Darley Dale, Bakewell, and </w:t>
      </w:r>
      <w:proofErr w:type="spellStart"/>
      <w:r>
        <w:t>Youlgreave</w:t>
      </w:r>
      <w:proofErr w:type="spellEnd"/>
      <w:r>
        <w:t>. Population densities of less than 1,000 people per km</w:t>
      </w:r>
      <w:r>
        <w:rPr>
          <w:vertAlign w:val="superscript"/>
        </w:rPr>
        <w:t>2</w:t>
      </w:r>
      <w:r>
        <w:t xml:space="preserve"> were not included in the domestic heat mapping as the HD density in these areas was less than the </w:t>
      </w:r>
      <w:r w:rsidRPr="003D7103">
        <w:t>3 MW/km</w:t>
      </w:r>
      <w:r w:rsidRPr="00E84325">
        <w:rPr>
          <w:vertAlign w:val="superscript"/>
        </w:rPr>
        <w:t>2</w:t>
      </w:r>
      <w:r w:rsidRPr="003D7103">
        <w:t xml:space="preserve"> threshold.</w:t>
      </w:r>
      <w:r>
        <w:t xml:space="preserve"> The conversion of population, energy and power densities are given in </w:t>
      </w:r>
      <w:r>
        <w:fldChar w:fldCharType="begin"/>
      </w:r>
      <w:r>
        <w:instrText xml:space="preserve"> REF _Ref468117034 \h </w:instrText>
      </w:r>
      <w:r>
        <w:fldChar w:fldCharType="separate"/>
      </w:r>
      <w:r w:rsidR="00CB7456" w:rsidRPr="003D7103">
        <w:t xml:space="preserve">Table </w:t>
      </w:r>
      <w:r w:rsidR="00CB7456">
        <w:rPr>
          <w:noProof/>
        </w:rPr>
        <w:t>3</w:t>
      </w:r>
      <w:r w:rsidR="00CB7456">
        <w:t>.</w:t>
      </w:r>
      <w:r w:rsidR="00CB7456">
        <w:rPr>
          <w:noProof/>
        </w:rPr>
        <w:t>5</w:t>
      </w:r>
      <w:r>
        <w:fldChar w:fldCharType="end"/>
      </w:r>
      <w:r>
        <w:t>.</w:t>
      </w:r>
    </w:p>
    <w:p w14:paraId="4BC92F7F" w14:textId="77777777" w:rsidR="000F16EB" w:rsidRPr="003D7103" w:rsidRDefault="000F16EB" w:rsidP="000F16EB">
      <w:pPr>
        <w:keepNext/>
        <w:jc w:val="center"/>
      </w:pPr>
      <w:r w:rsidRPr="003D7103">
        <w:rPr>
          <w:noProof/>
          <w:lang w:eastAsia="en-GB"/>
        </w:rPr>
        <w:drawing>
          <wp:inline distT="0" distB="0" distL="0" distR="0" wp14:anchorId="64EBC4E5" wp14:editId="43ED7B94">
            <wp:extent cx="5040000" cy="4073549"/>
            <wp:effectExtent l="19050" t="19050" r="27305" b="22225"/>
            <wp:docPr id="2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cstate="print">
                      <a:extLst>
                        <a:ext uri="{28A0092B-C50C-407E-A947-70E740481C1C}">
                          <a14:useLocalDpi xmlns:a14="http://schemas.microsoft.com/office/drawing/2010/main" val="0"/>
                        </a:ext>
                      </a:extLst>
                    </a:blip>
                    <a:srcRect l="14464" t="19742" r="15244"/>
                    <a:stretch>
                      <a:fillRect/>
                    </a:stretch>
                  </pic:blipFill>
                  <pic:spPr bwMode="auto">
                    <a:xfrm>
                      <a:off x="0" y="0"/>
                      <a:ext cx="5040000" cy="4073549"/>
                    </a:xfrm>
                    <a:prstGeom prst="rect">
                      <a:avLst/>
                    </a:prstGeom>
                    <a:noFill/>
                    <a:ln>
                      <a:solidFill>
                        <a:schemeClr val="tx1"/>
                      </a:solidFill>
                    </a:ln>
                  </pic:spPr>
                </pic:pic>
              </a:graphicData>
            </a:graphic>
          </wp:inline>
        </w:drawing>
      </w:r>
    </w:p>
    <w:p w14:paraId="002FEA91" w14:textId="67E7CE15" w:rsidR="000F16EB" w:rsidRPr="0040484F" w:rsidRDefault="000F16EB" w:rsidP="000F16EB">
      <w:pPr>
        <w:pStyle w:val="Caption"/>
        <w:jc w:val="left"/>
      </w:pPr>
      <w:bookmarkStart w:id="463" w:name="_Ref466983793"/>
      <w:bookmarkStart w:id="464" w:name="_Toc468265810"/>
      <w:bookmarkStart w:id="465" w:name="_Toc525230078"/>
      <w:bookmarkStart w:id="466" w:name="_Toc7187626"/>
      <w:r w:rsidRPr="003D7103">
        <w:t xml:space="preserve">Figure </w:t>
      </w:r>
      <w:fldSimple w:instr=" STYLEREF 1 \s ">
        <w:r w:rsidR="00CB7456">
          <w:rPr>
            <w:noProof/>
          </w:rPr>
          <w:t>3</w:t>
        </w:r>
      </w:fldSimple>
      <w:r w:rsidR="007B29C3">
        <w:t>.</w:t>
      </w:r>
      <w:fldSimple w:instr=" SEQ Figure \* ARABIC \s 1 ">
        <w:r w:rsidR="00CB7456">
          <w:rPr>
            <w:noProof/>
          </w:rPr>
          <w:t>6</w:t>
        </w:r>
      </w:fldSimple>
      <w:bookmarkEnd w:id="463"/>
      <w:r>
        <w:t>:</w:t>
      </w:r>
      <w:r w:rsidRPr="003D7103">
        <w:t xml:space="preserve"> Population </w:t>
      </w:r>
      <w:r>
        <w:t>and HD densities</w:t>
      </w:r>
      <w:r w:rsidRPr="003D7103">
        <w:t xml:space="preserve"> in the case </w:t>
      </w:r>
      <w:r w:rsidRPr="003B6751">
        <w:t xml:space="preserve">study </w:t>
      </w:r>
      <w:r w:rsidRPr="0040484F">
        <w:t xml:space="preserve">area </w:t>
      </w:r>
      <w:r w:rsidRPr="0040484F">
        <w:fldChar w:fldCharType="begin" w:fldLock="1"/>
      </w:r>
      <w:r w:rsidR="002A6A73" w:rsidRPr="0040484F">
        <w:instrText>ADDIN CSL_CITATION {"citationItems":[{"id":"ITEM-1","itemData":{"author":[{"dropping-particle":"","family":"ONS","given":"","non-dropping-particle":"","parse-names":false,"suffix":""}],"id":"ITEM-1","issued":{"date-parts":[["2011"]]},"publisher-place":"London, England","title":"QS102EW - Population density","type":"report"},"uris":["http://www.mendeley.com/documents/?uuid=5fbffc5f-5e5a-4572-8a50-8efce6540647"]},{"id":"ITEM-2","itemData":{"author":[{"dropping-particle":"","family":"GEOFABRIK","given":"","non-dropping-particle":"","parse-names":false,"suffix":""}],"id":"ITEM-2","issued":{"date-parts":[["2017"]]},"publisher":"GEOFABRIK","publisher-place":"Karlsruhe, Germany","title":"Open Street Map","type":"article"},"uris":["http://www.mendeley.com/documents/?uuid=65f85c94-cbf2-4744-8258-97666b93bc39"]}],"mendeley":{"formattedCitation":"(ONS, 2011b; GEOFABRIK, 2017)","plainTextFormattedCitation":"(ONS, 2011b; GEOFABRIK, 2017)","previouslyFormattedCitation":"(ONS, 2011b; GEOFABRIK, 2017)"},"properties":{"noteIndex":0},"schema":"https://github.com/citation-style-language/schema/raw/master/csl-citation.json"}</w:instrText>
      </w:r>
      <w:r w:rsidRPr="0040484F">
        <w:fldChar w:fldCharType="separate"/>
      </w:r>
      <w:r w:rsidR="002A6A73" w:rsidRPr="0040484F">
        <w:rPr>
          <w:noProof/>
        </w:rPr>
        <w:t>(ONS, 2011b; GEOFABRIK, 2017)</w:t>
      </w:r>
      <w:r w:rsidRPr="0040484F">
        <w:fldChar w:fldCharType="end"/>
      </w:r>
      <w:bookmarkEnd w:id="464"/>
      <w:r w:rsidRPr="0040484F">
        <w:t>.</w:t>
      </w:r>
      <w:bookmarkEnd w:id="465"/>
      <w:bookmarkEnd w:id="466"/>
    </w:p>
    <w:p w14:paraId="49465E78" w14:textId="7BF9478E" w:rsidR="000F16EB" w:rsidRPr="003D7103" w:rsidRDefault="000F16EB" w:rsidP="000F16EB">
      <w:pPr>
        <w:pStyle w:val="Caption"/>
        <w:keepNext/>
      </w:pPr>
      <w:bookmarkStart w:id="467" w:name="_Ref468117034"/>
      <w:bookmarkStart w:id="468" w:name="_Toc468265825"/>
      <w:bookmarkStart w:id="469" w:name="_Toc525230125"/>
      <w:bookmarkStart w:id="470" w:name="_Toc7187678"/>
      <w:r w:rsidRPr="003D7103">
        <w:t xml:space="preserve">Table </w:t>
      </w:r>
      <w:fldSimple w:instr=" STYLEREF 1 \s ">
        <w:r w:rsidR="00CB7456">
          <w:rPr>
            <w:noProof/>
          </w:rPr>
          <w:t>3</w:t>
        </w:r>
      </w:fldSimple>
      <w:r w:rsidR="009E1A67">
        <w:t>.</w:t>
      </w:r>
      <w:fldSimple w:instr=" SEQ Table \* ARABIC \s 1 ">
        <w:r w:rsidR="00CB7456">
          <w:rPr>
            <w:noProof/>
          </w:rPr>
          <w:t>5</w:t>
        </w:r>
      </w:fldSimple>
      <w:bookmarkEnd w:id="467"/>
      <w:r>
        <w:t>:</w:t>
      </w:r>
      <w:r w:rsidRPr="003D7103">
        <w:t xml:space="preserve"> Population, energy</w:t>
      </w:r>
      <w:r w:rsidR="00A31668">
        <w:t>,</w:t>
      </w:r>
      <w:r w:rsidRPr="003D7103">
        <w:t xml:space="preserve"> and power density</w:t>
      </w:r>
      <w:r>
        <w:t xml:space="preserve"> conversion.</w:t>
      </w:r>
      <w:bookmarkEnd w:id="468"/>
      <w:bookmarkEnd w:id="469"/>
      <w:bookmarkEnd w:id="470"/>
    </w:p>
    <w:tbl>
      <w:tblPr>
        <w:tblW w:w="5954" w:type="dxa"/>
        <w:jc w:val="center"/>
        <w:tblBorders>
          <w:top w:val="single" w:sz="4" w:space="0" w:color="auto"/>
          <w:bottom w:val="single" w:sz="4" w:space="0" w:color="auto"/>
        </w:tblBorders>
        <w:tblLook w:val="00A0" w:firstRow="1" w:lastRow="0" w:firstColumn="1" w:lastColumn="0" w:noHBand="0" w:noVBand="0"/>
      </w:tblPr>
      <w:tblGrid>
        <w:gridCol w:w="1985"/>
        <w:gridCol w:w="1984"/>
        <w:gridCol w:w="1985"/>
      </w:tblGrid>
      <w:tr w:rsidR="000F16EB" w:rsidRPr="003D7103" w14:paraId="22DE6F77" w14:textId="77777777" w:rsidTr="00A7521D">
        <w:trPr>
          <w:jc w:val="center"/>
        </w:trPr>
        <w:tc>
          <w:tcPr>
            <w:tcW w:w="1985" w:type="dxa"/>
            <w:tcBorders>
              <w:top w:val="single" w:sz="4" w:space="0" w:color="auto"/>
              <w:bottom w:val="single" w:sz="4" w:space="0" w:color="auto"/>
            </w:tcBorders>
          </w:tcPr>
          <w:p w14:paraId="2BA2F85D" w14:textId="77777777" w:rsidR="000F16EB" w:rsidRPr="003D7103" w:rsidRDefault="000F16EB" w:rsidP="00A7521D">
            <w:pPr>
              <w:spacing w:after="0" w:line="240" w:lineRule="auto"/>
              <w:jc w:val="center"/>
            </w:pPr>
            <w:r w:rsidRPr="003D7103">
              <w:t>Population density (people per km</w:t>
            </w:r>
            <w:r w:rsidRPr="00E84325">
              <w:rPr>
                <w:vertAlign w:val="superscript"/>
              </w:rPr>
              <w:t>2</w:t>
            </w:r>
            <w:r w:rsidRPr="003D7103">
              <w:t>)</w:t>
            </w:r>
          </w:p>
        </w:tc>
        <w:tc>
          <w:tcPr>
            <w:tcW w:w="1984" w:type="dxa"/>
            <w:tcBorders>
              <w:top w:val="single" w:sz="4" w:space="0" w:color="auto"/>
              <w:bottom w:val="single" w:sz="4" w:space="0" w:color="auto"/>
            </w:tcBorders>
          </w:tcPr>
          <w:p w14:paraId="261ED6B0" w14:textId="77777777" w:rsidR="000F16EB" w:rsidRPr="003D7103" w:rsidRDefault="000F16EB" w:rsidP="00A7521D">
            <w:pPr>
              <w:spacing w:after="0" w:line="240" w:lineRule="auto"/>
              <w:jc w:val="center"/>
            </w:pPr>
            <w:r w:rsidRPr="003D7103">
              <w:t>Yearly energy density (MWh/km</w:t>
            </w:r>
            <w:r w:rsidRPr="00E84325">
              <w:rPr>
                <w:vertAlign w:val="superscript"/>
              </w:rPr>
              <w:t>2</w:t>
            </w:r>
            <w:r w:rsidRPr="003D7103">
              <w:t>)</w:t>
            </w:r>
          </w:p>
        </w:tc>
        <w:tc>
          <w:tcPr>
            <w:tcW w:w="1985" w:type="dxa"/>
            <w:tcBorders>
              <w:top w:val="single" w:sz="4" w:space="0" w:color="auto"/>
              <w:bottom w:val="single" w:sz="4" w:space="0" w:color="auto"/>
            </w:tcBorders>
          </w:tcPr>
          <w:p w14:paraId="081EDBAF" w14:textId="77777777" w:rsidR="000F16EB" w:rsidRPr="003D7103" w:rsidRDefault="000F16EB" w:rsidP="00A7521D">
            <w:pPr>
              <w:spacing w:after="0" w:line="240" w:lineRule="auto"/>
              <w:jc w:val="center"/>
            </w:pPr>
            <w:r w:rsidRPr="003D7103">
              <w:t>Average power density (MW/</w:t>
            </w:r>
            <w:r>
              <w:t>k</w:t>
            </w:r>
            <w:r w:rsidRPr="003D7103">
              <w:t>m</w:t>
            </w:r>
            <w:r w:rsidRPr="00E84325">
              <w:rPr>
                <w:vertAlign w:val="superscript"/>
              </w:rPr>
              <w:t>2</w:t>
            </w:r>
            <w:r w:rsidRPr="003D7103">
              <w:t>)</w:t>
            </w:r>
          </w:p>
        </w:tc>
      </w:tr>
      <w:tr w:rsidR="000F16EB" w:rsidRPr="003D7103" w14:paraId="02737A53" w14:textId="77777777" w:rsidTr="00A7521D">
        <w:trPr>
          <w:jc w:val="center"/>
        </w:trPr>
        <w:tc>
          <w:tcPr>
            <w:tcW w:w="1985" w:type="dxa"/>
            <w:tcBorders>
              <w:top w:val="single" w:sz="4" w:space="0" w:color="auto"/>
            </w:tcBorders>
          </w:tcPr>
          <w:p w14:paraId="4A66E61F" w14:textId="77777777" w:rsidR="000F16EB" w:rsidRPr="003D7103" w:rsidRDefault="000F16EB" w:rsidP="00A7521D">
            <w:pPr>
              <w:spacing w:after="0" w:line="240" w:lineRule="auto"/>
              <w:jc w:val="center"/>
            </w:pPr>
            <w:r w:rsidRPr="003D7103">
              <w:t>0 – 1,000</w:t>
            </w:r>
          </w:p>
        </w:tc>
        <w:tc>
          <w:tcPr>
            <w:tcW w:w="1984" w:type="dxa"/>
            <w:tcBorders>
              <w:top w:val="single" w:sz="4" w:space="0" w:color="auto"/>
            </w:tcBorders>
          </w:tcPr>
          <w:p w14:paraId="68970E73" w14:textId="77777777" w:rsidR="000F16EB" w:rsidRPr="003D7103" w:rsidRDefault="000F16EB" w:rsidP="00A7521D">
            <w:pPr>
              <w:spacing w:after="0" w:line="240" w:lineRule="auto"/>
              <w:jc w:val="center"/>
            </w:pPr>
            <w:r w:rsidRPr="003D7103">
              <w:t>0 – 8,600</w:t>
            </w:r>
          </w:p>
        </w:tc>
        <w:tc>
          <w:tcPr>
            <w:tcW w:w="1985" w:type="dxa"/>
            <w:tcBorders>
              <w:top w:val="single" w:sz="4" w:space="0" w:color="auto"/>
            </w:tcBorders>
          </w:tcPr>
          <w:p w14:paraId="06122DCB" w14:textId="77777777" w:rsidR="000F16EB" w:rsidRPr="003D7103" w:rsidRDefault="000F16EB" w:rsidP="00A7521D">
            <w:pPr>
              <w:spacing w:after="0" w:line="240" w:lineRule="auto"/>
              <w:jc w:val="center"/>
            </w:pPr>
            <w:r w:rsidRPr="003D7103">
              <w:t>0 – 2.9</w:t>
            </w:r>
          </w:p>
        </w:tc>
      </w:tr>
      <w:tr w:rsidR="000F16EB" w:rsidRPr="003D7103" w14:paraId="4EA26ADC" w14:textId="77777777" w:rsidTr="00A7521D">
        <w:trPr>
          <w:jc w:val="center"/>
        </w:trPr>
        <w:tc>
          <w:tcPr>
            <w:tcW w:w="1985" w:type="dxa"/>
          </w:tcPr>
          <w:p w14:paraId="232870C3" w14:textId="77777777" w:rsidR="000F16EB" w:rsidRPr="003D7103" w:rsidRDefault="000F16EB" w:rsidP="00A7521D">
            <w:pPr>
              <w:spacing w:after="0" w:line="240" w:lineRule="auto"/>
              <w:jc w:val="center"/>
            </w:pPr>
            <w:r w:rsidRPr="003D7103">
              <w:t>1,000 – 3,000</w:t>
            </w:r>
          </w:p>
        </w:tc>
        <w:tc>
          <w:tcPr>
            <w:tcW w:w="1984" w:type="dxa"/>
          </w:tcPr>
          <w:p w14:paraId="617A9B91" w14:textId="77777777" w:rsidR="000F16EB" w:rsidRPr="003D7103" w:rsidRDefault="000F16EB" w:rsidP="00A7521D">
            <w:pPr>
              <w:spacing w:after="0" w:line="240" w:lineRule="auto"/>
              <w:jc w:val="center"/>
            </w:pPr>
            <w:r w:rsidRPr="003D7103">
              <w:t>8,600 – 26,000</w:t>
            </w:r>
          </w:p>
        </w:tc>
        <w:tc>
          <w:tcPr>
            <w:tcW w:w="1985" w:type="dxa"/>
          </w:tcPr>
          <w:p w14:paraId="37AEF965" w14:textId="77777777" w:rsidR="000F16EB" w:rsidRPr="003D7103" w:rsidRDefault="000F16EB" w:rsidP="00A7521D">
            <w:pPr>
              <w:spacing w:after="0" w:line="240" w:lineRule="auto"/>
              <w:jc w:val="center"/>
            </w:pPr>
            <w:r w:rsidRPr="003D7103">
              <w:t>2.9 – 8.6</w:t>
            </w:r>
          </w:p>
        </w:tc>
      </w:tr>
      <w:tr w:rsidR="000F16EB" w:rsidRPr="003D7103" w14:paraId="15B5D6E4" w14:textId="77777777" w:rsidTr="00A7521D">
        <w:trPr>
          <w:jc w:val="center"/>
        </w:trPr>
        <w:tc>
          <w:tcPr>
            <w:tcW w:w="1985" w:type="dxa"/>
          </w:tcPr>
          <w:p w14:paraId="47EA6B97" w14:textId="77777777" w:rsidR="000F16EB" w:rsidRPr="003D7103" w:rsidRDefault="000F16EB" w:rsidP="00A7521D">
            <w:pPr>
              <w:spacing w:after="0" w:line="240" w:lineRule="auto"/>
              <w:jc w:val="center"/>
            </w:pPr>
            <w:r w:rsidRPr="003D7103">
              <w:t>3,000 – 5,000</w:t>
            </w:r>
          </w:p>
        </w:tc>
        <w:tc>
          <w:tcPr>
            <w:tcW w:w="1984" w:type="dxa"/>
          </w:tcPr>
          <w:p w14:paraId="072E4864" w14:textId="77777777" w:rsidR="000F16EB" w:rsidRPr="003D7103" w:rsidRDefault="000F16EB" w:rsidP="00A7521D">
            <w:pPr>
              <w:spacing w:after="0" w:line="240" w:lineRule="auto"/>
              <w:jc w:val="center"/>
            </w:pPr>
            <w:r w:rsidRPr="003D7103">
              <w:t>26,000 – 43,200</w:t>
            </w:r>
          </w:p>
        </w:tc>
        <w:tc>
          <w:tcPr>
            <w:tcW w:w="1985" w:type="dxa"/>
          </w:tcPr>
          <w:p w14:paraId="159BD137" w14:textId="77777777" w:rsidR="000F16EB" w:rsidRPr="003D7103" w:rsidRDefault="000F16EB" w:rsidP="00A7521D">
            <w:pPr>
              <w:spacing w:after="0" w:line="240" w:lineRule="auto"/>
              <w:jc w:val="center"/>
            </w:pPr>
            <w:r w:rsidRPr="003D7103">
              <w:t>8.6 – 14.4</w:t>
            </w:r>
          </w:p>
        </w:tc>
      </w:tr>
      <w:tr w:rsidR="000F16EB" w:rsidRPr="003D7103" w14:paraId="69FB06F2" w14:textId="77777777" w:rsidTr="00A7521D">
        <w:trPr>
          <w:jc w:val="center"/>
        </w:trPr>
        <w:tc>
          <w:tcPr>
            <w:tcW w:w="1985" w:type="dxa"/>
          </w:tcPr>
          <w:p w14:paraId="7C01AD3C" w14:textId="77777777" w:rsidR="000F16EB" w:rsidRPr="003D7103" w:rsidRDefault="000F16EB" w:rsidP="00A7521D">
            <w:pPr>
              <w:spacing w:after="0" w:line="240" w:lineRule="auto"/>
              <w:jc w:val="center"/>
            </w:pPr>
            <w:r w:rsidRPr="003D7103">
              <w:t>5,000 – 7,000</w:t>
            </w:r>
          </w:p>
        </w:tc>
        <w:tc>
          <w:tcPr>
            <w:tcW w:w="1984" w:type="dxa"/>
          </w:tcPr>
          <w:p w14:paraId="675FD0C7" w14:textId="77777777" w:rsidR="000F16EB" w:rsidRPr="003D7103" w:rsidRDefault="000F16EB" w:rsidP="00A7521D">
            <w:pPr>
              <w:spacing w:after="0" w:line="240" w:lineRule="auto"/>
              <w:jc w:val="center"/>
            </w:pPr>
            <w:r w:rsidRPr="003D7103">
              <w:t>43,200 – 60,500</w:t>
            </w:r>
          </w:p>
        </w:tc>
        <w:tc>
          <w:tcPr>
            <w:tcW w:w="1985" w:type="dxa"/>
          </w:tcPr>
          <w:p w14:paraId="61D95767" w14:textId="77777777" w:rsidR="000F16EB" w:rsidRPr="003D7103" w:rsidRDefault="000F16EB" w:rsidP="00A7521D">
            <w:pPr>
              <w:spacing w:after="0" w:line="240" w:lineRule="auto"/>
              <w:jc w:val="center"/>
            </w:pPr>
            <w:r w:rsidRPr="003D7103">
              <w:t>14.4 – 20.2</w:t>
            </w:r>
          </w:p>
        </w:tc>
      </w:tr>
      <w:tr w:rsidR="000F16EB" w:rsidRPr="003D7103" w14:paraId="6E24BA6C" w14:textId="77777777" w:rsidTr="00A7521D">
        <w:trPr>
          <w:jc w:val="center"/>
        </w:trPr>
        <w:tc>
          <w:tcPr>
            <w:tcW w:w="1985" w:type="dxa"/>
            <w:tcBorders>
              <w:bottom w:val="single" w:sz="4" w:space="0" w:color="auto"/>
            </w:tcBorders>
          </w:tcPr>
          <w:p w14:paraId="5E466DC5" w14:textId="77777777" w:rsidR="000F16EB" w:rsidRPr="003D7103" w:rsidRDefault="000F16EB" w:rsidP="00A7521D">
            <w:pPr>
              <w:spacing w:after="0" w:line="240" w:lineRule="auto"/>
              <w:jc w:val="center"/>
            </w:pPr>
            <w:r w:rsidRPr="003D7103">
              <w:t>7,000 – 9,000</w:t>
            </w:r>
          </w:p>
        </w:tc>
        <w:tc>
          <w:tcPr>
            <w:tcW w:w="1984" w:type="dxa"/>
            <w:tcBorders>
              <w:bottom w:val="single" w:sz="4" w:space="0" w:color="auto"/>
            </w:tcBorders>
          </w:tcPr>
          <w:p w14:paraId="4EEE0212" w14:textId="77777777" w:rsidR="000F16EB" w:rsidRPr="003D7103" w:rsidRDefault="000F16EB" w:rsidP="00A7521D">
            <w:pPr>
              <w:spacing w:after="0" w:line="240" w:lineRule="auto"/>
              <w:jc w:val="center"/>
            </w:pPr>
            <w:r w:rsidRPr="003D7103">
              <w:t>60,500 – 77,800</w:t>
            </w:r>
          </w:p>
        </w:tc>
        <w:tc>
          <w:tcPr>
            <w:tcW w:w="1985" w:type="dxa"/>
            <w:tcBorders>
              <w:bottom w:val="single" w:sz="4" w:space="0" w:color="auto"/>
            </w:tcBorders>
          </w:tcPr>
          <w:p w14:paraId="1BD24EC6" w14:textId="77777777" w:rsidR="000F16EB" w:rsidRPr="003D7103" w:rsidRDefault="000F16EB" w:rsidP="00A7521D">
            <w:pPr>
              <w:spacing w:after="0" w:line="240" w:lineRule="auto"/>
              <w:jc w:val="center"/>
            </w:pPr>
            <w:r w:rsidRPr="003D7103">
              <w:t>20.2 – 25.9</w:t>
            </w:r>
          </w:p>
        </w:tc>
      </w:tr>
    </w:tbl>
    <w:p w14:paraId="1210BFCB" w14:textId="77777777" w:rsidR="000F16EB" w:rsidRPr="00147A2B" w:rsidRDefault="000F16EB" w:rsidP="00196CD6">
      <w:pPr>
        <w:pStyle w:val="NoSpacing"/>
      </w:pPr>
    </w:p>
    <w:p w14:paraId="279A7A48" w14:textId="07626706" w:rsidR="000F16EB" w:rsidRDefault="000F16EB" w:rsidP="000F16EB">
      <w:r>
        <w:t xml:space="preserve">The domestic HD densities for </w:t>
      </w:r>
      <w:r w:rsidRPr="003D7103">
        <w:t>Bakewell, Darley Dale</w:t>
      </w:r>
      <w:r>
        <w:t>,</w:t>
      </w:r>
      <w:r w:rsidRPr="003D7103">
        <w:t xml:space="preserve"> and Matlock</w:t>
      </w:r>
      <w:r>
        <w:t xml:space="preserve"> are shown in </w:t>
      </w:r>
      <w:r>
        <w:fldChar w:fldCharType="begin"/>
      </w:r>
      <w:r>
        <w:instrText xml:space="preserve"> REF _Ref465951850 \h </w:instrText>
      </w:r>
      <w:r>
        <w:fldChar w:fldCharType="separate"/>
      </w:r>
      <w:r w:rsidR="00CB7456" w:rsidRPr="003D7103">
        <w:t xml:space="preserve">Figure </w:t>
      </w:r>
      <w:r w:rsidR="00CB7456">
        <w:rPr>
          <w:noProof/>
        </w:rPr>
        <w:t>3</w:t>
      </w:r>
      <w:r w:rsidR="00CB7456">
        <w:t>.</w:t>
      </w:r>
      <w:r w:rsidR="00CB7456">
        <w:rPr>
          <w:noProof/>
        </w:rPr>
        <w:t>7</w:t>
      </w:r>
      <w:r>
        <w:fldChar w:fldCharType="end"/>
      </w:r>
      <w:r>
        <w:t xml:space="preserve">, </w:t>
      </w:r>
      <w:r>
        <w:fldChar w:fldCharType="begin"/>
      </w:r>
      <w:r>
        <w:instrText xml:space="preserve"> REF _Ref466290963 \h </w:instrText>
      </w:r>
      <w:r>
        <w:fldChar w:fldCharType="separate"/>
      </w:r>
      <w:r w:rsidR="00CB7456" w:rsidRPr="003D7103">
        <w:t xml:space="preserve">Figure </w:t>
      </w:r>
      <w:r w:rsidR="00CB7456">
        <w:rPr>
          <w:noProof/>
        </w:rPr>
        <w:t>3</w:t>
      </w:r>
      <w:r w:rsidR="00CB7456">
        <w:t>.</w:t>
      </w:r>
      <w:r w:rsidR="00CB7456">
        <w:rPr>
          <w:noProof/>
        </w:rPr>
        <w:t>8</w:t>
      </w:r>
      <w:r>
        <w:fldChar w:fldCharType="end"/>
      </w:r>
      <w:r>
        <w:t xml:space="preserve">, and </w:t>
      </w:r>
      <w:r>
        <w:fldChar w:fldCharType="begin"/>
      </w:r>
      <w:r>
        <w:instrText xml:space="preserve"> REF _Ref466291019 \h </w:instrText>
      </w:r>
      <w:r>
        <w:fldChar w:fldCharType="separate"/>
      </w:r>
      <w:r w:rsidR="00CB7456" w:rsidRPr="003D7103">
        <w:t xml:space="preserve">Figure </w:t>
      </w:r>
      <w:r w:rsidR="00CB7456">
        <w:rPr>
          <w:noProof/>
        </w:rPr>
        <w:t>3</w:t>
      </w:r>
      <w:r w:rsidR="00CB7456">
        <w:t>.</w:t>
      </w:r>
      <w:r w:rsidR="00CB7456">
        <w:rPr>
          <w:noProof/>
        </w:rPr>
        <w:t>9</w:t>
      </w:r>
      <w:r>
        <w:fldChar w:fldCharType="end"/>
      </w:r>
      <w:r>
        <w:t xml:space="preserve">. The three areas had zones with HD densities of at least </w:t>
      </w:r>
      <w:r w:rsidRPr="003D7103">
        <w:t>2.9</w:t>
      </w:r>
      <w:r>
        <w:t> – </w:t>
      </w:r>
      <w:r w:rsidRPr="003D7103">
        <w:t>8.6</w:t>
      </w:r>
      <w:r>
        <w:t> </w:t>
      </w:r>
      <w:r w:rsidRPr="003D7103">
        <w:t>MW/km</w:t>
      </w:r>
      <w:r w:rsidRPr="00E84325">
        <w:rPr>
          <w:vertAlign w:val="superscript"/>
        </w:rPr>
        <w:t>2</w:t>
      </w:r>
      <w:r w:rsidRPr="003D7103">
        <w:t>.</w:t>
      </w:r>
      <w:r>
        <w:t xml:space="preserve"> Each of the three areas had zones with HD densities of </w:t>
      </w:r>
      <w:r w:rsidRPr="003D7103">
        <w:t>between 8.6</w:t>
      </w:r>
      <w:r>
        <w:t> – </w:t>
      </w:r>
      <w:r w:rsidRPr="003D7103">
        <w:t>14.4, 14.4</w:t>
      </w:r>
      <w:r>
        <w:t> </w:t>
      </w:r>
      <w:r w:rsidRPr="003D7103">
        <w:t>–</w:t>
      </w:r>
      <w:r>
        <w:t> </w:t>
      </w:r>
      <w:r w:rsidRPr="003D7103">
        <w:t>20.2 and 20.2 – 25.9 MW/km</w:t>
      </w:r>
      <w:r w:rsidRPr="00E84325">
        <w:rPr>
          <w:vertAlign w:val="superscript"/>
        </w:rPr>
        <w:t>2</w:t>
      </w:r>
      <w:r w:rsidRPr="003D7103">
        <w:t>.</w:t>
      </w:r>
      <w:r>
        <w:t xml:space="preserve"> </w:t>
      </w:r>
      <w:r w:rsidRPr="003D7103">
        <w:t>Bakewell, Darley Dale and Matlock</w:t>
      </w:r>
      <w:r>
        <w:t xml:space="preserve"> all had HD densities sufficiently high to meet the government threshold. Whilst </w:t>
      </w:r>
      <w:r>
        <w:fldChar w:fldCharType="begin"/>
      </w:r>
      <w:r>
        <w:instrText xml:space="preserve"> REF _Ref466983793 \h </w:instrText>
      </w:r>
      <w:r>
        <w:fldChar w:fldCharType="separate"/>
      </w:r>
      <w:r w:rsidR="00CB7456" w:rsidRPr="003D7103">
        <w:t xml:space="preserve">Figure </w:t>
      </w:r>
      <w:r w:rsidR="00CB7456">
        <w:rPr>
          <w:noProof/>
        </w:rPr>
        <w:t>3</w:t>
      </w:r>
      <w:r w:rsidR="00CB7456">
        <w:t>.</w:t>
      </w:r>
      <w:r w:rsidR="00CB7456">
        <w:rPr>
          <w:noProof/>
        </w:rPr>
        <w:t>6</w:t>
      </w:r>
      <w:r>
        <w:fldChar w:fldCharType="end"/>
      </w:r>
      <w:r>
        <w:t xml:space="preserve"> shows </w:t>
      </w:r>
      <w:r>
        <w:lastRenderedPageBreak/>
        <w:t xml:space="preserve">that </w:t>
      </w:r>
      <w:proofErr w:type="spellStart"/>
      <w:r>
        <w:t>Youlgreave</w:t>
      </w:r>
      <w:proofErr w:type="spellEnd"/>
      <w:r>
        <w:t xml:space="preserve"> had an area with a HD density high enough to meet the government threshold, it barely met the threshold and the zone was small. As a result, the non-technical user is advised to only prioritise the areas of </w:t>
      </w:r>
      <w:r w:rsidRPr="003D7103">
        <w:t>Bakewell, Darley Dale</w:t>
      </w:r>
      <w:r>
        <w:t>,</w:t>
      </w:r>
      <w:r w:rsidRPr="003D7103">
        <w:t xml:space="preserve"> and Matlock</w:t>
      </w:r>
      <w:r>
        <w:t xml:space="preserve"> for connection to the DHN. </w:t>
      </w:r>
      <w:proofErr w:type="spellStart"/>
      <w:r>
        <w:t>Youlgreave</w:t>
      </w:r>
      <w:proofErr w:type="spellEnd"/>
      <w:r>
        <w:t xml:space="preserve"> could be connected at a later date, dependent on the total network costs and revenues. </w:t>
      </w:r>
    </w:p>
    <w:p w14:paraId="6C51E416" w14:textId="77777777" w:rsidR="000F16EB" w:rsidRDefault="000F16EB" w:rsidP="000F16EB">
      <w:proofErr w:type="spellStart"/>
      <w:r>
        <w:t>Rowsley</w:t>
      </w:r>
      <w:proofErr w:type="spellEnd"/>
      <w:r>
        <w:t>, due to its location between Darley Dale and Bakewell and near to the suggested network route should also be prioritised as an initial area to connect to the DHN. Matlock Bath and Cromford do not meet the guidelines for profitable DH and are not located on the already existing network route. Therefore, it is not suggested that these areas are prioritised with connection to the DHN.</w:t>
      </w:r>
    </w:p>
    <w:p w14:paraId="1CA80838" w14:textId="77777777" w:rsidR="000F16EB" w:rsidRPr="003D7103" w:rsidRDefault="000F16EB" w:rsidP="000F16EB">
      <w:pPr>
        <w:keepNext/>
        <w:jc w:val="center"/>
      </w:pPr>
      <w:r w:rsidRPr="003D7103">
        <w:rPr>
          <w:noProof/>
          <w:lang w:eastAsia="en-GB"/>
        </w:rPr>
        <w:drawing>
          <wp:inline distT="0" distB="0" distL="0" distR="0" wp14:anchorId="08AAB64F" wp14:editId="1820AA80">
            <wp:extent cx="5040000" cy="3050820"/>
            <wp:effectExtent l="19050" t="19050" r="27305" b="16510"/>
            <wp:docPr id="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l="17949" t="29379" r="6274" b="6464"/>
                    <a:stretch>
                      <a:fillRect/>
                    </a:stretch>
                  </pic:blipFill>
                  <pic:spPr bwMode="auto">
                    <a:xfrm>
                      <a:off x="0" y="0"/>
                      <a:ext cx="5040000" cy="3050820"/>
                    </a:xfrm>
                    <a:prstGeom prst="rect">
                      <a:avLst/>
                    </a:prstGeom>
                    <a:noFill/>
                    <a:ln>
                      <a:solidFill>
                        <a:schemeClr val="tx1"/>
                      </a:solidFill>
                    </a:ln>
                  </pic:spPr>
                </pic:pic>
              </a:graphicData>
            </a:graphic>
          </wp:inline>
        </w:drawing>
      </w:r>
    </w:p>
    <w:p w14:paraId="7550194B" w14:textId="5C4CF916" w:rsidR="000F16EB" w:rsidRPr="003D7103" w:rsidRDefault="000F16EB" w:rsidP="000F16EB">
      <w:pPr>
        <w:pStyle w:val="Caption"/>
      </w:pPr>
      <w:bookmarkStart w:id="471" w:name="_Ref465951850"/>
      <w:bookmarkStart w:id="472" w:name="_Toc468265811"/>
      <w:bookmarkStart w:id="473" w:name="_Toc525230079"/>
      <w:bookmarkStart w:id="474" w:name="_Toc7187627"/>
      <w:r w:rsidRPr="003D7103">
        <w:t xml:space="preserve">Figure </w:t>
      </w:r>
      <w:fldSimple w:instr=" STYLEREF 1 \s ">
        <w:r w:rsidR="00CB7456">
          <w:rPr>
            <w:noProof/>
          </w:rPr>
          <w:t>3</w:t>
        </w:r>
      </w:fldSimple>
      <w:r w:rsidR="007B29C3">
        <w:t>.</w:t>
      </w:r>
      <w:fldSimple w:instr=" SEQ Figure \* ARABIC \s 1 ">
        <w:r w:rsidR="00CB7456">
          <w:rPr>
            <w:noProof/>
          </w:rPr>
          <w:t>7</w:t>
        </w:r>
      </w:fldSimple>
      <w:bookmarkEnd w:id="471"/>
      <w:r>
        <w:t>:</w:t>
      </w:r>
      <w:r w:rsidRPr="003D7103">
        <w:t xml:space="preserve"> Population</w:t>
      </w:r>
      <w:r>
        <w:t xml:space="preserve"> and HD densities</w:t>
      </w:r>
      <w:r w:rsidRPr="003D7103">
        <w:t xml:space="preserve"> of </w:t>
      </w:r>
      <w:r w:rsidRPr="0040484F">
        <w:t>Bakewell</w:t>
      </w:r>
      <w:bookmarkEnd w:id="472"/>
      <w:r w:rsidRPr="0040484F">
        <w:t xml:space="preserve"> </w:t>
      </w:r>
      <w:r w:rsidRPr="0040484F">
        <w:fldChar w:fldCharType="begin" w:fldLock="1"/>
      </w:r>
      <w:r w:rsidR="002A6A73" w:rsidRPr="0040484F">
        <w:instrText>ADDIN CSL_CITATION {"citationItems":[{"id":"ITEM-1","itemData":{"author":[{"dropping-particle":"","family":"ONS","given":"","non-dropping-particle":"","parse-names":false,"suffix":""}],"id":"ITEM-1","issued":{"date-parts":[["2011"]]},"publisher-place":"London, England","title":"QS102EW - Population density","type":"report"},"uris":["http://www.mendeley.com/documents/?uuid=5fbffc5f-5e5a-4572-8a50-8efce6540647"]},{"id":"ITEM-2","itemData":{"author":[{"dropping-particle":"","family":"GEOFABRIK","given":"","non-dropping-particle":"","parse-names":false,"suffix":""}],"id":"ITEM-2","issued":{"date-parts":[["2017"]]},"publisher":"GEOFABRIK","publisher-place":"Karlsruhe, Germany","title":"Open Street Map","type":"article"},"uris":["http://www.mendeley.com/documents/?uuid=65f85c94-cbf2-4744-8258-97666b93bc39"]}],"mendeley":{"formattedCitation":"(ONS, 2011b; GEOFABRIK, 2017)","plainTextFormattedCitation":"(ONS, 2011b; GEOFABRIK, 2017)","previouslyFormattedCitation":"(ONS, 2011b; GEOFABRIK, 2017)"},"properties":{"noteIndex":0},"schema":"https://github.com/citation-style-language/schema/raw/master/csl-citation.json"}</w:instrText>
      </w:r>
      <w:r w:rsidRPr="0040484F">
        <w:fldChar w:fldCharType="separate"/>
      </w:r>
      <w:r w:rsidR="002A6A73" w:rsidRPr="0040484F">
        <w:rPr>
          <w:noProof/>
        </w:rPr>
        <w:t>(ONS, 2011b; GEOFABRIK, 2017)</w:t>
      </w:r>
      <w:r w:rsidRPr="0040484F">
        <w:fldChar w:fldCharType="end"/>
      </w:r>
      <w:r w:rsidRPr="0040484F">
        <w:t>.</w:t>
      </w:r>
      <w:bookmarkEnd w:id="473"/>
      <w:bookmarkEnd w:id="474"/>
    </w:p>
    <w:p w14:paraId="1CE740FE" w14:textId="77777777" w:rsidR="000F16EB" w:rsidRPr="003D7103" w:rsidRDefault="000F16EB" w:rsidP="000F16EB">
      <w:pPr>
        <w:keepNext/>
        <w:jc w:val="center"/>
      </w:pPr>
      <w:r w:rsidRPr="003D7103">
        <w:rPr>
          <w:noProof/>
          <w:lang w:eastAsia="en-GB"/>
        </w:rPr>
        <w:lastRenderedPageBreak/>
        <w:drawing>
          <wp:inline distT="0" distB="0" distL="0" distR="0" wp14:anchorId="3839B403" wp14:editId="18BBA3D2">
            <wp:extent cx="5040000" cy="4099955"/>
            <wp:effectExtent l="19050" t="19050" r="27305" b="15240"/>
            <wp:docPr id="2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cstate="print">
                      <a:extLst>
                        <a:ext uri="{28A0092B-C50C-407E-A947-70E740481C1C}">
                          <a14:useLocalDpi xmlns:a14="http://schemas.microsoft.com/office/drawing/2010/main" val="0"/>
                        </a:ext>
                      </a:extLst>
                    </a:blip>
                    <a:srcRect l="24599" t="14102"/>
                    <a:stretch>
                      <a:fillRect/>
                    </a:stretch>
                  </pic:blipFill>
                  <pic:spPr bwMode="auto">
                    <a:xfrm>
                      <a:off x="0" y="0"/>
                      <a:ext cx="5040000" cy="4099955"/>
                    </a:xfrm>
                    <a:prstGeom prst="rect">
                      <a:avLst/>
                    </a:prstGeom>
                    <a:noFill/>
                    <a:ln>
                      <a:solidFill>
                        <a:schemeClr val="tx1"/>
                      </a:solidFill>
                    </a:ln>
                  </pic:spPr>
                </pic:pic>
              </a:graphicData>
            </a:graphic>
          </wp:inline>
        </w:drawing>
      </w:r>
    </w:p>
    <w:p w14:paraId="6EB515BB" w14:textId="0655F7AE" w:rsidR="000F16EB" w:rsidRPr="00147A2B" w:rsidRDefault="000F16EB" w:rsidP="000F16EB">
      <w:pPr>
        <w:pStyle w:val="Caption"/>
      </w:pPr>
      <w:bookmarkStart w:id="475" w:name="_Ref466290963"/>
      <w:bookmarkStart w:id="476" w:name="_Toc468265812"/>
      <w:bookmarkStart w:id="477" w:name="_Toc525230080"/>
      <w:bookmarkStart w:id="478" w:name="_Toc7187628"/>
      <w:r w:rsidRPr="003D7103">
        <w:t xml:space="preserve">Figure </w:t>
      </w:r>
      <w:fldSimple w:instr=" STYLEREF 1 \s ">
        <w:r w:rsidR="00CB7456">
          <w:rPr>
            <w:noProof/>
          </w:rPr>
          <w:t>3</w:t>
        </w:r>
      </w:fldSimple>
      <w:r w:rsidR="007B29C3">
        <w:t>.</w:t>
      </w:r>
      <w:fldSimple w:instr=" SEQ Figure \* ARABIC \s 1 ">
        <w:r w:rsidR="00CB7456">
          <w:rPr>
            <w:noProof/>
          </w:rPr>
          <w:t>8</w:t>
        </w:r>
      </w:fldSimple>
      <w:bookmarkEnd w:id="475"/>
      <w:r>
        <w:rPr>
          <w:noProof/>
        </w:rPr>
        <w:t>:</w:t>
      </w:r>
      <w:r w:rsidRPr="003D7103">
        <w:t xml:space="preserve"> Population </w:t>
      </w:r>
      <w:r>
        <w:t>and HD densities</w:t>
      </w:r>
      <w:r w:rsidRPr="003D7103">
        <w:t xml:space="preserve"> of </w:t>
      </w:r>
      <w:r w:rsidRPr="003B6751">
        <w:t xml:space="preserve">Darley </w:t>
      </w:r>
      <w:r w:rsidRPr="00826452">
        <w:t>Dale</w:t>
      </w:r>
      <w:bookmarkEnd w:id="476"/>
      <w:r w:rsidRPr="00826452">
        <w:t xml:space="preserve"> </w:t>
      </w:r>
      <w:r w:rsidRPr="00826452">
        <w:fldChar w:fldCharType="begin" w:fldLock="1"/>
      </w:r>
      <w:r w:rsidR="002A6A73" w:rsidRPr="00826452">
        <w:instrText>ADDIN CSL_CITATION {"citationItems":[{"id":"ITEM-1","itemData":{"author":[{"dropping-particle":"","family":"ONS","given":"","non-dropping-particle":"","parse-names":false,"suffix":""}],"id":"ITEM-1","issued":{"date-parts":[["2011"]]},"publisher-place":"London, England","title":"QS102EW - Population density","type":"report"},"uris":["http://www.mendeley.com/documents/?uuid=5fbffc5f-5e5a-4572-8a50-8efce6540647"]},{"id":"ITEM-2","itemData":{"author":[{"dropping-particle":"","family":"GEOFABRIK","given":"","non-dropping-particle":"","parse-names":false,"suffix":""}],"id":"ITEM-2","issued":{"date-parts":[["2017"]]},"publisher":"GEOFABRIK","publisher-place":"Karlsruhe, Germany","title":"Open Street Map","type":"article"},"uris":["http://www.mendeley.com/documents/?uuid=65f85c94-cbf2-4744-8258-97666b93bc39"]}],"mendeley":{"formattedCitation":"(ONS, 2011b; GEOFABRIK, 2017)","plainTextFormattedCitation":"(ONS, 2011b; GEOFABRIK, 2017)","previouslyFormattedCitation":"(ONS, 2011b; GEOFABRIK, 2017)"},"properties":{"noteIndex":0},"schema":"https://github.com/citation-style-language/schema/raw/master/csl-citation.json"}</w:instrText>
      </w:r>
      <w:r w:rsidRPr="00826452">
        <w:fldChar w:fldCharType="separate"/>
      </w:r>
      <w:r w:rsidR="002A6A73" w:rsidRPr="00826452">
        <w:rPr>
          <w:noProof/>
        </w:rPr>
        <w:t>(ONS, 2011b; GEOFABRIK, 2017)</w:t>
      </w:r>
      <w:r w:rsidRPr="00826452">
        <w:fldChar w:fldCharType="end"/>
      </w:r>
      <w:r w:rsidRPr="00826452">
        <w:t>.</w:t>
      </w:r>
      <w:bookmarkEnd w:id="477"/>
      <w:bookmarkEnd w:id="478"/>
    </w:p>
    <w:p w14:paraId="340F8F62" w14:textId="77777777" w:rsidR="000F16EB" w:rsidRPr="003D7103" w:rsidRDefault="000F16EB" w:rsidP="000F16EB">
      <w:pPr>
        <w:keepNext/>
        <w:jc w:val="center"/>
      </w:pPr>
      <w:r w:rsidRPr="003D7103">
        <w:rPr>
          <w:noProof/>
          <w:lang w:eastAsia="en-GB"/>
        </w:rPr>
        <w:drawing>
          <wp:inline distT="0" distB="0" distL="0" distR="0" wp14:anchorId="718862C3" wp14:editId="1841CAE1">
            <wp:extent cx="5040000" cy="3926384"/>
            <wp:effectExtent l="19050" t="19050" r="27305" b="17145"/>
            <wp:docPr id="2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cstate="print">
                      <a:extLst>
                        <a:ext uri="{28A0092B-C50C-407E-A947-70E740481C1C}">
                          <a14:useLocalDpi xmlns:a14="http://schemas.microsoft.com/office/drawing/2010/main" val="0"/>
                        </a:ext>
                      </a:extLst>
                    </a:blip>
                    <a:srcRect t="19737" r="26208"/>
                    <a:stretch>
                      <a:fillRect/>
                    </a:stretch>
                  </pic:blipFill>
                  <pic:spPr bwMode="auto">
                    <a:xfrm>
                      <a:off x="0" y="0"/>
                      <a:ext cx="5040000" cy="3926384"/>
                    </a:xfrm>
                    <a:prstGeom prst="rect">
                      <a:avLst/>
                    </a:prstGeom>
                    <a:noFill/>
                    <a:ln>
                      <a:solidFill>
                        <a:schemeClr val="tx1"/>
                      </a:solidFill>
                    </a:ln>
                  </pic:spPr>
                </pic:pic>
              </a:graphicData>
            </a:graphic>
          </wp:inline>
        </w:drawing>
      </w:r>
    </w:p>
    <w:p w14:paraId="53FC8488" w14:textId="47AD4D55" w:rsidR="000F16EB" w:rsidRPr="003A609A" w:rsidRDefault="000F16EB" w:rsidP="000F16EB">
      <w:pPr>
        <w:pStyle w:val="Caption"/>
      </w:pPr>
      <w:bookmarkStart w:id="479" w:name="_Ref466291019"/>
      <w:bookmarkStart w:id="480" w:name="_Toc468265813"/>
      <w:bookmarkStart w:id="481" w:name="_Toc525230081"/>
      <w:bookmarkStart w:id="482" w:name="_Toc7187629"/>
      <w:r w:rsidRPr="003D7103">
        <w:t xml:space="preserve">Figure </w:t>
      </w:r>
      <w:fldSimple w:instr=" STYLEREF 1 \s ">
        <w:r w:rsidR="00CB7456">
          <w:rPr>
            <w:noProof/>
          </w:rPr>
          <w:t>3</w:t>
        </w:r>
      </w:fldSimple>
      <w:r w:rsidR="007B29C3">
        <w:t>.</w:t>
      </w:r>
      <w:fldSimple w:instr=" SEQ Figure \* ARABIC \s 1 ">
        <w:r w:rsidR="00CB7456">
          <w:rPr>
            <w:noProof/>
          </w:rPr>
          <w:t>9</w:t>
        </w:r>
      </w:fldSimple>
      <w:bookmarkEnd w:id="479"/>
      <w:r>
        <w:rPr>
          <w:noProof/>
        </w:rPr>
        <w:t>:</w:t>
      </w:r>
      <w:r w:rsidRPr="003D7103">
        <w:t xml:space="preserve"> Population</w:t>
      </w:r>
      <w:r>
        <w:t xml:space="preserve"> and HD densities</w:t>
      </w:r>
      <w:r w:rsidRPr="003D7103">
        <w:t xml:space="preserve"> </w:t>
      </w:r>
      <w:r w:rsidRPr="00147A2B">
        <w:t xml:space="preserve">of </w:t>
      </w:r>
      <w:r w:rsidRPr="00826452">
        <w:t>Matlock</w:t>
      </w:r>
      <w:bookmarkEnd w:id="480"/>
      <w:r w:rsidRPr="00826452">
        <w:t xml:space="preserve"> </w:t>
      </w:r>
      <w:r w:rsidRPr="00826452">
        <w:fldChar w:fldCharType="begin" w:fldLock="1"/>
      </w:r>
      <w:r w:rsidR="002A6A73" w:rsidRPr="00826452">
        <w:instrText>ADDIN CSL_CITATION {"citationItems":[{"id":"ITEM-1","itemData":{"author":[{"dropping-particle":"","family":"ONS","given":"","non-dropping-particle":"","parse-names":false,"suffix":""}],"id":"ITEM-1","issued":{"date-parts":[["2011"]]},"publisher-place":"London, England","title":"QS102EW - Population density","type":"report"},"uris":["http://www.mendeley.com/documents/?uuid=5fbffc5f-5e5a-4572-8a50-8efce6540647"]},{"id":"ITEM-2","itemData":{"author":[{"dropping-particle":"","family":"GEOFABRIK","given":"","non-dropping-particle":"","parse-names":false,"suffix":""}],"id":"ITEM-2","issued":{"date-parts":[["2017"]]},"publisher":"GEOFABRIK","publisher-place":"Karlsruhe, Germany","title":"Open Street Map","type":"article"},"uris":["http://www.mendeley.com/documents/?uuid=65f85c94-cbf2-4744-8258-97666b93bc39"]}],"mendeley":{"formattedCitation":"(ONS, 2011b; GEOFABRIK, 2017)","plainTextFormattedCitation":"(ONS, 2011b; GEOFABRIK, 2017)","previouslyFormattedCitation":"(ONS, 2011b; GEOFABRIK, 2017)"},"properties":{"noteIndex":0},"schema":"https://github.com/citation-style-language/schema/raw/master/csl-citation.json"}</w:instrText>
      </w:r>
      <w:r w:rsidRPr="00826452">
        <w:fldChar w:fldCharType="separate"/>
      </w:r>
      <w:r w:rsidR="002A6A73" w:rsidRPr="00826452">
        <w:rPr>
          <w:noProof/>
        </w:rPr>
        <w:t>(ONS, 2011b; GEOFABRIK, 2017)</w:t>
      </w:r>
      <w:r w:rsidRPr="00826452">
        <w:fldChar w:fldCharType="end"/>
      </w:r>
      <w:r w:rsidRPr="00826452">
        <w:t>.</w:t>
      </w:r>
      <w:bookmarkEnd w:id="481"/>
      <w:bookmarkEnd w:id="482"/>
    </w:p>
    <w:p w14:paraId="19753EC2" w14:textId="77777777" w:rsidR="000F16EB" w:rsidRDefault="000F16EB" w:rsidP="000F16EB">
      <w:pPr>
        <w:pStyle w:val="Heading3"/>
      </w:pPr>
      <w:bookmarkStart w:id="483" w:name="_Toc525229998"/>
      <w:bookmarkStart w:id="484" w:name="_Toc7187513"/>
      <w:r>
        <w:lastRenderedPageBreak/>
        <w:t>Heat Mapping Validation</w:t>
      </w:r>
      <w:bookmarkEnd w:id="483"/>
      <w:bookmarkEnd w:id="484"/>
    </w:p>
    <w:p w14:paraId="41F55ACA" w14:textId="41101D45" w:rsidR="000F16EB" w:rsidRDefault="000F16EB" w:rsidP="000F16EB">
      <w:r>
        <w:t xml:space="preserve">It is insufficient to propose a heat mapping model, use the model and state that the results are accurate. Instead the model needs validation, either internal or external. The modelling technique was proposed by </w:t>
      </w:r>
      <w:r w:rsidRPr="00C54042">
        <w:rPr>
          <w:noProof/>
        </w:rPr>
        <w:t>Parsons Brinckerhoff</w:t>
      </w:r>
      <w:r>
        <w:rPr>
          <w:noProof/>
        </w:rPr>
        <w:t>,</w:t>
      </w:r>
      <w:r>
        <w:t xml:space="preserve"> an engineering consultancy who have confidence in their model and extensive industrial operation. The reputation of </w:t>
      </w:r>
      <w:r w:rsidRPr="00C54042">
        <w:rPr>
          <w:noProof/>
        </w:rPr>
        <w:t>Parsons Brinckerhoff</w:t>
      </w:r>
      <w:r>
        <w:t xml:space="preserve"> provides some of the external validation needed to prove that the modelling technique is accurate </w:t>
      </w:r>
      <w:r>
        <w:fldChar w:fldCharType="begin" w:fldLock="1"/>
      </w:r>
      <w:r w:rsidR="002A6A73">
        <w:instrText>ADDIN CSL_CITATION {"citationItems":[{"id":"ITEM-1","itemData":{"author":[{"dropping-particle":"","family":"Parsons Brinckerhoff","given":"","non-dropping-particle":"","parse-names":false,"suffix":""}],"id":"ITEM-1","issue":"May","issued":{"date-parts":[["2011"]]},"publisher-place":"London, England","title":"A District Heating Utility for the Tees Valley: Study into the strategic use of waste heat and supply of private sector customers","type":"report"},"uris":["http://www.mendeley.com/documents/?uuid=5e08822c-bb7b-4846-8fd8-71bc94ccfc29"]}],"mendeley":{"formattedCitation":"(Parsons Brinckerhoff, 2011)","plainTextFormattedCitation":"(Parsons Brinckerhoff, 2011)","previouslyFormattedCitation":"(Parsons Brinckerhoff, 2011)"},"properties":{"noteIndex":0},"schema":"https://github.com/citation-style-language/schema/raw/master/csl-citation.json"}</w:instrText>
      </w:r>
      <w:r>
        <w:fldChar w:fldCharType="separate"/>
      </w:r>
      <w:r w:rsidR="002A6A73" w:rsidRPr="002A6A73">
        <w:rPr>
          <w:noProof/>
        </w:rPr>
        <w:t>(Parsons Brinckerhoff, 2011)</w:t>
      </w:r>
      <w:r>
        <w:fldChar w:fldCharType="end"/>
      </w:r>
      <w:r>
        <w:t>.</w:t>
      </w:r>
    </w:p>
    <w:p w14:paraId="7CA8C7B4" w14:textId="29C9D54F" w:rsidR="000F16EB" w:rsidRDefault="000F16EB" w:rsidP="000F16EB">
      <w:r>
        <w:t xml:space="preserve">Further external validation was provided by comparing the heat mapping methodology used in the thesis to existing heat mapping work. </w:t>
      </w:r>
      <w:r w:rsidRPr="003D7103">
        <w:t xml:space="preserve">DECC published a heat map </w:t>
      </w:r>
      <w:r>
        <w:t>showing</w:t>
      </w:r>
      <w:r w:rsidRPr="003D7103">
        <w:t xml:space="preserve"> the potential for UK CHP development</w:t>
      </w:r>
      <w:r>
        <w:t xml:space="preserve">, as shown in </w:t>
      </w:r>
      <w:r>
        <w:fldChar w:fldCharType="begin"/>
      </w:r>
      <w:r>
        <w:instrText xml:space="preserve"> REF _Ref522719227 \h  \* MERGEFORMAT </w:instrText>
      </w:r>
      <w:r>
        <w:fldChar w:fldCharType="separate"/>
      </w:r>
      <w:r w:rsidR="00CB7456">
        <w:t xml:space="preserve">Figure </w:t>
      </w:r>
      <w:r w:rsidR="00CB7456">
        <w:rPr>
          <w:noProof/>
        </w:rPr>
        <w:t>3.10</w:t>
      </w:r>
      <w:r>
        <w:fldChar w:fldCharType="end"/>
      </w:r>
      <w:r>
        <w:t xml:space="preserve">a </w:t>
      </w:r>
      <w:r w:rsidRPr="003D7103">
        <w:fldChar w:fldCharType="begin" w:fldLock="1"/>
      </w:r>
      <w:r w:rsidR="002A6A73">
        <w:instrText>ADDIN CSL_CITATION {"citationItems":[{"id":"ITEM-1","itemData":{"ISBN":"9780108508158","author":[{"dropping-particle":"","family":"DECC","given":"","non-dropping-particle":"","parse-names":false,"suffix":""}],"id":"ITEM-1","issued":{"date-parts":[["2009"]]},"publisher-place":"London, England","title":"HEAT AND ENERGY SAVING STRATEGY: Consultation","type":"report"},"uris":["http://www.mendeley.com/documents/?uuid=c859c22b-3035-4801-9bfb-6699a3da9716"]}],"mendeley":{"formattedCitation":"(DECC, 2009a)","plainTextFormattedCitation":"(DECC, 2009a)","previouslyFormattedCitation":"(DECC, 2009a)"},"properties":{"noteIndex":0},"schema":"https://github.com/citation-style-language/schema/raw/master/csl-citation.json"}</w:instrText>
      </w:r>
      <w:r w:rsidRPr="003D7103">
        <w:fldChar w:fldCharType="separate"/>
      </w:r>
      <w:r w:rsidR="002A6A73" w:rsidRPr="002A6A73">
        <w:rPr>
          <w:noProof/>
        </w:rPr>
        <w:t>(DECC, 2009a)</w:t>
      </w:r>
      <w:r w:rsidRPr="003D7103">
        <w:fldChar w:fldCharType="end"/>
      </w:r>
      <w:r>
        <w:t xml:space="preserve">. </w:t>
      </w:r>
      <w:r w:rsidR="0024009E">
        <w:t>The map includes the heat demands for all UK sectors: industrial, commercial, public, and domestic. The map was developed in 2009 and continues to be the industrial standard in 2019. When</w:t>
      </w:r>
      <w:r>
        <w:t xml:space="preserve"> compared to the results of the heat mapping methodology used in this thesis, as shown in </w:t>
      </w:r>
      <w:r>
        <w:fldChar w:fldCharType="begin"/>
      </w:r>
      <w:r>
        <w:instrText xml:space="preserve"> REF _Ref522719227 \h </w:instrText>
      </w:r>
      <w:r>
        <w:fldChar w:fldCharType="separate"/>
      </w:r>
      <w:r w:rsidR="00CB7456">
        <w:t xml:space="preserve">Figure </w:t>
      </w:r>
      <w:r w:rsidR="00CB7456">
        <w:rPr>
          <w:noProof/>
        </w:rPr>
        <w:t>3</w:t>
      </w:r>
      <w:r w:rsidR="00CB7456">
        <w:t>.</w:t>
      </w:r>
      <w:r w:rsidR="00CB7456">
        <w:rPr>
          <w:noProof/>
        </w:rPr>
        <w:t>10</w:t>
      </w:r>
      <w:r>
        <w:fldChar w:fldCharType="end"/>
      </w:r>
      <w:r>
        <w:t xml:space="preserve">b, the maps are similar. The two heat maps show similar HD densities in similar areas. The similarity provided external validation to the heat mapping methodology. </w:t>
      </w:r>
    </w:p>
    <w:p w14:paraId="720239CD" w14:textId="77777777" w:rsidR="000F16EB" w:rsidRDefault="000F16EB" w:rsidP="000F16EB">
      <w:pPr>
        <w:sectPr w:rsidR="000F16EB" w:rsidSect="00E46144">
          <w:pgSz w:w="11906" w:h="16838"/>
          <w:pgMar w:top="1440" w:right="1440" w:bottom="1440" w:left="2268" w:header="709" w:footer="709" w:gutter="0"/>
          <w:pgNumType w:start="1"/>
          <w:cols w:space="708"/>
          <w:docGrid w:linePitch="360"/>
        </w:sectPr>
      </w:pPr>
      <w:r w:rsidRPr="003D7103">
        <w:t>The DECC</w:t>
      </w:r>
      <w:r>
        <w:t xml:space="preserve"> heat</w:t>
      </w:r>
      <w:r w:rsidRPr="003D7103">
        <w:t xml:space="preserve"> map shows </w:t>
      </w:r>
      <w:r>
        <w:t xml:space="preserve">large areas with </w:t>
      </w:r>
      <w:r w:rsidRPr="003D7103">
        <w:t>energy densit</w:t>
      </w:r>
      <w:r>
        <w:t>ies</w:t>
      </w:r>
      <w:r w:rsidRPr="003D7103">
        <w:t xml:space="preserve"> </w:t>
      </w:r>
      <w:r>
        <w:t>of</w:t>
      </w:r>
      <w:r w:rsidRPr="003D7103">
        <w:t xml:space="preserve"> 1,000 – 2,000 MWh/km</w:t>
      </w:r>
      <w:r w:rsidRPr="00E84325">
        <w:rPr>
          <w:vertAlign w:val="superscript"/>
        </w:rPr>
        <w:t>2</w:t>
      </w:r>
      <w:r w:rsidRPr="003D7103">
        <w:t xml:space="preserve"> </w:t>
      </w:r>
      <w:r>
        <w:t>and</w:t>
      </w:r>
      <w:r w:rsidRPr="003D7103">
        <w:t xml:space="preserve"> some areas of 2,000 – 10,000 and 10,000 – 20,000 MWh/km</w:t>
      </w:r>
      <w:r w:rsidRPr="00E84325">
        <w:rPr>
          <w:vertAlign w:val="superscript"/>
        </w:rPr>
        <w:t>2</w:t>
      </w:r>
      <w:r w:rsidRPr="003D7103">
        <w:t xml:space="preserve">. </w:t>
      </w:r>
      <w:r>
        <w:t>The domestic heating mapping methodology introduced in this thesis</w:t>
      </w:r>
      <w:r w:rsidRPr="003D7103">
        <w:t xml:space="preserve"> ignore</w:t>
      </w:r>
      <w:r>
        <w:t>d</w:t>
      </w:r>
      <w:r w:rsidRPr="003D7103">
        <w:t xml:space="preserve"> </w:t>
      </w:r>
      <w:r>
        <w:t>HD</w:t>
      </w:r>
      <w:r w:rsidRPr="003D7103">
        <w:t>s</w:t>
      </w:r>
      <w:r>
        <w:t xml:space="preserve"> of</w:t>
      </w:r>
      <w:r w:rsidRPr="003D7103">
        <w:t xml:space="preserve"> less than 8,700 MWh/km</w:t>
      </w:r>
      <w:r w:rsidRPr="00E84325">
        <w:rPr>
          <w:vertAlign w:val="superscript"/>
        </w:rPr>
        <w:t>2</w:t>
      </w:r>
      <w:r>
        <w:t>, as this is below the threshold for profitable DH</w:t>
      </w:r>
      <w:r w:rsidRPr="003D7103">
        <w:t xml:space="preserve">. </w:t>
      </w:r>
      <w:r>
        <w:t>The map</w:t>
      </w:r>
      <w:r w:rsidRPr="003D7103">
        <w:t xml:space="preserve"> shows </w:t>
      </w:r>
      <w:r>
        <w:t>numerous areas with HD densities</w:t>
      </w:r>
      <w:r w:rsidRPr="003D7103">
        <w:t xml:space="preserve"> </w:t>
      </w:r>
      <w:r>
        <w:t>of</w:t>
      </w:r>
      <w:r w:rsidRPr="003D7103">
        <w:t xml:space="preserve"> 8,700 – 26,000 MWh/km</w:t>
      </w:r>
      <w:r w:rsidRPr="00E84325">
        <w:rPr>
          <w:vertAlign w:val="superscript"/>
        </w:rPr>
        <w:t>2</w:t>
      </w:r>
      <w:r>
        <w:t>,</w:t>
      </w:r>
      <w:r w:rsidRPr="003D7103">
        <w:t xml:space="preserve"> with </w:t>
      </w:r>
      <w:r>
        <w:t xml:space="preserve">some areas </w:t>
      </w:r>
      <w:r w:rsidRPr="003D7103">
        <w:t>of 26,000 – 43,000, 43,000 – 61,000 and 61,000</w:t>
      </w:r>
      <w:r>
        <w:t> </w:t>
      </w:r>
      <w:r w:rsidRPr="003D7103">
        <w:t>–</w:t>
      </w:r>
      <w:r>
        <w:t> </w:t>
      </w:r>
      <w:r w:rsidRPr="003D7103">
        <w:t>78,000 MWh</w:t>
      </w:r>
      <w:r>
        <w:t>/</w:t>
      </w:r>
      <w:r w:rsidRPr="003D7103">
        <w:t>km</w:t>
      </w:r>
      <w:r w:rsidRPr="00E84325">
        <w:rPr>
          <w:vertAlign w:val="superscript"/>
        </w:rPr>
        <w:t>2</w:t>
      </w:r>
      <w:r w:rsidRPr="003D7103">
        <w:t xml:space="preserve">. </w:t>
      </w:r>
      <w:r>
        <w:t xml:space="preserve">The minor differences between the two heat maps were likely to be due to the different scopes and boundary areas used in the methodologies, as well as the different sizes and shapes of the individual areas considered. </w:t>
      </w:r>
    </w:p>
    <w:p w14:paraId="5A705F96" w14:textId="77777777" w:rsidR="000F16EB" w:rsidRDefault="000F16EB" w:rsidP="000F16EB">
      <w:pPr>
        <w:keepNext/>
        <w:jc w:val="left"/>
      </w:pPr>
      <w:r>
        <w:rPr>
          <w:noProof/>
        </w:rPr>
        <w:lastRenderedPageBreak/>
        <w:drawing>
          <wp:inline distT="0" distB="0" distL="0" distR="0" wp14:anchorId="2F10CCEA" wp14:editId="3292092C">
            <wp:extent cx="8931338" cy="3942608"/>
            <wp:effectExtent l="19050" t="19050" r="22225" b="203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Heat mapping comparison.png"/>
                    <pic:cNvPicPr/>
                  </pic:nvPicPr>
                  <pic:blipFill>
                    <a:blip r:embed="rId28">
                      <a:extLst>
                        <a:ext uri="{28A0092B-C50C-407E-A947-70E740481C1C}">
                          <a14:useLocalDpi xmlns:a14="http://schemas.microsoft.com/office/drawing/2010/main" val="0"/>
                        </a:ext>
                      </a:extLst>
                    </a:blip>
                    <a:stretch>
                      <a:fillRect/>
                    </a:stretch>
                  </pic:blipFill>
                  <pic:spPr>
                    <a:xfrm>
                      <a:off x="0" y="0"/>
                      <a:ext cx="8946049" cy="3949102"/>
                    </a:xfrm>
                    <a:prstGeom prst="rect">
                      <a:avLst/>
                    </a:prstGeom>
                    <a:ln>
                      <a:solidFill>
                        <a:schemeClr val="tx1"/>
                      </a:solidFill>
                    </a:ln>
                  </pic:spPr>
                </pic:pic>
              </a:graphicData>
            </a:graphic>
          </wp:inline>
        </w:drawing>
      </w:r>
    </w:p>
    <w:p w14:paraId="240FEFE9" w14:textId="3E85EE30" w:rsidR="000F16EB" w:rsidRPr="00826452" w:rsidRDefault="000F16EB" w:rsidP="000F16EB">
      <w:pPr>
        <w:pStyle w:val="Caption"/>
        <w:jc w:val="left"/>
      </w:pPr>
      <w:bookmarkStart w:id="485" w:name="_Ref522719227"/>
      <w:bookmarkStart w:id="486" w:name="_Toc525230082"/>
      <w:bookmarkStart w:id="487" w:name="_Toc7187630"/>
      <w:r>
        <w:t xml:space="preserve">Figure </w:t>
      </w:r>
      <w:fldSimple w:instr=" STYLEREF 1 \s ">
        <w:r w:rsidR="00CB7456">
          <w:rPr>
            <w:noProof/>
          </w:rPr>
          <w:t>3</w:t>
        </w:r>
      </w:fldSimple>
      <w:r w:rsidR="007B29C3">
        <w:t>.</w:t>
      </w:r>
      <w:fldSimple w:instr=" SEQ Figure \* ARABIC \s 1 ">
        <w:r w:rsidR="00CB7456">
          <w:rPr>
            <w:noProof/>
          </w:rPr>
          <w:t>10</w:t>
        </w:r>
      </w:fldSimple>
      <w:bookmarkEnd w:id="485"/>
      <w:r>
        <w:t xml:space="preserve">a: The </w:t>
      </w:r>
      <w:r w:rsidRPr="003D7103">
        <w:t>U</w:t>
      </w:r>
      <w:r w:rsidRPr="003A609A">
        <w:t xml:space="preserve">K CHP development heat </w:t>
      </w:r>
      <w:r>
        <w:t>map produced</w:t>
      </w:r>
      <w:r w:rsidRPr="003A609A">
        <w:t xml:space="preserve"> for </w:t>
      </w:r>
      <w:r w:rsidRPr="00826452">
        <w:t xml:space="preserve">the case study area </w:t>
      </w:r>
      <w:r w:rsidRPr="00826452">
        <w:fldChar w:fldCharType="begin" w:fldLock="1"/>
      </w:r>
      <w:r w:rsidR="002A6A73" w:rsidRPr="00826452">
        <w:instrText>ADDIN CSL_CITATION {"citationItems":[{"id":"ITEM-1","itemData":{"URL":"http://chptools.decc.gov.uk/developmentmap/#","accessed":{"date-parts":[["2018","9","7"]]},"author":[{"dropping-particle":"","family":"DECC","given":"","non-dropping-particle":"","parse-names":false,"suffix":""}],"id":"ITEM-1","issued":{"date-parts":[["2011"]]},"title":"UK CHP Development Map","type":"webpage"},"uris":["http://www.mendeley.com/documents/?uuid=a64dc9f9-2edc-442f-9aef-d800a8b1bda8"]}],"mendeley":{"formattedCitation":"(DECC, 2011)","plainTextFormattedCitation":"(DECC, 2011)","previouslyFormattedCitation":"(DECC, 2011)"},"properties":{"noteIndex":0},"schema":"https://github.com/citation-style-language/schema/raw/master/csl-citation.json"}</w:instrText>
      </w:r>
      <w:r w:rsidRPr="00826452">
        <w:fldChar w:fldCharType="separate"/>
      </w:r>
      <w:r w:rsidR="002A6A73" w:rsidRPr="00826452">
        <w:rPr>
          <w:noProof/>
        </w:rPr>
        <w:t>(DECC, 2011)</w:t>
      </w:r>
      <w:r w:rsidRPr="00826452">
        <w:fldChar w:fldCharType="end"/>
      </w:r>
      <w:r w:rsidRPr="00826452">
        <w:t xml:space="preserve">. </w:t>
      </w:r>
      <w:r w:rsidRPr="00826452">
        <w:fldChar w:fldCharType="begin"/>
      </w:r>
      <w:r w:rsidRPr="00826452">
        <w:instrText xml:space="preserve"> REF _Ref522719227 \h  \* MERGEFORMAT </w:instrText>
      </w:r>
      <w:r w:rsidRPr="00826452">
        <w:fldChar w:fldCharType="separate"/>
      </w:r>
      <w:r w:rsidR="00CB7456">
        <w:t xml:space="preserve">Figure </w:t>
      </w:r>
      <w:r w:rsidR="00CB7456">
        <w:rPr>
          <w:noProof/>
        </w:rPr>
        <w:t>3.10</w:t>
      </w:r>
      <w:r w:rsidRPr="00826452">
        <w:fldChar w:fldCharType="end"/>
      </w:r>
      <w:r w:rsidRPr="00826452">
        <w:t xml:space="preserve">b, The heat map produced in the thesis </w:t>
      </w:r>
      <w:r w:rsidRPr="00826452">
        <w:fldChar w:fldCharType="begin" w:fldLock="1"/>
      </w:r>
      <w:r w:rsidR="002A6A73" w:rsidRPr="00826452">
        <w:instrText>ADDIN CSL_CITATION {"citationItems":[{"id":"ITEM-1","itemData":{"author":[{"dropping-particle":"","family":"ONS","given":"","non-dropping-particle":"","parse-names":false,"suffix":""}],"id":"ITEM-1","issued":{"date-parts":[["2011"]]},"publisher-place":"London, England","title":"QS102EW - Population density","type":"report"},"uris":["http://www.mendeley.com/documents/?uuid=5fbffc5f-5e5a-4572-8a50-8efce6540647"]},{"id":"ITEM-2","itemData":{"author":[{"dropping-particle":"","family":"GEOFABRIK","given":"","non-dropping-particle":"","parse-names":false,"suffix":""}],"id":"ITEM-2","issued":{"date-parts":[["2017"]]},"publisher":"GEOFABRIK","publisher-place":"Karlsruhe, Germany","title":"Open Street Map","type":"article"},"uris":["http://www.mendeley.com/documents/?uuid=65f85c94-cbf2-4744-8258-97666b93bc39"]}],"mendeley":{"formattedCitation":"(ONS, 2011b; GEOFABRIK, 2017)","plainTextFormattedCitation":"(ONS, 2011b; GEOFABRIK, 2017)","previouslyFormattedCitation":"(ONS, 2011b; GEOFABRIK, 2017)"},"properties":{"noteIndex":0},"schema":"https://github.com/citation-style-language/schema/raw/master/csl-citation.json"}</w:instrText>
      </w:r>
      <w:r w:rsidRPr="00826452">
        <w:fldChar w:fldCharType="separate"/>
      </w:r>
      <w:r w:rsidR="002A6A73" w:rsidRPr="00826452">
        <w:rPr>
          <w:noProof/>
        </w:rPr>
        <w:t>(ONS, 2011b; GEOFABRIK, 2017)</w:t>
      </w:r>
      <w:r w:rsidRPr="00826452">
        <w:fldChar w:fldCharType="end"/>
      </w:r>
      <w:r w:rsidRPr="00826452">
        <w:t>.</w:t>
      </w:r>
      <w:bookmarkEnd w:id="486"/>
      <w:bookmarkEnd w:id="487"/>
    </w:p>
    <w:p w14:paraId="12737F23" w14:textId="77777777" w:rsidR="000F16EB" w:rsidRDefault="000F16EB" w:rsidP="000F16EB">
      <w:pPr>
        <w:jc w:val="left"/>
      </w:pPr>
    </w:p>
    <w:p w14:paraId="73E10BBF" w14:textId="77777777" w:rsidR="000F16EB" w:rsidRDefault="000F16EB" w:rsidP="000F16EB">
      <w:pPr>
        <w:sectPr w:rsidR="000F16EB" w:rsidSect="00A7521D">
          <w:pgSz w:w="16838" w:h="11906" w:orient="landscape"/>
          <w:pgMar w:top="1440" w:right="1440" w:bottom="1440" w:left="1440" w:header="708" w:footer="708" w:gutter="0"/>
          <w:cols w:space="708"/>
          <w:docGrid w:linePitch="360"/>
        </w:sectPr>
      </w:pPr>
    </w:p>
    <w:p w14:paraId="1B8C9AC5" w14:textId="06BB4B70" w:rsidR="000F16EB" w:rsidRDefault="000F16EB" w:rsidP="000F16EB">
      <w:r>
        <w:lastRenderedPageBreak/>
        <w:t xml:space="preserve">The CHP development map calculated the total HD in a highlighted area. The total HD found in the case study area is shown in </w:t>
      </w:r>
      <w:r>
        <w:fldChar w:fldCharType="begin"/>
      </w:r>
      <w:r>
        <w:instrText xml:space="preserve"> REF _Ref468117053 \h </w:instrText>
      </w:r>
      <w:r>
        <w:fldChar w:fldCharType="separate"/>
      </w:r>
      <w:r w:rsidR="00CB7456" w:rsidRPr="003D7103">
        <w:t xml:space="preserve">Table </w:t>
      </w:r>
      <w:r w:rsidR="00CB7456">
        <w:rPr>
          <w:noProof/>
        </w:rPr>
        <w:t>3</w:t>
      </w:r>
      <w:r w:rsidR="00CB7456">
        <w:t>.</w:t>
      </w:r>
      <w:r w:rsidR="00CB7456">
        <w:rPr>
          <w:noProof/>
        </w:rPr>
        <w:t>6</w:t>
      </w:r>
      <w:r>
        <w:fldChar w:fldCharType="end"/>
      </w:r>
      <w:r>
        <w:t>.</w:t>
      </w:r>
    </w:p>
    <w:p w14:paraId="7C1A3F1F" w14:textId="35B1F049" w:rsidR="000F16EB" w:rsidRPr="003D7103" w:rsidRDefault="000F16EB" w:rsidP="000F16EB">
      <w:pPr>
        <w:pStyle w:val="Caption"/>
        <w:keepNext/>
      </w:pPr>
      <w:bookmarkStart w:id="488" w:name="_Ref468117053"/>
      <w:bookmarkStart w:id="489" w:name="_Toc468265826"/>
      <w:bookmarkStart w:id="490" w:name="_Toc525230126"/>
      <w:bookmarkStart w:id="491" w:name="OLE_LINK3"/>
      <w:bookmarkStart w:id="492" w:name="OLE_LINK4"/>
      <w:bookmarkStart w:id="493" w:name="OLE_LINK5"/>
      <w:bookmarkStart w:id="494" w:name="_Toc7187679"/>
      <w:r w:rsidRPr="003D7103">
        <w:t xml:space="preserve">Table </w:t>
      </w:r>
      <w:fldSimple w:instr=" STYLEREF 1 \s ">
        <w:r w:rsidR="00CB7456">
          <w:rPr>
            <w:noProof/>
          </w:rPr>
          <w:t>3</w:t>
        </w:r>
      </w:fldSimple>
      <w:r w:rsidR="009E1A67">
        <w:t>.</w:t>
      </w:r>
      <w:fldSimple w:instr=" SEQ Table \* ARABIC \s 1 ">
        <w:r w:rsidR="00CB7456">
          <w:rPr>
            <w:noProof/>
          </w:rPr>
          <w:t>6</w:t>
        </w:r>
      </w:fldSimple>
      <w:bookmarkEnd w:id="488"/>
      <w:r>
        <w:t>:</w:t>
      </w:r>
      <w:r w:rsidRPr="003D7103">
        <w:t xml:space="preserve"> Total </w:t>
      </w:r>
      <w:r>
        <w:t>HD</w:t>
      </w:r>
      <w:r w:rsidRPr="003D7103">
        <w:t xml:space="preserve"> </w:t>
      </w:r>
      <w:r>
        <w:t xml:space="preserve">in the case study area, as found by the UK CHP </w:t>
      </w:r>
      <w:r w:rsidRPr="00826452">
        <w:t>development map</w:t>
      </w:r>
      <w:r w:rsidR="0024009E">
        <w:t xml:space="preserve"> (accessed in 2019)</w:t>
      </w:r>
      <w:r w:rsidRPr="00826452">
        <w:t xml:space="preserve"> </w:t>
      </w:r>
      <w:r w:rsidRPr="00826452">
        <w:fldChar w:fldCharType="begin" w:fldLock="1"/>
      </w:r>
      <w:r w:rsidR="002A6A73" w:rsidRPr="00826452">
        <w:instrText>ADDIN CSL_CITATION {"citationItems":[{"id":"ITEM-1","itemData":{"URL":"http://chptools.decc.gov.uk/developmentmap/#","accessed":{"date-parts":[["2018","9","7"]]},"author":[{"dropping-particle":"","family":"DECC","given":"","non-dropping-particle":"","parse-names":false,"suffix":""}],"id":"ITEM-1","issued":{"date-parts":[["2011"]]},"title":"UK CHP Development Map","type":"webpage"},"uris":["http://www.mendeley.com/documents/?uuid=a64dc9f9-2edc-442f-9aef-d800a8b1bda8"]}],"mendeley":{"formattedCitation":"(DECC, 2011)","plainTextFormattedCitation":"(DECC, 2011)","previouslyFormattedCitation":"(DECC, 2011)"},"properties":{"noteIndex":0},"schema":"https://github.com/citation-style-language/schema/raw/master/csl-citation.json"}</w:instrText>
      </w:r>
      <w:r w:rsidRPr="00826452">
        <w:fldChar w:fldCharType="separate"/>
      </w:r>
      <w:r w:rsidR="002A6A73" w:rsidRPr="00826452">
        <w:rPr>
          <w:noProof/>
        </w:rPr>
        <w:t>(DECC, 2011)</w:t>
      </w:r>
      <w:r w:rsidRPr="00826452">
        <w:fldChar w:fldCharType="end"/>
      </w:r>
      <w:r w:rsidRPr="00826452">
        <w:t>.</w:t>
      </w:r>
      <w:bookmarkEnd w:id="489"/>
      <w:bookmarkEnd w:id="490"/>
      <w:bookmarkEnd w:id="494"/>
    </w:p>
    <w:tbl>
      <w:tblPr>
        <w:tblW w:w="7476" w:type="dxa"/>
        <w:jc w:val="center"/>
        <w:tblBorders>
          <w:top w:val="single" w:sz="4" w:space="0" w:color="auto"/>
          <w:bottom w:val="single" w:sz="4" w:space="0" w:color="auto"/>
        </w:tblBorders>
        <w:tblLook w:val="00A0" w:firstRow="1" w:lastRow="0" w:firstColumn="1" w:lastColumn="0" w:noHBand="0" w:noVBand="0"/>
      </w:tblPr>
      <w:tblGrid>
        <w:gridCol w:w="1560"/>
        <w:gridCol w:w="3118"/>
        <w:gridCol w:w="2798"/>
      </w:tblGrid>
      <w:tr w:rsidR="000F16EB" w:rsidRPr="003D7103" w14:paraId="34D12A5A" w14:textId="77777777" w:rsidTr="0024009E">
        <w:trPr>
          <w:jc w:val="center"/>
        </w:trPr>
        <w:tc>
          <w:tcPr>
            <w:tcW w:w="1560" w:type="dxa"/>
            <w:tcBorders>
              <w:top w:val="single" w:sz="4" w:space="0" w:color="auto"/>
              <w:bottom w:val="single" w:sz="4" w:space="0" w:color="auto"/>
            </w:tcBorders>
          </w:tcPr>
          <w:p w14:paraId="15F47403" w14:textId="77777777" w:rsidR="000F16EB" w:rsidRPr="003D7103" w:rsidRDefault="000F16EB" w:rsidP="00A7521D">
            <w:pPr>
              <w:spacing w:after="0" w:line="240" w:lineRule="auto"/>
              <w:jc w:val="center"/>
            </w:pPr>
            <w:r w:rsidRPr="003D7103">
              <w:t>Domestic/ non-domestic</w:t>
            </w:r>
          </w:p>
        </w:tc>
        <w:tc>
          <w:tcPr>
            <w:tcW w:w="3118" w:type="dxa"/>
            <w:tcBorders>
              <w:top w:val="single" w:sz="4" w:space="0" w:color="auto"/>
              <w:bottom w:val="single" w:sz="4" w:space="0" w:color="auto"/>
            </w:tcBorders>
          </w:tcPr>
          <w:p w14:paraId="5E13525B" w14:textId="77777777" w:rsidR="000F16EB" w:rsidRPr="003D7103" w:rsidRDefault="000F16EB" w:rsidP="00A7521D">
            <w:pPr>
              <w:spacing w:after="0" w:line="240" w:lineRule="auto"/>
              <w:jc w:val="center"/>
            </w:pPr>
            <w:r w:rsidRPr="003D7103">
              <w:t>Sector</w:t>
            </w:r>
          </w:p>
        </w:tc>
        <w:tc>
          <w:tcPr>
            <w:tcW w:w="2798" w:type="dxa"/>
            <w:tcBorders>
              <w:top w:val="single" w:sz="4" w:space="0" w:color="auto"/>
              <w:bottom w:val="single" w:sz="4" w:space="0" w:color="auto"/>
            </w:tcBorders>
          </w:tcPr>
          <w:p w14:paraId="264B60E6" w14:textId="71FEC35F" w:rsidR="000F16EB" w:rsidRPr="003D7103" w:rsidRDefault="0024009E" w:rsidP="00A7521D">
            <w:pPr>
              <w:spacing w:after="0" w:line="240" w:lineRule="auto"/>
              <w:jc w:val="center"/>
            </w:pPr>
            <w:r>
              <w:t>Yearly h</w:t>
            </w:r>
            <w:r w:rsidR="000F16EB" w:rsidRPr="003D7103">
              <w:t>eat demand (MWh)</w:t>
            </w:r>
          </w:p>
        </w:tc>
      </w:tr>
      <w:tr w:rsidR="000F16EB" w:rsidRPr="003D7103" w14:paraId="520E3078" w14:textId="77777777" w:rsidTr="0024009E">
        <w:trPr>
          <w:jc w:val="center"/>
        </w:trPr>
        <w:tc>
          <w:tcPr>
            <w:tcW w:w="1560" w:type="dxa"/>
            <w:tcBorders>
              <w:top w:val="single" w:sz="4" w:space="0" w:color="auto"/>
              <w:bottom w:val="single" w:sz="4" w:space="0" w:color="auto"/>
            </w:tcBorders>
          </w:tcPr>
          <w:p w14:paraId="57528D85" w14:textId="77777777" w:rsidR="000F16EB" w:rsidRPr="003D7103" w:rsidRDefault="000F16EB" w:rsidP="00A7521D">
            <w:pPr>
              <w:spacing w:after="0" w:line="240" w:lineRule="auto"/>
              <w:jc w:val="center"/>
            </w:pPr>
            <w:r w:rsidRPr="003D7103">
              <w:t>Domestic</w:t>
            </w:r>
          </w:p>
        </w:tc>
        <w:tc>
          <w:tcPr>
            <w:tcW w:w="3118" w:type="dxa"/>
            <w:tcBorders>
              <w:top w:val="single" w:sz="4" w:space="0" w:color="auto"/>
              <w:bottom w:val="single" w:sz="4" w:space="0" w:color="auto"/>
            </w:tcBorders>
          </w:tcPr>
          <w:p w14:paraId="150C0475" w14:textId="77777777" w:rsidR="000F16EB" w:rsidRPr="003D7103" w:rsidRDefault="000F16EB" w:rsidP="00A7521D">
            <w:pPr>
              <w:spacing w:after="0" w:line="240" w:lineRule="auto"/>
              <w:jc w:val="center"/>
            </w:pPr>
            <w:r w:rsidRPr="003D7103">
              <w:t>Domestic</w:t>
            </w:r>
          </w:p>
        </w:tc>
        <w:tc>
          <w:tcPr>
            <w:tcW w:w="2798" w:type="dxa"/>
            <w:tcBorders>
              <w:top w:val="single" w:sz="4" w:space="0" w:color="auto"/>
              <w:bottom w:val="single" w:sz="4" w:space="0" w:color="auto"/>
            </w:tcBorders>
          </w:tcPr>
          <w:p w14:paraId="0913A784" w14:textId="77777777" w:rsidR="000F16EB" w:rsidRPr="003D7103" w:rsidRDefault="000F16EB" w:rsidP="00A7521D">
            <w:pPr>
              <w:spacing w:after="0" w:line="240" w:lineRule="auto"/>
              <w:jc w:val="center"/>
            </w:pPr>
            <w:r w:rsidRPr="003D7103">
              <w:t>322,000</w:t>
            </w:r>
          </w:p>
        </w:tc>
      </w:tr>
      <w:tr w:rsidR="000F16EB" w:rsidRPr="003D7103" w14:paraId="1C48ABF3" w14:textId="77777777" w:rsidTr="0024009E">
        <w:trPr>
          <w:jc w:val="center"/>
        </w:trPr>
        <w:tc>
          <w:tcPr>
            <w:tcW w:w="1560" w:type="dxa"/>
            <w:tcBorders>
              <w:top w:val="single" w:sz="4" w:space="0" w:color="auto"/>
              <w:bottom w:val="nil"/>
            </w:tcBorders>
          </w:tcPr>
          <w:p w14:paraId="05664A4F" w14:textId="77777777" w:rsidR="000F16EB" w:rsidRPr="003D7103" w:rsidRDefault="000F16EB" w:rsidP="00A7521D">
            <w:pPr>
              <w:spacing w:after="0" w:line="240" w:lineRule="auto"/>
              <w:jc w:val="center"/>
            </w:pPr>
            <w:r w:rsidRPr="003D7103">
              <w:t>Non-domestic</w:t>
            </w:r>
          </w:p>
        </w:tc>
        <w:tc>
          <w:tcPr>
            <w:tcW w:w="3118" w:type="dxa"/>
            <w:tcBorders>
              <w:top w:val="single" w:sz="4" w:space="0" w:color="auto"/>
              <w:bottom w:val="nil"/>
            </w:tcBorders>
          </w:tcPr>
          <w:p w14:paraId="403D5C97" w14:textId="77777777" w:rsidR="000F16EB" w:rsidRPr="003D7103" w:rsidRDefault="000F16EB" w:rsidP="00A7521D">
            <w:pPr>
              <w:spacing w:after="0" w:line="240" w:lineRule="auto"/>
              <w:jc w:val="center"/>
            </w:pPr>
            <w:r w:rsidRPr="003D7103">
              <w:t xml:space="preserve">Communications and </w:t>
            </w:r>
            <w:r>
              <w:t>t</w:t>
            </w:r>
            <w:r w:rsidRPr="003D7103">
              <w:t>ransport</w:t>
            </w:r>
          </w:p>
        </w:tc>
        <w:tc>
          <w:tcPr>
            <w:tcW w:w="2798" w:type="dxa"/>
            <w:tcBorders>
              <w:top w:val="single" w:sz="4" w:space="0" w:color="auto"/>
              <w:bottom w:val="nil"/>
            </w:tcBorders>
          </w:tcPr>
          <w:p w14:paraId="0D15E6EC" w14:textId="77777777" w:rsidR="000F16EB" w:rsidRPr="003D7103" w:rsidRDefault="000F16EB" w:rsidP="00A7521D">
            <w:pPr>
              <w:spacing w:after="0" w:line="240" w:lineRule="auto"/>
              <w:jc w:val="center"/>
            </w:pPr>
            <w:r w:rsidRPr="003D7103">
              <w:t>171</w:t>
            </w:r>
          </w:p>
        </w:tc>
      </w:tr>
      <w:tr w:rsidR="000F16EB" w:rsidRPr="003D7103" w14:paraId="683C0883" w14:textId="77777777" w:rsidTr="0024009E">
        <w:trPr>
          <w:jc w:val="center"/>
        </w:trPr>
        <w:tc>
          <w:tcPr>
            <w:tcW w:w="1560" w:type="dxa"/>
            <w:tcBorders>
              <w:top w:val="nil"/>
            </w:tcBorders>
          </w:tcPr>
          <w:p w14:paraId="2AF9564E" w14:textId="77777777" w:rsidR="000F16EB" w:rsidRPr="003D7103" w:rsidRDefault="000F16EB" w:rsidP="00A7521D">
            <w:pPr>
              <w:spacing w:after="0" w:line="240" w:lineRule="auto"/>
              <w:jc w:val="center"/>
            </w:pPr>
          </w:p>
        </w:tc>
        <w:tc>
          <w:tcPr>
            <w:tcW w:w="3118" w:type="dxa"/>
            <w:tcBorders>
              <w:top w:val="nil"/>
            </w:tcBorders>
          </w:tcPr>
          <w:p w14:paraId="3A70BDB0" w14:textId="77777777" w:rsidR="000F16EB" w:rsidRPr="003D7103" w:rsidRDefault="000F16EB" w:rsidP="00A7521D">
            <w:pPr>
              <w:spacing w:after="0" w:line="240" w:lineRule="auto"/>
              <w:jc w:val="center"/>
            </w:pPr>
            <w:r w:rsidRPr="003D7103">
              <w:t xml:space="preserve">Commercial </w:t>
            </w:r>
            <w:r>
              <w:t>o</w:t>
            </w:r>
            <w:r w:rsidRPr="003D7103">
              <w:t>ffices</w:t>
            </w:r>
          </w:p>
        </w:tc>
        <w:tc>
          <w:tcPr>
            <w:tcW w:w="2798" w:type="dxa"/>
            <w:tcBorders>
              <w:top w:val="nil"/>
            </w:tcBorders>
          </w:tcPr>
          <w:p w14:paraId="1229CA21" w14:textId="77777777" w:rsidR="000F16EB" w:rsidRPr="003D7103" w:rsidRDefault="000F16EB" w:rsidP="00A7521D">
            <w:pPr>
              <w:spacing w:after="0" w:line="240" w:lineRule="auto"/>
              <w:jc w:val="center"/>
            </w:pPr>
            <w:r w:rsidRPr="003D7103">
              <w:t>3,240</w:t>
            </w:r>
          </w:p>
        </w:tc>
      </w:tr>
      <w:tr w:rsidR="000F16EB" w:rsidRPr="003D7103" w14:paraId="0F830F2B" w14:textId="77777777" w:rsidTr="0024009E">
        <w:trPr>
          <w:jc w:val="center"/>
        </w:trPr>
        <w:tc>
          <w:tcPr>
            <w:tcW w:w="1560" w:type="dxa"/>
          </w:tcPr>
          <w:p w14:paraId="621F7017" w14:textId="77777777" w:rsidR="000F16EB" w:rsidRPr="003D7103" w:rsidRDefault="000F16EB" w:rsidP="00A7521D">
            <w:pPr>
              <w:spacing w:after="0" w:line="240" w:lineRule="auto"/>
              <w:jc w:val="center"/>
            </w:pPr>
          </w:p>
        </w:tc>
        <w:tc>
          <w:tcPr>
            <w:tcW w:w="3118" w:type="dxa"/>
          </w:tcPr>
          <w:p w14:paraId="6B1C0EC6" w14:textId="77777777" w:rsidR="000F16EB" w:rsidRPr="003D7103" w:rsidRDefault="000F16EB" w:rsidP="00A7521D">
            <w:pPr>
              <w:spacing w:after="0" w:line="240" w:lineRule="auto"/>
              <w:jc w:val="center"/>
            </w:pPr>
            <w:r w:rsidRPr="003D7103">
              <w:t>Education</w:t>
            </w:r>
          </w:p>
        </w:tc>
        <w:tc>
          <w:tcPr>
            <w:tcW w:w="2798" w:type="dxa"/>
          </w:tcPr>
          <w:p w14:paraId="2E6FBBC4" w14:textId="77777777" w:rsidR="000F16EB" w:rsidRPr="003D7103" w:rsidRDefault="000F16EB" w:rsidP="00A7521D">
            <w:pPr>
              <w:spacing w:after="0" w:line="240" w:lineRule="auto"/>
              <w:jc w:val="center"/>
            </w:pPr>
            <w:r w:rsidRPr="003D7103">
              <w:t>5,580</w:t>
            </w:r>
          </w:p>
        </w:tc>
      </w:tr>
      <w:tr w:rsidR="000F16EB" w:rsidRPr="003D7103" w14:paraId="05CD1E2D" w14:textId="77777777" w:rsidTr="0024009E">
        <w:trPr>
          <w:jc w:val="center"/>
        </w:trPr>
        <w:tc>
          <w:tcPr>
            <w:tcW w:w="1560" w:type="dxa"/>
          </w:tcPr>
          <w:p w14:paraId="31E9AA9B" w14:textId="77777777" w:rsidR="000F16EB" w:rsidRPr="003D7103" w:rsidRDefault="000F16EB" w:rsidP="00A7521D">
            <w:pPr>
              <w:spacing w:after="0" w:line="240" w:lineRule="auto"/>
              <w:jc w:val="center"/>
            </w:pPr>
          </w:p>
        </w:tc>
        <w:tc>
          <w:tcPr>
            <w:tcW w:w="3118" w:type="dxa"/>
          </w:tcPr>
          <w:p w14:paraId="6C42C8CF" w14:textId="77777777" w:rsidR="000F16EB" w:rsidRPr="003D7103" w:rsidRDefault="000F16EB" w:rsidP="00A7521D">
            <w:pPr>
              <w:spacing w:after="0" w:line="240" w:lineRule="auto"/>
              <w:jc w:val="center"/>
            </w:pPr>
            <w:r w:rsidRPr="003D7103">
              <w:t xml:space="preserve">Government </w:t>
            </w:r>
            <w:r>
              <w:t>b</w:t>
            </w:r>
            <w:r w:rsidRPr="003D7103">
              <w:t>uildings</w:t>
            </w:r>
          </w:p>
        </w:tc>
        <w:tc>
          <w:tcPr>
            <w:tcW w:w="2798" w:type="dxa"/>
          </w:tcPr>
          <w:p w14:paraId="591E987F" w14:textId="77777777" w:rsidR="000F16EB" w:rsidRPr="003D7103" w:rsidRDefault="000F16EB" w:rsidP="00A7521D">
            <w:pPr>
              <w:spacing w:after="0" w:line="240" w:lineRule="auto"/>
              <w:jc w:val="center"/>
            </w:pPr>
            <w:r w:rsidRPr="003D7103">
              <w:t>4,310</w:t>
            </w:r>
          </w:p>
        </w:tc>
      </w:tr>
      <w:tr w:rsidR="000F16EB" w:rsidRPr="003D7103" w14:paraId="01A93678" w14:textId="77777777" w:rsidTr="0024009E">
        <w:trPr>
          <w:jc w:val="center"/>
        </w:trPr>
        <w:tc>
          <w:tcPr>
            <w:tcW w:w="1560" w:type="dxa"/>
          </w:tcPr>
          <w:p w14:paraId="290B5640" w14:textId="77777777" w:rsidR="000F16EB" w:rsidRPr="003D7103" w:rsidRDefault="000F16EB" w:rsidP="00A7521D">
            <w:pPr>
              <w:spacing w:after="0" w:line="240" w:lineRule="auto"/>
              <w:jc w:val="center"/>
            </w:pPr>
          </w:p>
        </w:tc>
        <w:tc>
          <w:tcPr>
            <w:tcW w:w="3118" w:type="dxa"/>
          </w:tcPr>
          <w:p w14:paraId="32F8AE0B" w14:textId="77777777" w:rsidR="000F16EB" w:rsidRPr="003D7103" w:rsidRDefault="000F16EB" w:rsidP="00A7521D">
            <w:pPr>
              <w:spacing w:after="0" w:line="240" w:lineRule="auto"/>
              <w:jc w:val="center"/>
            </w:pPr>
            <w:r w:rsidRPr="003D7103">
              <w:t>Hotels</w:t>
            </w:r>
          </w:p>
        </w:tc>
        <w:tc>
          <w:tcPr>
            <w:tcW w:w="2798" w:type="dxa"/>
          </w:tcPr>
          <w:p w14:paraId="093998D7" w14:textId="77777777" w:rsidR="000F16EB" w:rsidRPr="003D7103" w:rsidRDefault="000F16EB" w:rsidP="00A7521D">
            <w:pPr>
              <w:spacing w:after="0" w:line="240" w:lineRule="auto"/>
              <w:jc w:val="center"/>
            </w:pPr>
            <w:r w:rsidRPr="003D7103">
              <w:t>3,110</w:t>
            </w:r>
          </w:p>
        </w:tc>
      </w:tr>
      <w:tr w:rsidR="000F16EB" w:rsidRPr="003D7103" w14:paraId="45E71B8B" w14:textId="77777777" w:rsidTr="0024009E">
        <w:trPr>
          <w:jc w:val="center"/>
        </w:trPr>
        <w:tc>
          <w:tcPr>
            <w:tcW w:w="1560" w:type="dxa"/>
          </w:tcPr>
          <w:p w14:paraId="539B3C36" w14:textId="77777777" w:rsidR="000F16EB" w:rsidRPr="003D7103" w:rsidRDefault="000F16EB" w:rsidP="00A7521D">
            <w:pPr>
              <w:spacing w:after="0" w:line="240" w:lineRule="auto"/>
              <w:jc w:val="center"/>
            </w:pPr>
          </w:p>
        </w:tc>
        <w:tc>
          <w:tcPr>
            <w:tcW w:w="3118" w:type="dxa"/>
          </w:tcPr>
          <w:p w14:paraId="0561BA50" w14:textId="77777777" w:rsidR="000F16EB" w:rsidRPr="003D7103" w:rsidRDefault="000F16EB" w:rsidP="00A7521D">
            <w:pPr>
              <w:spacing w:after="0" w:line="240" w:lineRule="auto"/>
              <w:jc w:val="center"/>
            </w:pPr>
            <w:r w:rsidRPr="003D7103">
              <w:t>Health</w:t>
            </w:r>
          </w:p>
        </w:tc>
        <w:tc>
          <w:tcPr>
            <w:tcW w:w="2798" w:type="dxa"/>
          </w:tcPr>
          <w:p w14:paraId="11355413" w14:textId="77777777" w:rsidR="000F16EB" w:rsidRPr="003D7103" w:rsidRDefault="000F16EB" w:rsidP="00A7521D">
            <w:pPr>
              <w:spacing w:after="0" w:line="240" w:lineRule="auto"/>
              <w:jc w:val="center"/>
            </w:pPr>
            <w:r w:rsidRPr="003D7103">
              <w:t>852</w:t>
            </w:r>
          </w:p>
        </w:tc>
      </w:tr>
      <w:tr w:rsidR="000F16EB" w:rsidRPr="003D7103" w14:paraId="59CD0EDE" w14:textId="77777777" w:rsidTr="0024009E">
        <w:trPr>
          <w:jc w:val="center"/>
        </w:trPr>
        <w:tc>
          <w:tcPr>
            <w:tcW w:w="1560" w:type="dxa"/>
          </w:tcPr>
          <w:p w14:paraId="4E1877A4" w14:textId="77777777" w:rsidR="000F16EB" w:rsidRPr="003D7103" w:rsidRDefault="000F16EB" w:rsidP="00A7521D">
            <w:pPr>
              <w:spacing w:after="0" w:line="240" w:lineRule="auto"/>
              <w:jc w:val="center"/>
            </w:pPr>
          </w:p>
        </w:tc>
        <w:tc>
          <w:tcPr>
            <w:tcW w:w="3118" w:type="dxa"/>
          </w:tcPr>
          <w:p w14:paraId="1BB2A7BF" w14:textId="77777777" w:rsidR="000F16EB" w:rsidRPr="003D7103" w:rsidRDefault="000F16EB" w:rsidP="00A7521D">
            <w:pPr>
              <w:spacing w:after="0" w:line="240" w:lineRule="auto"/>
              <w:jc w:val="center"/>
            </w:pPr>
            <w:r w:rsidRPr="003D7103">
              <w:t>Other</w:t>
            </w:r>
          </w:p>
        </w:tc>
        <w:tc>
          <w:tcPr>
            <w:tcW w:w="2798" w:type="dxa"/>
          </w:tcPr>
          <w:p w14:paraId="2FDA03B5" w14:textId="77777777" w:rsidR="000F16EB" w:rsidRPr="003D7103" w:rsidRDefault="000F16EB" w:rsidP="00A7521D">
            <w:pPr>
              <w:spacing w:after="0" w:line="240" w:lineRule="auto"/>
              <w:jc w:val="center"/>
            </w:pPr>
            <w:r w:rsidRPr="003D7103">
              <w:t>787</w:t>
            </w:r>
          </w:p>
        </w:tc>
      </w:tr>
      <w:tr w:rsidR="000F16EB" w:rsidRPr="003D7103" w14:paraId="78F8A94D" w14:textId="77777777" w:rsidTr="0024009E">
        <w:trPr>
          <w:jc w:val="center"/>
        </w:trPr>
        <w:tc>
          <w:tcPr>
            <w:tcW w:w="1560" w:type="dxa"/>
          </w:tcPr>
          <w:p w14:paraId="2AC04BDE" w14:textId="77777777" w:rsidR="000F16EB" w:rsidRPr="003D7103" w:rsidRDefault="000F16EB" w:rsidP="00A7521D">
            <w:pPr>
              <w:spacing w:after="0" w:line="240" w:lineRule="auto"/>
              <w:jc w:val="center"/>
            </w:pPr>
          </w:p>
        </w:tc>
        <w:tc>
          <w:tcPr>
            <w:tcW w:w="3118" w:type="dxa"/>
          </w:tcPr>
          <w:p w14:paraId="2E2B48BC" w14:textId="77777777" w:rsidR="000F16EB" w:rsidRPr="003D7103" w:rsidRDefault="000F16EB" w:rsidP="00A7521D">
            <w:pPr>
              <w:spacing w:after="0" w:line="240" w:lineRule="auto"/>
              <w:jc w:val="center"/>
            </w:pPr>
            <w:r w:rsidRPr="003D7103">
              <w:t xml:space="preserve">Small </w:t>
            </w:r>
            <w:r>
              <w:t>i</w:t>
            </w:r>
            <w:r w:rsidRPr="003D7103">
              <w:t>ndustrial</w:t>
            </w:r>
          </w:p>
        </w:tc>
        <w:tc>
          <w:tcPr>
            <w:tcW w:w="2798" w:type="dxa"/>
          </w:tcPr>
          <w:p w14:paraId="4D9219E8" w14:textId="77777777" w:rsidR="000F16EB" w:rsidRPr="003D7103" w:rsidRDefault="000F16EB" w:rsidP="00A7521D">
            <w:pPr>
              <w:spacing w:after="0" w:line="240" w:lineRule="auto"/>
              <w:jc w:val="center"/>
            </w:pPr>
            <w:r w:rsidRPr="003D7103">
              <w:t>19,500</w:t>
            </w:r>
          </w:p>
        </w:tc>
      </w:tr>
      <w:tr w:rsidR="000F16EB" w:rsidRPr="003D7103" w14:paraId="58CB186E" w14:textId="77777777" w:rsidTr="0024009E">
        <w:trPr>
          <w:jc w:val="center"/>
        </w:trPr>
        <w:tc>
          <w:tcPr>
            <w:tcW w:w="1560" w:type="dxa"/>
          </w:tcPr>
          <w:p w14:paraId="7683EEDF" w14:textId="77777777" w:rsidR="000F16EB" w:rsidRPr="003D7103" w:rsidRDefault="000F16EB" w:rsidP="00A7521D">
            <w:pPr>
              <w:spacing w:after="0" w:line="240" w:lineRule="auto"/>
              <w:jc w:val="center"/>
            </w:pPr>
          </w:p>
        </w:tc>
        <w:tc>
          <w:tcPr>
            <w:tcW w:w="3118" w:type="dxa"/>
          </w:tcPr>
          <w:p w14:paraId="3E6FE39D" w14:textId="77777777" w:rsidR="000F16EB" w:rsidRPr="003D7103" w:rsidRDefault="000F16EB" w:rsidP="00A7521D">
            <w:pPr>
              <w:spacing w:after="0" w:line="240" w:lineRule="auto"/>
              <w:jc w:val="center"/>
            </w:pPr>
            <w:r w:rsidRPr="003D7103">
              <w:t>Retail</w:t>
            </w:r>
          </w:p>
        </w:tc>
        <w:tc>
          <w:tcPr>
            <w:tcW w:w="2798" w:type="dxa"/>
          </w:tcPr>
          <w:p w14:paraId="657BC896" w14:textId="77777777" w:rsidR="000F16EB" w:rsidRPr="003D7103" w:rsidRDefault="000F16EB" w:rsidP="00A7521D">
            <w:pPr>
              <w:spacing w:after="0" w:line="240" w:lineRule="auto"/>
              <w:jc w:val="center"/>
            </w:pPr>
            <w:r w:rsidRPr="003D7103">
              <w:t>3,140</w:t>
            </w:r>
          </w:p>
        </w:tc>
      </w:tr>
      <w:tr w:rsidR="000F16EB" w:rsidRPr="003D7103" w14:paraId="2C4E1578" w14:textId="77777777" w:rsidTr="0024009E">
        <w:trPr>
          <w:jc w:val="center"/>
        </w:trPr>
        <w:tc>
          <w:tcPr>
            <w:tcW w:w="1560" w:type="dxa"/>
          </w:tcPr>
          <w:p w14:paraId="02750A0F" w14:textId="77777777" w:rsidR="000F16EB" w:rsidRPr="003D7103" w:rsidRDefault="000F16EB" w:rsidP="00A7521D">
            <w:pPr>
              <w:spacing w:after="0" w:line="240" w:lineRule="auto"/>
              <w:jc w:val="center"/>
            </w:pPr>
          </w:p>
        </w:tc>
        <w:tc>
          <w:tcPr>
            <w:tcW w:w="3118" w:type="dxa"/>
          </w:tcPr>
          <w:p w14:paraId="5F0F899C" w14:textId="77777777" w:rsidR="000F16EB" w:rsidRPr="003D7103" w:rsidRDefault="000F16EB" w:rsidP="00A7521D">
            <w:pPr>
              <w:spacing w:after="0" w:line="240" w:lineRule="auto"/>
              <w:jc w:val="center"/>
            </w:pPr>
            <w:r w:rsidRPr="003D7103">
              <w:t xml:space="preserve">Sport and </w:t>
            </w:r>
            <w:r>
              <w:t>l</w:t>
            </w:r>
            <w:r w:rsidRPr="003D7103">
              <w:t>eisure</w:t>
            </w:r>
          </w:p>
        </w:tc>
        <w:tc>
          <w:tcPr>
            <w:tcW w:w="2798" w:type="dxa"/>
          </w:tcPr>
          <w:p w14:paraId="721F0D4C" w14:textId="77777777" w:rsidR="000F16EB" w:rsidRPr="003D7103" w:rsidRDefault="000F16EB" w:rsidP="00A7521D">
            <w:pPr>
              <w:spacing w:after="0" w:line="240" w:lineRule="auto"/>
              <w:jc w:val="center"/>
            </w:pPr>
            <w:r w:rsidRPr="003D7103">
              <w:t>503</w:t>
            </w:r>
          </w:p>
        </w:tc>
      </w:tr>
      <w:tr w:rsidR="000F16EB" w:rsidRPr="003D7103" w14:paraId="356B628D" w14:textId="77777777" w:rsidTr="0024009E">
        <w:trPr>
          <w:jc w:val="center"/>
        </w:trPr>
        <w:tc>
          <w:tcPr>
            <w:tcW w:w="1560" w:type="dxa"/>
          </w:tcPr>
          <w:p w14:paraId="4A9A75FC" w14:textId="77777777" w:rsidR="000F16EB" w:rsidRPr="003D7103" w:rsidRDefault="000F16EB" w:rsidP="00A7521D">
            <w:pPr>
              <w:spacing w:after="0" w:line="240" w:lineRule="auto"/>
              <w:jc w:val="center"/>
            </w:pPr>
          </w:p>
        </w:tc>
        <w:tc>
          <w:tcPr>
            <w:tcW w:w="3118" w:type="dxa"/>
            <w:tcBorders>
              <w:bottom w:val="single" w:sz="4" w:space="0" w:color="auto"/>
            </w:tcBorders>
          </w:tcPr>
          <w:p w14:paraId="22AD12C6" w14:textId="77777777" w:rsidR="000F16EB" w:rsidRPr="003D7103" w:rsidRDefault="000F16EB" w:rsidP="00A7521D">
            <w:pPr>
              <w:spacing w:after="0" w:line="240" w:lineRule="auto"/>
              <w:jc w:val="center"/>
            </w:pPr>
            <w:r w:rsidRPr="003D7103">
              <w:t>Warehouses</w:t>
            </w:r>
          </w:p>
        </w:tc>
        <w:tc>
          <w:tcPr>
            <w:tcW w:w="2798" w:type="dxa"/>
            <w:tcBorders>
              <w:bottom w:val="single" w:sz="4" w:space="0" w:color="auto"/>
            </w:tcBorders>
          </w:tcPr>
          <w:p w14:paraId="64B601AE" w14:textId="77777777" w:rsidR="000F16EB" w:rsidRPr="003D7103" w:rsidRDefault="000F16EB" w:rsidP="00A7521D">
            <w:pPr>
              <w:spacing w:after="0" w:line="240" w:lineRule="auto"/>
              <w:jc w:val="center"/>
            </w:pPr>
            <w:r w:rsidRPr="003D7103">
              <w:t>372</w:t>
            </w:r>
          </w:p>
        </w:tc>
      </w:tr>
      <w:tr w:rsidR="000F16EB" w:rsidRPr="003D7103" w14:paraId="5F4A17F9" w14:textId="77777777" w:rsidTr="0024009E">
        <w:trPr>
          <w:jc w:val="center"/>
        </w:trPr>
        <w:tc>
          <w:tcPr>
            <w:tcW w:w="1560" w:type="dxa"/>
            <w:tcBorders>
              <w:bottom w:val="single" w:sz="4" w:space="0" w:color="auto"/>
            </w:tcBorders>
          </w:tcPr>
          <w:p w14:paraId="73B09C1A" w14:textId="77777777" w:rsidR="000F16EB" w:rsidRPr="003D7103" w:rsidRDefault="000F16EB" w:rsidP="00A7521D">
            <w:pPr>
              <w:spacing w:after="0" w:line="240" w:lineRule="auto"/>
              <w:jc w:val="center"/>
            </w:pPr>
          </w:p>
        </w:tc>
        <w:tc>
          <w:tcPr>
            <w:tcW w:w="3118" w:type="dxa"/>
            <w:tcBorders>
              <w:top w:val="single" w:sz="4" w:space="0" w:color="auto"/>
              <w:bottom w:val="single" w:sz="4" w:space="0" w:color="auto"/>
            </w:tcBorders>
          </w:tcPr>
          <w:p w14:paraId="59618C54" w14:textId="77777777" w:rsidR="000F16EB" w:rsidRPr="003D7103" w:rsidRDefault="000F16EB" w:rsidP="00A7521D">
            <w:pPr>
              <w:spacing w:after="0" w:line="240" w:lineRule="auto"/>
              <w:jc w:val="center"/>
            </w:pPr>
            <w:r w:rsidRPr="003D7103">
              <w:t>Total</w:t>
            </w:r>
          </w:p>
        </w:tc>
        <w:tc>
          <w:tcPr>
            <w:tcW w:w="2798" w:type="dxa"/>
            <w:tcBorders>
              <w:top w:val="single" w:sz="4" w:space="0" w:color="auto"/>
              <w:bottom w:val="single" w:sz="4" w:space="0" w:color="auto"/>
            </w:tcBorders>
          </w:tcPr>
          <w:p w14:paraId="0E514829" w14:textId="77777777" w:rsidR="000F16EB" w:rsidRPr="003D7103" w:rsidRDefault="000F16EB" w:rsidP="00A7521D">
            <w:pPr>
              <w:spacing w:after="0" w:line="240" w:lineRule="auto"/>
              <w:jc w:val="center"/>
            </w:pPr>
            <w:r w:rsidRPr="003D7103">
              <w:t>42,000</w:t>
            </w:r>
          </w:p>
        </w:tc>
      </w:tr>
      <w:tr w:rsidR="000F16EB" w:rsidRPr="003D7103" w14:paraId="541D2553" w14:textId="77777777" w:rsidTr="0024009E">
        <w:trPr>
          <w:jc w:val="center"/>
        </w:trPr>
        <w:tc>
          <w:tcPr>
            <w:tcW w:w="4678" w:type="dxa"/>
            <w:gridSpan w:val="2"/>
            <w:tcBorders>
              <w:top w:val="single" w:sz="4" w:space="0" w:color="auto"/>
              <w:bottom w:val="single" w:sz="4" w:space="0" w:color="auto"/>
            </w:tcBorders>
          </w:tcPr>
          <w:p w14:paraId="38868572" w14:textId="77777777" w:rsidR="000F16EB" w:rsidRPr="003D7103" w:rsidRDefault="000F16EB" w:rsidP="00A7521D">
            <w:pPr>
              <w:spacing w:after="0" w:line="240" w:lineRule="auto"/>
              <w:jc w:val="center"/>
            </w:pPr>
            <w:r w:rsidRPr="003D7103">
              <w:t>Total heat load in</w:t>
            </w:r>
            <w:r>
              <w:t xml:space="preserve"> the</w:t>
            </w:r>
            <w:r w:rsidRPr="003D7103">
              <w:t xml:space="preserve"> area</w:t>
            </w:r>
          </w:p>
        </w:tc>
        <w:tc>
          <w:tcPr>
            <w:tcW w:w="2798" w:type="dxa"/>
            <w:tcBorders>
              <w:top w:val="single" w:sz="4" w:space="0" w:color="auto"/>
              <w:bottom w:val="single" w:sz="4" w:space="0" w:color="auto"/>
            </w:tcBorders>
          </w:tcPr>
          <w:p w14:paraId="1BBA4606" w14:textId="77777777" w:rsidR="000F16EB" w:rsidRPr="003D7103" w:rsidRDefault="000F16EB" w:rsidP="00A7521D">
            <w:pPr>
              <w:spacing w:after="0" w:line="240" w:lineRule="auto"/>
              <w:jc w:val="center"/>
            </w:pPr>
            <w:r w:rsidRPr="003D7103">
              <w:t>363,000</w:t>
            </w:r>
          </w:p>
        </w:tc>
      </w:tr>
      <w:bookmarkEnd w:id="491"/>
      <w:bookmarkEnd w:id="492"/>
      <w:bookmarkEnd w:id="493"/>
    </w:tbl>
    <w:p w14:paraId="7D2DD67D" w14:textId="77777777" w:rsidR="000F16EB" w:rsidRDefault="000F16EB" w:rsidP="00196CD6">
      <w:pPr>
        <w:pStyle w:val="NoSpacing"/>
      </w:pPr>
    </w:p>
    <w:p w14:paraId="628A647B" w14:textId="230A4840" w:rsidR="000F16EB" w:rsidRDefault="000F16EB" w:rsidP="000F16EB">
      <w:r>
        <w:fldChar w:fldCharType="begin"/>
      </w:r>
      <w:r>
        <w:instrText xml:space="preserve"> REF _Ref466301705 \h </w:instrText>
      </w:r>
      <w:r>
        <w:fldChar w:fldCharType="separate"/>
      </w:r>
      <w:r w:rsidR="00CB7456" w:rsidRPr="003D7103">
        <w:t xml:space="preserve">Table </w:t>
      </w:r>
      <w:r w:rsidR="00CB7456">
        <w:rPr>
          <w:noProof/>
        </w:rPr>
        <w:t>3</w:t>
      </w:r>
      <w:r w:rsidR="00CB7456">
        <w:t>.</w:t>
      </w:r>
      <w:r w:rsidR="00CB7456">
        <w:rPr>
          <w:noProof/>
        </w:rPr>
        <w:t>7</w:t>
      </w:r>
      <w:r>
        <w:fldChar w:fldCharType="end"/>
      </w:r>
      <w:r>
        <w:t xml:space="preserve"> shows the HD found in the case study area using the methodology outlined in the thesis.</w:t>
      </w:r>
    </w:p>
    <w:p w14:paraId="723DB240" w14:textId="2B46C1D1" w:rsidR="000F16EB" w:rsidRPr="003D7103" w:rsidRDefault="000F16EB" w:rsidP="000F16EB">
      <w:pPr>
        <w:pStyle w:val="Caption"/>
        <w:keepNext/>
      </w:pPr>
      <w:bookmarkStart w:id="495" w:name="_Ref466301705"/>
      <w:bookmarkStart w:id="496" w:name="_Ref467840272"/>
      <w:bookmarkStart w:id="497" w:name="_Toc468265827"/>
      <w:bookmarkStart w:id="498" w:name="_Toc525230127"/>
      <w:bookmarkStart w:id="499" w:name="OLE_LINK1"/>
      <w:bookmarkStart w:id="500" w:name="OLE_LINK2"/>
      <w:bookmarkStart w:id="501" w:name="_Toc7187680"/>
      <w:r w:rsidRPr="003D7103">
        <w:t xml:space="preserve">Table </w:t>
      </w:r>
      <w:fldSimple w:instr=" STYLEREF 1 \s ">
        <w:r w:rsidR="00CB7456">
          <w:rPr>
            <w:noProof/>
          </w:rPr>
          <w:t>3</w:t>
        </w:r>
      </w:fldSimple>
      <w:r w:rsidR="009E1A67">
        <w:t>.</w:t>
      </w:r>
      <w:fldSimple w:instr=" SEQ Table \* ARABIC \s 1 ">
        <w:r w:rsidR="00CB7456">
          <w:rPr>
            <w:noProof/>
          </w:rPr>
          <w:t>7</w:t>
        </w:r>
      </w:fldSimple>
      <w:bookmarkEnd w:id="495"/>
      <w:bookmarkEnd w:id="496"/>
      <w:r>
        <w:t>:</w:t>
      </w:r>
      <w:r w:rsidRPr="003D7103">
        <w:t xml:space="preserve"> Total </w:t>
      </w:r>
      <w:r>
        <w:t>HD in the case study area</w:t>
      </w:r>
      <w:bookmarkEnd w:id="497"/>
      <w:r>
        <w:t>, as found using the methodology outlined in the thesis.</w:t>
      </w:r>
      <w:bookmarkEnd w:id="498"/>
      <w:bookmarkEnd w:id="501"/>
    </w:p>
    <w:tbl>
      <w:tblPr>
        <w:tblW w:w="7470" w:type="dxa"/>
        <w:jc w:val="center"/>
        <w:tblBorders>
          <w:top w:val="single" w:sz="4" w:space="0" w:color="auto"/>
          <w:bottom w:val="single" w:sz="4" w:space="0" w:color="auto"/>
        </w:tblBorders>
        <w:tblLook w:val="00A0" w:firstRow="1" w:lastRow="0" w:firstColumn="1" w:lastColumn="0" w:noHBand="0" w:noVBand="0"/>
      </w:tblPr>
      <w:tblGrid>
        <w:gridCol w:w="1622"/>
        <w:gridCol w:w="3050"/>
        <w:gridCol w:w="2798"/>
      </w:tblGrid>
      <w:tr w:rsidR="000F16EB" w:rsidRPr="003D7103" w14:paraId="148EFB1C" w14:textId="77777777" w:rsidTr="0024009E">
        <w:trPr>
          <w:jc w:val="center"/>
        </w:trPr>
        <w:tc>
          <w:tcPr>
            <w:tcW w:w="1622" w:type="dxa"/>
            <w:tcBorders>
              <w:top w:val="single" w:sz="4" w:space="0" w:color="auto"/>
              <w:bottom w:val="single" w:sz="4" w:space="0" w:color="auto"/>
            </w:tcBorders>
          </w:tcPr>
          <w:p w14:paraId="43EC2CD9" w14:textId="77777777" w:rsidR="000F16EB" w:rsidRPr="003D7103" w:rsidRDefault="000F16EB" w:rsidP="00A7521D">
            <w:pPr>
              <w:spacing w:after="0" w:line="240" w:lineRule="auto"/>
              <w:jc w:val="center"/>
            </w:pPr>
            <w:r w:rsidRPr="003D7103">
              <w:t>Type</w:t>
            </w:r>
          </w:p>
        </w:tc>
        <w:tc>
          <w:tcPr>
            <w:tcW w:w="3050" w:type="dxa"/>
            <w:tcBorders>
              <w:top w:val="single" w:sz="4" w:space="0" w:color="auto"/>
              <w:bottom w:val="single" w:sz="4" w:space="0" w:color="auto"/>
            </w:tcBorders>
          </w:tcPr>
          <w:p w14:paraId="56815460" w14:textId="77777777" w:rsidR="000F16EB" w:rsidRPr="003D7103" w:rsidRDefault="000F16EB" w:rsidP="00A7521D">
            <w:pPr>
              <w:spacing w:after="0" w:line="240" w:lineRule="auto"/>
              <w:jc w:val="center"/>
            </w:pPr>
            <w:r w:rsidRPr="003D7103">
              <w:t>Location</w:t>
            </w:r>
          </w:p>
        </w:tc>
        <w:tc>
          <w:tcPr>
            <w:tcW w:w="2798" w:type="dxa"/>
            <w:tcBorders>
              <w:top w:val="single" w:sz="4" w:space="0" w:color="auto"/>
              <w:bottom w:val="single" w:sz="4" w:space="0" w:color="auto"/>
            </w:tcBorders>
          </w:tcPr>
          <w:p w14:paraId="3A8ED505" w14:textId="73D28C8D" w:rsidR="000F16EB" w:rsidRPr="003D7103" w:rsidRDefault="0024009E" w:rsidP="00A7521D">
            <w:pPr>
              <w:spacing w:after="0" w:line="240" w:lineRule="auto"/>
              <w:jc w:val="center"/>
            </w:pPr>
            <w:r>
              <w:t>Yearly heat</w:t>
            </w:r>
            <w:r w:rsidR="000F16EB" w:rsidRPr="003D7103">
              <w:t xml:space="preserve"> demand (MWh)</w:t>
            </w:r>
          </w:p>
        </w:tc>
      </w:tr>
      <w:tr w:rsidR="000F16EB" w:rsidRPr="003D7103" w14:paraId="00AD9612" w14:textId="77777777" w:rsidTr="0024009E">
        <w:trPr>
          <w:jc w:val="center"/>
        </w:trPr>
        <w:tc>
          <w:tcPr>
            <w:tcW w:w="1622" w:type="dxa"/>
            <w:tcBorders>
              <w:top w:val="single" w:sz="4" w:space="0" w:color="auto"/>
              <w:bottom w:val="nil"/>
            </w:tcBorders>
          </w:tcPr>
          <w:p w14:paraId="4C440FED" w14:textId="77777777" w:rsidR="000F16EB" w:rsidRPr="003D7103" w:rsidRDefault="000F16EB" w:rsidP="00A7521D">
            <w:pPr>
              <w:spacing w:after="0" w:line="240" w:lineRule="auto"/>
              <w:jc w:val="center"/>
            </w:pPr>
            <w:r w:rsidRPr="003D7103">
              <w:t>Non-domestic</w:t>
            </w:r>
          </w:p>
        </w:tc>
        <w:tc>
          <w:tcPr>
            <w:tcW w:w="3050" w:type="dxa"/>
            <w:tcBorders>
              <w:top w:val="single" w:sz="4" w:space="0" w:color="auto"/>
              <w:bottom w:val="nil"/>
            </w:tcBorders>
          </w:tcPr>
          <w:p w14:paraId="6A23DE1F" w14:textId="77777777" w:rsidR="000F16EB" w:rsidRPr="003D7103" w:rsidRDefault="000F16EB" w:rsidP="00A7521D">
            <w:pPr>
              <w:spacing w:after="0" w:line="240" w:lineRule="auto"/>
              <w:jc w:val="center"/>
            </w:pPr>
            <w:r w:rsidRPr="003D7103">
              <w:t>Matlock</w:t>
            </w:r>
          </w:p>
        </w:tc>
        <w:tc>
          <w:tcPr>
            <w:tcW w:w="2798" w:type="dxa"/>
            <w:tcBorders>
              <w:top w:val="single" w:sz="4" w:space="0" w:color="auto"/>
              <w:bottom w:val="nil"/>
            </w:tcBorders>
          </w:tcPr>
          <w:p w14:paraId="7D0D4218" w14:textId="77777777" w:rsidR="000F16EB" w:rsidRPr="003D7103" w:rsidRDefault="000F16EB" w:rsidP="00A7521D">
            <w:pPr>
              <w:spacing w:after="0" w:line="240" w:lineRule="auto"/>
              <w:jc w:val="center"/>
            </w:pPr>
            <w:r w:rsidRPr="003D7103">
              <w:t>24,000</w:t>
            </w:r>
          </w:p>
        </w:tc>
      </w:tr>
      <w:tr w:rsidR="000F16EB" w:rsidRPr="003D7103" w14:paraId="130F1742" w14:textId="77777777" w:rsidTr="0024009E">
        <w:trPr>
          <w:jc w:val="center"/>
        </w:trPr>
        <w:tc>
          <w:tcPr>
            <w:tcW w:w="1622" w:type="dxa"/>
            <w:tcBorders>
              <w:top w:val="nil"/>
            </w:tcBorders>
          </w:tcPr>
          <w:p w14:paraId="1E62F40D" w14:textId="77777777" w:rsidR="000F16EB" w:rsidRPr="003D7103" w:rsidRDefault="000F16EB" w:rsidP="00A7521D">
            <w:pPr>
              <w:spacing w:after="0" w:line="240" w:lineRule="auto"/>
              <w:jc w:val="center"/>
            </w:pPr>
          </w:p>
        </w:tc>
        <w:tc>
          <w:tcPr>
            <w:tcW w:w="3050" w:type="dxa"/>
            <w:tcBorders>
              <w:top w:val="nil"/>
            </w:tcBorders>
          </w:tcPr>
          <w:p w14:paraId="55396373" w14:textId="77777777" w:rsidR="000F16EB" w:rsidRPr="003D7103" w:rsidRDefault="000F16EB" w:rsidP="00A7521D">
            <w:pPr>
              <w:spacing w:after="0" w:line="240" w:lineRule="auto"/>
              <w:jc w:val="center"/>
            </w:pPr>
            <w:r w:rsidRPr="003D7103">
              <w:t>Darley Dale</w:t>
            </w:r>
          </w:p>
        </w:tc>
        <w:tc>
          <w:tcPr>
            <w:tcW w:w="2798" w:type="dxa"/>
            <w:tcBorders>
              <w:top w:val="nil"/>
            </w:tcBorders>
          </w:tcPr>
          <w:p w14:paraId="15A9181F" w14:textId="77777777" w:rsidR="000F16EB" w:rsidRPr="003D7103" w:rsidRDefault="000F16EB" w:rsidP="00A7521D">
            <w:pPr>
              <w:spacing w:after="0" w:line="240" w:lineRule="auto"/>
              <w:jc w:val="center"/>
            </w:pPr>
            <w:r w:rsidRPr="003D7103">
              <w:t>4,100</w:t>
            </w:r>
          </w:p>
        </w:tc>
      </w:tr>
      <w:tr w:rsidR="000F16EB" w:rsidRPr="003D7103" w14:paraId="2E26351A" w14:textId="77777777" w:rsidTr="0024009E">
        <w:trPr>
          <w:jc w:val="center"/>
        </w:trPr>
        <w:tc>
          <w:tcPr>
            <w:tcW w:w="1622" w:type="dxa"/>
          </w:tcPr>
          <w:p w14:paraId="44FC0915" w14:textId="77777777" w:rsidR="000F16EB" w:rsidRPr="003D7103" w:rsidRDefault="000F16EB" w:rsidP="00A7521D">
            <w:pPr>
              <w:spacing w:after="0" w:line="240" w:lineRule="auto"/>
              <w:jc w:val="center"/>
            </w:pPr>
          </w:p>
        </w:tc>
        <w:tc>
          <w:tcPr>
            <w:tcW w:w="3050" w:type="dxa"/>
          </w:tcPr>
          <w:p w14:paraId="13F536C2" w14:textId="77777777" w:rsidR="000F16EB" w:rsidRPr="003D7103" w:rsidRDefault="000F16EB" w:rsidP="00A7521D">
            <w:pPr>
              <w:spacing w:after="0" w:line="240" w:lineRule="auto"/>
              <w:jc w:val="center"/>
            </w:pPr>
            <w:proofErr w:type="spellStart"/>
            <w:r w:rsidRPr="003D7103">
              <w:t>Rowsley</w:t>
            </w:r>
            <w:proofErr w:type="spellEnd"/>
          </w:p>
        </w:tc>
        <w:tc>
          <w:tcPr>
            <w:tcW w:w="2798" w:type="dxa"/>
          </w:tcPr>
          <w:p w14:paraId="414278EF" w14:textId="77777777" w:rsidR="000F16EB" w:rsidRPr="003D7103" w:rsidRDefault="000F16EB" w:rsidP="00A7521D">
            <w:pPr>
              <w:spacing w:after="0" w:line="240" w:lineRule="auto"/>
              <w:jc w:val="center"/>
            </w:pPr>
            <w:r w:rsidRPr="003D7103">
              <w:t>4,600</w:t>
            </w:r>
          </w:p>
        </w:tc>
      </w:tr>
      <w:tr w:rsidR="000F16EB" w:rsidRPr="003D7103" w14:paraId="1CEADBB3" w14:textId="77777777" w:rsidTr="0024009E">
        <w:trPr>
          <w:jc w:val="center"/>
        </w:trPr>
        <w:tc>
          <w:tcPr>
            <w:tcW w:w="1622" w:type="dxa"/>
          </w:tcPr>
          <w:p w14:paraId="0ACFFCD7" w14:textId="77777777" w:rsidR="000F16EB" w:rsidRPr="003D7103" w:rsidRDefault="000F16EB" w:rsidP="00A7521D">
            <w:pPr>
              <w:spacing w:after="0" w:line="240" w:lineRule="auto"/>
              <w:jc w:val="center"/>
            </w:pPr>
          </w:p>
        </w:tc>
        <w:tc>
          <w:tcPr>
            <w:tcW w:w="3050" w:type="dxa"/>
          </w:tcPr>
          <w:p w14:paraId="68238823" w14:textId="77777777" w:rsidR="000F16EB" w:rsidRPr="003D7103" w:rsidRDefault="000F16EB" w:rsidP="00A7521D">
            <w:pPr>
              <w:spacing w:after="0" w:line="240" w:lineRule="auto"/>
              <w:jc w:val="center"/>
            </w:pPr>
            <w:r w:rsidRPr="003D7103">
              <w:t>Bakewell</w:t>
            </w:r>
          </w:p>
        </w:tc>
        <w:tc>
          <w:tcPr>
            <w:tcW w:w="2798" w:type="dxa"/>
          </w:tcPr>
          <w:p w14:paraId="362AA438" w14:textId="77777777" w:rsidR="000F16EB" w:rsidRPr="003D7103" w:rsidRDefault="000F16EB" w:rsidP="00A7521D">
            <w:pPr>
              <w:spacing w:after="0" w:line="240" w:lineRule="auto"/>
              <w:jc w:val="center"/>
            </w:pPr>
            <w:r w:rsidRPr="003D7103">
              <w:t>9,000</w:t>
            </w:r>
          </w:p>
        </w:tc>
      </w:tr>
      <w:tr w:rsidR="000F16EB" w:rsidRPr="003D7103" w14:paraId="45C5A7EE" w14:textId="77777777" w:rsidTr="0024009E">
        <w:trPr>
          <w:jc w:val="center"/>
        </w:trPr>
        <w:tc>
          <w:tcPr>
            <w:tcW w:w="1622" w:type="dxa"/>
          </w:tcPr>
          <w:p w14:paraId="78FB3652" w14:textId="77777777" w:rsidR="000F16EB" w:rsidRPr="003D7103" w:rsidRDefault="000F16EB" w:rsidP="00A7521D">
            <w:pPr>
              <w:spacing w:after="0" w:line="240" w:lineRule="auto"/>
              <w:jc w:val="center"/>
            </w:pPr>
          </w:p>
        </w:tc>
        <w:tc>
          <w:tcPr>
            <w:tcW w:w="3050" w:type="dxa"/>
          </w:tcPr>
          <w:p w14:paraId="585FCEE4" w14:textId="77777777" w:rsidR="000F16EB" w:rsidRPr="003D7103" w:rsidRDefault="000F16EB" w:rsidP="00A7521D">
            <w:pPr>
              <w:spacing w:after="0" w:line="240" w:lineRule="auto"/>
              <w:jc w:val="center"/>
            </w:pPr>
            <w:proofErr w:type="spellStart"/>
            <w:r w:rsidRPr="003D7103">
              <w:t>Youlgreave</w:t>
            </w:r>
            <w:proofErr w:type="spellEnd"/>
          </w:p>
        </w:tc>
        <w:tc>
          <w:tcPr>
            <w:tcW w:w="2798" w:type="dxa"/>
          </w:tcPr>
          <w:p w14:paraId="6E90D844" w14:textId="77777777" w:rsidR="000F16EB" w:rsidRPr="003D7103" w:rsidRDefault="000F16EB" w:rsidP="00A7521D">
            <w:pPr>
              <w:spacing w:after="0" w:line="240" w:lineRule="auto"/>
              <w:jc w:val="center"/>
            </w:pPr>
            <w:r w:rsidRPr="003D7103">
              <w:t>350</w:t>
            </w:r>
          </w:p>
        </w:tc>
      </w:tr>
      <w:tr w:rsidR="000F16EB" w:rsidRPr="003D7103" w14:paraId="1F163CCA" w14:textId="77777777" w:rsidTr="0024009E">
        <w:trPr>
          <w:jc w:val="center"/>
        </w:trPr>
        <w:tc>
          <w:tcPr>
            <w:tcW w:w="1622" w:type="dxa"/>
          </w:tcPr>
          <w:p w14:paraId="4AC83FC9" w14:textId="77777777" w:rsidR="000F16EB" w:rsidRPr="003D7103" w:rsidRDefault="000F16EB" w:rsidP="00A7521D">
            <w:pPr>
              <w:spacing w:after="0" w:line="240" w:lineRule="auto"/>
              <w:jc w:val="center"/>
            </w:pPr>
          </w:p>
        </w:tc>
        <w:tc>
          <w:tcPr>
            <w:tcW w:w="3050" w:type="dxa"/>
          </w:tcPr>
          <w:p w14:paraId="7F43D230" w14:textId="77777777" w:rsidR="000F16EB" w:rsidRPr="003D7103" w:rsidRDefault="000F16EB" w:rsidP="00A7521D">
            <w:pPr>
              <w:spacing w:after="0" w:line="240" w:lineRule="auto"/>
              <w:jc w:val="center"/>
            </w:pPr>
            <w:r w:rsidRPr="003D7103">
              <w:t>Matlock Bath and Cromford</w:t>
            </w:r>
          </w:p>
        </w:tc>
        <w:tc>
          <w:tcPr>
            <w:tcW w:w="2798" w:type="dxa"/>
          </w:tcPr>
          <w:p w14:paraId="67E38946" w14:textId="77777777" w:rsidR="000F16EB" w:rsidRPr="003D7103" w:rsidRDefault="000F16EB" w:rsidP="00A7521D">
            <w:pPr>
              <w:spacing w:after="0" w:line="240" w:lineRule="auto"/>
              <w:jc w:val="center"/>
            </w:pPr>
            <w:r w:rsidRPr="003D7103">
              <w:t>3,200</w:t>
            </w:r>
          </w:p>
        </w:tc>
      </w:tr>
      <w:tr w:rsidR="000F16EB" w:rsidRPr="003D7103" w14:paraId="468E4453" w14:textId="77777777" w:rsidTr="0024009E">
        <w:trPr>
          <w:jc w:val="center"/>
        </w:trPr>
        <w:tc>
          <w:tcPr>
            <w:tcW w:w="1622" w:type="dxa"/>
          </w:tcPr>
          <w:p w14:paraId="3326DC9D" w14:textId="77777777" w:rsidR="000F16EB" w:rsidRPr="003D7103" w:rsidRDefault="000F16EB" w:rsidP="00A7521D">
            <w:pPr>
              <w:spacing w:after="0" w:line="240" w:lineRule="auto"/>
              <w:jc w:val="center"/>
            </w:pPr>
          </w:p>
        </w:tc>
        <w:tc>
          <w:tcPr>
            <w:tcW w:w="3050" w:type="dxa"/>
            <w:tcBorders>
              <w:bottom w:val="single" w:sz="4" w:space="0" w:color="auto"/>
            </w:tcBorders>
          </w:tcPr>
          <w:p w14:paraId="74EA3498" w14:textId="77777777" w:rsidR="000F16EB" w:rsidRPr="003D7103" w:rsidRDefault="000F16EB" w:rsidP="00A7521D">
            <w:pPr>
              <w:tabs>
                <w:tab w:val="right" w:pos="2274"/>
              </w:tabs>
              <w:spacing w:after="0" w:line="240" w:lineRule="auto"/>
              <w:jc w:val="center"/>
            </w:pPr>
            <w:r>
              <w:t>HJE</w:t>
            </w:r>
            <w:r w:rsidRPr="003D7103">
              <w:t xml:space="preserve"> site</w:t>
            </w:r>
          </w:p>
        </w:tc>
        <w:tc>
          <w:tcPr>
            <w:tcW w:w="2798" w:type="dxa"/>
            <w:tcBorders>
              <w:bottom w:val="single" w:sz="4" w:space="0" w:color="auto"/>
            </w:tcBorders>
          </w:tcPr>
          <w:p w14:paraId="57F0A8F3" w14:textId="77777777" w:rsidR="000F16EB" w:rsidRPr="003D7103" w:rsidRDefault="000F16EB" w:rsidP="00A7521D">
            <w:pPr>
              <w:spacing w:after="0" w:line="240" w:lineRule="auto"/>
              <w:jc w:val="center"/>
            </w:pPr>
            <w:r w:rsidRPr="003D7103">
              <w:t>3,800</w:t>
            </w:r>
          </w:p>
        </w:tc>
      </w:tr>
      <w:tr w:rsidR="000F16EB" w:rsidRPr="003D7103" w14:paraId="2C8906D1" w14:textId="77777777" w:rsidTr="0024009E">
        <w:trPr>
          <w:jc w:val="center"/>
        </w:trPr>
        <w:tc>
          <w:tcPr>
            <w:tcW w:w="1622" w:type="dxa"/>
            <w:tcBorders>
              <w:bottom w:val="single" w:sz="4" w:space="0" w:color="auto"/>
            </w:tcBorders>
          </w:tcPr>
          <w:p w14:paraId="5ADFFA05" w14:textId="77777777" w:rsidR="000F16EB" w:rsidRPr="003D7103" w:rsidRDefault="000F16EB" w:rsidP="00A7521D">
            <w:pPr>
              <w:spacing w:after="0" w:line="240" w:lineRule="auto"/>
              <w:jc w:val="center"/>
            </w:pPr>
          </w:p>
        </w:tc>
        <w:tc>
          <w:tcPr>
            <w:tcW w:w="3050" w:type="dxa"/>
            <w:tcBorders>
              <w:top w:val="single" w:sz="4" w:space="0" w:color="auto"/>
              <w:bottom w:val="single" w:sz="4" w:space="0" w:color="auto"/>
            </w:tcBorders>
          </w:tcPr>
          <w:p w14:paraId="5D8771CC" w14:textId="77777777" w:rsidR="000F16EB" w:rsidRPr="003D7103" w:rsidRDefault="000F16EB" w:rsidP="00A7521D">
            <w:pPr>
              <w:tabs>
                <w:tab w:val="right" w:pos="2274"/>
              </w:tabs>
              <w:spacing w:after="0" w:line="240" w:lineRule="auto"/>
              <w:jc w:val="center"/>
            </w:pPr>
            <w:r w:rsidRPr="003D7103">
              <w:t>Total</w:t>
            </w:r>
          </w:p>
        </w:tc>
        <w:tc>
          <w:tcPr>
            <w:tcW w:w="2798" w:type="dxa"/>
            <w:tcBorders>
              <w:top w:val="single" w:sz="4" w:space="0" w:color="auto"/>
              <w:bottom w:val="single" w:sz="4" w:space="0" w:color="auto"/>
            </w:tcBorders>
          </w:tcPr>
          <w:p w14:paraId="3025931A" w14:textId="77777777" w:rsidR="000F16EB" w:rsidRPr="003D7103" w:rsidRDefault="000F16EB" w:rsidP="00A7521D">
            <w:pPr>
              <w:spacing w:after="0" w:line="240" w:lineRule="auto"/>
              <w:jc w:val="center"/>
            </w:pPr>
            <w:r w:rsidRPr="003D7103">
              <w:t>49,000</w:t>
            </w:r>
          </w:p>
        </w:tc>
      </w:tr>
      <w:tr w:rsidR="000F16EB" w:rsidRPr="003D7103" w14:paraId="10729852" w14:textId="77777777" w:rsidTr="0024009E">
        <w:trPr>
          <w:jc w:val="center"/>
        </w:trPr>
        <w:tc>
          <w:tcPr>
            <w:tcW w:w="1622" w:type="dxa"/>
            <w:tcBorders>
              <w:top w:val="single" w:sz="4" w:space="0" w:color="auto"/>
              <w:bottom w:val="nil"/>
            </w:tcBorders>
          </w:tcPr>
          <w:p w14:paraId="1FD74683" w14:textId="77777777" w:rsidR="000F16EB" w:rsidRPr="003D7103" w:rsidRDefault="000F16EB" w:rsidP="00A7521D">
            <w:pPr>
              <w:spacing w:after="0" w:line="240" w:lineRule="auto"/>
              <w:jc w:val="center"/>
            </w:pPr>
            <w:r w:rsidRPr="003D7103">
              <w:t>Domestic</w:t>
            </w:r>
          </w:p>
        </w:tc>
        <w:tc>
          <w:tcPr>
            <w:tcW w:w="3050" w:type="dxa"/>
            <w:tcBorders>
              <w:top w:val="single" w:sz="4" w:space="0" w:color="auto"/>
              <w:bottom w:val="nil"/>
            </w:tcBorders>
          </w:tcPr>
          <w:p w14:paraId="20B8C71D" w14:textId="77777777" w:rsidR="000F16EB" w:rsidRPr="003D7103" w:rsidRDefault="000F16EB" w:rsidP="00A7521D">
            <w:pPr>
              <w:tabs>
                <w:tab w:val="right" w:pos="2274"/>
              </w:tabs>
              <w:spacing w:after="0" w:line="240" w:lineRule="auto"/>
              <w:jc w:val="center"/>
            </w:pPr>
            <w:r w:rsidRPr="003D7103">
              <w:t>Matlock</w:t>
            </w:r>
          </w:p>
        </w:tc>
        <w:tc>
          <w:tcPr>
            <w:tcW w:w="2798" w:type="dxa"/>
            <w:tcBorders>
              <w:top w:val="single" w:sz="4" w:space="0" w:color="auto"/>
              <w:bottom w:val="nil"/>
            </w:tcBorders>
          </w:tcPr>
          <w:p w14:paraId="6BBB6DDD" w14:textId="77777777" w:rsidR="000F16EB" w:rsidRPr="003D7103" w:rsidRDefault="000F16EB" w:rsidP="00A7521D">
            <w:pPr>
              <w:spacing w:after="0" w:line="240" w:lineRule="auto"/>
              <w:jc w:val="center"/>
            </w:pPr>
            <w:r w:rsidRPr="003D7103">
              <w:t>92,000</w:t>
            </w:r>
          </w:p>
        </w:tc>
      </w:tr>
      <w:tr w:rsidR="000F16EB" w:rsidRPr="003D7103" w14:paraId="59DDBD73" w14:textId="77777777" w:rsidTr="0024009E">
        <w:trPr>
          <w:jc w:val="center"/>
        </w:trPr>
        <w:tc>
          <w:tcPr>
            <w:tcW w:w="1622" w:type="dxa"/>
            <w:tcBorders>
              <w:top w:val="nil"/>
            </w:tcBorders>
          </w:tcPr>
          <w:p w14:paraId="174A3DF6" w14:textId="77777777" w:rsidR="000F16EB" w:rsidRPr="003D7103" w:rsidRDefault="000F16EB" w:rsidP="00A7521D">
            <w:pPr>
              <w:spacing w:after="0" w:line="240" w:lineRule="auto"/>
              <w:jc w:val="center"/>
            </w:pPr>
          </w:p>
        </w:tc>
        <w:tc>
          <w:tcPr>
            <w:tcW w:w="3050" w:type="dxa"/>
            <w:tcBorders>
              <w:top w:val="nil"/>
            </w:tcBorders>
          </w:tcPr>
          <w:p w14:paraId="1637B460" w14:textId="77777777" w:rsidR="000F16EB" w:rsidRPr="003D7103" w:rsidRDefault="000F16EB" w:rsidP="00A7521D">
            <w:pPr>
              <w:tabs>
                <w:tab w:val="right" w:pos="2274"/>
              </w:tabs>
              <w:spacing w:after="0" w:line="240" w:lineRule="auto"/>
              <w:jc w:val="center"/>
            </w:pPr>
            <w:r w:rsidRPr="003D7103">
              <w:t>Darley Dale</w:t>
            </w:r>
          </w:p>
        </w:tc>
        <w:tc>
          <w:tcPr>
            <w:tcW w:w="2798" w:type="dxa"/>
            <w:tcBorders>
              <w:top w:val="nil"/>
            </w:tcBorders>
          </w:tcPr>
          <w:p w14:paraId="720F8E94" w14:textId="77777777" w:rsidR="000F16EB" w:rsidRPr="003D7103" w:rsidRDefault="000F16EB" w:rsidP="00A7521D">
            <w:pPr>
              <w:spacing w:after="0" w:line="240" w:lineRule="auto"/>
              <w:jc w:val="center"/>
            </w:pPr>
            <w:r w:rsidRPr="003D7103">
              <w:t>34,000</w:t>
            </w:r>
          </w:p>
        </w:tc>
      </w:tr>
      <w:tr w:rsidR="000F16EB" w:rsidRPr="003D7103" w14:paraId="3290E311" w14:textId="77777777" w:rsidTr="0024009E">
        <w:trPr>
          <w:jc w:val="center"/>
        </w:trPr>
        <w:tc>
          <w:tcPr>
            <w:tcW w:w="1622" w:type="dxa"/>
          </w:tcPr>
          <w:p w14:paraId="2AB9BE05" w14:textId="77777777" w:rsidR="000F16EB" w:rsidRPr="003D7103" w:rsidRDefault="000F16EB" w:rsidP="00A7521D">
            <w:pPr>
              <w:spacing w:after="0" w:line="240" w:lineRule="auto"/>
              <w:jc w:val="center"/>
            </w:pPr>
          </w:p>
        </w:tc>
        <w:tc>
          <w:tcPr>
            <w:tcW w:w="3050" w:type="dxa"/>
            <w:tcBorders>
              <w:bottom w:val="nil"/>
            </w:tcBorders>
          </w:tcPr>
          <w:p w14:paraId="32BB861B" w14:textId="77777777" w:rsidR="000F16EB" w:rsidRPr="003D7103" w:rsidRDefault="000F16EB" w:rsidP="00A7521D">
            <w:pPr>
              <w:tabs>
                <w:tab w:val="right" w:pos="2274"/>
              </w:tabs>
              <w:spacing w:after="0" w:line="240" w:lineRule="auto"/>
              <w:jc w:val="center"/>
            </w:pPr>
            <w:proofErr w:type="spellStart"/>
            <w:r w:rsidRPr="003D7103">
              <w:t>Rowsley</w:t>
            </w:r>
            <w:proofErr w:type="spellEnd"/>
          </w:p>
        </w:tc>
        <w:tc>
          <w:tcPr>
            <w:tcW w:w="2798" w:type="dxa"/>
            <w:tcBorders>
              <w:bottom w:val="nil"/>
            </w:tcBorders>
          </w:tcPr>
          <w:p w14:paraId="5F148DCD" w14:textId="77777777" w:rsidR="000F16EB" w:rsidRPr="003D7103" w:rsidRDefault="000F16EB" w:rsidP="00A7521D">
            <w:pPr>
              <w:spacing w:after="0" w:line="240" w:lineRule="auto"/>
              <w:jc w:val="center"/>
            </w:pPr>
            <w:r w:rsidRPr="003D7103">
              <w:t>4,400</w:t>
            </w:r>
          </w:p>
        </w:tc>
      </w:tr>
      <w:tr w:rsidR="000F16EB" w:rsidRPr="003D7103" w14:paraId="7187EAB8" w14:textId="77777777" w:rsidTr="0024009E">
        <w:trPr>
          <w:jc w:val="center"/>
        </w:trPr>
        <w:tc>
          <w:tcPr>
            <w:tcW w:w="1622" w:type="dxa"/>
          </w:tcPr>
          <w:p w14:paraId="7B63C4BC" w14:textId="77777777" w:rsidR="000F16EB" w:rsidRPr="003D7103" w:rsidRDefault="000F16EB" w:rsidP="00A7521D">
            <w:pPr>
              <w:spacing w:after="0" w:line="240" w:lineRule="auto"/>
              <w:jc w:val="center"/>
            </w:pPr>
          </w:p>
        </w:tc>
        <w:tc>
          <w:tcPr>
            <w:tcW w:w="3050" w:type="dxa"/>
            <w:tcBorders>
              <w:top w:val="nil"/>
              <w:bottom w:val="nil"/>
            </w:tcBorders>
          </w:tcPr>
          <w:p w14:paraId="3D7F5E07" w14:textId="77777777" w:rsidR="000F16EB" w:rsidRPr="003D7103" w:rsidRDefault="000F16EB" w:rsidP="00A7521D">
            <w:pPr>
              <w:tabs>
                <w:tab w:val="right" w:pos="2274"/>
              </w:tabs>
              <w:spacing w:after="0" w:line="240" w:lineRule="auto"/>
              <w:jc w:val="center"/>
            </w:pPr>
            <w:r w:rsidRPr="003D7103">
              <w:t>Bakewell</w:t>
            </w:r>
          </w:p>
        </w:tc>
        <w:tc>
          <w:tcPr>
            <w:tcW w:w="2798" w:type="dxa"/>
            <w:tcBorders>
              <w:top w:val="nil"/>
              <w:bottom w:val="nil"/>
            </w:tcBorders>
          </w:tcPr>
          <w:p w14:paraId="5A470497" w14:textId="77777777" w:rsidR="000F16EB" w:rsidRPr="003D7103" w:rsidRDefault="000F16EB" w:rsidP="00A7521D">
            <w:pPr>
              <w:spacing w:after="0" w:line="240" w:lineRule="auto"/>
              <w:jc w:val="center"/>
            </w:pPr>
            <w:r w:rsidRPr="003D7103">
              <w:t>34,000</w:t>
            </w:r>
          </w:p>
        </w:tc>
      </w:tr>
      <w:tr w:rsidR="000F16EB" w:rsidRPr="003D7103" w14:paraId="6F919F59" w14:textId="77777777" w:rsidTr="0024009E">
        <w:trPr>
          <w:jc w:val="center"/>
        </w:trPr>
        <w:tc>
          <w:tcPr>
            <w:tcW w:w="1622" w:type="dxa"/>
          </w:tcPr>
          <w:p w14:paraId="06449B32" w14:textId="77777777" w:rsidR="000F16EB" w:rsidRPr="003D7103" w:rsidRDefault="000F16EB" w:rsidP="00A7521D">
            <w:pPr>
              <w:spacing w:after="0" w:line="240" w:lineRule="auto"/>
              <w:jc w:val="center"/>
            </w:pPr>
          </w:p>
        </w:tc>
        <w:tc>
          <w:tcPr>
            <w:tcW w:w="3050" w:type="dxa"/>
            <w:tcBorders>
              <w:top w:val="nil"/>
              <w:bottom w:val="nil"/>
            </w:tcBorders>
          </w:tcPr>
          <w:p w14:paraId="11027481" w14:textId="77777777" w:rsidR="000F16EB" w:rsidRPr="003D7103" w:rsidRDefault="000F16EB" w:rsidP="00A7521D">
            <w:pPr>
              <w:spacing w:after="0" w:line="240" w:lineRule="auto"/>
              <w:jc w:val="center"/>
            </w:pPr>
            <w:proofErr w:type="spellStart"/>
            <w:r w:rsidRPr="003D7103">
              <w:t>Youlgreave</w:t>
            </w:r>
            <w:proofErr w:type="spellEnd"/>
          </w:p>
        </w:tc>
        <w:tc>
          <w:tcPr>
            <w:tcW w:w="2798" w:type="dxa"/>
            <w:tcBorders>
              <w:top w:val="nil"/>
              <w:bottom w:val="nil"/>
            </w:tcBorders>
          </w:tcPr>
          <w:p w14:paraId="263C3A34" w14:textId="77777777" w:rsidR="000F16EB" w:rsidRPr="003D7103" w:rsidRDefault="000F16EB" w:rsidP="00A7521D">
            <w:pPr>
              <w:spacing w:after="0" w:line="240" w:lineRule="auto"/>
              <w:jc w:val="center"/>
            </w:pPr>
            <w:r w:rsidRPr="003D7103">
              <w:t>13,000</w:t>
            </w:r>
          </w:p>
        </w:tc>
      </w:tr>
      <w:tr w:rsidR="000F16EB" w:rsidRPr="003D7103" w14:paraId="5C361305" w14:textId="77777777" w:rsidTr="0024009E">
        <w:trPr>
          <w:jc w:val="center"/>
        </w:trPr>
        <w:tc>
          <w:tcPr>
            <w:tcW w:w="1622" w:type="dxa"/>
          </w:tcPr>
          <w:p w14:paraId="409B1DF5" w14:textId="77777777" w:rsidR="000F16EB" w:rsidRPr="003D7103" w:rsidRDefault="000F16EB" w:rsidP="00A7521D">
            <w:pPr>
              <w:spacing w:after="0" w:line="240" w:lineRule="auto"/>
              <w:jc w:val="center"/>
            </w:pPr>
          </w:p>
        </w:tc>
        <w:tc>
          <w:tcPr>
            <w:tcW w:w="3050" w:type="dxa"/>
            <w:tcBorders>
              <w:top w:val="nil"/>
              <w:bottom w:val="single" w:sz="4" w:space="0" w:color="auto"/>
            </w:tcBorders>
          </w:tcPr>
          <w:p w14:paraId="19D906F7" w14:textId="77777777" w:rsidR="000F16EB" w:rsidRPr="003D7103" w:rsidRDefault="000F16EB" w:rsidP="00A7521D">
            <w:pPr>
              <w:spacing w:after="0" w:line="240" w:lineRule="auto"/>
              <w:jc w:val="center"/>
            </w:pPr>
            <w:r w:rsidRPr="003D7103">
              <w:t>Matlock Bath and Cromford</w:t>
            </w:r>
          </w:p>
        </w:tc>
        <w:tc>
          <w:tcPr>
            <w:tcW w:w="2798" w:type="dxa"/>
            <w:tcBorders>
              <w:top w:val="nil"/>
              <w:bottom w:val="single" w:sz="4" w:space="0" w:color="auto"/>
            </w:tcBorders>
          </w:tcPr>
          <w:p w14:paraId="35ECE5BB" w14:textId="77777777" w:rsidR="000F16EB" w:rsidRPr="003D7103" w:rsidRDefault="000F16EB" w:rsidP="00A7521D">
            <w:pPr>
              <w:spacing w:after="0" w:line="240" w:lineRule="auto"/>
              <w:jc w:val="center"/>
            </w:pPr>
            <w:r w:rsidRPr="003D7103">
              <w:t>8,800</w:t>
            </w:r>
          </w:p>
        </w:tc>
      </w:tr>
      <w:tr w:rsidR="000F16EB" w:rsidRPr="003D7103" w14:paraId="7BD0E790" w14:textId="77777777" w:rsidTr="0024009E">
        <w:trPr>
          <w:jc w:val="center"/>
        </w:trPr>
        <w:tc>
          <w:tcPr>
            <w:tcW w:w="1622" w:type="dxa"/>
            <w:tcBorders>
              <w:bottom w:val="single" w:sz="4" w:space="0" w:color="auto"/>
            </w:tcBorders>
          </w:tcPr>
          <w:p w14:paraId="218489B9" w14:textId="77777777" w:rsidR="000F16EB" w:rsidRPr="003D7103" w:rsidRDefault="000F16EB" w:rsidP="00A7521D">
            <w:pPr>
              <w:spacing w:after="0" w:line="240" w:lineRule="auto"/>
              <w:jc w:val="center"/>
            </w:pPr>
          </w:p>
        </w:tc>
        <w:tc>
          <w:tcPr>
            <w:tcW w:w="3050" w:type="dxa"/>
            <w:tcBorders>
              <w:top w:val="single" w:sz="4" w:space="0" w:color="auto"/>
              <w:bottom w:val="single" w:sz="4" w:space="0" w:color="auto"/>
            </w:tcBorders>
          </w:tcPr>
          <w:p w14:paraId="74A44F0D" w14:textId="77777777" w:rsidR="000F16EB" w:rsidRPr="003D7103" w:rsidRDefault="000F16EB" w:rsidP="00A7521D">
            <w:pPr>
              <w:tabs>
                <w:tab w:val="right" w:pos="2274"/>
              </w:tabs>
              <w:spacing w:after="0" w:line="240" w:lineRule="auto"/>
              <w:jc w:val="center"/>
            </w:pPr>
            <w:r w:rsidRPr="003D7103">
              <w:t>Total</w:t>
            </w:r>
          </w:p>
        </w:tc>
        <w:tc>
          <w:tcPr>
            <w:tcW w:w="2798" w:type="dxa"/>
            <w:tcBorders>
              <w:top w:val="single" w:sz="4" w:space="0" w:color="auto"/>
              <w:bottom w:val="single" w:sz="4" w:space="0" w:color="auto"/>
            </w:tcBorders>
          </w:tcPr>
          <w:p w14:paraId="5E79A58C" w14:textId="77777777" w:rsidR="000F16EB" w:rsidRPr="003D7103" w:rsidRDefault="000F16EB" w:rsidP="00A7521D">
            <w:pPr>
              <w:spacing w:after="0" w:line="240" w:lineRule="auto"/>
              <w:jc w:val="center"/>
            </w:pPr>
            <w:r w:rsidRPr="003D7103">
              <w:t>200,000</w:t>
            </w:r>
          </w:p>
        </w:tc>
      </w:tr>
      <w:tr w:rsidR="000F16EB" w:rsidRPr="003D7103" w14:paraId="05014B7E" w14:textId="77777777" w:rsidTr="0024009E">
        <w:trPr>
          <w:jc w:val="center"/>
        </w:trPr>
        <w:tc>
          <w:tcPr>
            <w:tcW w:w="4672" w:type="dxa"/>
            <w:gridSpan w:val="2"/>
            <w:tcBorders>
              <w:top w:val="single" w:sz="4" w:space="0" w:color="auto"/>
              <w:bottom w:val="single" w:sz="4" w:space="0" w:color="auto"/>
            </w:tcBorders>
          </w:tcPr>
          <w:p w14:paraId="18507B3F" w14:textId="77777777" w:rsidR="000F16EB" w:rsidRPr="003D7103" w:rsidRDefault="000F16EB" w:rsidP="00A7521D">
            <w:pPr>
              <w:tabs>
                <w:tab w:val="right" w:pos="2274"/>
              </w:tabs>
              <w:spacing w:after="0" w:line="240" w:lineRule="auto"/>
              <w:jc w:val="center"/>
            </w:pPr>
            <w:r w:rsidRPr="003D7103">
              <w:t>Total heat load in</w:t>
            </w:r>
            <w:r>
              <w:t xml:space="preserve"> the</w:t>
            </w:r>
            <w:r w:rsidRPr="003D7103">
              <w:t xml:space="preserve"> area</w:t>
            </w:r>
          </w:p>
        </w:tc>
        <w:tc>
          <w:tcPr>
            <w:tcW w:w="2798" w:type="dxa"/>
            <w:tcBorders>
              <w:top w:val="single" w:sz="4" w:space="0" w:color="auto"/>
              <w:bottom w:val="single" w:sz="4" w:space="0" w:color="auto"/>
            </w:tcBorders>
          </w:tcPr>
          <w:p w14:paraId="6294E425" w14:textId="77777777" w:rsidR="000F16EB" w:rsidRPr="003D7103" w:rsidRDefault="000F16EB" w:rsidP="00A7521D">
            <w:pPr>
              <w:spacing w:after="0" w:line="240" w:lineRule="auto"/>
              <w:jc w:val="center"/>
            </w:pPr>
            <w:r w:rsidRPr="003D7103">
              <w:t>249,000</w:t>
            </w:r>
          </w:p>
        </w:tc>
      </w:tr>
      <w:bookmarkEnd w:id="499"/>
      <w:bookmarkEnd w:id="500"/>
    </w:tbl>
    <w:p w14:paraId="1DB9D168" w14:textId="77777777" w:rsidR="000F16EB" w:rsidRDefault="000F16EB" w:rsidP="00196CD6">
      <w:pPr>
        <w:pStyle w:val="NoSpacing"/>
      </w:pPr>
    </w:p>
    <w:p w14:paraId="7CA331D5" w14:textId="2C4AE1E0" w:rsidR="000F16EB" w:rsidRDefault="000F16EB" w:rsidP="00441038">
      <w:r>
        <w:t xml:space="preserve">When comparing </w:t>
      </w:r>
      <w:r>
        <w:fldChar w:fldCharType="begin"/>
      </w:r>
      <w:r>
        <w:instrText xml:space="preserve"> REF _Ref468117053 \h </w:instrText>
      </w:r>
      <w:r>
        <w:fldChar w:fldCharType="separate"/>
      </w:r>
      <w:r w:rsidR="00CB7456" w:rsidRPr="003D7103">
        <w:t xml:space="preserve">Table </w:t>
      </w:r>
      <w:r w:rsidR="00CB7456">
        <w:rPr>
          <w:noProof/>
        </w:rPr>
        <w:t>3</w:t>
      </w:r>
      <w:r w:rsidR="00CB7456">
        <w:t>.</w:t>
      </w:r>
      <w:r w:rsidR="00CB7456">
        <w:rPr>
          <w:noProof/>
        </w:rPr>
        <w:t>6</w:t>
      </w:r>
      <w:r>
        <w:fldChar w:fldCharType="end"/>
      </w:r>
      <w:r>
        <w:t xml:space="preserve"> and </w:t>
      </w:r>
      <w:r>
        <w:fldChar w:fldCharType="begin"/>
      </w:r>
      <w:r>
        <w:instrText xml:space="preserve"> REF _Ref466301705 \h </w:instrText>
      </w:r>
      <w:r>
        <w:fldChar w:fldCharType="separate"/>
      </w:r>
      <w:r w:rsidR="00CB7456" w:rsidRPr="003D7103">
        <w:t xml:space="preserve">Table </w:t>
      </w:r>
      <w:r w:rsidR="00CB7456">
        <w:rPr>
          <w:noProof/>
        </w:rPr>
        <w:t>3</w:t>
      </w:r>
      <w:r w:rsidR="00CB7456">
        <w:t>.</w:t>
      </w:r>
      <w:r w:rsidR="00CB7456">
        <w:rPr>
          <w:noProof/>
        </w:rPr>
        <w:t>7</w:t>
      </w:r>
      <w:r>
        <w:fldChar w:fldCharType="end"/>
      </w:r>
      <w:r>
        <w:t xml:space="preserve">, approximately similar values of the total commercial HDs were found. The UK CHP development map found the commercial HD to be 42,000 MWh per year. The methodology used in this thesis found the domestic HD to be 49,000 MWh per year with a minor, but not insignificant difference, between the two totals of 14%. In this work, commercial heat mapping was used to identify possible anchor loads in </w:t>
      </w:r>
      <w:r>
        <w:lastRenderedPageBreak/>
        <w:t>an area instead of accurately modelling the demand, so the 14% difference is acceptable. Heat mapping and techno-economic modelling work by Parsons Brinckerhoff reported a variation in acceptable results of approximately 24%; the 24% variation is higher than the 14% variation reported here, proving that the 14% variation is acceptable</w:t>
      </w:r>
      <w:r w:rsidR="00441038">
        <w:t xml:space="preserve"> </w:t>
      </w:r>
      <w:r w:rsidR="00441038">
        <w:fldChar w:fldCharType="begin" w:fldLock="1"/>
      </w:r>
      <w:r w:rsidR="00441038">
        <w:instrText>ADDIN CSL_CITATION {"citationItems":[{"id":"ITEM-1","itemData":{"author":[{"dropping-particle":"","family":"Parsons Brinckerhoff","given":"","non-dropping-particle":"","parse-names":false,"suffix":""}],"id":"ITEM-1","issue":"May","issued":{"date-parts":[["2011"]]},"publisher-place":"London, England","title":"A District Heating Utility for the Tees Valley: Study into the strategic use of waste heat and supply of private sector customers","type":"report"},"uris":["http://www.mendeley.com/documents/?uuid=5e08822c-bb7b-4846-8fd8-71bc94ccfc29"]}],"mendeley":{"formattedCitation":"(Parsons Brinckerhoff, 2011)","plainTextFormattedCitation":"(Parsons Brinckerhoff, 2011)","previouslyFormattedCitation":"(Parsons Brinckerhoff, 2011)"},"properties":{"noteIndex":0},"schema":"https://github.com/citation-style-language/schema/raw/master/csl-citation.json"}</w:instrText>
      </w:r>
      <w:r w:rsidR="00441038">
        <w:fldChar w:fldCharType="separate"/>
      </w:r>
      <w:r w:rsidR="00441038" w:rsidRPr="002A6A73">
        <w:rPr>
          <w:noProof/>
        </w:rPr>
        <w:t>(Parsons Brinckerhoff, 2011)</w:t>
      </w:r>
      <w:r w:rsidR="00441038">
        <w:fldChar w:fldCharType="end"/>
      </w:r>
      <w:r>
        <w:t>. The agreement in the commercial heat mapping adds validation to the heat mapping methodology outlined in the thesis.</w:t>
      </w:r>
    </w:p>
    <w:p w14:paraId="1BBBBB48" w14:textId="5A9D2B1E" w:rsidR="000F16EB" w:rsidRDefault="000F16EB" w:rsidP="000F16EB">
      <w:r>
        <w:fldChar w:fldCharType="begin"/>
      </w:r>
      <w:r>
        <w:instrText xml:space="preserve"> REF _Ref468117053 \h </w:instrText>
      </w:r>
      <w:r>
        <w:fldChar w:fldCharType="separate"/>
      </w:r>
      <w:r w:rsidR="00CB7456" w:rsidRPr="003D7103">
        <w:t xml:space="preserve">Table </w:t>
      </w:r>
      <w:r w:rsidR="00CB7456">
        <w:rPr>
          <w:noProof/>
        </w:rPr>
        <w:t>3</w:t>
      </w:r>
      <w:r w:rsidR="00CB7456">
        <w:t>.</w:t>
      </w:r>
      <w:r w:rsidR="00CB7456">
        <w:rPr>
          <w:noProof/>
        </w:rPr>
        <w:t>6</w:t>
      </w:r>
      <w:r>
        <w:fldChar w:fldCharType="end"/>
      </w:r>
      <w:r>
        <w:t xml:space="preserve"> and </w:t>
      </w:r>
      <w:r>
        <w:fldChar w:fldCharType="begin"/>
      </w:r>
      <w:r>
        <w:instrText xml:space="preserve"> REF _Ref466301705 \h </w:instrText>
      </w:r>
      <w:r>
        <w:fldChar w:fldCharType="separate"/>
      </w:r>
      <w:r w:rsidR="00CB7456" w:rsidRPr="003D7103">
        <w:t xml:space="preserve">Table </w:t>
      </w:r>
      <w:r w:rsidR="00CB7456">
        <w:rPr>
          <w:noProof/>
        </w:rPr>
        <w:t>3</w:t>
      </w:r>
      <w:r w:rsidR="00CB7456">
        <w:t>.</w:t>
      </w:r>
      <w:r w:rsidR="00CB7456">
        <w:rPr>
          <w:noProof/>
        </w:rPr>
        <w:t>7</w:t>
      </w:r>
      <w:r>
        <w:fldChar w:fldCharType="end"/>
      </w:r>
      <w:r>
        <w:t xml:space="preserve"> show significantly different values for the total domestic HD. The CHP development map found the domestic HD to be 322,000 MWh per year. The methodology used in this thesis found the domestic HD to be 200,000 MWh per year, with a larger difference between the two totals of 38%. The 38% variation found between the two heat maps is higher than the 24% variation reported by Parsons Brinckerhoff. T</w:t>
      </w:r>
      <w:r w:rsidRPr="003D7103">
        <w:t xml:space="preserve">he reason for the higher </w:t>
      </w:r>
      <w:r>
        <w:t xml:space="preserve">domestic </w:t>
      </w:r>
      <w:r w:rsidRPr="003D7103">
        <w:t xml:space="preserve">energy demand </w:t>
      </w:r>
      <w:r>
        <w:t xml:space="preserve">found </w:t>
      </w:r>
      <w:r w:rsidRPr="003D7103">
        <w:t xml:space="preserve">in the </w:t>
      </w:r>
      <w:r>
        <w:t>CHP development map</w:t>
      </w:r>
      <w:r w:rsidRPr="003D7103">
        <w:t xml:space="preserve"> </w:t>
      </w:r>
      <w:r>
        <w:t>was</w:t>
      </w:r>
      <w:r w:rsidRPr="003D7103">
        <w:t xml:space="preserve"> likely</w:t>
      </w:r>
      <w:r>
        <w:t xml:space="preserve"> to be</w:t>
      </w:r>
      <w:r w:rsidRPr="003D7103">
        <w:t xml:space="preserve"> that </w:t>
      </w:r>
      <w:r>
        <w:t>the map</w:t>
      </w:r>
      <w:r w:rsidRPr="003D7103">
        <w:t xml:space="preserve"> consider</w:t>
      </w:r>
      <w:r>
        <w:t>ed</w:t>
      </w:r>
      <w:r w:rsidRPr="003D7103">
        <w:t xml:space="preserve"> the entire area within an 8 km radius of the </w:t>
      </w:r>
      <w:r>
        <w:t>HJE</w:t>
      </w:r>
      <w:r w:rsidRPr="003D7103">
        <w:t xml:space="preserve"> site</w:t>
      </w:r>
      <w:r>
        <w:t>. By contrast, the methodology used in the</w:t>
      </w:r>
      <w:r w:rsidRPr="003D7103">
        <w:t xml:space="preserve"> </w:t>
      </w:r>
      <w:r>
        <w:t xml:space="preserve">thesis </w:t>
      </w:r>
      <w:r w:rsidRPr="003D7103">
        <w:t>only consider</w:t>
      </w:r>
      <w:r>
        <w:t>ed</w:t>
      </w:r>
      <w:r w:rsidRPr="003D7103">
        <w:t xml:space="preserve"> the</w:t>
      </w:r>
      <w:r>
        <w:t xml:space="preserve"> seven</w:t>
      </w:r>
      <w:r w:rsidRPr="003D7103">
        <w:t xml:space="preserve"> </w:t>
      </w:r>
      <w:r>
        <w:t>potential locations</w:t>
      </w:r>
      <w:r w:rsidRPr="003D7103">
        <w:t xml:space="preserve"> likely to be connected to the network</w:t>
      </w:r>
      <w:r>
        <w:t xml:space="preserve">, which was a significantly smaller area. </w:t>
      </w:r>
    </w:p>
    <w:p w14:paraId="0C0C7939" w14:textId="77777777" w:rsidR="000F16EB" w:rsidRDefault="000F16EB" w:rsidP="000F16EB">
      <w:r>
        <w:t>In this thesis, the purpose of the domestic heat mapping was not to estimate the total HD in an area, that will be done in later HD modelling work. The purpose of the domestic heat mapping was to identify zones in the local area that met the threshold for profitable DH, to assess if a DHN may be feasible. Therefore, if the two heat maps show similar areas that have HD densities sufficient to meet the threshold for profitable DH but differ on the total domestic HD the disagreement is not significant. Even if the two techniques differ in terms of the total domestic HD, the difference does not prove that the technique used to identify areas of profitable DH was inaccurate. Therefore, the domestic heat mapping technique outlined in the thesis was still validated for future work.</w:t>
      </w:r>
    </w:p>
    <w:p w14:paraId="55933ECC" w14:textId="77777777" w:rsidR="000F16EB" w:rsidRDefault="000F16EB" w:rsidP="000F16EB">
      <w:pPr>
        <w:pStyle w:val="Heading2"/>
      </w:pPr>
      <w:bookmarkStart w:id="502" w:name="_Toc525229999"/>
      <w:bookmarkStart w:id="503" w:name="_Toc7187514"/>
      <w:r>
        <w:t>Conclusion</w:t>
      </w:r>
      <w:bookmarkEnd w:id="502"/>
      <w:bookmarkEnd w:id="503"/>
    </w:p>
    <w:p w14:paraId="0CDCEFB4" w14:textId="77777777" w:rsidR="000F16EB" w:rsidRDefault="000F16EB" w:rsidP="000F16EB">
      <w:r>
        <w:t>Commercial and domestic heat mapping was completed using archetype-based techniques, using the case study of HJE and the local area. The methodology used in the heat mapping was designed to be simple and generic enough that it could be operated by a non-technical user for any location in the UK. The accuracy of the methodology was assessed by comparing the case study results to an existing, reliable heat map created by the UK government.</w:t>
      </w:r>
    </w:p>
    <w:p w14:paraId="12E48CD5" w14:textId="77777777" w:rsidR="000F16EB" w:rsidRDefault="000F16EB" w:rsidP="000F16EB">
      <w:r>
        <w:t xml:space="preserve">The local area was studied to find potential locations that might be suitable for connection to the new DHN, with seven potential locations being identified. The seven potential locations were Matlock, Darley Dale, </w:t>
      </w:r>
      <w:proofErr w:type="spellStart"/>
      <w:r>
        <w:t>Rowsley</w:t>
      </w:r>
      <w:proofErr w:type="spellEnd"/>
      <w:r>
        <w:t xml:space="preserve">, Bakewell, </w:t>
      </w:r>
      <w:proofErr w:type="spellStart"/>
      <w:r>
        <w:t>Youlgreave</w:t>
      </w:r>
      <w:proofErr w:type="spellEnd"/>
      <w:r>
        <w:t xml:space="preserve">, Matlock Bath, and Cromford. A disused railway line was found that connected all seven of the potential locations, bar </w:t>
      </w:r>
      <w:proofErr w:type="spellStart"/>
      <w:r>
        <w:t>Youlgreave</w:t>
      </w:r>
      <w:proofErr w:type="spellEnd"/>
      <w:r>
        <w:t xml:space="preserve">, running close to the HJE site, which would be an ideal route for the DH pipes. The commercial heat mapping identified a high density of customers with large HDs, that could act as anchor loads, in Matlock, Darley Dale, and Bakewell. The domestic heat mapping identified areas in Matlock, Darley Dale, Bakewell, and </w:t>
      </w:r>
      <w:proofErr w:type="spellStart"/>
      <w:r>
        <w:t>Youlgreave</w:t>
      </w:r>
      <w:proofErr w:type="spellEnd"/>
      <w:r>
        <w:t xml:space="preserve"> with a HD density larger than the government recommended threshold for profitable DH. </w:t>
      </w:r>
    </w:p>
    <w:p w14:paraId="64FB82F2" w14:textId="746C1323" w:rsidR="000F16EB" w:rsidRDefault="000F16EB" w:rsidP="000F16EB">
      <w:r>
        <w:t>It was recommended to the non-technical user that</w:t>
      </w:r>
      <w:r w:rsidR="00EE40D4">
        <w:t xml:space="preserve"> the areas that should be initially connected to the DHN are</w:t>
      </w:r>
      <w:r>
        <w:t xml:space="preserve"> Matlock, Darley Dale, and Bakewell. The reason for the </w:t>
      </w:r>
      <w:r>
        <w:lastRenderedPageBreak/>
        <w:t xml:space="preserve">prioritisation is that these areas were shown to have a high number of possible anchor loads, meet the minimum threshold for profitable DH, and were located near to the likely pipe network. </w:t>
      </w:r>
      <w:proofErr w:type="spellStart"/>
      <w:r>
        <w:t>Rowsley</w:t>
      </w:r>
      <w:proofErr w:type="spellEnd"/>
      <w:r>
        <w:t xml:space="preserve"> is located in</w:t>
      </w:r>
      <w:r>
        <w:noBreakHyphen/>
        <w:t xml:space="preserve">between Darley Dale and Bakewell and near to the likely pipe network, therefore it was recommended as the next area to connect to the DHN. </w:t>
      </w:r>
      <w:proofErr w:type="spellStart"/>
      <w:r>
        <w:t>Youlgreave</w:t>
      </w:r>
      <w:proofErr w:type="spellEnd"/>
      <w:r>
        <w:t xml:space="preserve"> did not have many possible anchor loads, only had a small area that met the threshold for profitable DH and was located far away from the pipe network. Therefore, </w:t>
      </w:r>
      <w:proofErr w:type="spellStart"/>
      <w:r>
        <w:t>Youlgreave</w:t>
      </w:r>
      <w:proofErr w:type="spellEnd"/>
      <w:r>
        <w:t xml:space="preserve"> was not recommended for initial connection to the DHN. Matlock Bath and Cromford did not have many possible </w:t>
      </w:r>
      <w:proofErr w:type="gramStart"/>
      <w:r>
        <w:t>anchor</w:t>
      </w:r>
      <w:proofErr w:type="gramEnd"/>
      <w:r>
        <w:t xml:space="preserve"> loads or any areas that met the threshold for profitable DH and were located outside the DH pipeline connecting Matlock to Bakewell. Therefore, Matlock Bath, and Cromford were not recommended for connection to the DHN. </w:t>
      </w:r>
      <w:proofErr w:type="spellStart"/>
      <w:r>
        <w:t>Youlgreave</w:t>
      </w:r>
      <w:proofErr w:type="spellEnd"/>
      <w:r>
        <w:t>, Matlock Bath, and Cromford could be connected at a later date depending on the total network costs and revenues.</w:t>
      </w:r>
    </w:p>
    <w:p w14:paraId="1FDB6744" w14:textId="77777777" w:rsidR="000F16EB" w:rsidRDefault="000F16EB" w:rsidP="000F16EB">
      <w:r>
        <w:t>In order to assess the accuracy of the simple, generic model for heat mapping, the results were compared to an existing heat map generated by the UK government. The government heat map is reliable, therefore if the results of the two heat mapping methodologies were similar, the methodology generated in this thesis would be proven to be accurate. Both the heat map from this thesis and the one produced by the government considered areas within an 8 km distance from the HJE site and could be split into domestic and commercial results.</w:t>
      </w:r>
    </w:p>
    <w:p w14:paraId="3F155E04" w14:textId="65D8A8E9" w:rsidR="000F16EB" w:rsidRDefault="000F16EB" w:rsidP="000F16EB">
      <w:r>
        <w:t xml:space="preserve">The heat maps produced in this </w:t>
      </w:r>
      <w:r w:rsidR="00EE40D4">
        <w:t>work</w:t>
      </w:r>
      <w:r>
        <w:t xml:space="preserve"> and by the government both showed similar areas with HD densities higher than the threshold for profitable DH. Slight differences were found in the two heat maps, but these were shown to be due to the different sizes and shapes of the areas that the maps were split into. The similarity of the two maps showed that the methodology generated in this thesis to identify areas of profitable DH is accurate and can be used in future work. The total commercial HD found in the government heat map was 14% different to the HD found in this thesis. A 14% difference is lower than industrial reported variations, so is acceptable for the purposes of HD estimations; </w:t>
      </w:r>
      <w:proofErr w:type="gramStart"/>
      <w:r>
        <w:t>therefore</w:t>
      </w:r>
      <w:proofErr w:type="gramEnd"/>
      <w:r>
        <w:t xml:space="preserve"> the government heat map supports the accuracy of the heat mapping methodology produced in this work for the purposes of identifying anchor loads. </w:t>
      </w:r>
    </w:p>
    <w:p w14:paraId="31C48FC7" w14:textId="77777777" w:rsidR="000F16EB" w:rsidRPr="00B96BB1" w:rsidRDefault="000F16EB" w:rsidP="000F16EB">
      <w:r>
        <w:t>The total domestic HD found in the government heat map was 38% higher than the HD found in the thesis, which is higher than industrial reported variations. It was shown that the reason for the large difference is that the government heat map considers all areas within an 8 km radius of the HJE site, whereas the heat map generated in the thesis only considers seven potential locations. It was explained that if the purpose of the domestic heat mapping is to identify areas of profitable DH, a disagreement in the total domestic HD is acceptable. Therefore, the heat mapping methodology outlined in this thesis was proven to be accurate.</w:t>
      </w:r>
    </w:p>
    <w:p w14:paraId="1F11763B" w14:textId="3DC050B1" w:rsidR="000F16EB" w:rsidRDefault="000F16EB">
      <w:pPr>
        <w:jc w:val="left"/>
      </w:pPr>
      <w:r>
        <w:br w:type="page"/>
      </w:r>
    </w:p>
    <w:p w14:paraId="3857F4A9" w14:textId="77777777" w:rsidR="000F16EB" w:rsidRDefault="000F16EB" w:rsidP="000F16EB">
      <w:pPr>
        <w:pStyle w:val="Heading1"/>
      </w:pPr>
      <w:bookmarkStart w:id="504" w:name="_Toc525230000"/>
      <w:bookmarkStart w:id="505" w:name="_Ref531344342"/>
      <w:bookmarkStart w:id="506" w:name="_Ref531345069"/>
      <w:bookmarkStart w:id="507" w:name="_Toc7187515"/>
      <w:r>
        <w:lastRenderedPageBreak/>
        <w:t>Waste Heat Supply Quantification</w:t>
      </w:r>
      <w:bookmarkEnd w:id="504"/>
      <w:bookmarkEnd w:id="505"/>
      <w:bookmarkEnd w:id="506"/>
      <w:bookmarkEnd w:id="507"/>
    </w:p>
    <w:p w14:paraId="2151D26F" w14:textId="77777777" w:rsidR="000F16EB" w:rsidRDefault="000F16EB" w:rsidP="000F16EB">
      <w:r>
        <w:t xml:space="preserve">The DH feasibility study will not be possible without a quantified answer to how much WH is available from the industrial source(s). The answer must include the variation in WH availability that occurs due to variations in the industrial schedule. Ideally, the industrial source(s) would be able to answer this question themselves, saving time and effort on behalf of the user, as well as giving as accurate an answer as is possible. </w:t>
      </w:r>
    </w:p>
    <w:p w14:paraId="5B02BA66" w14:textId="7F650729" w:rsidR="000F16EB" w:rsidRDefault="000F16EB" w:rsidP="000F16EB">
      <w:r>
        <w:t xml:space="preserve">If not, the non-technical user will have to model </w:t>
      </w:r>
      <w:r w:rsidR="003E2066">
        <w:t>these variations</w:t>
      </w:r>
      <w:r>
        <w:t xml:space="preserve"> in industrial operation. The model will have to investigate the quality, quantity, and temporal availability of the WH in each process stream of the industrial site. The quality and quantity can be calculated by finding the specific enthalpy, flowrate, and temperature of each stream. The temporal availability will be found by repeating the model using a time-based variation in the input conditions. The simplest model that can be used to calculate these quantities with an acceptable level of accuracy and without the use of simulation software is elemental-based mass and energy balances. Simulation software should be avoided as it would be unavailable to the user.</w:t>
      </w:r>
    </w:p>
    <w:p w14:paraId="12B5BF3D" w14:textId="056C5132" w:rsidR="000F16EB" w:rsidRDefault="000F16EB" w:rsidP="000F16EB">
      <w:pPr>
        <w:keepNext/>
      </w:pPr>
      <w:r>
        <w:t xml:space="preserve">Mass and energy balances are based around a generic equation, as shown in Equation </w:t>
      </w:r>
      <w:r>
        <w:fldChar w:fldCharType="begin"/>
      </w:r>
      <w:r>
        <w:instrText xml:space="preserve"> REF _Ref531101730 \h </w:instrText>
      </w:r>
      <w:r>
        <w:fldChar w:fldCharType="separate"/>
      </w:r>
      <w:r w:rsidR="00CB7456">
        <w:rPr>
          <w:noProof/>
        </w:rPr>
        <w:t>4</w:t>
      </w:r>
      <w:r w:rsidR="00CB7456">
        <w:t>.</w:t>
      </w:r>
      <w:r w:rsidR="00CB7456">
        <w:rPr>
          <w:noProof/>
        </w:rPr>
        <w:t>1</w:t>
      </w:r>
      <w:r>
        <w:fldChar w:fldCharType="end"/>
      </w:r>
      <w:r>
        <w:t xml:space="preserve"> </w:t>
      </w:r>
      <w:r>
        <w:fldChar w:fldCharType="begin" w:fldLock="1"/>
      </w:r>
      <w:r w:rsidR="002A6A73">
        <w:instrText>ADDIN CSL_CITATION {"citationItems":[{"id":"ITEM-1","itemData":{"ISBN":"978-0-7506-6538-4","author":[{"dropping-particle":"","family":"Sinnott","given":"R.K.","non-dropping-particle":"","parse-names":false,"suffix":""}],"edition":"4","editor":[{"dropping-particle":"","family":"Sinnott","given":"R.K.","non-dropping-particle":"","parse-names":false,"suffix":""}],"id":"ITEM-1","issued":{"date-parts":[["2005"]]},"publisher":"Elsevier","title":"Coulson and Richardson's Chemical Engineering","type":"book"},"uris":["http://www.mendeley.com/documents/?uuid=d0a6e441-266f-4735-8bef-cd146e7cff7f"]}],"mendeley":{"formattedCitation":"(Sinnott, 2005a)","plainTextFormattedCitation":"(Sinnott, 2005a)","previouslyFormattedCitation":"(Sinnott, 2005a)"},"properties":{"noteIndex":0},"schema":"https://github.com/citation-style-language/schema/raw/master/csl-citation.json"}</w:instrText>
      </w:r>
      <w:r>
        <w:fldChar w:fldCharType="separate"/>
      </w:r>
      <w:r w:rsidR="002A6A73" w:rsidRPr="002A6A73">
        <w:rPr>
          <w:noProof/>
        </w:rPr>
        <w:t>(Sinnott, 2005a)</w:t>
      </w:r>
      <w:r>
        <w:fldChar w:fldCharType="end"/>
      </w:r>
      <w:r>
        <w:t>. A degrees of freedom (</w:t>
      </w:r>
      <w:proofErr w:type="spellStart"/>
      <w:r>
        <w:t>DoF</w:t>
      </w:r>
      <w:proofErr w:type="spellEnd"/>
      <w:r>
        <w:t xml:space="preserve">) process is run across the entire system identifying a particular unit or part of the system with enough available information to begin the balances. The balances are repeated until the process has been completed for the entire industrial site.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5"/>
        <w:gridCol w:w="543"/>
      </w:tblGrid>
      <w:tr w:rsidR="000F16EB" w14:paraId="44EEE80E" w14:textId="77777777" w:rsidTr="00A7521D">
        <w:tc>
          <w:tcPr>
            <w:tcW w:w="7655" w:type="dxa"/>
          </w:tcPr>
          <w:p w14:paraId="61763504" w14:textId="77777777" w:rsidR="000F16EB" w:rsidRPr="00AC69E9" w:rsidRDefault="000F16EB" w:rsidP="00A7521D">
            <w:pPr>
              <w:keepNext/>
            </w:pPr>
            <m:oMathPara>
              <m:oMathParaPr>
                <m:jc m:val="left"/>
              </m:oMathParaPr>
              <m:oMath>
                <m:r>
                  <m:rPr>
                    <m:nor/>
                  </m:rPr>
                  <w:rPr>
                    <w:rFonts w:ascii="Cambria Math" w:hAnsi="Cambria Math"/>
                  </w:rPr>
                  <m:t>Accumulation = Input - Output + Generation - Consumption</m:t>
                </m:r>
              </m:oMath>
            </m:oMathPara>
          </w:p>
        </w:tc>
        <w:bookmarkStart w:id="508" w:name="_Ref531101730"/>
        <w:tc>
          <w:tcPr>
            <w:tcW w:w="543" w:type="dxa"/>
            <w:vAlign w:val="center"/>
          </w:tcPr>
          <w:p w14:paraId="0EDCBA97" w14:textId="7E72AF96" w:rsidR="000F16EB" w:rsidRPr="00F029E0" w:rsidRDefault="000F16EB" w:rsidP="00A7521D">
            <w:pPr>
              <w:pStyle w:val="Caption"/>
              <w:jc w:val="right"/>
              <w:rPr>
                <w:b w:val="0"/>
              </w:rPr>
            </w:pPr>
            <w:r>
              <w:fldChar w:fldCharType="begin"/>
            </w:r>
            <w:r>
              <w:instrText xml:space="preserve"> STYLEREF 1 \s </w:instrText>
            </w:r>
            <w:r>
              <w:fldChar w:fldCharType="separate"/>
            </w:r>
            <w:r w:rsidR="00CB7456">
              <w:rPr>
                <w:noProof/>
              </w:rPr>
              <w:t>4</w:t>
            </w:r>
            <w:r>
              <w:fldChar w:fldCharType="end"/>
            </w:r>
            <w:r>
              <w:t>.</w:t>
            </w:r>
            <w:r>
              <w:rPr>
                <w:noProof/>
              </w:rPr>
              <w:fldChar w:fldCharType="begin"/>
            </w:r>
            <w:r>
              <w:rPr>
                <w:noProof/>
              </w:rPr>
              <w:instrText xml:space="preserve"> SEQ Equation \* ARABIC \s 1 </w:instrText>
            </w:r>
            <w:r>
              <w:rPr>
                <w:noProof/>
              </w:rPr>
              <w:fldChar w:fldCharType="separate"/>
            </w:r>
            <w:r w:rsidR="00CB7456">
              <w:rPr>
                <w:noProof/>
              </w:rPr>
              <w:t>1</w:t>
            </w:r>
            <w:r>
              <w:rPr>
                <w:noProof/>
              </w:rPr>
              <w:fldChar w:fldCharType="end"/>
            </w:r>
            <w:bookmarkEnd w:id="508"/>
          </w:p>
        </w:tc>
      </w:tr>
    </w:tbl>
    <w:p w14:paraId="1C493994" w14:textId="77777777" w:rsidR="000F16EB" w:rsidRPr="007D09B4" w:rsidRDefault="000F16EB" w:rsidP="00EE40D4">
      <w:pPr>
        <w:pStyle w:val="NoSpacing"/>
      </w:pPr>
    </w:p>
    <w:p w14:paraId="4032AA19" w14:textId="77777777" w:rsidR="000F16EB" w:rsidRDefault="000F16EB" w:rsidP="000F16EB">
      <w:pPr>
        <w:pStyle w:val="NoSpacing"/>
      </w:pPr>
      <m:oMath>
        <m:r>
          <m:rPr>
            <m:nor/>
          </m:rPr>
          <w:rPr>
            <w:rFonts w:ascii="Cambria Math" w:hAnsi="Cambria Math"/>
          </w:rPr>
          <m:t>Accumulation</m:t>
        </m:r>
      </m:oMath>
      <w:r>
        <w:t xml:space="preserve"> is the positive, or negative, build-up of mass and/or energy in the system,</w:t>
      </w:r>
    </w:p>
    <w:p w14:paraId="72B457EC" w14:textId="77777777" w:rsidR="000F16EB" w:rsidRDefault="000F16EB" w:rsidP="000F16EB">
      <w:pPr>
        <w:pStyle w:val="NoSpacing"/>
      </w:pPr>
      <m:oMath>
        <m:r>
          <m:rPr>
            <m:nor/>
          </m:rPr>
          <w:rPr>
            <w:rFonts w:ascii="Cambria Math" w:hAnsi="Cambria Math"/>
          </w:rPr>
          <m:t>Input</m:t>
        </m:r>
      </m:oMath>
      <w:r>
        <w:t xml:space="preserve"> is the addition of mass or energy to the system,</w:t>
      </w:r>
    </w:p>
    <w:p w14:paraId="0B9DE695" w14:textId="77777777" w:rsidR="000F16EB" w:rsidRDefault="000F16EB" w:rsidP="000F16EB">
      <w:pPr>
        <w:pStyle w:val="NoSpacing"/>
      </w:pPr>
      <m:oMath>
        <m:r>
          <m:rPr>
            <m:nor/>
          </m:rPr>
          <w:rPr>
            <w:rFonts w:ascii="Cambria Math" w:hAnsi="Cambria Math"/>
          </w:rPr>
          <m:t>Output</m:t>
        </m:r>
      </m:oMath>
      <w:r>
        <w:t xml:space="preserve"> is the extraction of mass or energy from the system,</w:t>
      </w:r>
    </w:p>
    <w:p w14:paraId="43A3A0B2" w14:textId="77777777" w:rsidR="000F16EB" w:rsidRDefault="000F16EB" w:rsidP="000F16EB">
      <w:pPr>
        <w:pStyle w:val="NoSpacing"/>
      </w:pPr>
      <m:oMath>
        <m:r>
          <m:rPr>
            <m:nor/>
          </m:rPr>
          <w:rPr>
            <w:rFonts w:ascii="Cambria Math" w:hAnsi="Cambria Math"/>
          </w:rPr>
          <m:t>Generation</m:t>
        </m:r>
      </m:oMath>
      <w:r>
        <w:t xml:space="preserve"> is the creation of mass or energy in the processes that occur in the system,</w:t>
      </w:r>
    </w:p>
    <w:p w14:paraId="775899D6" w14:textId="77777777" w:rsidR="000F16EB" w:rsidRDefault="000F16EB" w:rsidP="000F16EB">
      <m:oMath>
        <m:r>
          <m:rPr>
            <m:nor/>
          </m:rPr>
          <w:rPr>
            <w:rFonts w:ascii="Cambria Math" w:hAnsi="Cambria Math"/>
          </w:rPr>
          <m:t>Consumption</m:t>
        </m:r>
      </m:oMath>
      <w:r>
        <w:t xml:space="preserve"> is the use of mass or energy in the processes that occur in the system.</w:t>
      </w:r>
    </w:p>
    <w:p w14:paraId="1D12AA65" w14:textId="77777777" w:rsidR="000F16EB" w:rsidRDefault="000F16EB" w:rsidP="000F16EB">
      <w:pPr>
        <w:pStyle w:val="Heading2"/>
      </w:pPr>
      <w:bookmarkStart w:id="509" w:name="_Toc525230001"/>
      <w:bookmarkStart w:id="510" w:name="_Toc7187516"/>
      <w:r>
        <w:t>Methodology</w:t>
      </w:r>
      <w:bookmarkEnd w:id="509"/>
      <w:bookmarkEnd w:id="510"/>
    </w:p>
    <w:p w14:paraId="701F9DB6" w14:textId="77777777" w:rsidR="000F16EB" w:rsidRDefault="000F16EB" w:rsidP="000F16EB">
      <w:r>
        <w:t>There are a number of different techniques that could be used to quantify the heat supply, the choice of which depends on the industrial site. In particular, the choice depends on the complexity of the industrial operation and the level of information that the company keeps on their own operation.</w:t>
      </w:r>
    </w:p>
    <w:p w14:paraId="07F231BA" w14:textId="77777777" w:rsidR="000F16EB" w:rsidRDefault="000F16EB" w:rsidP="000F16EB">
      <w:pPr>
        <w:pStyle w:val="Heading3"/>
      </w:pPr>
      <w:bookmarkStart w:id="511" w:name="_Toc525230002"/>
      <w:bookmarkStart w:id="512" w:name="_Toc7187517"/>
      <w:r>
        <w:t>Generic Methodology</w:t>
      </w:r>
      <w:bookmarkEnd w:id="511"/>
      <w:bookmarkEnd w:id="512"/>
    </w:p>
    <w:p w14:paraId="716A618B" w14:textId="77777777" w:rsidR="000F16EB" w:rsidRDefault="000F16EB" w:rsidP="000F16EB">
      <w:r>
        <w:t xml:space="preserve">The simplest and most accurate method of quantifying industrial WH levels is to calculate it using data provided by the company. If the company kept records of the temperature and enthalpy levels of each stream in their process, all the user would have to do is select the stream most suitable for use. The stream most suitable for use would be the stream with the highest enthalpy levels, with a temperature that is in, or above, the desired range and that is physically accessible on site. Choosing a physically accessible stream will require either </w:t>
      </w:r>
      <w:r>
        <w:lastRenderedPageBreak/>
        <w:t>communication with the industrial staff or a trip to the site to study the geography of the process.</w:t>
      </w:r>
    </w:p>
    <w:p w14:paraId="192CFB73" w14:textId="05004758" w:rsidR="000F16EB" w:rsidRDefault="000F16EB" w:rsidP="000F16EB">
      <w:r>
        <w:t xml:space="preserve">Industrial sites do not always record the enthalpy levels on all streams; it is more possible that they will only keep track of the mass flowrate and composition of each stream. It is possible to use the mass flowrate and composition to calculate the enthalpy of a stream, as shown in Equation </w:t>
      </w:r>
      <w:r>
        <w:fldChar w:fldCharType="begin"/>
      </w:r>
      <w:r>
        <w:instrText xml:space="preserve"> REF _Ref531101836 \h </w:instrText>
      </w:r>
      <w:r>
        <w:fldChar w:fldCharType="separate"/>
      </w:r>
      <w:r w:rsidR="00CB7456">
        <w:rPr>
          <w:noProof/>
        </w:rPr>
        <w:t>4</w:t>
      </w:r>
      <w:r w:rsidR="00CB7456">
        <w:t>.</w:t>
      </w:r>
      <w:r w:rsidR="00CB7456">
        <w:rPr>
          <w:noProof/>
        </w:rPr>
        <w:t>2</w:t>
      </w:r>
      <w:r>
        <w:fldChar w:fldCharType="end"/>
      </w:r>
      <w:r>
        <w:t xml:space="preserve"> and Equation </w:t>
      </w:r>
      <w:r>
        <w:fldChar w:fldCharType="begin"/>
      </w:r>
      <w:r>
        <w:instrText xml:space="preserve"> REF _Ref531101921 \h </w:instrText>
      </w:r>
      <w:r>
        <w:fldChar w:fldCharType="separate"/>
      </w:r>
      <w:r w:rsidR="00CB7456">
        <w:rPr>
          <w:noProof/>
        </w:rPr>
        <w:t>4</w:t>
      </w:r>
      <w:r w:rsidR="00CB7456">
        <w:t>.</w:t>
      </w:r>
      <w:r w:rsidR="00CB7456">
        <w:rPr>
          <w:noProof/>
        </w:rPr>
        <w:t>3</w:t>
      </w:r>
      <w:r>
        <w:fldChar w:fldCharType="end"/>
      </w:r>
      <w:r>
        <w:t xml:space="preserve"> </w:t>
      </w:r>
      <w:r>
        <w:fldChar w:fldCharType="begin" w:fldLock="1"/>
      </w:r>
      <w:r w:rsidR="002A6A73">
        <w:instrText>ADDIN CSL_CITATION {"citationItems":[{"id":"ITEM-1","itemData":{"ISBN":"978-0-7506-6538-4","author":[{"dropping-particle":"","family":"Sinnott","given":"R.K.","non-dropping-particle":"","parse-names":false,"suffix":""}],"edition":"4","editor":[{"dropping-particle":"","family":"Sinnott","given":"R.K.","non-dropping-particle":"","parse-names":false,"suffix":""}],"id":"ITEM-1","issued":{"date-parts":[["2005"]]},"publisher":"Elsevier","title":"Coulson and Richardson's Chemical Engineering","type":"book"},"uris":["http://www.mendeley.com/documents/?uuid=d0a6e441-266f-4735-8bef-cd146e7cff7f"]}],"mendeley":{"formattedCitation":"(Sinnott, 2005a)","plainTextFormattedCitation":"(Sinnott, 2005a)","previouslyFormattedCitation":"(Sinnott, 2005a)"},"properties":{"noteIndex":0},"schema":"https://github.com/citation-style-language/schema/raw/master/csl-citation.json"}</w:instrText>
      </w:r>
      <w:r>
        <w:fldChar w:fldCharType="separate"/>
      </w:r>
      <w:r w:rsidR="002A6A73" w:rsidRPr="002A6A73">
        <w:rPr>
          <w:noProof/>
        </w:rPr>
        <w:t>(Sinnott, 2005a)</w:t>
      </w:r>
      <w:r>
        <w:fldChar w:fldCharType="end"/>
      </w:r>
      <w: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5"/>
        <w:gridCol w:w="543"/>
      </w:tblGrid>
      <w:tr w:rsidR="000F16EB" w14:paraId="0D6F33CF" w14:textId="77777777" w:rsidTr="00A7521D">
        <w:tc>
          <w:tcPr>
            <w:tcW w:w="7655" w:type="dxa"/>
          </w:tcPr>
          <w:p w14:paraId="6DB71842" w14:textId="77777777" w:rsidR="000F16EB" w:rsidRPr="00AC69E9" w:rsidRDefault="000F16EB" w:rsidP="00A7521D">
            <w:pPr>
              <w:keepNext/>
            </w:pPr>
            <m:oMathPara>
              <m:oMathParaPr>
                <m:jc m:val="left"/>
              </m:oMathParaPr>
              <m:oMath>
                <m:r>
                  <w:rPr>
                    <w:rFonts w:ascii="Cambria Math" w:hAnsi="Cambria Math"/>
                  </w:rPr>
                  <m:t>∆H=</m:t>
                </m:r>
                <m:sSub>
                  <m:sSubPr>
                    <m:ctrlPr>
                      <w:rPr>
                        <w:rFonts w:ascii="Cambria Math" w:hAnsi="Cambria Math"/>
                        <w:i/>
                      </w:rPr>
                    </m:ctrlPr>
                  </m:sSubPr>
                  <m:e>
                    <m:r>
                      <w:rPr>
                        <w:rFonts w:ascii="Cambria Math" w:hAnsi="Cambria Math"/>
                      </w:rPr>
                      <m:t>c</m:t>
                    </m:r>
                  </m:e>
                  <m:sub>
                    <m:r>
                      <w:rPr>
                        <w:rFonts w:ascii="Cambria Math" w:hAnsi="Cambria Math"/>
                      </w:rPr>
                      <m:t>p</m:t>
                    </m:r>
                  </m:sub>
                </m:sSub>
                <m:acc>
                  <m:accPr>
                    <m:chr m:val="̇"/>
                    <m:ctrlPr>
                      <w:rPr>
                        <w:rFonts w:ascii="Cambria Math" w:hAnsi="Cambria Math"/>
                        <w:i/>
                      </w:rPr>
                    </m:ctrlPr>
                  </m:accPr>
                  <m:e>
                    <m:r>
                      <w:rPr>
                        <w:rFonts w:ascii="Cambria Math" w:hAnsi="Cambria Math"/>
                      </w:rPr>
                      <m:t>m</m:t>
                    </m:r>
                  </m:e>
                </m:acc>
                <m:r>
                  <w:rPr>
                    <w:rFonts w:ascii="Cambria Math" w:hAnsi="Cambria Math"/>
                  </w:rPr>
                  <m:t>∆T</m:t>
                </m:r>
              </m:oMath>
            </m:oMathPara>
          </w:p>
        </w:tc>
        <w:bookmarkStart w:id="513" w:name="_Ref531101836"/>
        <w:tc>
          <w:tcPr>
            <w:tcW w:w="543" w:type="dxa"/>
            <w:vAlign w:val="center"/>
          </w:tcPr>
          <w:p w14:paraId="242A7FA2" w14:textId="1C49493B" w:rsidR="000F16EB" w:rsidRPr="00F029E0" w:rsidRDefault="000F16EB" w:rsidP="00A7521D">
            <w:pPr>
              <w:pStyle w:val="Caption"/>
              <w:jc w:val="right"/>
              <w:rPr>
                <w:b w:val="0"/>
              </w:rPr>
            </w:pPr>
            <w:r>
              <w:fldChar w:fldCharType="begin"/>
            </w:r>
            <w:r>
              <w:instrText xml:space="preserve"> STYLEREF 1 \s </w:instrText>
            </w:r>
            <w:r>
              <w:fldChar w:fldCharType="separate"/>
            </w:r>
            <w:r w:rsidR="00CB7456">
              <w:rPr>
                <w:noProof/>
              </w:rPr>
              <w:t>4</w:t>
            </w:r>
            <w:r>
              <w:fldChar w:fldCharType="end"/>
            </w:r>
            <w:r>
              <w:t>.</w:t>
            </w:r>
            <w:r>
              <w:rPr>
                <w:noProof/>
              </w:rPr>
              <w:fldChar w:fldCharType="begin"/>
            </w:r>
            <w:r>
              <w:rPr>
                <w:noProof/>
              </w:rPr>
              <w:instrText xml:space="preserve"> SEQ Equation \* ARABIC \s 1 </w:instrText>
            </w:r>
            <w:r>
              <w:rPr>
                <w:noProof/>
              </w:rPr>
              <w:fldChar w:fldCharType="separate"/>
            </w:r>
            <w:r w:rsidR="00CB7456">
              <w:rPr>
                <w:noProof/>
              </w:rPr>
              <w:t>2</w:t>
            </w:r>
            <w:r>
              <w:rPr>
                <w:noProof/>
              </w:rPr>
              <w:fldChar w:fldCharType="end"/>
            </w:r>
            <w:bookmarkEnd w:id="513"/>
          </w:p>
        </w:tc>
      </w:tr>
    </w:tbl>
    <w:p w14:paraId="7E234A63" w14:textId="77777777" w:rsidR="000F16EB" w:rsidRDefault="000F16EB" w:rsidP="00196CD6">
      <w:pPr>
        <w:pStyle w:val="NoSpacing"/>
      </w:pPr>
    </w:p>
    <w:p w14:paraId="2AE9AF07" w14:textId="25A9C508" w:rsidR="000F16EB" w:rsidRDefault="000F16EB" w:rsidP="000F16EB">
      <w:pPr>
        <w:pStyle w:val="NoSpacing"/>
      </w:pPr>
      <m:oMath>
        <m:r>
          <w:rPr>
            <w:rFonts w:ascii="Cambria Math" w:hAnsi="Cambria Math"/>
          </w:rPr>
          <m:t>∆H</m:t>
        </m:r>
      </m:oMath>
      <w:r>
        <w:t xml:space="preserve"> is the</w:t>
      </w:r>
      <w:r w:rsidR="00EE40D4">
        <w:t xml:space="preserve"> change in</w:t>
      </w:r>
      <w:r>
        <w:t xml:space="preserve"> enthalpy of the stream (kJ/s),</w:t>
      </w:r>
    </w:p>
    <w:p w14:paraId="61EC6B25" w14:textId="77777777" w:rsidR="000F16EB" w:rsidRDefault="00C73E04" w:rsidP="000F16EB">
      <w:pPr>
        <w:pStyle w:val="NoSpacing"/>
      </w:pPr>
      <m:oMath>
        <m:sSub>
          <m:sSubPr>
            <m:ctrlPr>
              <w:rPr>
                <w:rFonts w:ascii="Cambria Math" w:hAnsi="Cambria Math"/>
                <w:i/>
              </w:rPr>
            </m:ctrlPr>
          </m:sSubPr>
          <m:e>
            <m:r>
              <w:rPr>
                <w:rFonts w:ascii="Cambria Math" w:hAnsi="Cambria Math"/>
              </w:rPr>
              <m:t>c</m:t>
            </m:r>
          </m:e>
          <m:sub>
            <m:r>
              <w:rPr>
                <w:rFonts w:ascii="Cambria Math" w:hAnsi="Cambria Math"/>
              </w:rPr>
              <m:t>p</m:t>
            </m:r>
          </m:sub>
        </m:sSub>
      </m:oMath>
      <w:r w:rsidR="000F16EB">
        <w:t xml:space="preserve"> is the specific heat capacity of the stream (J/[kgK]),</w:t>
      </w:r>
    </w:p>
    <w:p w14:paraId="45D74ED8" w14:textId="4C1838D8" w:rsidR="000F16EB" w:rsidRDefault="00C73E04" w:rsidP="000F16EB">
      <w:pPr>
        <w:pStyle w:val="NoSpacing"/>
      </w:pPr>
      <m:oMath>
        <m:acc>
          <m:accPr>
            <m:chr m:val="̇"/>
            <m:ctrlPr>
              <w:rPr>
                <w:rFonts w:ascii="Cambria Math" w:hAnsi="Cambria Math"/>
                <w:i/>
              </w:rPr>
            </m:ctrlPr>
          </m:accPr>
          <m:e>
            <m:r>
              <w:rPr>
                <w:rFonts w:ascii="Cambria Math" w:hAnsi="Cambria Math"/>
              </w:rPr>
              <m:t>m</m:t>
            </m:r>
          </m:e>
        </m:acc>
      </m:oMath>
      <w:r w:rsidR="000F16EB">
        <w:t xml:space="preserve"> is the mass flow rate of the stream (k</w:t>
      </w:r>
      <w:r w:rsidR="00EE40D4">
        <w:t>g</w:t>
      </w:r>
      <w:r w:rsidR="000F16EB">
        <w:t>/s),</w:t>
      </w:r>
    </w:p>
    <w:p w14:paraId="6FF89D97" w14:textId="77777777" w:rsidR="000F16EB" w:rsidRDefault="000F16EB" w:rsidP="000F16EB">
      <m:oMath>
        <m:r>
          <w:rPr>
            <w:rFonts w:ascii="Cambria Math" w:hAnsi="Cambria Math"/>
          </w:rPr>
          <m:t>∆T</m:t>
        </m:r>
      </m:oMath>
      <w:r>
        <w:t xml:space="preserve"> is the temperature change in the stream (K).</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5"/>
        <w:gridCol w:w="543"/>
      </w:tblGrid>
      <w:tr w:rsidR="000F16EB" w14:paraId="5528643F" w14:textId="77777777" w:rsidTr="00A7521D">
        <w:tc>
          <w:tcPr>
            <w:tcW w:w="7655" w:type="dxa"/>
          </w:tcPr>
          <w:p w14:paraId="2FC2A3FD" w14:textId="77777777" w:rsidR="000F16EB" w:rsidRPr="00AC69E9" w:rsidRDefault="00C73E04" w:rsidP="00A7521D">
            <w:pPr>
              <w:keepNext/>
            </w:pPr>
            <m:oMathPara>
              <m:oMathParaPr>
                <m:jc m:val="left"/>
              </m:oMathParaPr>
              <m:oMath>
                <m:sSub>
                  <m:sSubPr>
                    <m:ctrlPr>
                      <w:rPr>
                        <w:rFonts w:ascii="Cambria Math" w:hAnsi="Cambria Math"/>
                        <w:i/>
                      </w:rPr>
                    </m:ctrlPr>
                  </m:sSubPr>
                  <m:e>
                    <m:r>
                      <w:rPr>
                        <w:rFonts w:ascii="Cambria Math" w:hAnsi="Cambria Math"/>
                      </w:rPr>
                      <m:t>c</m:t>
                    </m:r>
                  </m:e>
                  <m:sub>
                    <m:r>
                      <w:rPr>
                        <w:rFonts w:ascii="Cambria Math" w:hAnsi="Cambria Math"/>
                      </w:rPr>
                      <m:t>p(</m:t>
                    </m:r>
                    <m:r>
                      <m:rPr>
                        <m:nor/>
                      </m:rPr>
                      <w:rPr>
                        <w:rFonts w:ascii="Cambria Math" w:hAnsi="Cambria Math"/>
                      </w:rPr>
                      <m:t>mixture</m:t>
                    </m:r>
                    <m:r>
                      <w:rPr>
                        <w:rFonts w:ascii="Cambria Math" w:hAnsi="Cambria Math"/>
                      </w:rPr>
                      <m:t>)</m:t>
                    </m:r>
                  </m:sub>
                </m:sSub>
                <m:r>
                  <w:rPr>
                    <w:rFonts w:ascii="Cambria Math" w:hAnsi="Cambria Math"/>
                  </w:rPr>
                  <m:t>=</m:t>
                </m:r>
                <m:nary>
                  <m:naryPr>
                    <m:chr m:val="∑"/>
                    <m:limLoc m:val="undOvr"/>
                    <m:ctrlPr>
                      <w:rPr>
                        <w:rFonts w:ascii="Cambria Math" w:hAnsi="Cambria Math"/>
                        <w:i/>
                      </w:rPr>
                    </m:ctrlPr>
                  </m:naryPr>
                  <m:sub>
                    <m:r>
                      <w:rPr>
                        <w:rFonts w:ascii="Cambria Math" w:hAnsi="Cambria Math"/>
                      </w:rPr>
                      <m:t>a=1</m:t>
                    </m:r>
                  </m:sub>
                  <m:sup>
                    <m:r>
                      <w:rPr>
                        <w:rFonts w:ascii="Cambria Math" w:hAnsi="Cambria Math"/>
                      </w:rPr>
                      <m:t>N</m:t>
                    </m:r>
                  </m:sup>
                  <m:e>
                    <m:sSub>
                      <m:sSubPr>
                        <m:ctrlPr>
                          <w:rPr>
                            <w:rFonts w:ascii="Cambria Math" w:hAnsi="Cambria Math"/>
                            <w:i/>
                          </w:rPr>
                        </m:ctrlPr>
                      </m:sSubPr>
                      <m:e>
                        <m:r>
                          <w:rPr>
                            <w:rFonts w:ascii="Cambria Math" w:hAnsi="Cambria Math"/>
                          </w:rPr>
                          <m:t>c</m:t>
                        </m:r>
                      </m:e>
                      <m:sub>
                        <m:r>
                          <w:rPr>
                            <w:rFonts w:ascii="Cambria Math" w:hAnsi="Cambria Math"/>
                          </w:rPr>
                          <m:t>p(a)</m:t>
                        </m:r>
                      </m:sub>
                    </m:sSub>
                    <m:sSub>
                      <m:sSubPr>
                        <m:ctrlPr>
                          <w:rPr>
                            <w:rFonts w:ascii="Cambria Math" w:hAnsi="Cambria Math"/>
                            <w:i/>
                          </w:rPr>
                        </m:ctrlPr>
                      </m:sSubPr>
                      <m:e>
                        <m:r>
                          <w:rPr>
                            <w:rFonts w:ascii="Cambria Math" w:hAnsi="Cambria Math"/>
                          </w:rPr>
                          <m:t>x</m:t>
                        </m:r>
                      </m:e>
                      <m:sub>
                        <m:r>
                          <w:rPr>
                            <w:rFonts w:ascii="Cambria Math" w:hAnsi="Cambria Math"/>
                          </w:rPr>
                          <m:t>a</m:t>
                        </m:r>
                      </m:sub>
                    </m:sSub>
                  </m:e>
                </m:nary>
              </m:oMath>
            </m:oMathPara>
          </w:p>
        </w:tc>
        <w:bookmarkStart w:id="514" w:name="_Ref531101921"/>
        <w:tc>
          <w:tcPr>
            <w:tcW w:w="543" w:type="dxa"/>
            <w:vAlign w:val="center"/>
          </w:tcPr>
          <w:p w14:paraId="5919FDBF" w14:textId="6EFB31D1" w:rsidR="000F16EB" w:rsidRPr="00F029E0" w:rsidRDefault="000F16EB" w:rsidP="00A7521D">
            <w:pPr>
              <w:pStyle w:val="Caption"/>
              <w:jc w:val="right"/>
              <w:rPr>
                <w:b w:val="0"/>
              </w:rPr>
            </w:pPr>
            <w:r>
              <w:fldChar w:fldCharType="begin"/>
            </w:r>
            <w:r>
              <w:instrText xml:space="preserve"> STYLEREF 1 \s </w:instrText>
            </w:r>
            <w:r>
              <w:fldChar w:fldCharType="separate"/>
            </w:r>
            <w:r w:rsidR="00CB7456">
              <w:rPr>
                <w:noProof/>
              </w:rPr>
              <w:t>4</w:t>
            </w:r>
            <w:r>
              <w:fldChar w:fldCharType="end"/>
            </w:r>
            <w:r>
              <w:t>.</w:t>
            </w:r>
            <w:r>
              <w:rPr>
                <w:noProof/>
              </w:rPr>
              <w:fldChar w:fldCharType="begin"/>
            </w:r>
            <w:r>
              <w:rPr>
                <w:noProof/>
              </w:rPr>
              <w:instrText xml:space="preserve"> SEQ Equation \* ARABIC \s 1 </w:instrText>
            </w:r>
            <w:r>
              <w:rPr>
                <w:noProof/>
              </w:rPr>
              <w:fldChar w:fldCharType="separate"/>
            </w:r>
            <w:r w:rsidR="00CB7456">
              <w:rPr>
                <w:noProof/>
              </w:rPr>
              <w:t>3</w:t>
            </w:r>
            <w:r>
              <w:rPr>
                <w:noProof/>
              </w:rPr>
              <w:fldChar w:fldCharType="end"/>
            </w:r>
            <w:bookmarkEnd w:id="514"/>
          </w:p>
        </w:tc>
      </w:tr>
    </w:tbl>
    <w:p w14:paraId="099AB941" w14:textId="77777777" w:rsidR="000F16EB" w:rsidRPr="003C7CD1" w:rsidRDefault="000F16EB" w:rsidP="00196CD6">
      <w:pPr>
        <w:pStyle w:val="NoSpacing"/>
      </w:pPr>
    </w:p>
    <w:p w14:paraId="0FC1A977" w14:textId="52E267E3" w:rsidR="000F16EB" w:rsidRDefault="00C73E04" w:rsidP="000F16EB">
      <w:pPr>
        <w:pStyle w:val="NoSpacing"/>
      </w:pPr>
      <m:oMath>
        <m:sSub>
          <m:sSubPr>
            <m:ctrlPr>
              <w:rPr>
                <w:rFonts w:ascii="Cambria Math" w:hAnsi="Cambria Math"/>
                <w:i/>
              </w:rPr>
            </m:ctrlPr>
          </m:sSubPr>
          <m:e>
            <m:r>
              <w:rPr>
                <w:rFonts w:ascii="Cambria Math" w:hAnsi="Cambria Math"/>
              </w:rPr>
              <m:t>c</m:t>
            </m:r>
          </m:e>
          <m:sub>
            <m:r>
              <w:rPr>
                <w:rFonts w:ascii="Cambria Math" w:hAnsi="Cambria Math"/>
              </w:rPr>
              <m:t>p(a)</m:t>
            </m:r>
          </m:sub>
        </m:sSub>
      </m:oMath>
      <w:r w:rsidR="000F16EB">
        <w:t xml:space="preserve"> is the specific heat capacity of compound, </w:t>
      </w:r>
      <w:r w:rsidR="000F16EB">
        <w:rPr>
          <w:i/>
        </w:rPr>
        <w:t>a</w:t>
      </w:r>
      <w:r w:rsidR="000F16EB">
        <w:t>, in the stream (</w:t>
      </w:r>
      <w:r w:rsidR="00441038">
        <w:t>k</w:t>
      </w:r>
      <w:r w:rsidR="000F16EB">
        <w:t>J/[</w:t>
      </w:r>
      <w:proofErr w:type="spellStart"/>
      <w:r w:rsidR="000F16EB">
        <w:t>kgK</w:t>
      </w:r>
      <w:proofErr w:type="spellEnd"/>
      <w:r w:rsidR="000F16EB">
        <w:t>]),</w:t>
      </w:r>
    </w:p>
    <w:p w14:paraId="138EEC36" w14:textId="10B4CED6" w:rsidR="000F16EB" w:rsidRDefault="00C73E04" w:rsidP="005C5568">
      <w:pPr>
        <w:pStyle w:val="NoSpacing"/>
      </w:pPr>
      <m:oMath>
        <m:sSub>
          <m:sSubPr>
            <m:ctrlPr>
              <w:rPr>
                <w:rFonts w:ascii="Cambria Math" w:hAnsi="Cambria Math"/>
                <w:i/>
              </w:rPr>
            </m:ctrlPr>
          </m:sSubPr>
          <m:e>
            <m:r>
              <w:rPr>
                <w:rFonts w:ascii="Cambria Math" w:hAnsi="Cambria Math"/>
              </w:rPr>
              <m:t>x</m:t>
            </m:r>
          </m:e>
          <m:sub>
            <m:r>
              <w:rPr>
                <w:rFonts w:ascii="Cambria Math" w:hAnsi="Cambria Math"/>
              </w:rPr>
              <m:t>a</m:t>
            </m:r>
          </m:sub>
        </m:sSub>
      </m:oMath>
      <w:r w:rsidR="000F16EB">
        <w:t xml:space="preserve"> is the mass fraction of compound, </w:t>
      </w:r>
      <w:r w:rsidR="000F16EB">
        <w:rPr>
          <w:i/>
        </w:rPr>
        <w:t>a</w:t>
      </w:r>
      <w:r w:rsidR="000F16EB">
        <w:t>, in the stream</w:t>
      </w:r>
      <w:r w:rsidR="005C5568">
        <w:t>,</w:t>
      </w:r>
    </w:p>
    <w:p w14:paraId="036FB17A" w14:textId="18AFCB71" w:rsidR="005C5568" w:rsidRDefault="005C5568" w:rsidP="000F16EB">
      <m:oMath>
        <m:r>
          <w:rPr>
            <w:rFonts w:ascii="Cambria Math" w:hAnsi="Cambria Math"/>
          </w:rPr>
          <m:t>N</m:t>
        </m:r>
      </m:oMath>
      <w:r>
        <w:t xml:space="preserve"> i</w:t>
      </w:r>
      <w:proofErr w:type="spellStart"/>
      <w:r>
        <w:t>s</w:t>
      </w:r>
      <w:proofErr w:type="spellEnd"/>
      <w:r>
        <w:t xml:space="preserve"> the total number of compounds in the stream.</w:t>
      </w:r>
    </w:p>
    <w:p w14:paraId="6D088D03" w14:textId="77777777" w:rsidR="000F16EB" w:rsidRDefault="000F16EB" w:rsidP="000F16EB">
      <w:r>
        <w:t>If the company keeps track of the temperature, mass flowrate, and composition of each stream, the enthalpy can be easily calculated. The calculation can be built into Microsoft Excel, with the formula hidden in locked sheets and only the inputs and answers visible to the non-technical user. That way the user will be capable of quantifying the WH available from the industrial site. The calculation is possible regardless of whether the stream composition is available on a mass or a mole basis.</w:t>
      </w:r>
    </w:p>
    <w:p w14:paraId="7C168B2C" w14:textId="77777777" w:rsidR="000F16EB" w:rsidRDefault="000F16EB" w:rsidP="000F16EB">
      <w:r>
        <w:t xml:space="preserve">If the requisite level of information is not available from the industrial site, elemental based mass and energy balances will need to be completed. The process would begin with communication with the site. In particular, the communication should provide as much of the following as possible: a description of the industrial site, including a process map showing how the streams and units are connected; a description of each piece of process equipment, paying attention to what happens to the process streams inside the equipment and ideally, any reactions that occur; and a description of all streams, ideally including the temperature, flowrate and composition of each one. A process map of the collected information should be generated and should include as much of this information as possible. </w:t>
      </w:r>
    </w:p>
    <w:p w14:paraId="07E60429" w14:textId="2683A2F2" w:rsidR="000F16EB" w:rsidRDefault="000F16EB" w:rsidP="000F16EB">
      <w:r>
        <w:t xml:space="preserve">A </w:t>
      </w:r>
      <w:proofErr w:type="spellStart"/>
      <w:r>
        <w:t>DoF</w:t>
      </w:r>
      <w:proofErr w:type="spellEnd"/>
      <w:r>
        <w:t xml:space="preserve"> assessment is performed for the site as a whole, each individual piece of equipment, and each group of equipment. The basis for the </w:t>
      </w:r>
      <w:proofErr w:type="spellStart"/>
      <w:r>
        <w:t>DoF</w:t>
      </w:r>
      <w:proofErr w:type="spellEnd"/>
      <w:r>
        <w:t xml:space="preserve"> is shown in Equation </w:t>
      </w:r>
      <w:r>
        <w:fldChar w:fldCharType="begin"/>
      </w:r>
      <w:r>
        <w:instrText xml:space="preserve"> REF _Ref531102010 \h </w:instrText>
      </w:r>
      <w:r>
        <w:fldChar w:fldCharType="separate"/>
      </w:r>
      <w:r w:rsidR="00CB7456">
        <w:rPr>
          <w:noProof/>
        </w:rPr>
        <w:t>4</w:t>
      </w:r>
      <w:r w:rsidR="00CB7456">
        <w:t>.</w:t>
      </w:r>
      <w:r w:rsidR="00CB7456">
        <w:rPr>
          <w:noProof/>
        </w:rPr>
        <w:t>4</w:t>
      </w:r>
      <w:r>
        <w:fldChar w:fldCharType="end"/>
      </w:r>
      <w:r>
        <w:t xml:space="preserve"> </w:t>
      </w:r>
      <w:r>
        <w:fldChar w:fldCharType="begin" w:fldLock="1"/>
      </w:r>
      <w:r w:rsidR="002A6A73">
        <w:instrText>ADDIN CSL_CITATION {"citationItems":[{"id":"ITEM-1","itemData":{"ISBN":"978-0-7506-6538-4","author":[{"dropping-particle":"","family":"Sinnott","given":"R.K.","non-dropping-particle":"","parse-names":false,"suffix":""}],"edition":"4","editor":[{"dropping-particle":"","family":"Sinnott","given":"R.K.","non-dropping-particle":"","parse-names":false,"suffix":""}],"id":"ITEM-1","issued":{"date-parts":[["2005"]]},"publisher":"Elsevier","title":"Coulson and Richardson's Chemical Engineering","type":"book"},"uris":["http://www.mendeley.com/documents/?uuid=d0a6e441-266f-4735-8bef-cd146e7cff7f"]}],"mendeley":{"formattedCitation":"(Sinnott, 2005a)","plainTextFormattedCitation":"(Sinnott, 2005a)","previouslyFormattedCitation":"(Sinnott, 2005a)"},"properties":{"noteIndex":0},"schema":"https://github.com/citation-style-language/schema/raw/master/csl-citation.json"}</w:instrText>
      </w:r>
      <w:r>
        <w:fldChar w:fldCharType="separate"/>
      </w:r>
      <w:r w:rsidR="002A6A73" w:rsidRPr="002A6A73">
        <w:rPr>
          <w:noProof/>
        </w:rPr>
        <w:t>(Sinnott, 2005a)</w:t>
      </w:r>
      <w:r>
        <w:fldChar w:fldCharType="end"/>
      </w:r>
      <w: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5"/>
        <w:gridCol w:w="543"/>
      </w:tblGrid>
      <w:tr w:rsidR="000F16EB" w14:paraId="44E805ED" w14:textId="77777777" w:rsidTr="00A7521D">
        <w:tc>
          <w:tcPr>
            <w:tcW w:w="7655" w:type="dxa"/>
          </w:tcPr>
          <w:p w14:paraId="1E3A3F09" w14:textId="77777777" w:rsidR="000F16EB" w:rsidRPr="00AC69E9" w:rsidRDefault="00C73E04" w:rsidP="00A7521D">
            <w:pPr>
              <w:keepNext/>
            </w:pPr>
            <m:oMathPara>
              <m:oMathParaPr>
                <m:jc m:val="left"/>
              </m:oMathParaPr>
              <m:oMath>
                <m:sSub>
                  <m:sSubPr>
                    <m:ctrlPr>
                      <w:rPr>
                        <w:rFonts w:ascii="Cambria Math" w:hAnsi="Cambria Math"/>
                        <w:i/>
                      </w:rPr>
                    </m:ctrlPr>
                  </m:sSubPr>
                  <m:e>
                    <m:r>
                      <w:rPr>
                        <w:rFonts w:ascii="Cambria Math" w:hAnsi="Cambria Math"/>
                      </w:rPr>
                      <m:t>N</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v</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r</m:t>
                    </m:r>
                  </m:sub>
                </m:sSub>
              </m:oMath>
            </m:oMathPara>
          </w:p>
        </w:tc>
        <w:bookmarkStart w:id="515" w:name="_Ref531102010"/>
        <w:tc>
          <w:tcPr>
            <w:tcW w:w="543" w:type="dxa"/>
            <w:vAlign w:val="center"/>
          </w:tcPr>
          <w:p w14:paraId="3B910134" w14:textId="7E76CEA2" w:rsidR="000F16EB" w:rsidRPr="00F029E0" w:rsidRDefault="000F16EB" w:rsidP="00A7521D">
            <w:pPr>
              <w:pStyle w:val="Caption"/>
              <w:jc w:val="right"/>
              <w:rPr>
                <w:b w:val="0"/>
              </w:rPr>
            </w:pPr>
            <w:r>
              <w:fldChar w:fldCharType="begin"/>
            </w:r>
            <w:r>
              <w:instrText xml:space="preserve"> STYLEREF 1 \s </w:instrText>
            </w:r>
            <w:r>
              <w:fldChar w:fldCharType="separate"/>
            </w:r>
            <w:r w:rsidR="00CB7456">
              <w:rPr>
                <w:noProof/>
              </w:rPr>
              <w:t>4</w:t>
            </w:r>
            <w:r>
              <w:fldChar w:fldCharType="end"/>
            </w:r>
            <w:r>
              <w:t>.</w:t>
            </w:r>
            <w:r>
              <w:rPr>
                <w:noProof/>
              </w:rPr>
              <w:fldChar w:fldCharType="begin"/>
            </w:r>
            <w:r>
              <w:rPr>
                <w:noProof/>
              </w:rPr>
              <w:instrText xml:space="preserve"> SEQ Equation \* ARABIC \s 1 </w:instrText>
            </w:r>
            <w:r>
              <w:rPr>
                <w:noProof/>
              </w:rPr>
              <w:fldChar w:fldCharType="separate"/>
            </w:r>
            <w:r w:rsidR="00CB7456">
              <w:rPr>
                <w:noProof/>
              </w:rPr>
              <w:t>4</w:t>
            </w:r>
            <w:r>
              <w:rPr>
                <w:noProof/>
              </w:rPr>
              <w:fldChar w:fldCharType="end"/>
            </w:r>
            <w:bookmarkEnd w:id="515"/>
          </w:p>
        </w:tc>
      </w:tr>
    </w:tbl>
    <w:p w14:paraId="14382D5E" w14:textId="77777777" w:rsidR="000F16EB" w:rsidRDefault="000F16EB" w:rsidP="00196CD6">
      <w:pPr>
        <w:pStyle w:val="NoSpacing"/>
      </w:pPr>
    </w:p>
    <w:p w14:paraId="4A312193" w14:textId="77777777" w:rsidR="000F16EB" w:rsidRDefault="00C73E04" w:rsidP="000F16EB">
      <w:pPr>
        <w:pStyle w:val="NoSpacing"/>
      </w:pPr>
      <m:oMath>
        <m:sSub>
          <m:sSubPr>
            <m:ctrlPr>
              <w:rPr>
                <w:rFonts w:ascii="Cambria Math" w:hAnsi="Cambria Math"/>
                <w:i/>
              </w:rPr>
            </m:ctrlPr>
          </m:sSubPr>
          <m:e>
            <m:r>
              <w:rPr>
                <w:rFonts w:ascii="Cambria Math" w:hAnsi="Cambria Math"/>
              </w:rPr>
              <m:t>N</m:t>
            </m:r>
          </m:e>
          <m:sub>
            <m:r>
              <w:rPr>
                <w:rFonts w:ascii="Cambria Math" w:hAnsi="Cambria Math"/>
              </w:rPr>
              <m:t>d</m:t>
            </m:r>
          </m:sub>
        </m:sSub>
      </m:oMath>
      <w:r w:rsidR="000F16EB">
        <w:t xml:space="preserve"> is the DoF, representing the ability a user has to solve a mass or e</w:t>
      </w:r>
      <w:proofErr w:type="spellStart"/>
      <w:r w:rsidR="000F16EB">
        <w:t>nergy</w:t>
      </w:r>
      <w:proofErr w:type="spellEnd"/>
      <w:r w:rsidR="000F16EB">
        <w:t xml:space="preserve"> balance,</w:t>
      </w:r>
    </w:p>
    <w:p w14:paraId="59E1E79B" w14:textId="77777777" w:rsidR="000F16EB" w:rsidRDefault="00C73E04" w:rsidP="000F16EB">
      <w:pPr>
        <w:pStyle w:val="NoSpacing"/>
      </w:pPr>
      <m:oMath>
        <m:sSub>
          <m:sSubPr>
            <m:ctrlPr>
              <w:rPr>
                <w:rFonts w:ascii="Cambria Math" w:hAnsi="Cambria Math"/>
                <w:i/>
              </w:rPr>
            </m:ctrlPr>
          </m:sSubPr>
          <m:e>
            <m:r>
              <w:rPr>
                <w:rFonts w:ascii="Cambria Math" w:hAnsi="Cambria Math"/>
              </w:rPr>
              <m:t>N</m:t>
            </m:r>
          </m:e>
          <m:sub>
            <m:r>
              <w:rPr>
                <w:rFonts w:ascii="Cambria Math" w:hAnsi="Cambria Math"/>
              </w:rPr>
              <m:t>v</m:t>
            </m:r>
          </m:sub>
        </m:sSub>
      </m:oMath>
      <w:r w:rsidR="000F16EB">
        <w:t xml:space="preserve"> is the number of possible variables in the design problem,</w:t>
      </w:r>
    </w:p>
    <w:p w14:paraId="4A7F1207" w14:textId="493586BD" w:rsidR="000F16EB" w:rsidRDefault="00C73E04" w:rsidP="000F16EB">
      <m:oMath>
        <m:sSub>
          <m:sSubPr>
            <m:ctrlPr>
              <w:rPr>
                <w:rFonts w:ascii="Cambria Math" w:hAnsi="Cambria Math"/>
                <w:i/>
              </w:rPr>
            </m:ctrlPr>
          </m:sSubPr>
          <m:e>
            <m:r>
              <w:rPr>
                <w:rFonts w:ascii="Cambria Math" w:hAnsi="Cambria Math"/>
              </w:rPr>
              <m:t>N</m:t>
            </m:r>
          </m:e>
          <m:sub>
            <m:r>
              <w:rPr>
                <w:rFonts w:ascii="Cambria Math" w:hAnsi="Cambria Math"/>
              </w:rPr>
              <m:t>r</m:t>
            </m:r>
          </m:sub>
        </m:sSub>
      </m:oMath>
      <w:r w:rsidR="000F16EB">
        <w:t xml:space="preserve"> is the numb</w:t>
      </w:r>
      <w:proofErr w:type="spellStart"/>
      <w:r w:rsidR="000F16EB">
        <w:t>er</w:t>
      </w:r>
      <w:proofErr w:type="spellEnd"/>
      <w:r w:rsidR="000F16EB">
        <w:t xml:space="preserve"> of </w:t>
      </w:r>
      <w:r w:rsidR="005C5568">
        <w:t>independent</w:t>
      </w:r>
      <w:r w:rsidR="000F16EB">
        <w:t xml:space="preserve"> relationships.</w:t>
      </w:r>
    </w:p>
    <w:p w14:paraId="07E385E4" w14:textId="77777777" w:rsidR="000F16EB" w:rsidRDefault="000F16EB" w:rsidP="000F16EB">
      <w:r>
        <w:lastRenderedPageBreak/>
        <w:t xml:space="preserve">If </w:t>
      </w:r>
      <m:oMath>
        <m:sSub>
          <m:sSubPr>
            <m:ctrlPr>
              <w:rPr>
                <w:rFonts w:ascii="Cambria Math" w:hAnsi="Cambria Math"/>
                <w:i/>
              </w:rPr>
            </m:ctrlPr>
          </m:sSubPr>
          <m:e>
            <m:r>
              <w:rPr>
                <w:rFonts w:ascii="Cambria Math" w:hAnsi="Cambria Math"/>
              </w:rPr>
              <m:t>N</m:t>
            </m:r>
          </m:e>
          <m:sub>
            <m:r>
              <w:rPr>
                <w:rFonts w:ascii="Cambria Math" w:hAnsi="Cambria Math"/>
              </w:rPr>
              <m:t>v</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r</m:t>
            </m:r>
          </m:sub>
        </m:sSub>
      </m:oMath>
      <w:r>
        <w:t xml:space="preserve"> and </w:t>
      </w:r>
      <m:oMath>
        <m:sSub>
          <m:sSubPr>
            <m:ctrlPr>
              <w:rPr>
                <w:rFonts w:ascii="Cambria Math" w:hAnsi="Cambria Math"/>
                <w:i/>
              </w:rPr>
            </m:ctrlPr>
          </m:sSubPr>
          <m:e>
            <m:r>
              <w:rPr>
                <w:rFonts w:ascii="Cambria Math" w:hAnsi="Cambria Math"/>
              </w:rPr>
              <m:t>N</m:t>
            </m:r>
          </m:e>
          <m:sub>
            <m:r>
              <w:rPr>
                <w:rFonts w:ascii="Cambria Math" w:hAnsi="Cambria Math"/>
              </w:rPr>
              <m:t>d</m:t>
            </m:r>
          </m:sub>
        </m:sSub>
        <m:r>
          <w:rPr>
            <w:rFonts w:ascii="Cambria Math" w:hAnsi="Cambria Math"/>
          </w:rPr>
          <m:t>=0</m:t>
        </m:r>
      </m:oMath>
      <w:r>
        <w:t xml:space="preserve">, there is a single, unique solution to the problem and the user should start the balances here. If </w:t>
      </w:r>
      <m:oMath>
        <m:sSub>
          <m:sSubPr>
            <m:ctrlPr>
              <w:rPr>
                <w:rFonts w:ascii="Cambria Math" w:hAnsi="Cambria Math"/>
                <w:i/>
              </w:rPr>
            </m:ctrlPr>
          </m:sSubPr>
          <m:e>
            <m:r>
              <w:rPr>
                <w:rFonts w:ascii="Cambria Math" w:hAnsi="Cambria Math"/>
              </w:rPr>
              <m:t>N</m:t>
            </m:r>
          </m:e>
          <m:sub>
            <m:r>
              <w:rPr>
                <w:rFonts w:ascii="Cambria Math" w:hAnsi="Cambria Math"/>
              </w:rPr>
              <m:t>v</m:t>
            </m:r>
          </m:sub>
        </m:sSub>
        <m:r>
          <w:rPr>
            <w:rFonts w:ascii="Cambria Math" w:hAnsi="Cambria Math"/>
          </w:rPr>
          <m:t>&lt;</m:t>
        </m:r>
        <m:sSub>
          <m:sSubPr>
            <m:ctrlPr>
              <w:rPr>
                <w:rFonts w:ascii="Cambria Math" w:hAnsi="Cambria Math"/>
                <w:i/>
              </w:rPr>
            </m:ctrlPr>
          </m:sSubPr>
          <m:e>
            <m:r>
              <w:rPr>
                <w:rFonts w:ascii="Cambria Math" w:hAnsi="Cambria Math"/>
              </w:rPr>
              <m:t>N</m:t>
            </m:r>
          </m:e>
          <m:sub>
            <m:r>
              <w:rPr>
                <w:rFonts w:ascii="Cambria Math" w:hAnsi="Cambria Math"/>
              </w:rPr>
              <m:t>r</m:t>
            </m:r>
          </m:sub>
        </m:sSub>
      </m:oMath>
      <w:r>
        <w:t xml:space="preserve"> and </w:t>
      </w:r>
      <m:oMath>
        <m:sSub>
          <m:sSubPr>
            <m:ctrlPr>
              <w:rPr>
                <w:rFonts w:ascii="Cambria Math" w:hAnsi="Cambria Math"/>
                <w:i/>
              </w:rPr>
            </m:ctrlPr>
          </m:sSubPr>
          <m:e>
            <m:r>
              <w:rPr>
                <w:rFonts w:ascii="Cambria Math" w:hAnsi="Cambria Math"/>
              </w:rPr>
              <m:t>N</m:t>
            </m:r>
          </m:e>
          <m:sub>
            <m:r>
              <w:rPr>
                <w:rFonts w:ascii="Cambria Math" w:hAnsi="Cambria Math"/>
              </w:rPr>
              <m:t>d</m:t>
            </m:r>
          </m:sub>
        </m:sSub>
        <m:r>
          <w:rPr>
            <w:rFonts w:ascii="Cambria Math" w:hAnsi="Cambria Math"/>
          </w:rPr>
          <m:t>&lt;0</m:t>
        </m:r>
      </m:oMath>
      <w:r>
        <w:t>, the problem is over defined and only a trivial solution will be possible.</w:t>
      </w:r>
      <w:r w:rsidRPr="00A443C8">
        <w:t xml:space="preserve"> </w:t>
      </w:r>
      <w:r>
        <w:t xml:space="preserve">If </w:t>
      </w:r>
      <m:oMath>
        <m:sSub>
          <m:sSubPr>
            <m:ctrlPr>
              <w:rPr>
                <w:rFonts w:ascii="Cambria Math" w:hAnsi="Cambria Math"/>
                <w:i/>
              </w:rPr>
            </m:ctrlPr>
          </m:sSubPr>
          <m:e>
            <m:r>
              <w:rPr>
                <w:rFonts w:ascii="Cambria Math" w:hAnsi="Cambria Math"/>
              </w:rPr>
              <m:t>N</m:t>
            </m:r>
          </m:e>
          <m:sub>
            <m:r>
              <w:rPr>
                <w:rFonts w:ascii="Cambria Math" w:hAnsi="Cambria Math"/>
              </w:rPr>
              <m:t>v</m:t>
            </m:r>
          </m:sub>
        </m:sSub>
        <m:r>
          <w:rPr>
            <w:rFonts w:ascii="Cambria Math" w:hAnsi="Cambria Math"/>
          </w:rPr>
          <m:t>&gt;</m:t>
        </m:r>
        <m:sSub>
          <m:sSubPr>
            <m:ctrlPr>
              <w:rPr>
                <w:rFonts w:ascii="Cambria Math" w:hAnsi="Cambria Math"/>
                <w:i/>
              </w:rPr>
            </m:ctrlPr>
          </m:sSubPr>
          <m:e>
            <m:r>
              <w:rPr>
                <w:rFonts w:ascii="Cambria Math" w:hAnsi="Cambria Math"/>
              </w:rPr>
              <m:t>N</m:t>
            </m:r>
          </m:e>
          <m:sub>
            <m:r>
              <w:rPr>
                <w:rFonts w:ascii="Cambria Math" w:hAnsi="Cambria Math"/>
              </w:rPr>
              <m:t>r</m:t>
            </m:r>
          </m:sub>
        </m:sSub>
      </m:oMath>
      <w:r>
        <w:t xml:space="preserve"> and </w:t>
      </w:r>
      <m:oMath>
        <m:sSub>
          <m:sSubPr>
            <m:ctrlPr>
              <w:rPr>
                <w:rFonts w:ascii="Cambria Math" w:hAnsi="Cambria Math"/>
                <w:i/>
              </w:rPr>
            </m:ctrlPr>
          </m:sSubPr>
          <m:e>
            <m:r>
              <w:rPr>
                <w:rFonts w:ascii="Cambria Math" w:hAnsi="Cambria Math"/>
              </w:rPr>
              <m:t>N</m:t>
            </m:r>
          </m:e>
          <m:sub>
            <m:r>
              <w:rPr>
                <w:rFonts w:ascii="Cambria Math" w:hAnsi="Cambria Math"/>
              </w:rPr>
              <m:t>d</m:t>
            </m:r>
          </m:sub>
        </m:sSub>
        <m:r>
          <w:rPr>
            <w:rFonts w:ascii="Cambria Math" w:hAnsi="Cambria Math"/>
          </w:rPr>
          <m:t>&gt;0</m:t>
        </m:r>
      </m:oMath>
      <w:r>
        <w:t>, there are an infinite number of solutions therefore, the user needs to find more information about the process. It is possible that the process will be solvable later in the mass and energy balancing work.</w:t>
      </w:r>
    </w:p>
    <w:p w14:paraId="3E942C28" w14:textId="1C2118FB" w:rsidR="000F16EB" w:rsidRDefault="000F16EB" w:rsidP="000F16EB">
      <w:r>
        <w:t xml:space="preserve">Once it has been identified where in the process to start the elemental mass balance can begin. An elemental mass balance is the simplest form of a mass balance working on the basis of the total number of moles of an element entering and leaving a system must be equal. Completing an elemental mass balance for each element in the system will calculate the composition and flow rate of each stream entering and leaving the process. The elemental mass balance should be completed for each process in the industrial site. The energy balance is then completed using Equation </w:t>
      </w:r>
      <w:r>
        <w:fldChar w:fldCharType="begin"/>
      </w:r>
      <w:r>
        <w:instrText xml:space="preserve"> REF _Ref531101836 \h </w:instrText>
      </w:r>
      <w:r>
        <w:fldChar w:fldCharType="separate"/>
      </w:r>
      <w:r w:rsidR="00CB7456">
        <w:rPr>
          <w:noProof/>
        </w:rPr>
        <w:t>4</w:t>
      </w:r>
      <w:r w:rsidR="00CB7456">
        <w:t>.</w:t>
      </w:r>
      <w:r w:rsidR="00CB7456">
        <w:rPr>
          <w:noProof/>
        </w:rPr>
        <w:t>2</w:t>
      </w:r>
      <w:r>
        <w:fldChar w:fldCharType="end"/>
      </w:r>
      <w:r>
        <w:t xml:space="preserve"> and Equation </w:t>
      </w:r>
      <w:r>
        <w:fldChar w:fldCharType="begin"/>
      </w:r>
      <w:r>
        <w:instrText xml:space="preserve"> REF _Ref531101921 \h </w:instrText>
      </w:r>
      <w:r>
        <w:fldChar w:fldCharType="separate"/>
      </w:r>
      <w:r w:rsidR="00CB7456">
        <w:rPr>
          <w:noProof/>
        </w:rPr>
        <w:t>4</w:t>
      </w:r>
      <w:r w:rsidR="00CB7456">
        <w:t>.</w:t>
      </w:r>
      <w:r w:rsidR="00CB7456">
        <w:rPr>
          <w:noProof/>
        </w:rPr>
        <w:t>3</w:t>
      </w:r>
      <w:r>
        <w:fldChar w:fldCharType="end"/>
      </w:r>
      <w:r>
        <w:t>.</w:t>
      </w:r>
    </w:p>
    <w:p w14:paraId="556EDA70" w14:textId="77777777" w:rsidR="000F16EB" w:rsidRDefault="000F16EB" w:rsidP="000F16EB">
      <w:r>
        <w:t xml:space="preserve">To complete the WH quantification process the temporal availability must be found. To do so, repeat the mass and energy balances at the frequency of the time step desired changing the input conditions with every repetition. </w:t>
      </w:r>
    </w:p>
    <w:p w14:paraId="18BEE7B6" w14:textId="77777777" w:rsidR="000F16EB" w:rsidRDefault="000F16EB" w:rsidP="000F16EB">
      <w:pPr>
        <w:pStyle w:val="Heading3"/>
      </w:pPr>
      <w:bookmarkStart w:id="516" w:name="_Toc525230003"/>
      <w:bookmarkStart w:id="517" w:name="_Ref531345326"/>
      <w:bookmarkStart w:id="518" w:name="_Toc7187518"/>
      <w:r>
        <w:t>Case Study Methodology</w:t>
      </w:r>
      <w:bookmarkEnd w:id="516"/>
      <w:bookmarkEnd w:id="517"/>
      <w:bookmarkEnd w:id="518"/>
    </w:p>
    <w:p w14:paraId="6ECBEF9B" w14:textId="77777777" w:rsidR="000F16EB" w:rsidRDefault="000F16EB" w:rsidP="000F16EB">
      <w:r>
        <w:t>The information received from HJE was not extensive and therefore a thorough, elemental based mass and energy balances had to be completed. It would not have been possible to use simulation software in the case study, regardless of any decision made to keep simulation software out of the simple methodology. Simulation software could not be used due to a lack of available information on each stream and the reactions occurring in the processes. Due to the highly complex nature of the HJE operation the compositions of the streams and the reactions that occur in the processes are constantly changing and are unpredictable. The information provided by HJE only measured the following temperature, pressure, differential pressure, level, flow, pH, and percentage of fan operation for various streams.</w:t>
      </w:r>
    </w:p>
    <w:p w14:paraId="20B3F9E2" w14:textId="7C15F260" w:rsidR="000F16EB" w:rsidRDefault="000F16EB" w:rsidP="000F16EB">
      <w:r>
        <w:t xml:space="preserve">A large number of assumptions needed to be made before the balancing work could commence, as shown in Appendix </w:t>
      </w:r>
      <w:r w:rsidR="00826452">
        <w:fldChar w:fldCharType="begin"/>
      </w:r>
      <w:r w:rsidR="00826452">
        <w:instrText xml:space="preserve"> REF _Ref531343911 \n \h </w:instrText>
      </w:r>
      <w:r w:rsidR="00826452">
        <w:fldChar w:fldCharType="separate"/>
      </w:r>
      <w:r w:rsidR="00CB7456">
        <w:t>13.2</w:t>
      </w:r>
      <w:r w:rsidR="00826452">
        <w:fldChar w:fldCharType="end"/>
      </w:r>
      <w:r>
        <w:t xml:space="preserve">. The elemental mass balance was completed in Microsoft Excel on the basis that the total number of moles of an element entering and leaving a process must be equal. The balance was completed for every element present in each process, calculating the compositions and the mass flowrates of the input and output streams. The process was repeated sequentially for as many of the units as needed to be solved. The enthalpy of each stream was calculated using Equation </w:t>
      </w:r>
      <w:r>
        <w:fldChar w:fldCharType="begin"/>
      </w:r>
      <w:r>
        <w:instrText xml:space="preserve"> REF _Ref531101836 \h </w:instrText>
      </w:r>
      <w:r>
        <w:fldChar w:fldCharType="separate"/>
      </w:r>
      <w:r w:rsidR="00CB7456">
        <w:rPr>
          <w:noProof/>
        </w:rPr>
        <w:t>4</w:t>
      </w:r>
      <w:r w:rsidR="00CB7456">
        <w:t>.</w:t>
      </w:r>
      <w:r w:rsidR="00CB7456">
        <w:rPr>
          <w:noProof/>
        </w:rPr>
        <w:t>2</w:t>
      </w:r>
      <w:r>
        <w:fldChar w:fldCharType="end"/>
      </w:r>
      <w:r>
        <w:t xml:space="preserve"> and Equation </w:t>
      </w:r>
      <w:r>
        <w:fldChar w:fldCharType="begin"/>
      </w:r>
      <w:r>
        <w:instrText xml:space="preserve"> REF _Ref531101921 \h </w:instrText>
      </w:r>
      <w:r>
        <w:fldChar w:fldCharType="separate"/>
      </w:r>
      <w:r w:rsidR="00CB7456">
        <w:rPr>
          <w:noProof/>
        </w:rPr>
        <w:t>4</w:t>
      </w:r>
      <w:r w:rsidR="00CB7456">
        <w:t>.</w:t>
      </w:r>
      <w:r w:rsidR="00CB7456">
        <w:rPr>
          <w:noProof/>
        </w:rPr>
        <w:t>3</w:t>
      </w:r>
      <w:r>
        <w:fldChar w:fldCharType="end"/>
      </w:r>
      <w:r>
        <w:t>.</w:t>
      </w:r>
    </w:p>
    <w:p w14:paraId="33860E39" w14:textId="68725D18" w:rsidR="000F16EB" w:rsidRDefault="000F16EB" w:rsidP="000F16EB">
      <w:r>
        <w:t xml:space="preserve">As the infeed to the HJE process was constantly changing, a ‘standard’ industrial operation profile had to be generated. HJE supplied a year’s worth of infeed data to the reverberatory furnace, as shown in </w:t>
      </w:r>
      <w:r>
        <w:fldChar w:fldCharType="begin"/>
      </w:r>
      <w:r>
        <w:instrText xml:space="preserve"> REF _Ref525662918 \h </w:instrText>
      </w:r>
      <w:r>
        <w:fldChar w:fldCharType="separate"/>
      </w:r>
      <w:r w:rsidR="00CB7456">
        <w:t xml:space="preserve">Figure </w:t>
      </w:r>
      <w:r w:rsidR="00CB7456">
        <w:rPr>
          <w:noProof/>
        </w:rPr>
        <w:t>4</w:t>
      </w:r>
      <w:r w:rsidR="00CB7456">
        <w:t>.</w:t>
      </w:r>
      <w:r w:rsidR="00CB7456">
        <w:rPr>
          <w:noProof/>
        </w:rPr>
        <w:t>1</w:t>
      </w:r>
      <w:r>
        <w:fldChar w:fldCharType="end"/>
      </w:r>
      <w:r>
        <w:t xml:space="preserve">. The information shown in </w:t>
      </w:r>
      <w:r>
        <w:fldChar w:fldCharType="begin"/>
      </w:r>
      <w:r>
        <w:instrText xml:space="preserve"> REF _Ref525662918 \h </w:instrText>
      </w:r>
      <w:r>
        <w:fldChar w:fldCharType="separate"/>
      </w:r>
      <w:r w:rsidR="00CB7456">
        <w:t xml:space="preserve">Figure </w:t>
      </w:r>
      <w:r w:rsidR="00CB7456">
        <w:rPr>
          <w:noProof/>
        </w:rPr>
        <w:t>4</w:t>
      </w:r>
      <w:r w:rsidR="00CB7456">
        <w:t>.</w:t>
      </w:r>
      <w:r w:rsidR="00CB7456">
        <w:rPr>
          <w:noProof/>
        </w:rPr>
        <w:t>1</w:t>
      </w:r>
      <w:r>
        <w:fldChar w:fldCharType="end"/>
      </w:r>
      <w:r>
        <w:t xml:space="preserve"> was more complicated and </w:t>
      </w:r>
      <w:r w:rsidR="003E2066">
        <w:t>noisier</w:t>
      </w:r>
      <w:r>
        <w:t xml:space="preserve"> than would be possible to directly measure the temporal availability of the enthalpy of the WH from, particularly for a non</w:t>
      </w:r>
      <w:r>
        <w:noBreakHyphen/>
        <w:t>technical user. Therefore, the yearly operation of the HJE site needed to be simplified.</w:t>
      </w:r>
    </w:p>
    <w:p w14:paraId="38DC603F" w14:textId="77777777" w:rsidR="000F16EB" w:rsidRDefault="000F16EB" w:rsidP="000F16EB"/>
    <w:p w14:paraId="79652BEC" w14:textId="77777777" w:rsidR="000F16EB" w:rsidRDefault="000F16EB" w:rsidP="000F16EB">
      <w:pPr>
        <w:keepNext/>
        <w:jc w:val="center"/>
      </w:pPr>
      <w:r>
        <w:rPr>
          <w:noProof/>
        </w:rPr>
        <w:lastRenderedPageBreak/>
        <w:drawing>
          <wp:inline distT="0" distB="0" distL="0" distR="0" wp14:anchorId="35D007EC" wp14:editId="08CCA61B">
            <wp:extent cx="5040000" cy="3986272"/>
            <wp:effectExtent l="19050" t="19050" r="27305" b="146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as input to rever furnace.jpg"/>
                    <pic:cNvPicPr/>
                  </pic:nvPicPr>
                  <pic:blipFill rotWithShape="1">
                    <a:blip r:embed="rId29" cstate="print">
                      <a:extLst>
                        <a:ext uri="{28A0092B-C50C-407E-A947-70E740481C1C}">
                          <a14:useLocalDpi xmlns:a14="http://schemas.microsoft.com/office/drawing/2010/main" val="0"/>
                        </a:ext>
                      </a:extLst>
                    </a:blip>
                    <a:srcRect l="5484" t="8903" r="10260" b="4011"/>
                    <a:stretch/>
                  </pic:blipFill>
                  <pic:spPr bwMode="auto">
                    <a:xfrm>
                      <a:off x="0" y="0"/>
                      <a:ext cx="5040000" cy="398627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952F12C" w14:textId="0B16B166" w:rsidR="000F16EB" w:rsidRDefault="000F16EB" w:rsidP="000F16EB">
      <w:pPr>
        <w:pStyle w:val="Caption"/>
      </w:pPr>
      <w:bookmarkStart w:id="519" w:name="_Ref525662918"/>
      <w:bookmarkStart w:id="520" w:name="_Toc525230083"/>
      <w:bookmarkStart w:id="521" w:name="_Toc7187631"/>
      <w:r>
        <w:t xml:space="preserve">Figure </w:t>
      </w:r>
      <w:fldSimple w:instr=" STYLEREF 1 \s ">
        <w:r w:rsidR="00CB7456">
          <w:rPr>
            <w:noProof/>
          </w:rPr>
          <w:t>4</w:t>
        </w:r>
      </w:fldSimple>
      <w:r w:rsidR="007B29C3">
        <w:t>.</w:t>
      </w:r>
      <w:fldSimple w:instr=" SEQ Figure \* ARABIC \s 1 ">
        <w:r w:rsidR="00CB7456">
          <w:rPr>
            <w:noProof/>
          </w:rPr>
          <w:t>1</w:t>
        </w:r>
      </w:fldSimple>
      <w:bookmarkEnd w:id="519"/>
      <w:r>
        <w:rPr>
          <w:noProof/>
        </w:rPr>
        <w:t>:</w:t>
      </w:r>
      <w:r>
        <w:t xml:space="preserve"> Gas inflow to the reverberatory furnace for a year of operation.</w:t>
      </w:r>
      <w:bookmarkEnd w:id="520"/>
      <w:bookmarkEnd w:id="521"/>
    </w:p>
    <w:p w14:paraId="3DFB0950" w14:textId="7AF10C5D" w:rsidR="000F16EB" w:rsidRDefault="000F16EB" w:rsidP="000F16EB">
      <w:r>
        <w:t xml:space="preserve">The simplification was completed by splitting the total year of operation into six ‘standard’ periods, as shown in </w:t>
      </w:r>
      <w:r>
        <w:fldChar w:fldCharType="begin"/>
      </w:r>
      <w:r>
        <w:instrText xml:space="preserve"> REF _Ref525666493 \h </w:instrText>
      </w:r>
      <w:r>
        <w:fldChar w:fldCharType="separate"/>
      </w:r>
      <w:r w:rsidR="00CB7456">
        <w:t xml:space="preserve">Table </w:t>
      </w:r>
      <w:r w:rsidR="00CB7456">
        <w:rPr>
          <w:noProof/>
        </w:rPr>
        <w:t>4</w:t>
      </w:r>
      <w:r w:rsidR="00CB7456">
        <w:t>.</w:t>
      </w:r>
      <w:r w:rsidR="00CB7456">
        <w:rPr>
          <w:noProof/>
        </w:rPr>
        <w:t>1</w:t>
      </w:r>
      <w:r>
        <w:fldChar w:fldCharType="end"/>
      </w:r>
      <w:r>
        <w:t xml:space="preserve">. For each of the six ‘standard’ periods, notes were made of the following the number of times in a year the period occurred, the average length of the period, and the percentage of the whole year that the period comprised. </w:t>
      </w:r>
    </w:p>
    <w:p w14:paraId="62A12437" w14:textId="1FC3A996" w:rsidR="000F16EB" w:rsidRDefault="000F16EB" w:rsidP="000F16EB">
      <w:pPr>
        <w:pStyle w:val="Caption"/>
        <w:keepNext/>
      </w:pPr>
      <w:bookmarkStart w:id="522" w:name="_Ref525666493"/>
      <w:bookmarkStart w:id="523" w:name="_Toc7187681"/>
      <w:r>
        <w:t xml:space="preserve">Table </w:t>
      </w:r>
      <w:fldSimple w:instr=" STYLEREF 1 \s ">
        <w:r w:rsidR="00CB7456">
          <w:rPr>
            <w:noProof/>
          </w:rPr>
          <w:t>4</w:t>
        </w:r>
      </w:fldSimple>
      <w:r w:rsidR="009E1A67">
        <w:t>.</w:t>
      </w:r>
      <w:fldSimple w:instr=" SEQ Table \* ARABIC \s 1 ">
        <w:r w:rsidR="00CB7456">
          <w:rPr>
            <w:noProof/>
          </w:rPr>
          <w:t>1</w:t>
        </w:r>
      </w:fldSimple>
      <w:bookmarkEnd w:id="522"/>
      <w:r>
        <w:t>: Standard operating periods of the HJE operation.</w:t>
      </w:r>
      <w:bookmarkEnd w:id="523"/>
    </w:p>
    <w:tbl>
      <w:tblPr>
        <w:tblStyle w:val="TableGrid"/>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8"/>
        <w:gridCol w:w="4071"/>
      </w:tblGrid>
      <w:tr w:rsidR="000F16EB" w14:paraId="629B059E" w14:textId="77777777" w:rsidTr="00A7521D">
        <w:trPr>
          <w:jc w:val="center"/>
        </w:trPr>
        <w:tc>
          <w:tcPr>
            <w:tcW w:w="766" w:type="dxa"/>
            <w:tcBorders>
              <w:bottom w:val="single" w:sz="4" w:space="0" w:color="auto"/>
            </w:tcBorders>
          </w:tcPr>
          <w:p w14:paraId="5AF7503C" w14:textId="77777777" w:rsidR="000F16EB" w:rsidRDefault="000F16EB" w:rsidP="00A7521D">
            <w:pPr>
              <w:jc w:val="center"/>
            </w:pPr>
            <w:r>
              <w:t>Period</w:t>
            </w:r>
          </w:p>
        </w:tc>
        <w:tc>
          <w:tcPr>
            <w:tcW w:w="4071" w:type="dxa"/>
            <w:tcBorders>
              <w:bottom w:val="single" w:sz="4" w:space="0" w:color="auto"/>
            </w:tcBorders>
          </w:tcPr>
          <w:p w14:paraId="5CCDEA1B" w14:textId="77777777" w:rsidR="000F16EB" w:rsidRDefault="000F16EB" w:rsidP="00A7521D">
            <w:pPr>
              <w:jc w:val="center"/>
            </w:pPr>
            <w:r>
              <w:t>Description</w:t>
            </w:r>
          </w:p>
        </w:tc>
      </w:tr>
      <w:tr w:rsidR="000F16EB" w14:paraId="253CC307" w14:textId="77777777" w:rsidTr="00A7521D">
        <w:trPr>
          <w:jc w:val="center"/>
        </w:trPr>
        <w:tc>
          <w:tcPr>
            <w:tcW w:w="766" w:type="dxa"/>
            <w:tcBorders>
              <w:top w:val="single" w:sz="4" w:space="0" w:color="auto"/>
              <w:bottom w:val="nil"/>
            </w:tcBorders>
          </w:tcPr>
          <w:p w14:paraId="7033693E" w14:textId="77777777" w:rsidR="000F16EB" w:rsidRDefault="000F16EB" w:rsidP="00A7521D">
            <w:pPr>
              <w:jc w:val="center"/>
            </w:pPr>
            <w:r>
              <w:t>1</w:t>
            </w:r>
          </w:p>
        </w:tc>
        <w:tc>
          <w:tcPr>
            <w:tcW w:w="4071" w:type="dxa"/>
            <w:tcBorders>
              <w:top w:val="single" w:sz="4" w:space="0" w:color="auto"/>
              <w:bottom w:val="nil"/>
            </w:tcBorders>
          </w:tcPr>
          <w:p w14:paraId="7F597079" w14:textId="77777777" w:rsidR="000F16EB" w:rsidRDefault="000F16EB" w:rsidP="00A7521D">
            <w:pPr>
              <w:jc w:val="center"/>
            </w:pPr>
            <w:r>
              <w:t>Off – for less than 30 minutes</w:t>
            </w:r>
          </w:p>
        </w:tc>
      </w:tr>
      <w:tr w:rsidR="000F16EB" w14:paraId="0C677F56" w14:textId="77777777" w:rsidTr="00A7521D">
        <w:trPr>
          <w:jc w:val="center"/>
        </w:trPr>
        <w:tc>
          <w:tcPr>
            <w:tcW w:w="766" w:type="dxa"/>
            <w:tcBorders>
              <w:top w:val="nil"/>
            </w:tcBorders>
          </w:tcPr>
          <w:p w14:paraId="27129AC4" w14:textId="77777777" w:rsidR="000F16EB" w:rsidRDefault="000F16EB" w:rsidP="00A7521D">
            <w:pPr>
              <w:jc w:val="center"/>
            </w:pPr>
            <w:r>
              <w:t>2</w:t>
            </w:r>
          </w:p>
        </w:tc>
        <w:tc>
          <w:tcPr>
            <w:tcW w:w="4071" w:type="dxa"/>
            <w:tcBorders>
              <w:top w:val="nil"/>
            </w:tcBorders>
          </w:tcPr>
          <w:p w14:paraId="0FC82606" w14:textId="77777777" w:rsidR="000F16EB" w:rsidRDefault="000F16EB" w:rsidP="00A7521D">
            <w:pPr>
              <w:jc w:val="center"/>
            </w:pPr>
            <w:r>
              <w:t>Off – for between 30 minutes and 6 hours</w:t>
            </w:r>
          </w:p>
        </w:tc>
      </w:tr>
      <w:tr w:rsidR="000F16EB" w14:paraId="3ED88208" w14:textId="77777777" w:rsidTr="00A7521D">
        <w:trPr>
          <w:jc w:val="center"/>
        </w:trPr>
        <w:tc>
          <w:tcPr>
            <w:tcW w:w="766" w:type="dxa"/>
          </w:tcPr>
          <w:p w14:paraId="798CC0D5" w14:textId="77777777" w:rsidR="000F16EB" w:rsidRDefault="000F16EB" w:rsidP="00A7521D">
            <w:pPr>
              <w:jc w:val="center"/>
            </w:pPr>
            <w:r>
              <w:t>3</w:t>
            </w:r>
          </w:p>
        </w:tc>
        <w:tc>
          <w:tcPr>
            <w:tcW w:w="4071" w:type="dxa"/>
          </w:tcPr>
          <w:p w14:paraId="27CEAD3B" w14:textId="77777777" w:rsidR="000F16EB" w:rsidRDefault="000F16EB" w:rsidP="00A7521D">
            <w:pPr>
              <w:jc w:val="center"/>
            </w:pPr>
            <w:r>
              <w:t>Off – for over 6 hours</w:t>
            </w:r>
          </w:p>
        </w:tc>
      </w:tr>
      <w:tr w:rsidR="000F16EB" w14:paraId="115628AB" w14:textId="77777777" w:rsidTr="00A7521D">
        <w:trPr>
          <w:jc w:val="center"/>
        </w:trPr>
        <w:tc>
          <w:tcPr>
            <w:tcW w:w="766" w:type="dxa"/>
          </w:tcPr>
          <w:p w14:paraId="13013F55" w14:textId="77777777" w:rsidR="000F16EB" w:rsidRDefault="000F16EB" w:rsidP="00A7521D">
            <w:pPr>
              <w:jc w:val="center"/>
            </w:pPr>
            <w:r>
              <w:t>4</w:t>
            </w:r>
          </w:p>
        </w:tc>
        <w:tc>
          <w:tcPr>
            <w:tcW w:w="4071" w:type="dxa"/>
          </w:tcPr>
          <w:p w14:paraId="31E74BDD" w14:textId="77777777" w:rsidR="000F16EB" w:rsidRDefault="000F16EB" w:rsidP="00A7521D">
            <w:pPr>
              <w:jc w:val="center"/>
            </w:pPr>
            <w:r>
              <w:t>On</w:t>
            </w:r>
          </w:p>
        </w:tc>
      </w:tr>
      <w:tr w:rsidR="000F16EB" w14:paraId="7AC4D817" w14:textId="77777777" w:rsidTr="00A7521D">
        <w:trPr>
          <w:jc w:val="center"/>
        </w:trPr>
        <w:tc>
          <w:tcPr>
            <w:tcW w:w="766" w:type="dxa"/>
          </w:tcPr>
          <w:p w14:paraId="3162D142" w14:textId="77777777" w:rsidR="000F16EB" w:rsidRDefault="000F16EB" w:rsidP="00A7521D">
            <w:pPr>
              <w:jc w:val="center"/>
            </w:pPr>
            <w:r>
              <w:t>5</w:t>
            </w:r>
          </w:p>
        </w:tc>
        <w:tc>
          <w:tcPr>
            <w:tcW w:w="4071" w:type="dxa"/>
          </w:tcPr>
          <w:p w14:paraId="3702A01A" w14:textId="77777777" w:rsidR="000F16EB" w:rsidRDefault="000F16EB" w:rsidP="00A7521D">
            <w:pPr>
              <w:jc w:val="center"/>
            </w:pPr>
            <w:r>
              <w:t>Starting up</w:t>
            </w:r>
          </w:p>
        </w:tc>
      </w:tr>
      <w:tr w:rsidR="000F16EB" w14:paraId="43094C60" w14:textId="77777777" w:rsidTr="00A7521D">
        <w:trPr>
          <w:jc w:val="center"/>
        </w:trPr>
        <w:tc>
          <w:tcPr>
            <w:tcW w:w="766" w:type="dxa"/>
          </w:tcPr>
          <w:p w14:paraId="6CA2D19B" w14:textId="77777777" w:rsidR="000F16EB" w:rsidRDefault="000F16EB" w:rsidP="00A7521D">
            <w:pPr>
              <w:jc w:val="center"/>
            </w:pPr>
            <w:r>
              <w:t>6</w:t>
            </w:r>
          </w:p>
        </w:tc>
        <w:tc>
          <w:tcPr>
            <w:tcW w:w="4071" w:type="dxa"/>
          </w:tcPr>
          <w:p w14:paraId="3D500CD6" w14:textId="77777777" w:rsidR="000F16EB" w:rsidRDefault="000F16EB" w:rsidP="00A7521D">
            <w:pPr>
              <w:jc w:val="center"/>
            </w:pPr>
            <w:r>
              <w:t>Shutting down</w:t>
            </w:r>
          </w:p>
        </w:tc>
      </w:tr>
    </w:tbl>
    <w:p w14:paraId="56C3E886" w14:textId="77777777" w:rsidR="000F16EB" w:rsidRDefault="000F16EB" w:rsidP="00196CD6">
      <w:pPr>
        <w:pStyle w:val="NoSpacing"/>
      </w:pPr>
    </w:p>
    <w:p w14:paraId="34BC3ADE" w14:textId="77777777" w:rsidR="000F16EB" w:rsidRPr="00647AF7" w:rsidRDefault="000F16EB" w:rsidP="000F16EB">
      <w:r>
        <w:t>From the time periods, a ‘standard’ week of HJE operation could be created. Typical values for each time period were chosen and used as inputs into the mass and energy balances. The balances were repeated for each standard period, with a temporarily resolved time series of the quality and quantity of the WH as the output.</w:t>
      </w:r>
    </w:p>
    <w:p w14:paraId="342B167D" w14:textId="77777777" w:rsidR="000F16EB" w:rsidRDefault="000F16EB" w:rsidP="000F16EB">
      <w:pPr>
        <w:pStyle w:val="Heading2"/>
        <w:rPr>
          <w:color w:val="000000" w:themeColor="text1"/>
          <w:szCs w:val="28"/>
        </w:rPr>
      </w:pPr>
      <w:bookmarkStart w:id="524" w:name="_Toc525230004"/>
      <w:bookmarkStart w:id="525" w:name="_Toc7187519"/>
      <w:r>
        <w:t>Results</w:t>
      </w:r>
      <w:bookmarkEnd w:id="524"/>
      <w:bookmarkEnd w:id="525"/>
    </w:p>
    <w:p w14:paraId="740A89F5" w14:textId="23A82653" w:rsidR="000F16EB" w:rsidRDefault="000F16EB" w:rsidP="000F16EB">
      <w:r>
        <w:t xml:space="preserve">The results of initial mass and energy balances are shown in </w:t>
      </w:r>
      <w:r>
        <w:fldChar w:fldCharType="begin"/>
      </w:r>
      <w:r>
        <w:instrText xml:space="preserve"> REF _Ref524003089 \h </w:instrText>
      </w:r>
      <w:r>
        <w:fldChar w:fldCharType="separate"/>
      </w:r>
      <w:r w:rsidR="00CB7456">
        <w:t xml:space="preserve">Figure </w:t>
      </w:r>
      <w:r w:rsidR="00CB7456">
        <w:rPr>
          <w:noProof/>
        </w:rPr>
        <w:t>4</w:t>
      </w:r>
      <w:r w:rsidR="00CB7456">
        <w:t>.</w:t>
      </w:r>
      <w:r w:rsidR="00CB7456">
        <w:rPr>
          <w:noProof/>
        </w:rPr>
        <w:t>2</w:t>
      </w:r>
      <w:r>
        <w:fldChar w:fldCharType="end"/>
      </w:r>
      <w:r>
        <w:t xml:space="preserve"> and </w:t>
      </w:r>
      <w:r>
        <w:fldChar w:fldCharType="begin"/>
      </w:r>
      <w:r>
        <w:instrText xml:space="preserve"> REF _Ref525663001 \h </w:instrText>
      </w:r>
      <w:r>
        <w:fldChar w:fldCharType="separate"/>
      </w:r>
      <w:r w:rsidR="00CB7456">
        <w:t xml:space="preserve">Figure </w:t>
      </w:r>
      <w:r w:rsidR="00CB7456">
        <w:rPr>
          <w:noProof/>
        </w:rPr>
        <w:t>4</w:t>
      </w:r>
      <w:r w:rsidR="00CB7456">
        <w:t>.</w:t>
      </w:r>
      <w:r w:rsidR="00CB7456">
        <w:rPr>
          <w:noProof/>
        </w:rPr>
        <w:t>3</w:t>
      </w:r>
      <w:r>
        <w:fldChar w:fldCharType="end"/>
      </w:r>
      <w:r>
        <w:t xml:space="preserve">. It is worth noting that, due to confidentiality issues with HJE, the values shown in </w:t>
      </w:r>
      <w:r>
        <w:fldChar w:fldCharType="begin"/>
      </w:r>
      <w:r>
        <w:instrText xml:space="preserve"> REF _Ref524003089 \h </w:instrText>
      </w:r>
      <w:r>
        <w:fldChar w:fldCharType="separate"/>
      </w:r>
      <w:r w:rsidR="00CB7456">
        <w:t xml:space="preserve">Figure </w:t>
      </w:r>
      <w:r w:rsidR="00CB7456">
        <w:rPr>
          <w:noProof/>
        </w:rPr>
        <w:t>4</w:t>
      </w:r>
      <w:r w:rsidR="00CB7456">
        <w:t>.</w:t>
      </w:r>
      <w:r w:rsidR="00CB7456">
        <w:rPr>
          <w:noProof/>
        </w:rPr>
        <w:t>2</w:t>
      </w:r>
      <w:r>
        <w:fldChar w:fldCharType="end"/>
      </w:r>
      <w:r>
        <w:t xml:space="preserve"> and </w:t>
      </w:r>
      <w:r>
        <w:fldChar w:fldCharType="begin"/>
      </w:r>
      <w:r>
        <w:instrText xml:space="preserve"> REF _Ref525663001 \h </w:instrText>
      </w:r>
      <w:r>
        <w:fldChar w:fldCharType="separate"/>
      </w:r>
      <w:r w:rsidR="00CB7456">
        <w:t xml:space="preserve">Figure </w:t>
      </w:r>
      <w:r w:rsidR="00CB7456">
        <w:rPr>
          <w:noProof/>
        </w:rPr>
        <w:t>4</w:t>
      </w:r>
      <w:r w:rsidR="00CB7456">
        <w:t>.</w:t>
      </w:r>
      <w:r w:rsidR="00CB7456">
        <w:rPr>
          <w:noProof/>
        </w:rPr>
        <w:t>3</w:t>
      </w:r>
      <w:r>
        <w:fldChar w:fldCharType="end"/>
      </w:r>
      <w:r>
        <w:t xml:space="preserve"> are not merely the results of the mass and energy balances. Instead, the figures </w:t>
      </w:r>
      <w:r>
        <w:lastRenderedPageBreak/>
        <w:t xml:space="preserve">show hypothetical results of mass and energy balances where </w:t>
      </w:r>
      <w:r>
        <w:rPr>
          <w:i/>
        </w:rPr>
        <w:t>x</w:t>
      </w:r>
      <w:r>
        <w:t xml:space="preserve"> MW of WH are recovered, with </w:t>
      </w:r>
      <w:r>
        <w:rPr>
          <w:i/>
        </w:rPr>
        <w:t>x</w:t>
      </w:r>
      <w:r>
        <w:t xml:space="preserve"> MW being somewhere in the range of the desired WHR of 2 – 5 MW. </w:t>
      </w:r>
    </w:p>
    <w:p w14:paraId="535B5FF5" w14:textId="17F61E01" w:rsidR="000F16EB" w:rsidRDefault="000F16EB" w:rsidP="000F16EB">
      <w:r>
        <w:t xml:space="preserve">The high-power levels in </w:t>
      </w:r>
      <w:r>
        <w:fldChar w:fldCharType="begin"/>
      </w:r>
      <w:r>
        <w:instrText xml:space="preserve"> REF _Ref524003089 \h </w:instrText>
      </w:r>
      <w:r>
        <w:fldChar w:fldCharType="separate"/>
      </w:r>
      <w:r w:rsidR="00CB7456">
        <w:t xml:space="preserve">Figure </w:t>
      </w:r>
      <w:r w:rsidR="00CB7456">
        <w:rPr>
          <w:noProof/>
        </w:rPr>
        <w:t>4</w:t>
      </w:r>
      <w:r w:rsidR="00CB7456">
        <w:t>.</w:t>
      </w:r>
      <w:r w:rsidR="00CB7456">
        <w:rPr>
          <w:noProof/>
        </w:rPr>
        <w:t>2</w:t>
      </w:r>
      <w:r>
        <w:fldChar w:fldCharType="end"/>
      </w:r>
      <w:r>
        <w:t xml:space="preserve"> suggest that the ideal WHR location would be in the cooling water loop. However, WHR would not be possible in the cooling water loop as the cooling processes need to operate within predetermined temperature levels. WHR would negatively affect the operating temperature of the cooling water loop. Consequently, WHR should occur elsewhere at the HJE site. </w:t>
      </w:r>
    </w:p>
    <w:p w14:paraId="737D1FD4" w14:textId="750F2932" w:rsidR="000F16EB" w:rsidRDefault="000F16EB" w:rsidP="000F16EB">
      <w:r>
        <w:fldChar w:fldCharType="begin"/>
      </w:r>
      <w:r>
        <w:instrText xml:space="preserve"> REF _Ref525663001 \h </w:instrText>
      </w:r>
      <w:r>
        <w:fldChar w:fldCharType="separate"/>
      </w:r>
      <w:r w:rsidR="00CB7456">
        <w:t xml:space="preserve">Figure </w:t>
      </w:r>
      <w:r w:rsidR="00CB7456">
        <w:rPr>
          <w:noProof/>
        </w:rPr>
        <w:t>4</w:t>
      </w:r>
      <w:r w:rsidR="00CB7456">
        <w:t>.</w:t>
      </w:r>
      <w:r w:rsidR="00CB7456">
        <w:rPr>
          <w:noProof/>
        </w:rPr>
        <w:t>3</w:t>
      </w:r>
      <w:r>
        <w:fldChar w:fldCharType="end"/>
      </w:r>
      <w:r>
        <w:t xml:space="preserve"> shows that, due to a lack of available information from HJE, the flue gas treatment balances were not completed. Enough of the balancing process was completed to find a location in the HJE operation to capture the WH.</w:t>
      </w:r>
    </w:p>
    <w:p w14:paraId="223B0273" w14:textId="77777777" w:rsidR="000F16EB" w:rsidRDefault="000F16EB" w:rsidP="000F16EB">
      <w:pPr>
        <w:pStyle w:val="Caption"/>
        <w:keepNext/>
        <w:jc w:val="center"/>
      </w:pPr>
      <w:r>
        <w:rPr>
          <w:noProof/>
        </w:rPr>
        <w:drawing>
          <wp:inline distT="0" distB="0" distL="0" distR="0" wp14:anchorId="2E0D0438" wp14:editId="4467AAD7">
            <wp:extent cx="5040000" cy="3831076"/>
            <wp:effectExtent l="19050" t="19050" r="27305" b="171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oling loop mass and energy balance.png"/>
                    <pic:cNvPicPr/>
                  </pic:nvPicPr>
                  <pic:blipFill rotWithShape="1">
                    <a:blip r:embed="rId30" cstate="print">
                      <a:extLst>
                        <a:ext uri="{28A0092B-C50C-407E-A947-70E740481C1C}">
                          <a14:useLocalDpi xmlns:a14="http://schemas.microsoft.com/office/drawing/2010/main" val="0"/>
                        </a:ext>
                      </a:extLst>
                    </a:blip>
                    <a:srcRect l="3299" t="-1007" b="-3676"/>
                    <a:stretch/>
                  </pic:blipFill>
                  <pic:spPr bwMode="auto">
                    <a:xfrm>
                      <a:off x="0" y="0"/>
                      <a:ext cx="5040000" cy="3831076"/>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CD9C820" w14:textId="1271E047" w:rsidR="000F16EB" w:rsidRDefault="000F16EB" w:rsidP="000F16EB">
      <w:pPr>
        <w:pStyle w:val="Caption"/>
      </w:pPr>
      <w:bookmarkStart w:id="526" w:name="_Ref524003089"/>
      <w:bookmarkStart w:id="527" w:name="_Toc525230085"/>
      <w:bookmarkStart w:id="528" w:name="_Toc7187632"/>
      <w:r>
        <w:t xml:space="preserve">Figure </w:t>
      </w:r>
      <w:fldSimple w:instr=" STYLEREF 1 \s ">
        <w:r w:rsidR="00CB7456">
          <w:rPr>
            <w:noProof/>
          </w:rPr>
          <w:t>4</w:t>
        </w:r>
      </w:fldSimple>
      <w:r w:rsidR="007B29C3">
        <w:t>.</w:t>
      </w:r>
      <w:fldSimple w:instr=" SEQ Figure \* ARABIC \s 1 ">
        <w:r w:rsidR="00CB7456">
          <w:rPr>
            <w:noProof/>
          </w:rPr>
          <w:t>2</w:t>
        </w:r>
      </w:fldSimple>
      <w:bookmarkEnd w:id="526"/>
      <w:r>
        <w:t>:</w:t>
      </w:r>
      <w:r w:rsidRPr="00C15C3D">
        <w:t xml:space="preserve"> Results of the mass and energy balance</w:t>
      </w:r>
      <w:r>
        <w:t>s</w:t>
      </w:r>
      <w:r w:rsidRPr="00C15C3D">
        <w:t xml:space="preserve"> </w:t>
      </w:r>
      <w:r>
        <w:t>over</w:t>
      </w:r>
      <w:r w:rsidRPr="00C15C3D">
        <w:t xml:space="preserve"> the cooling water loop from the reverberatory </w:t>
      </w:r>
      <w:r>
        <w:t xml:space="preserve">furnace, to generate </w:t>
      </w:r>
      <w:r>
        <w:rPr>
          <w:i/>
        </w:rPr>
        <w:t>x</w:t>
      </w:r>
      <w:r>
        <w:t xml:space="preserve"> MW of heat at the exit of the post combustion chamber (PCC), the conditioning tower (CT)</w:t>
      </w:r>
      <w:r w:rsidR="00BE60A4">
        <w:t>,</w:t>
      </w:r>
      <w:r>
        <w:t xml:space="preserve"> and the fabric filter (FF).</w:t>
      </w:r>
      <w:bookmarkEnd w:id="527"/>
      <w:bookmarkEnd w:id="528"/>
    </w:p>
    <w:p w14:paraId="59DF3F00" w14:textId="77777777" w:rsidR="000F16EB" w:rsidRDefault="000F16EB" w:rsidP="000F16EB"/>
    <w:p w14:paraId="6480D8DC" w14:textId="77777777" w:rsidR="000F16EB" w:rsidRDefault="000F16EB" w:rsidP="000F16EB">
      <w:pPr>
        <w:jc w:val="left"/>
      </w:pPr>
      <w:r>
        <w:br w:type="page"/>
      </w:r>
    </w:p>
    <w:p w14:paraId="3E0C6569" w14:textId="77777777" w:rsidR="000F16EB" w:rsidRDefault="000F16EB" w:rsidP="000F16EB">
      <w:pPr>
        <w:jc w:val="left"/>
        <w:sectPr w:rsidR="000F16EB" w:rsidSect="006E7C0E">
          <w:headerReference w:type="default" r:id="rId31"/>
          <w:pgSz w:w="11906" w:h="16838"/>
          <w:pgMar w:top="1440" w:right="1440" w:bottom="1440" w:left="2268" w:header="709" w:footer="709" w:gutter="0"/>
          <w:cols w:space="708"/>
          <w:docGrid w:linePitch="360"/>
        </w:sectPr>
      </w:pPr>
    </w:p>
    <w:p w14:paraId="7C9B3FC9" w14:textId="77777777" w:rsidR="000F16EB" w:rsidRDefault="000F16EB" w:rsidP="000F16EB">
      <w:pPr>
        <w:keepNext/>
        <w:jc w:val="center"/>
      </w:pPr>
      <w:r>
        <w:rPr>
          <w:noProof/>
        </w:rPr>
        <w:lastRenderedPageBreak/>
        <w:drawing>
          <wp:inline distT="0" distB="0" distL="0" distR="0" wp14:anchorId="5811D36B" wp14:editId="3EE89D7E">
            <wp:extent cx="9000000" cy="2573363"/>
            <wp:effectExtent l="19050" t="19050" r="10795" b="177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G treatment balances.png"/>
                    <pic:cNvPicPr/>
                  </pic:nvPicPr>
                  <pic:blipFill>
                    <a:blip r:embed="rId32">
                      <a:extLst>
                        <a:ext uri="{28A0092B-C50C-407E-A947-70E740481C1C}">
                          <a14:useLocalDpi xmlns:a14="http://schemas.microsoft.com/office/drawing/2010/main" val="0"/>
                        </a:ext>
                      </a:extLst>
                    </a:blip>
                    <a:stretch>
                      <a:fillRect/>
                    </a:stretch>
                  </pic:blipFill>
                  <pic:spPr>
                    <a:xfrm>
                      <a:off x="0" y="0"/>
                      <a:ext cx="9000000" cy="2573363"/>
                    </a:xfrm>
                    <a:prstGeom prst="rect">
                      <a:avLst/>
                    </a:prstGeom>
                    <a:ln>
                      <a:solidFill>
                        <a:schemeClr val="tx1"/>
                      </a:solidFill>
                    </a:ln>
                  </pic:spPr>
                </pic:pic>
              </a:graphicData>
            </a:graphic>
          </wp:inline>
        </w:drawing>
      </w:r>
    </w:p>
    <w:p w14:paraId="6AEB0FA2" w14:textId="3F1AD8BD" w:rsidR="000F16EB" w:rsidRDefault="000F16EB" w:rsidP="000F16EB">
      <w:pPr>
        <w:pStyle w:val="Caption"/>
      </w:pPr>
      <w:bookmarkStart w:id="529" w:name="_Ref525663001"/>
      <w:bookmarkStart w:id="530" w:name="_Toc525230084"/>
      <w:bookmarkStart w:id="531" w:name="_Toc7187633"/>
      <w:r>
        <w:t xml:space="preserve">Figure </w:t>
      </w:r>
      <w:fldSimple w:instr=" STYLEREF 1 \s ">
        <w:r w:rsidR="00CB7456">
          <w:rPr>
            <w:noProof/>
          </w:rPr>
          <w:t>4</w:t>
        </w:r>
      </w:fldSimple>
      <w:r w:rsidR="007B29C3">
        <w:t>.</w:t>
      </w:r>
      <w:fldSimple w:instr=" SEQ Figure \* ARABIC \s 1 ">
        <w:r w:rsidR="00CB7456">
          <w:rPr>
            <w:noProof/>
          </w:rPr>
          <w:t>3</w:t>
        </w:r>
      </w:fldSimple>
      <w:bookmarkEnd w:id="529"/>
      <w:r>
        <w:rPr>
          <w:noProof/>
        </w:rPr>
        <w:t>:</w:t>
      </w:r>
      <w:r>
        <w:t xml:space="preserve"> Results of the mass and energy balances over the main flue gas treatment process from the reverberatory furnace, to generate </w:t>
      </w:r>
      <w:r>
        <w:rPr>
          <w:i/>
        </w:rPr>
        <w:t>x</w:t>
      </w:r>
      <w:r>
        <w:t xml:space="preserve"> MW of heat at the exit of the </w:t>
      </w:r>
      <w:bookmarkEnd w:id="530"/>
      <w:r>
        <w:t>post combustion chamber (PCC), the conditioning tower (CT)</w:t>
      </w:r>
      <w:r w:rsidR="00BE60A4">
        <w:t>,</w:t>
      </w:r>
      <w:r>
        <w:t xml:space="preserve"> and the fabric filter (FF).</w:t>
      </w:r>
      <w:bookmarkEnd w:id="531"/>
      <w:r>
        <w:t xml:space="preserve"> </w:t>
      </w:r>
    </w:p>
    <w:p w14:paraId="56C39F61" w14:textId="77777777" w:rsidR="000F16EB" w:rsidRDefault="000F16EB" w:rsidP="000F16EB">
      <w:pPr>
        <w:jc w:val="left"/>
      </w:pPr>
      <w:r>
        <w:br w:type="page"/>
      </w:r>
    </w:p>
    <w:p w14:paraId="29C62AE0" w14:textId="77777777" w:rsidR="000F16EB" w:rsidRDefault="000F16EB" w:rsidP="000F16EB">
      <w:pPr>
        <w:sectPr w:rsidR="000F16EB" w:rsidSect="00A7521D">
          <w:pgSz w:w="16838" w:h="11906" w:orient="landscape"/>
          <w:pgMar w:top="2268" w:right="1440" w:bottom="1440" w:left="1440" w:header="709" w:footer="709" w:gutter="0"/>
          <w:cols w:space="708"/>
          <w:docGrid w:linePitch="360"/>
        </w:sectPr>
      </w:pPr>
    </w:p>
    <w:p w14:paraId="326796A9" w14:textId="0D30B4E8" w:rsidR="000F16EB" w:rsidRDefault="000F16EB" w:rsidP="000F16EB">
      <w:r>
        <w:lastRenderedPageBreak/>
        <w:t xml:space="preserve">The post combustion chamber (PCC), conditioning tower (CT), or fabric filter (FF) had the highest power, temperature and flowrate levels out of the flue gas treatment process. Therefore, the ideal location for WHR was suggested to be the PCC, CT, or FF. Once the ‘standard’ week of HJE operation had been created, the variation in the power levels of the PCC, CT and FF outlets could be determined. The variation in the power levels over a ‘standard’ week of HJE operation are shown in </w:t>
      </w:r>
      <w:r>
        <w:fldChar w:fldCharType="begin"/>
      </w:r>
      <w:r>
        <w:instrText xml:space="preserve"> REF _Ref524003733 \h </w:instrText>
      </w:r>
      <w:r>
        <w:fldChar w:fldCharType="separate"/>
      </w:r>
      <w:r w:rsidR="00CB7456">
        <w:t xml:space="preserve">Figure </w:t>
      </w:r>
      <w:r w:rsidR="00CB7456">
        <w:rPr>
          <w:noProof/>
        </w:rPr>
        <w:t>4</w:t>
      </w:r>
      <w:r w:rsidR="00CB7456">
        <w:t>.</w:t>
      </w:r>
      <w:r w:rsidR="00CB7456">
        <w:rPr>
          <w:noProof/>
        </w:rPr>
        <w:t>4</w:t>
      </w:r>
      <w:r>
        <w:fldChar w:fldCharType="end"/>
      </w:r>
      <w:r>
        <w:t xml:space="preserve">. </w:t>
      </w:r>
    </w:p>
    <w:p w14:paraId="4B0BAF94" w14:textId="77777777" w:rsidR="000F16EB" w:rsidRDefault="000F16EB" w:rsidP="000F16EB">
      <w:pPr>
        <w:keepNext/>
        <w:jc w:val="center"/>
      </w:pPr>
      <w:r>
        <w:rPr>
          <w:noProof/>
        </w:rPr>
        <w:drawing>
          <wp:inline distT="0" distB="0" distL="0" distR="0" wp14:anchorId="7CEEBAA5" wp14:editId="6D7B3DE8">
            <wp:extent cx="3168000" cy="2551671"/>
            <wp:effectExtent l="19050" t="19050" r="13970" b="203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ower.jpg"/>
                    <pic:cNvPicPr/>
                  </pic:nvPicPr>
                  <pic:blipFill rotWithShape="1">
                    <a:blip r:embed="rId33" cstate="print">
                      <a:extLst>
                        <a:ext uri="{28A0092B-C50C-407E-A947-70E740481C1C}">
                          <a14:useLocalDpi xmlns:a14="http://schemas.microsoft.com/office/drawing/2010/main" val="0"/>
                        </a:ext>
                      </a:extLst>
                    </a:blip>
                    <a:srcRect l="8950" t="3032" r="3391" b="4696"/>
                    <a:stretch/>
                  </pic:blipFill>
                  <pic:spPr bwMode="auto">
                    <a:xfrm>
                      <a:off x="0" y="0"/>
                      <a:ext cx="3168000" cy="255167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A5BA6F8" w14:textId="3A411E3B" w:rsidR="000F16EB" w:rsidRDefault="000F16EB" w:rsidP="000F16EB">
      <w:pPr>
        <w:pStyle w:val="Caption"/>
      </w:pPr>
      <w:bookmarkStart w:id="532" w:name="_Ref524003733"/>
      <w:bookmarkStart w:id="533" w:name="_Toc525230086"/>
      <w:bookmarkStart w:id="534" w:name="_Toc7187634"/>
      <w:r>
        <w:t xml:space="preserve">Figure </w:t>
      </w:r>
      <w:fldSimple w:instr=" STYLEREF 1 \s ">
        <w:r w:rsidR="00CB7456">
          <w:rPr>
            <w:noProof/>
          </w:rPr>
          <w:t>4</w:t>
        </w:r>
      </w:fldSimple>
      <w:r w:rsidR="007B29C3">
        <w:t>.</w:t>
      </w:r>
      <w:fldSimple w:instr=" SEQ Figure \* ARABIC \s 1 ">
        <w:r w:rsidR="00CB7456">
          <w:rPr>
            <w:noProof/>
          </w:rPr>
          <w:t>4</w:t>
        </w:r>
      </w:fldSimple>
      <w:bookmarkEnd w:id="532"/>
      <w:r>
        <w:rPr>
          <w:noProof/>
        </w:rPr>
        <w:t>:</w:t>
      </w:r>
      <w:r>
        <w:t xml:space="preserve"> Variation in the power levels available from the flue gas treatment process during a ‘standard’ week of HJE operation.</w:t>
      </w:r>
      <w:bookmarkEnd w:id="533"/>
      <w:bookmarkEnd w:id="534"/>
    </w:p>
    <w:p w14:paraId="492148A4" w14:textId="1A792DFB" w:rsidR="000F16EB" w:rsidRPr="007812AC" w:rsidRDefault="000F16EB" w:rsidP="000F16EB">
      <w:r w:rsidRPr="007812AC">
        <w:fldChar w:fldCharType="begin"/>
      </w:r>
      <w:r w:rsidRPr="007812AC">
        <w:instrText xml:space="preserve"> REF _Ref524003733 \h </w:instrText>
      </w:r>
      <w:r w:rsidRPr="007812AC">
        <w:fldChar w:fldCharType="separate"/>
      </w:r>
      <w:r w:rsidR="00CB7456">
        <w:t xml:space="preserve">Figure </w:t>
      </w:r>
      <w:r w:rsidR="00CB7456">
        <w:rPr>
          <w:noProof/>
        </w:rPr>
        <w:t>4</w:t>
      </w:r>
      <w:r w:rsidR="00CB7456">
        <w:t>.</w:t>
      </w:r>
      <w:r w:rsidR="00CB7456">
        <w:rPr>
          <w:noProof/>
        </w:rPr>
        <w:t>4</w:t>
      </w:r>
      <w:r w:rsidRPr="007812AC">
        <w:fldChar w:fldCharType="end"/>
      </w:r>
      <w:r w:rsidRPr="007812AC">
        <w:t xml:space="preserve"> shows that more power </w:t>
      </w:r>
      <w:r>
        <w:t>was</w:t>
      </w:r>
      <w:r w:rsidRPr="007812AC">
        <w:t xml:space="preserve"> available at the exit of the </w:t>
      </w:r>
      <w:r>
        <w:t>PCC</w:t>
      </w:r>
      <w:r w:rsidRPr="007812AC">
        <w:t xml:space="preserve"> than </w:t>
      </w:r>
      <w:r>
        <w:t>was</w:t>
      </w:r>
      <w:r w:rsidRPr="007812AC">
        <w:t xml:space="preserve"> available from the exits of the </w:t>
      </w:r>
      <w:r>
        <w:t>CT</w:t>
      </w:r>
      <w:r w:rsidRPr="007812AC">
        <w:t xml:space="preserve"> and the </w:t>
      </w:r>
      <w:r>
        <w:t>FF</w:t>
      </w:r>
      <w:r w:rsidRPr="007812AC">
        <w:t xml:space="preserve">. The power levels of the </w:t>
      </w:r>
      <w:r>
        <w:t>PCC</w:t>
      </w:r>
      <w:r w:rsidRPr="007812AC">
        <w:t xml:space="preserve"> var</w:t>
      </w:r>
      <w:r>
        <w:t>ied</w:t>
      </w:r>
      <w:r w:rsidRPr="007812AC">
        <w:t xml:space="preserve"> from 2.79 </w:t>
      </w:r>
      <w:r>
        <w:t xml:space="preserve">– </w:t>
      </w:r>
      <w:r w:rsidRPr="007812AC">
        <w:t>5.33 MW</w:t>
      </w:r>
      <w:r>
        <w:t>,</w:t>
      </w:r>
      <w:r w:rsidRPr="007812AC">
        <w:t xml:space="preserve"> whereas the power levels of the </w:t>
      </w:r>
      <w:r>
        <w:t>CT</w:t>
      </w:r>
      <w:r w:rsidRPr="007812AC">
        <w:t xml:space="preserve"> and </w:t>
      </w:r>
      <w:r>
        <w:t>the FF</w:t>
      </w:r>
      <w:r w:rsidRPr="007812AC">
        <w:t xml:space="preserve"> var</w:t>
      </w:r>
      <w:r>
        <w:t>ied</w:t>
      </w:r>
      <w:r w:rsidRPr="007812AC">
        <w:t xml:space="preserve"> from 2.51 </w:t>
      </w:r>
      <w:r>
        <w:t xml:space="preserve">– </w:t>
      </w:r>
      <w:r w:rsidRPr="007812AC">
        <w:t xml:space="preserve">4.86 and 2.62 </w:t>
      </w:r>
      <w:r>
        <w:t xml:space="preserve">– </w:t>
      </w:r>
      <w:r w:rsidRPr="007812AC">
        <w:t xml:space="preserve">4.37 MW respectively. The variations in the mass flowrates and temperatures available at the WHR </w:t>
      </w:r>
      <w:r>
        <w:t xml:space="preserve">locations </w:t>
      </w:r>
      <w:r w:rsidRPr="007812AC">
        <w:t xml:space="preserve">were calculated, as shown in </w:t>
      </w:r>
      <w:r w:rsidRPr="007812AC">
        <w:fldChar w:fldCharType="begin"/>
      </w:r>
      <w:r w:rsidRPr="007812AC">
        <w:instrText xml:space="preserve"> REF _Ref524004151 \h </w:instrText>
      </w:r>
      <w:r w:rsidRPr="007812AC">
        <w:fldChar w:fldCharType="separate"/>
      </w:r>
      <w:r w:rsidR="00CB7456">
        <w:t xml:space="preserve">Figure </w:t>
      </w:r>
      <w:r w:rsidR="00CB7456">
        <w:rPr>
          <w:noProof/>
        </w:rPr>
        <w:t>4</w:t>
      </w:r>
      <w:r w:rsidR="00CB7456">
        <w:t>.</w:t>
      </w:r>
      <w:r w:rsidR="00CB7456">
        <w:rPr>
          <w:noProof/>
        </w:rPr>
        <w:t>5</w:t>
      </w:r>
      <w:r w:rsidRPr="007812AC">
        <w:fldChar w:fldCharType="end"/>
      </w:r>
      <w:r w:rsidRPr="007812AC">
        <w:t xml:space="preserve"> and </w:t>
      </w:r>
      <w:r w:rsidRPr="007812AC">
        <w:fldChar w:fldCharType="begin"/>
      </w:r>
      <w:r w:rsidRPr="007812AC">
        <w:instrText xml:space="preserve"> REF _Ref524004152 \h </w:instrText>
      </w:r>
      <w:r w:rsidRPr="007812AC">
        <w:fldChar w:fldCharType="separate"/>
      </w:r>
      <w:r w:rsidR="00CB7456">
        <w:t xml:space="preserve">Figure </w:t>
      </w:r>
      <w:r w:rsidR="00CB7456">
        <w:rPr>
          <w:noProof/>
        </w:rPr>
        <w:t>4</w:t>
      </w:r>
      <w:r w:rsidR="00CB7456">
        <w:t>.</w:t>
      </w:r>
      <w:r w:rsidR="00CB7456">
        <w:rPr>
          <w:noProof/>
        </w:rPr>
        <w:t>6</w:t>
      </w:r>
      <w:r w:rsidRPr="007812AC">
        <w:fldChar w:fldCharType="end"/>
      </w:r>
      <w:r w:rsidRPr="007812AC">
        <w:t>.</w:t>
      </w:r>
    </w:p>
    <w:p w14:paraId="1CEC9F89" w14:textId="77777777" w:rsidR="000F16EB" w:rsidRDefault="000F16EB" w:rsidP="000F16EB">
      <w:pPr>
        <w:pStyle w:val="Caption"/>
        <w:keepNext/>
        <w:jc w:val="center"/>
      </w:pPr>
      <w:r>
        <w:rPr>
          <w:noProof/>
        </w:rPr>
        <w:drawing>
          <wp:inline distT="0" distB="0" distL="0" distR="0" wp14:anchorId="2C02D1C3" wp14:editId="0335EFA6">
            <wp:extent cx="3168000" cy="2488472"/>
            <wp:effectExtent l="19050" t="19050" r="13970" b="266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low.jpg"/>
                    <pic:cNvPicPr/>
                  </pic:nvPicPr>
                  <pic:blipFill rotWithShape="1">
                    <a:blip r:embed="rId34" cstate="print">
                      <a:extLst>
                        <a:ext uri="{28A0092B-C50C-407E-A947-70E740481C1C}">
                          <a14:useLocalDpi xmlns:a14="http://schemas.microsoft.com/office/drawing/2010/main" val="0"/>
                        </a:ext>
                      </a:extLst>
                    </a:blip>
                    <a:srcRect l="7458" t="4115" r="2865" b="3828"/>
                    <a:stretch/>
                  </pic:blipFill>
                  <pic:spPr bwMode="auto">
                    <a:xfrm>
                      <a:off x="0" y="0"/>
                      <a:ext cx="3168000" cy="248847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CB10A16" w14:textId="289F283B" w:rsidR="000F16EB" w:rsidRDefault="000F16EB" w:rsidP="000F16EB">
      <w:pPr>
        <w:pStyle w:val="Caption"/>
      </w:pPr>
      <w:bookmarkStart w:id="535" w:name="_Ref524004151"/>
      <w:bookmarkStart w:id="536" w:name="_Toc525230087"/>
      <w:bookmarkStart w:id="537" w:name="_Toc7187635"/>
      <w:r>
        <w:t xml:space="preserve">Figure </w:t>
      </w:r>
      <w:fldSimple w:instr=" STYLEREF 1 \s ">
        <w:r w:rsidR="00CB7456">
          <w:rPr>
            <w:noProof/>
          </w:rPr>
          <w:t>4</w:t>
        </w:r>
      </w:fldSimple>
      <w:r w:rsidR="007B29C3">
        <w:t>.</w:t>
      </w:r>
      <w:fldSimple w:instr=" SEQ Figure \* ARABIC \s 1 ">
        <w:r w:rsidR="00CB7456">
          <w:rPr>
            <w:noProof/>
          </w:rPr>
          <w:t>5</w:t>
        </w:r>
      </w:fldSimple>
      <w:bookmarkEnd w:id="535"/>
      <w:r>
        <w:rPr>
          <w:noProof/>
        </w:rPr>
        <w:t>:</w:t>
      </w:r>
      <w:r w:rsidRPr="000C280F">
        <w:t xml:space="preserve"> Variation in the </w:t>
      </w:r>
      <w:r>
        <w:t>flowrates</w:t>
      </w:r>
      <w:r w:rsidRPr="000C280F">
        <w:t xml:space="preserve"> from the flue gas treatment process during a ‘</w:t>
      </w:r>
      <w:r>
        <w:t>standard’</w:t>
      </w:r>
      <w:r w:rsidRPr="000C280F">
        <w:t xml:space="preserve"> week of HJE operation.</w:t>
      </w:r>
      <w:bookmarkEnd w:id="536"/>
      <w:bookmarkEnd w:id="537"/>
    </w:p>
    <w:p w14:paraId="6EDCB41F" w14:textId="1925E84B" w:rsidR="000F16EB" w:rsidRPr="007812AC" w:rsidRDefault="000F16EB" w:rsidP="000F16EB">
      <w:r>
        <w:lastRenderedPageBreak/>
        <w:fldChar w:fldCharType="begin"/>
      </w:r>
      <w:r>
        <w:instrText xml:space="preserve"> REF _Ref524004151 \h </w:instrText>
      </w:r>
      <w:r>
        <w:fldChar w:fldCharType="separate"/>
      </w:r>
      <w:r w:rsidR="00CB7456">
        <w:t xml:space="preserve">Figure </w:t>
      </w:r>
      <w:r w:rsidR="00CB7456">
        <w:rPr>
          <w:noProof/>
        </w:rPr>
        <w:t>4</w:t>
      </w:r>
      <w:r w:rsidR="00CB7456">
        <w:t>.</w:t>
      </w:r>
      <w:r w:rsidR="00CB7456">
        <w:rPr>
          <w:noProof/>
        </w:rPr>
        <w:t>5</w:t>
      </w:r>
      <w:r>
        <w:fldChar w:fldCharType="end"/>
      </w:r>
      <w:r>
        <w:t xml:space="preserve"> shows the variation in the flowrates at the possible WHR locations in the flue gas treatment process. The mass flowrates at the exit of the PCC varied from 25.8 – 30.2 t/hr. At the exits of the CT and the FF, the mass flowrates varied from 24.7 – 30.5 and 24.7 – 28.8 t/hr respectively.</w:t>
      </w:r>
    </w:p>
    <w:p w14:paraId="23F70A11" w14:textId="77777777" w:rsidR="000F16EB" w:rsidRDefault="000F16EB" w:rsidP="000F16EB">
      <w:pPr>
        <w:keepNext/>
        <w:jc w:val="center"/>
      </w:pPr>
      <w:r>
        <w:rPr>
          <w:noProof/>
        </w:rPr>
        <w:drawing>
          <wp:inline distT="0" distB="0" distL="0" distR="0" wp14:anchorId="4737638F" wp14:editId="32F33DE4">
            <wp:extent cx="3168000" cy="2695055"/>
            <wp:effectExtent l="19050" t="19050" r="13970" b="1016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emp.jpg"/>
                    <pic:cNvPicPr/>
                  </pic:nvPicPr>
                  <pic:blipFill rotWithShape="1">
                    <a:blip r:embed="rId35" cstate="print">
                      <a:extLst>
                        <a:ext uri="{28A0092B-C50C-407E-A947-70E740481C1C}">
                          <a14:useLocalDpi xmlns:a14="http://schemas.microsoft.com/office/drawing/2010/main" val="0"/>
                        </a:ext>
                      </a:extLst>
                    </a:blip>
                    <a:srcRect l="4806" r="8695" b="3831"/>
                    <a:stretch/>
                  </pic:blipFill>
                  <pic:spPr bwMode="auto">
                    <a:xfrm>
                      <a:off x="0" y="0"/>
                      <a:ext cx="3168000" cy="269505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749EAF1" w14:textId="7157D706" w:rsidR="000F16EB" w:rsidRDefault="000F16EB" w:rsidP="000F16EB">
      <w:pPr>
        <w:pStyle w:val="Caption"/>
      </w:pPr>
      <w:bookmarkStart w:id="538" w:name="_Ref524004152"/>
      <w:bookmarkStart w:id="539" w:name="_Toc525230088"/>
      <w:bookmarkStart w:id="540" w:name="_Toc7187636"/>
      <w:r>
        <w:t xml:space="preserve">Figure </w:t>
      </w:r>
      <w:fldSimple w:instr=" STYLEREF 1 \s ">
        <w:r w:rsidR="00CB7456">
          <w:rPr>
            <w:noProof/>
          </w:rPr>
          <w:t>4</w:t>
        </w:r>
      </w:fldSimple>
      <w:r w:rsidR="007B29C3">
        <w:t>.</w:t>
      </w:r>
      <w:fldSimple w:instr=" SEQ Figure \* ARABIC \s 1 ">
        <w:r w:rsidR="00CB7456">
          <w:rPr>
            <w:noProof/>
          </w:rPr>
          <w:t>6</w:t>
        </w:r>
      </w:fldSimple>
      <w:bookmarkEnd w:id="538"/>
      <w:r>
        <w:t>:</w:t>
      </w:r>
      <w:r w:rsidRPr="000C280F">
        <w:t xml:space="preserve"> Variation in the </w:t>
      </w:r>
      <w:r>
        <w:t>temperatures available</w:t>
      </w:r>
      <w:r w:rsidRPr="000C280F">
        <w:t xml:space="preserve"> from the flue gas treatment process during a ‘</w:t>
      </w:r>
      <w:r>
        <w:t>standard’</w:t>
      </w:r>
      <w:r w:rsidRPr="000C280F">
        <w:t xml:space="preserve"> week of HJE operation</w:t>
      </w:r>
      <w:r>
        <w:t>.</w:t>
      </w:r>
      <w:bookmarkEnd w:id="539"/>
      <w:bookmarkEnd w:id="540"/>
    </w:p>
    <w:p w14:paraId="49C7054E" w14:textId="40C452F7" w:rsidR="000F16EB" w:rsidRPr="007812AC" w:rsidRDefault="000F16EB" w:rsidP="000F16EB">
      <w:r>
        <w:fldChar w:fldCharType="begin"/>
      </w:r>
      <w:r>
        <w:instrText xml:space="preserve"> REF _Ref524004152 \h </w:instrText>
      </w:r>
      <w:r>
        <w:fldChar w:fldCharType="separate"/>
      </w:r>
      <w:r w:rsidR="00CB7456">
        <w:t xml:space="preserve">Figure </w:t>
      </w:r>
      <w:r w:rsidR="00CB7456">
        <w:rPr>
          <w:noProof/>
        </w:rPr>
        <w:t>4</w:t>
      </w:r>
      <w:r w:rsidR="00CB7456">
        <w:t>.</w:t>
      </w:r>
      <w:r w:rsidR="00CB7456">
        <w:rPr>
          <w:noProof/>
        </w:rPr>
        <w:t>6</w:t>
      </w:r>
      <w:r>
        <w:fldChar w:fldCharType="end"/>
      </w:r>
      <w:r>
        <w:t xml:space="preserve"> shows the variation in the temperatures at the possible WHR locations in the flue gas treatment process. The temperatures at the exit of the PCC varied from 30.8 – 372 °C. At the exits of the CT and the FF, the temperatures varied from 37.1 – 229 and 26.8 – 207 °C respectively.</w:t>
      </w:r>
    </w:p>
    <w:p w14:paraId="73234E6F" w14:textId="25196609" w:rsidR="000F16EB" w:rsidRDefault="000F16EB" w:rsidP="000F16EB">
      <w:r>
        <w:t xml:space="preserve">The results of </w:t>
      </w:r>
      <w:r>
        <w:fldChar w:fldCharType="begin"/>
      </w:r>
      <w:r>
        <w:instrText xml:space="preserve"> REF _Ref524003733 \h </w:instrText>
      </w:r>
      <w:r>
        <w:fldChar w:fldCharType="separate"/>
      </w:r>
      <w:r w:rsidR="00CB7456">
        <w:t xml:space="preserve">Figure </w:t>
      </w:r>
      <w:r w:rsidR="00CB7456">
        <w:rPr>
          <w:noProof/>
        </w:rPr>
        <w:t>4</w:t>
      </w:r>
      <w:r w:rsidR="00CB7456">
        <w:t>.</w:t>
      </w:r>
      <w:r w:rsidR="00CB7456">
        <w:rPr>
          <w:noProof/>
        </w:rPr>
        <w:t>4</w:t>
      </w:r>
      <w:r>
        <w:fldChar w:fldCharType="end"/>
      </w:r>
      <w:r>
        <w:t xml:space="preserve"> to </w:t>
      </w:r>
      <w:r>
        <w:fldChar w:fldCharType="begin"/>
      </w:r>
      <w:r>
        <w:instrText xml:space="preserve"> REF _Ref524004152 \h </w:instrText>
      </w:r>
      <w:r>
        <w:fldChar w:fldCharType="separate"/>
      </w:r>
      <w:r w:rsidR="00CB7456">
        <w:t xml:space="preserve">Figure </w:t>
      </w:r>
      <w:r w:rsidR="00CB7456">
        <w:rPr>
          <w:noProof/>
        </w:rPr>
        <w:t>4</w:t>
      </w:r>
      <w:r w:rsidR="00CB7456">
        <w:t>.</w:t>
      </w:r>
      <w:r w:rsidR="00CB7456">
        <w:rPr>
          <w:noProof/>
        </w:rPr>
        <w:t>6</w:t>
      </w:r>
      <w:r>
        <w:fldChar w:fldCharType="end"/>
      </w:r>
      <w:r>
        <w:t xml:space="preserve"> suggested that the most effective location for any WHR was the exit of the PCC, as this was where the highest values for thermal power, mass flowrate, and temperature were found. </w:t>
      </w:r>
    </w:p>
    <w:p w14:paraId="2C84F502" w14:textId="03336191" w:rsidR="000F16EB" w:rsidRDefault="000F16EB" w:rsidP="000F16EB">
      <w:r>
        <w:t xml:space="preserve">The overarching aim of this thesis was to build a feasibility model of DH that was simple enough that it could be operated by a non-technical user at a local authority. The initial aim was to include the heat supply quantification work in part of the feasibility model, regardless of the heat source. The methodology used for quantifying the WH was tested using the case study of HJE, an example of a complex industrial site. The complexity of running the mass and energy balances across HJE showed that the WH quantification methodology may have been more complicated than a non-technical user could operate; running mass and energy balances over the entire HJE site, as well as simplifying the complex HJE operation took a significant amount of engineering knowledge and experience. The extensive list of assumptions, as shown in Appendix </w:t>
      </w:r>
      <w:r w:rsidR="00826452">
        <w:fldChar w:fldCharType="begin"/>
      </w:r>
      <w:r w:rsidR="00826452">
        <w:instrText xml:space="preserve"> REF _Ref531343941 \n \h </w:instrText>
      </w:r>
      <w:r w:rsidR="00826452">
        <w:fldChar w:fldCharType="separate"/>
      </w:r>
      <w:r w:rsidR="00CB7456">
        <w:t>13.2</w:t>
      </w:r>
      <w:r w:rsidR="00826452">
        <w:fldChar w:fldCharType="end"/>
      </w:r>
      <w:r>
        <w:t>, would not be possible to make without engineering knowledge and experience.</w:t>
      </w:r>
    </w:p>
    <w:p w14:paraId="03B80ACC" w14:textId="77777777" w:rsidR="000F16EB" w:rsidRDefault="000F16EB" w:rsidP="000F16EB">
      <w:r>
        <w:t xml:space="preserve">It is possible that a non-technical user could run elemental based mass and energy balances over an industrial site with a less complex operation, but only if the site passed a </w:t>
      </w:r>
      <w:proofErr w:type="spellStart"/>
      <w:r>
        <w:t>DoF</w:t>
      </w:r>
      <w:proofErr w:type="spellEnd"/>
      <w:r>
        <w:t xml:space="preserve"> assessment. The site would have to have thorough information available on the composition, </w:t>
      </w:r>
      <w:r>
        <w:lastRenderedPageBreak/>
        <w:t xml:space="preserve">mass flowrate, and temperature across a significant number of its streams and processes. If enough information was available to pass a </w:t>
      </w:r>
      <w:proofErr w:type="spellStart"/>
      <w:r>
        <w:t>DoF</w:t>
      </w:r>
      <w:proofErr w:type="spellEnd"/>
      <w:r>
        <w:t xml:space="preserve"> assessment, it would be a case of the non</w:t>
      </w:r>
      <w:r>
        <w:noBreakHyphen/>
        <w:t xml:space="preserve">technical user loading the information that was available into a premade Microsoft Excel spreadsheet. </w:t>
      </w:r>
    </w:p>
    <w:p w14:paraId="4682E902" w14:textId="77777777" w:rsidR="000F16EB" w:rsidRDefault="000F16EB" w:rsidP="000F16EB">
      <w:r>
        <w:t xml:space="preserve">Whilst it will sometimes be possible for an industrial site to provide enough information to allow a non-technical user to complete the balances, it will not be possible in every case. As the aim of this thesis was to build an overall feasibility model that would work with every DHN, it would not be recommended that the non-technical user tries to complete the balances. Instead, it would be advised that the user asks the industrial source firstly, where the best location for WHR would be and secondly, for the WH variation. When industrial sites do not keep accurate records of the enthalpy, mass flowrate, and temperature variation in each of their process streams, an industrial staff member could run the balances. The staff member would be able to use their experience and knowledge to estimate the values in a manner that is easier and more accurate than it would be for the non-technical user. </w:t>
      </w:r>
    </w:p>
    <w:p w14:paraId="2731D4B5" w14:textId="686B77EE" w:rsidR="000F16EB" w:rsidRDefault="000F16EB" w:rsidP="000F16EB">
      <w:r>
        <w:t xml:space="preserve">As the overarching aim of the thesis was to estimate the feasibility of the network instead of accurately designing it, the results of the WH quantification could be estimations. The power levels, mass flowrates, and temperatures found in </w:t>
      </w:r>
      <w:r>
        <w:fldChar w:fldCharType="begin"/>
      </w:r>
      <w:r>
        <w:instrText xml:space="preserve"> REF _Ref524003733 \h </w:instrText>
      </w:r>
      <w:r>
        <w:fldChar w:fldCharType="separate"/>
      </w:r>
      <w:r w:rsidR="00CB7456">
        <w:t xml:space="preserve">Figure </w:t>
      </w:r>
      <w:r w:rsidR="00CB7456">
        <w:rPr>
          <w:noProof/>
        </w:rPr>
        <w:t>4</w:t>
      </w:r>
      <w:r w:rsidR="00CB7456">
        <w:t>.</w:t>
      </w:r>
      <w:r w:rsidR="00CB7456">
        <w:rPr>
          <w:noProof/>
        </w:rPr>
        <w:t>4</w:t>
      </w:r>
      <w:r>
        <w:fldChar w:fldCharType="end"/>
      </w:r>
      <w:r>
        <w:t xml:space="preserve"> to </w:t>
      </w:r>
      <w:r>
        <w:fldChar w:fldCharType="begin"/>
      </w:r>
      <w:r>
        <w:instrText xml:space="preserve"> REF _Ref524004152 \h </w:instrText>
      </w:r>
      <w:r>
        <w:fldChar w:fldCharType="separate"/>
      </w:r>
      <w:r w:rsidR="00CB7456">
        <w:t xml:space="preserve">Figure </w:t>
      </w:r>
      <w:r w:rsidR="00CB7456">
        <w:rPr>
          <w:noProof/>
        </w:rPr>
        <w:t>4</w:t>
      </w:r>
      <w:r w:rsidR="00CB7456">
        <w:t>.</w:t>
      </w:r>
      <w:r w:rsidR="00CB7456">
        <w:rPr>
          <w:noProof/>
        </w:rPr>
        <w:t>6</w:t>
      </w:r>
      <w:r>
        <w:fldChar w:fldCharType="end"/>
      </w:r>
      <w:r>
        <w:t xml:space="preserve"> were not accurate reflections of the variations that would be found at HJE. But, for the purposes of the work that will be done later in the thesis, a simple estimation was sufficient. Staff members at industrial sites will usually be able to produce estimations of the power, flowrate, and temperature as accurately as the work done in this chapter. In addition, it should be easy to convince the industrial staff or owner of the benefit that a DHN would bring to their business. Therefore, they should be persuadable to help with the feasibility assessment.</w:t>
      </w:r>
    </w:p>
    <w:p w14:paraId="3DB9FB92" w14:textId="77777777" w:rsidR="000F16EB" w:rsidRDefault="000F16EB" w:rsidP="000F16EB">
      <w:pPr>
        <w:pStyle w:val="Heading2"/>
      </w:pPr>
      <w:bookmarkStart w:id="541" w:name="_Toc525230005"/>
      <w:bookmarkStart w:id="542" w:name="_Toc7187520"/>
      <w:r>
        <w:t>Conclusion</w:t>
      </w:r>
      <w:bookmarkEnd w:id="541"/>
      <w:bookmarkEnd w:id="542"/>
    </w:p>
    <w:p w14:paraId="22F4E562" w14:textId="77777777" w:rsidR="000F16EB" w:rsidRDefault="000F16EB" w:rsidP="000F16EB">
      <w:pPr>
        <w:rPr>
          <w:rFonts w:ascii="Times New Roman" w:hAnsi="Times New Roman" w:cs="Times New Roman"/>
          <w:sz w:val="24"/>
          <w:szCs w:val="24"/>
        </w:rPr>
      </w:pPr>
      <w:r>
        <w:t>Any industrial sites that supplies WH to a DHN will need to be studied, to quantify the variation in the WH demand. It was shown that the complexity of the quantification process was heavily dependent on the level of information supplied by the company.</w:t>
      </w:r>
    </w:p>
    <w:p w14:paraId="2810B62C" w14:textId="77777777" w:rsidR="000F16EB" w:rsidRDefault="000F16EB" w:rsidP="000F16EB">
      <w:r>
        <w:t>If the industrial site keeps records of the temperature, enthalpy, composition, and mass flowrate variation in their streams, the WH resource could be quantified with only two simple equations. In this case, the quantification of the WH variation could be included as part of the overall DH feasibility study. If the necessary, level of information is not available a mass and energy balance would need to be carried out across the industrial site.</w:t>
      </w:r>
    </w:p>
    <w:p w14:paraId="24297A19" w14:textId="77777777" w:rsidR="000F16EB" w:rsidRDefault="000F16EB" w:rsidP="000F16EB">
      <w:r>
        <w:t xml:space="preserve">In this chapter, the aim was to build a generic model for mass and energy balances, that could be used on any industrial site, using HJE as a case study. The aim was to build the model in Microsoft Excel with a series of visible sheets in which the user could input the necessary information and view the WH variation. In the case study, the level of information provided by HJE was severely limited, mainly due to the complex and constantly changing processes that occur during LAB recycling. Therefore, it was shown that it would not be possible to run the mass and energy balances without a level of engineering knowledge and experience. </w:t>
      </w:r>
    </w:p>
    <w:p w14:paraId="663DC8D4" w14:textId="77777777" w:rsidR="000F16EB" w:rsidRDefault="000F16EB" w:rsidP="000F16EB">
      <w:r>
        <w:t xml:space="preserve">No matter how thorough the mass and energy balance models were, a non-technical user would not be able to use them to run balances over the HJE site. Therefore, it was </w:t>
      </w:r>
      <w:r>
        <w:lastRenderedPageBreak/>
        <w:t xml:space="preserve">recommended that in future work the non-technical user does not try and quantify the WH variation across the industrial site themselves. Instead, they should consult with the owner or operator of the site to find the variation. It has been suggested that if the industrial site can be convinced of the benefits that a DHN might bring to their operation, namely a large and reliable customer for their WH, they would be willing to cooperate. </w:t>
      </w:r>
    </w:p>
    <w:p w14:paraId="6B4E4C3F" w14:textId="77777777" w:rsidR="000F16EB" w:rsidRPr="00B96BB1" w:rsidRDefault="000F16EB" w:rsidP="000F16EB">
      <w:r>
        <w:t xml:space="preserve">Mass and energy balances were run across the HJE site to quantify the variation in the WH supply. The exit of the PCC chamber was highlighted as the part of the HJE operation with the highest available power, temperature, and flowrate and therefore, the best location for the WHR. Other locations were suggested with higher available power but, after consulting with the HJE staff, were decided to be an important part of the overall operation and could not be the location for the WHR. </w:t>
      </w:r>
      <w:bookmarkStart w:id="543" w:name="_Hlk525145415"/>
      <w:r>
        <w:t>The variation in power, flowrate and temperature at the PCC exit were found to be 2.79 – 5.33 MW, 25.8 – 30.2 t/hr, and 30.8 – 372 °C respectively.</w:t>
      </w:r>
      <w:bookmarkEnd w:id="543"/>
    </w:p>
    <w:p w14:paraId="15E47D41" w14:textId="660E6C06" w:rsidR="000F16EB" w:rsidRDefault="000F16EB">
      <w:pPr>
        <w:jc w:val="left"/>
      </w:pPr>
      <w:r>
        <w:br w:type="page"/>
      </w:r>
    </w:p>
    <w:p w14:paraId="7BB91A6C" w14:textId="77777777" w:rsidR="000F16EB" w:rsidRDefault="000F16EB" w:rsidP="000F16EB">
      <w:pPr>
        <w:pStyle w:val="Heading1"/>
      </w:pPr>
      <w:bookmarkStart w:id="544" w:name="_Toc525230006"/>
      <w:bookmarkStart w:id="545" w:name="_Ref531344477"/>
      <w:bookmarkStart w:id="546" w:name="_Ref531344632"/>
      <w:bookmarkStart w:id="547" w:name="_Ref531345094"/>
      <w:bookmarkStart w:id="548" w:name="_Toc7187521"/>
      <w:r>
        <w:lastRenderedPageBreak/>
        <w:t>Waste Heat Recovery Modelling</w:t>
      </w:r>
      <w:bookmarkEnd w:id="544"/>
      <w:bookmarkEnd w:id="545"/>
      <w:bookmarkEnd w:id="546"/>
      <w:bookmarkEnd w:id="547"/>
      <w:bookmarkEnd w:id="548"/>
    </w:p>
    <w:p w14:paraId="0737A94F" w14:textId="77777777" w:rsidR="000F16EB" w:rsidRDefault="000F16EB" w:rsidP="000F16EB">
      <w:r>
        <w:t>As the heat supply in the case study comes from an industrial WH source, modelling of the various different possible WHR technologies is needed. In the terms of the overall aim of this thesis, a generic WHR model needs to be generated that is simple enough that it could be operated by a non-technical user. The WHR modelling process is needed to quantify how much WH is available for the DHN, as well as the CAPEX, OPEX, and revenues of the technologies. Each WHR technology is different, particularly in terms of its efficiency, CAPEX, OPEX, and revenues. Therefore, the choice of the best technology will vary from case to case or even over different time scales for a particular case. So that the WHR model is kept simple enough to be operated by a non-technical user, a number of assumptions have been made. In this chapter, the effect that these assumptions have on the accuracy of the WHR model are tested using MC simulations.</w:t>
      </w:r>
    </w:p>
    <w:p w14:paraId="7D66E9C7" w14:textId="77777777" w:rsidR="000F16EB" w:rsidRDefault="000F16EB" w:rsidP="000F16EB">
      <w:pPr>
        <w:pStyle w:val="Heading2"/>
      </w:pPr>
      <w:bookmarkStart w:id="549" w:name="_Toc525230007"/>
      <w:bookmarkStart w:id="550" w:name="_Toc7187522"/>
      <w:r>
        <w:t>Methodology</w:t>
      </w:r>
      <w:bookmarkEnd w:id="549"/>
      <w:bookmarkEnd w:id="550"/>
    </w:p>
    <w:p w14:paraId="70236C54" w14:textId="6882419D" w:rsidR="000F16EB" w:rsidRDefault="000F16EB" w:rsidP="000F16EB">
      <w:r>
        <w:t>The basic outline of the methodology was the same for each possible WHR technology. In each case a series of equations were found that modelled and sized the technology based on the desired level of WHR. The full lists of the equations are shown in Appendix</w:t>
      </w:r>
      <w:r w:rsidR="00826452">
        <w:t xml:space="preserve"> </w:t>
      </w:r>
      <w:r w:rsidR="00826452">
        <w:fldChar w:fldCharType="begin"/>
      </w:r>
      <w:r w:rsidR="00826452">
        <w:instrText xml:space="preserve"> REF _Ref531343958 \n \h </w:instrText>
      </w:r>
      <w:r w:rsidR="00826452">
        <w:fldChar w:fldCharType="separate"/>
      </w:r>
      <w:r w:rsidR="00CB7456">
        <w:t>13.3</w:t>
      </w:r>
      <w:r w:rsidR="00826452">
        <w:fldChar w:fldCharType="end"/>
      </w:r>
      <w:r w:rsidR="00826452">
        <w:t xml:space="preserve"> to Appendix </w:t>
      </w:r>
      <w:r w:rsidR="00826452">
        <w:fldChar w:fldCharType="begin"/>
      </w:r>
      <w:r w:rsidR="00826452">
        <w:instrText xml:space="preserve"> REF _Ref531343960 \n \h </w:instrText>
      </w:r>
      <w:r w:rsidR="00826452">
        <w:fldChar w:fldCharType="separate"/>
      </w:r>
      <w:r w:rsidR="00CB7456">
        <w:t>13.11</w:t>
      </w:r>
      <w:r w:rsidR="00826452">
        <w:fldChar w:fldCharType="end"/>
      </w:r>
      <w:r w:rsidR="00826452">
        <w:t>.</w:t>
      </w:r>
      <w:r>
        <w:t xml:space="preserve"> In many cases the methodology involved iterative processes and the interpretation of tables and figures, which were automatically programmed in Microsoft Excel. In each case, the CAPEX, OPEX, and revenues were calculated and compared. </w:t>
      </w:r>
    </w:p>
    <w:p w14:paraId="19FFC83B" w14:textId="77777777" w:rsidR="000F16EB" w:rsidRDefault="000F16EB" w:rsidP="000F16EB">
      <w:pPr>
        <w:pStyle w:val="Heading3"/>
      </w:pPr>
      <w:bookmarkStart w:id="551" w:name="_Toc525230008"/>
      <w:bookmarkStart w:id="552" w:name="_Toc7187523"/>
      <w:r>
        <w:t>Waste Heat Recovery Equipment</w:t>
      </w:r>
      <w:bookmarkEnd w:id="551"/>
      <w:bookmarkEnd w:id="552"/>
    </w:p>
    <w:p w14:paraId="04B140B3" w14:textId="40851B6B" w:rsidR="000F16EB" w:rsidRDefault="000F16EB" w:rsidP="000F16EB">
      <w:r>
        <w:t>A range of different choices for the possible WHR equipment were modelled and compared. They were double pipe HEXs (HEX-DP), shell and tube HEXs (HEX-ST), finned tube HEXs (HEX</w:t>
      </w:r>
      <w:r>
        <w:noBreakHyphen/>
        <w:t xml:space="preserve">FT), plate HEXs (HEX-P), fired heaters (FH), and both organic and traditional RCs. Both types of RC were modelled as an entirety and as their individual components: boilers, condensers, pumps, and turbines. The equations used in the modelling of the WHR equipment came from Evans, Tufts University, Sinnott, and Bloch and Singh </w:t>
      </w:r>
      <w:r>
        <w:fldChar w:fldCharType="begin" w:fldLock="1"/>
      </w:r>
      <w:r w:rsidR="002A6A73">
        <w:instrText>ADDIN CSL_CITATION {"citationItems":[{"id":"ITEM-1","itemData":{"ISBN":"0-87201-255-7","author":[{"dropping-particle":"","family":"Evans","given":"Frank L.","non-dropping-particle":"","parse-names":false,"suffix":""}],"container-title":"Equipment Design Handbook for Refineries and Chemical Plants","edition":"2","id":"ITEM-1","issued":{"date-parts":[["1974"]]},"page":"1-27","publisher":"Gulf Publishing Company","publisher-place":"Houston, America","title":"Fired Heaters and Boilers","type":"chapter"},"uris":["http://www.mendeley.com/documents/?uuid=70297c0c-6a5f-4751-91c5-d4386302a47e"]},{"id":"ITEM-2","itemData":{"author":[{"dropping-particle":"","family":"Tufts University","given":"","non-dropping-particle":"","parse-names":false,"suffix":""}],"id":"ITEM-2","issued":{"date-parts":[["2003"]]},"publisher-place":"Boston, America","title":"Ideal Rankine Cycle","type":"report"},"uris":["http://www.mendeley.com/documents/?uuid=f9f1c635-9422-4698-9dba-519f4f21972b"]},{"id":"ITEM-3","itemData":{"ISBN":"978-0-7506-6538-4","author":[{"dropping-particle":"","family":"Sinnott","given":"R.K.","non-dropping-particle":"","parse-names":false,"suffix":""}],"edition":"4","editor":[{"dropping-particle":"","family":"Sinnott","given":"R.K.","non-dropping-particle":"","parse-names":false,"suffix":""}],"id":"ITEM-3","issued":{"date-parts":[["2005"]]},"publisher":"Elsevier","title":"Coulson and Richardson's Chemical Engineering","type":"book"},"uris":["http://www.mendeley.com/documents/?uuid=d0a6e441-266f-4735-8bef-cd146e7cff7f"]},{"id":"ITEM-4","itemData":{"ISBN":"9780071641005","author":[{"dropping-particle":"","family":"Bloch","given":"Heinz P.","non-dropping-particle":"","parse-names":false,"suffix":""},{"dropping-particle":"","family":"Singh","given":"Murari P.","non-dropping-particle":"","parse-names":false,"suffix":""}],"chapter-number":"15","container-title":"Steam Turbines - Design, Applications and Re-Rating","edition":"2","id":"ITEM-4","issued":{"date-parts":[["2009"]]},"page":"309-328","publisher":"McGraw-Hill","publisher-place":"New York, America","title":"Elliott Shortcut Selection Method for Multivalve, Multistage Steam Turbines","type":"chapter"},"uris":["http://www.mendeley.com/documents/?uuid=e75e9b62-ce28-4111-950b-d748a36f7cca"]}],"mendeley":{"formattedCitation":"(Evans, 1974; Tufts University, 2003; Sinnott, 2005a; Bloch and Singh, 2009)","plainTextFormattedCitation":"(Evans, 1974; Tufts University, 2003; Sinnott, 2005a; Bloch and Singh, 2009)","previouslyFormattedCitation":"(Evans, 1974; Tufts University, 2003; Sinnott, 2005a; Bloch and Singh, 2009)"},"properties":{"noteIndex":0},"schema":"https://github.com/citation-style-language/schema/raw/master/csl-citation.json"}</w:instrText>
      </w:r>
      <w:r>
        <w:fldChar w:fldCharType="separate"/>
      </w:r>
      <w:r w:rsidR="002A6A73" w:rsidRPr="002A6A73">
        <w:rPr>
          <w:noProof/>
        </w:rPr>
        <w:t>(Evans, 1974; Tufts University, 2003; Sinnott, 2005a; Bloch and Singh, 2009)</w:t>
      </w:r>
      <w:r>
        <w:fldChar w:fldCharType="end"/>
      </w:r>
      <w:r>
        <w:t>.</w:t>
      </w:r>
    </w:p>
    <w:p w14:paraId="1F0BCE86" w14:textId="77777777" w:rsidR="000F16EB" w:rsidRDefault="000F16EB" w:rsidP="000F16EB">
      <w:pPr>
        <w:pStyle w:val="Heading4"/>
      </w:pPr>
      <w:bookmarkStart w:id="553" w:name="_Ref531345356"/>
      <w:bookmarkStart w:id="554" w:name="_Toc7187524"/>
      <w:r>
        <w:t>Double Pipe Heat Exchanger</w:t>
      </w:r>
      <w:bookmarkEnd w:id="553"/>
      <w:bookmarkEnd w:id="554"/>
    </w:p>
    <w:p w14:paraId="22FEA6B3" w14:textId="083965F6" w:rsidR="000F16EB" w:rsidRDefault="000F16EB" w:rsidP="000F16EB">
      <w:pPr>
        <w:rPr>
          <w:b/>
          <w:bCs/>
          <w:sz w:val="18"/>
          <w:szCs w:val="18"/>
        </w:rPr>
      </w:pPr>
      <w:r>
        <w:t xml:space="preserve">The equations used in the modelling of a HEX-DP came from chapter 12.15 of Coulson and Richardson's Chemical Engineering Volume 6 - Chemical Engineering Design </w:t>
      </w:r>
      <w:r>
        <w:fldChar w:fldCharType="begin" w:fldLock="1"/>
      </w:r>
      <w:r w:rsidR="002A6A73">
        <w:instrText>ADDIN CSL_CITATION {"citationItems":[{"id":"ITEM-1","itemData":{"ISBN":"978-0-7506-6538-4","author":[{"dropping-particle":"","family":"Sinnott","given":"R.K.","non-dropping-particle":"","parse-names":false,"suffix":""}],"edition":"4","editor":[{"dropping-particle":"","family":"Sinnott","given":"R.K.","non-dropping-particle":"","parse-names":false,"suffix":""}],"id":"ITEM-1","issued":{"date-parts":[["2005"]]},"publisher":"Elsevier","title":"Coulson and Richardson's Chemical Engineering","type":"book"},"uris":["http://www.mendeley.com/documents/?uuid=d0a6e441-266f-4735-8bef-cd146e7cff7f"]}],"mendeley":{"formattedCitation":"(Sinnott, 2005a)","plainTextFormattedCitation":"(Sinnott, 2005a)","previouslyFormattedCitation":"(Sinnott, 2005a)"},"properties":{"noteIndex":0},"schema":"https://github.com/citation-style-language/schema/raw/master/csl-citation.json"}</w:instrText>
      </w:r>
      <w:r>
        <w:fldChar w:fldCharType="separate"/>
      </w:r>
      <w:r w:rsidR="002A6A73" w:rsidRPr="002A6A73">
        <w:rPr>
          <w:noProof/>
        </w:rPr>
        <w:t>(Sinnott, 2005a)</w:t>
      </w:r>
      <w:r>
        <w:fldChar w:fldCharType="end"/>
      </w:r>
      <w:r>
        <w:t xml:space="preserve">. The list of equations is shown in its entirety in Appendix </w:t>
      </w:r>
      <w:r w:rsidR="00826452">
        <w:fldChar w:fldCharType="begin"/>
      </w:r>
      <w:r w:rsidR="00826452">
        <w:instrText xml:space="preserve"> REF _Ref531343991 \n \h </w:instrText>
      </w:r>
      <w:r w:rsidR="00826452">
        <w:fldChar w:fldCharType="separate"/>
      </w:r>
      <w:r w:rsidR="00CB7456">
        <w:t>13.3</w:t>
      </w:r>
      <w:r w:rsidR="00826452">
        <w:fldChar w:fldCharType="end"/>
      </w:r>
      <w:r>
        <w:t xml:space="preserve">. A list of 28 inputs were needed in the work, as shown in </w:t>
      </w:r>
      <w:r>
        <w:fldChar w:fldCharType="begin"/>
      </w:r>
      <w:r>
        <w:instrText xml:space="preserve"> REF _Ref525668399 \h </w:instrText>
      </w:r>
      <w:r>
        <w:fldChar w:fldCharType="separate"/>
      </w:r>
      <w:r w:rsidR="00CB7456">
        <w:t xml:space="preserve">Table </w:t>
      </w:r>
      <w:r w:rsidR="00CB7456">
        <w:rPr>
          <w:noProof/>
        </w:rPr>
        <w:t>5</w:t>
      </w:r>
      <w:r w:rsidR="00CB7456">
        <w:t>.</w:t>
      </w:r>
      <w:r w:rsidR="00CB7456">
        <w:rPr>
          <w:noProof/>
        </w:rPr>
        <w:t>1</w:t>
      </w:r>
      <w:r>
        <w:fldChar w:fldCharType="end"/>
      </w:r>
      <w:r>
        <w:t xml:space="preserve">. </w:t>
      </w:r>
    </w:p>
    <w:p w14:paraId="1E4DE776" w14:textId="77777777" w:rsidR="000F16EB" w:rsidRDefault="000F16EB" w:rsidP="000F16EB">
      <w:pPr>
        <w:jc w:val="left"/>
        <w:rPr>
          <w:b/>
          <w:bCs/>
          <w:sz w:val="18"/>
          <w:szCs w:val="18"/>
        </w:rPr>
      </w:pPr>
      <w:bookmarkStart w:id="555" w:name="_Ref525663376"/>
      <w:bookmarkStart w:id="556" w:name="_Toc525230128"/>
      <w:r>
        <w:br w:type="page"/>
      </w:r>
    </w:p>
    <w:p w14:paraId="2DB569D1" w14:textId="447A8F8F" w:rsidR="000F16EB" w:rsidRDefault="000F16EB" w:rsidP="000F16EB">
      <w:pPr>
        <w:pStyle w:val="Caption"/>
      </w:pPr>
      <w:bookmarkStart w:id="557" w:name="_Ref525668399"/>
      <w:bookmarkStart w:id="558" w:name="_Toc7187682"/>
      <w:r>
        <w:lastRenderedPageBreak/>
        <w:t xml:space="preserve">Table </w:t>
      </w:r>
      <w:fldSimple w:instr=" STYLEREF 1 \s ">
        <w:r w:rsidR="00CB7456">
          <w:rPr>
            <w:noProof/>
          </w:rPr>
          <w:t>5</w:t>
        </w:r>
      </w:fldSimple>
      <w:r w:rsidR="009E1A67">
        <w:t>.</w:t>
      </w:r>
      <w:fldSimple w:instr=" SEQ Table \* ARABIC \s 1 ">
        <w:r w:rsidR="00CB7456">
          <w:rPr>
            <w:noProof/>
          </w:rPr>
          <w:t>1</w:t>
        </w:r>
      </w:fldSimple>
      <w:bookmarkEnd w:id="555"/>
      <w:bookmarkEnd w:id="557"/>
      <w:r>
        <w:t>: Inputs needed for the modelling of a HEX-DP.</w:t>
      </w:r>
      <w:bookmarkEnd w:id="556"/>
      <w:bookmarkEnd w:id="558"/>
    </w:p>
    <w:tbl>
      <w:tblPr>
        <w:tblStyle w:val="TableGrid"/>
        <w:tblW w:w="5092" w:type="dxa"/>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04"/>
        <w:gridCol w:w="1088"/>
      </w:tblGrid>
      <w:tr w:rsidR="000F16EB" w14:paraId="23F38B5F" w14:textId="77777777" w:rsidTr="00A7521D">
        <w:trPr>
          <w:jc w:val="center"/>
        </w:trPr>
        <w:tc>
          <w:tcPr>
            <w:tcW w:w="4004" w:type="dxa"/>
            <w:tcBorders>
              <w:bottom w:val="single" w:sz="4" w:space="0" w:color="auto"/>
            </w:tcBorders>
          </w:tcPr>
          <w:p w14:paraId="23A94980" w14:textId="77777777" w:rsidR="000F16EB" w:rsidRDefault="000F16EB" w:rsidP="00A7521D">
            <w:pPr>
              <w:jc w:val="center"/>
            </w:pPr>
            <w:r>
              <w:t>Input</w:t>
            </w:r>
          </w:p>
        </w:tc>
        <w:tc>
          <w:tcPr>
            <w:tcW w:w="1088" w:type="dxa"/>
            <w:tcBorders>
              <w:bottom w:val="single" w:sz="4" w:space="0" w:color="auto"/>
            </w:tcBorders>
          </w:tcPr>
          <w:p w14:paraId="30756D6C" w14:textId="77777777" w:rsidR="000F16EB" w:rsidRDefault="000F16EB" w:rsidP="00A7521D">
            <w:pPr>
              <w:jc w:val="center"/>
            </w:pPr>
            <w:r>
              <w:t>Units</w:t>
            </w:r>
          </w:p>
        </w:tc>
      </w:tr>
      <w:tr w:rsidR="000F16EB" w14:paraId="72E45088" w14:textId="77777777" w:rsidTr="00A7521D">
        <w:trPr>
          <w:jc w:val="center"/>
        </w:trPr>
        <w:tc>
          <w:tcPr>
            <w:tcW w:w="4004" w:type="dxa"/>
            <w:tcBorders>
              <w:top w:val="single" w:sz="4" w:space="0" w:color="auto"/>
              <w:bottom w:val="nil"/>
            </w:tcBorders>
          </w:tcPr>
          <w:p w14:paraId="51368BC2" w14:textId="77777777" w:rsidR="000F16EB" w:rsidRDefault="000F16EB" w:rsidP="00A7521D">
            <w:pPr>
              <w:jc w:val="center"/>
            </w:pPr>
            <w:r>
              <w:t>Heat exchange type</w:t>
            </w:r>
          </w:p>
        </w:tc>
        <w:tc>
          <w:tcPr>
            <w:tcW w:w="1088" w:type="dxa"/>
            <w:tcBorders>
              <w:top w:val="single" w:sz="4" w:space="0" w:color="auto"/>
              <w:bottom w:val="nil"/>
            </w:tcBorders>
          </w:tcPr>
          <w:p w14:paraId="349C7FEC" w14:textId="77777777" w:rsidR="000F16EB" w:rsidRDefault="000F16EB" w:rsidP="00A7521D">
            <w:pPr>
              <w:jc w:val="center"/>
            </w:pPr>
            <w:r>
              <w:t>-</w:t>
            </w:r>
          </w:p>
        </w:tc>
      </w:tr>
      <w:tr w:rsidR="000F16EB" w14:paraId="4C9CDD4D" w14:textId="77777777" w:rsidTr="00A7521D">
        <w:trPr>
          <w:jc w:val="center"/>
        </w:trPr>
        <w:tc>
          <w:tcPr>
            <w:tcW w:w="4004" w:type="dxa"/>
            <w:tcBorders>
              <w:top w:val="nil"/>
            </w:tcBorders>
          </w:tcPr>
          <w:p w14:paraId="3BF25C68" w14:textId="77777777" w:rsidR="000F16EB" w:rsidRDefault="000F16EB" w:rsidP="00A7521D">
            <w:pPr>
              <w:jc w:val="center"/>
            </w:pPr>
            <w:r>
              <w:t>Heat exchange fluid</w:t>
            </w:r>
          </w:p>
        </w:tc>
        <w:tc>
          <w:tcPr>
            <w:tcW w:w="1088" w:type="dxa"/>
            <w:tcBorders>
              <w:top w:val="nil"/>
            </w:tcBorders>
          </w:tcPr>
          <w:p w14:paraId="5BCFC3F1" w14:textId="77777777" w:rsidR="000F16EB" w:rsidRDefault="000F16EB" w:rsidP="00A7521D">
            <w:pPr>
              <w:jc w:val="center"/>
            </w:pPr>
            <w:r>
              <w:t>-</w:t>
            </w:r>
          </w:p>
        </w:tc>
      </w:tr>
      <w:tr w:rsidR="000F16EB" w14:paraId="3339BBE8" w14:textId="77777777" w:rsidTr="00A7521D">
        <w:trPr>
          <w:jc w:val="center"/>
        </w:trPr>
        <w:tc>
          <w:tcPr>
            <w:tcW w:w="4004" w:type="dxa"/>
          </w:tcPr>
          <w:p w14:paraId="38E2AA44" w14:textId="77777777" w:rsidR="000F16EB" w:rsidRDefault="000F16EB" w:rsidP="00A7521D">
            <w:pPr>
              <w:jc w:val="center"/>
            </w:pPr>
            <w:r>
              <w:t>Hot fluid inlet temperature</w:t>
            </w:r>
          </w:p>
        </w:tc>
        <w:tc>
          <w:tcPr>
            <w:tcW w:w="1088" w:type="dxa"/>
          </w:tcPr>
          <w:p w14:paraId="6AAABDA1" w14:textId="77777777" w:rsidR="000F16EB" w:rsidRDefault="000F16EB" w:rsidP="00A7521D">
            <w:pPr>
              <w:jc w:val="center"/>
            </w:pPr>
            <w:r>
              <w:t>K</w:t>
            </w:r>
          </w:p>
        </w:tc>
      </w:tr>
      <w:tr w:rsidR="000F16EB" w14:paraId="25E9CEC0" w14:textId="77777777" w:rsidTr="00A7521D">
        <w:trPr>
          <w:jc w:val="center"/>
        </w:trPr>
        <w:tc>
          <w:tcPr>
            <w:tcW w:w="4004" w:type="dxa"/>
          </w:tcPr>
          <w:p w14:paraId="48EA74C5" w14:textId="77777777" w:rsidR="000F16EB" w:rsidRDefault="000F16EB" w:rsidP="00A7521D">
            <w:pPr>
              <w:jc w:val="center"/>
            </w:pPr>
            <w:r>
              <w:t>Hot fluid outlet temperature</w:t>
            </w:r>
          </w:p>
        </w:tc>
        <w:tc>
          <w:tcPr>
            <w:tcW w:w="1088" w:type="dxa"/>
          </w:tcPr>
          <w:p w14:paraId="658E79F6" w14:textId="77777777" w:rsidR="000F16EB" w:rsidRDefault="000F16EB" w:rsidP="00A7521D">
            <w:pPr>
              <w:jc w:val="center"/>
            </w:pPr>
            <w:r w:rsidRPr="00EB023B">
              <w:t>K</w:t>
            </w:r>
          </w:p>
        </w:tc>
      </w:tr>
      <w:tr w:rsidR="000F16EB" w14:paraId="7E626E1B" w14:textId="77777777" w:rsidTr="00A7521D">
        <w:trPr>
          <w:jc w:val="center"/>
        </w:trPr>
        <w:tc>
          <w:tcPr>
            <w:tcW w:w="4004" w:type="dxa"/>
          </w:tcPr>
          <w:p w14:paraId="15AD634F" w14:textId="77777777" w:rsidR="000F16EB" w:rsidRDefault="000F16EB" w:rsidP="00A7521D">
            <w:pPr>
              <w:jc w:val="center"/>
            </w:pPr>
            <w:r>
              <w:t>Cold fluid inlet temperature</w:t>
            </w:r>
          </w:p>
        </w:tc>
        <w:tc>
          <w:tcPr>
            <w:tcW w:w="1088" w:type="dxa"/>
          </w:tcPr>
          <w:p w14:paraId="37C79315" w14:textId="77777777" w:rsidR="000F16EB" w:rsidRDefault="000F16EB" w:rsidP="00A7521D">
            <w:pPr>
              <w:jc w:val="center"/>
            </w:pPr>
            <w:r w:rsidRPr="00EB023B">
              <w:t>K</w:t>
            </w:r>
          </w:p>
        </w:tc>
      </w:tr>
      <w:tr w:rsidR="000F16EB" w14:paraId="1376F0A1" w14:textId="77777777" w:rsidTr="00A7521D">
        <w:trPr>
          <w:jc w:val="center"/>
        </w:trPr>
        <w:tc>
          <w:tcPr>
            <w:tcW w:w="4004" w:type="dxa"/>
          </w:tcPr>
          <w:p w14:paraId="21270E14" w14:textId="77777777" w:rsidR="000F16EB" w:rsidRDefault="000F16EB" w:rsidP="00A7521D">
            <w:pPr>
              <w:jc w:val="center"/>
            </w:pPr>
            <w:r>
              <w:t>Cold fluid outlet temperature</w:t>
            </w:r>
          </w:p>
        </w:tc>
        <w:tc>
          <w:tcPr>
            <w:tcW w:w="1088" w:type="dxa"/>
          </w:tcPr>
          <w:p w14:paraId="7253C9F0" w14:textId="77777777" w:rsidR="000F16EB" w:rsidRDefault="000F16EB" w:rsidP="00A7521D">
            <w:pPr>
              <w:jc w:val="center"/>
            </w:pPr>
            <w:r w:rsidRPr="00EB023B">
              <w:t>K</w:t>
            </w:r>
          </w:p>
        </w:tc>
      </w:tr>
      <w:tr w:rsidR="000F16EB" w14:paraId="39D9ED80" w14:textId="77777777" w:rsidTr="00A7521D">
        <w:trPr>
          <w:jc w:val="center"/>
        </w:trPr>
        <w:tc>
          <w:tcPr>
            <w:tcW w:w="4004" w:type="dxa"/>
          </w:tcPr>
          <w:p w14:paraId="54FA0E74" w14:textId="77777777" w:rsidR="000F16EB" w:rsidRDefault="000F16EB" w:rsidP="00A7521D">
            <w:pPr>
              <w:jc w:val="center"/>
            </w:pPr>
            <w:r>
              <w:t>Hot fluid specific heat capacity</w:t>
            </w:r>
          </w:p>
        </w:tc>
        <w:tc>
          <w:tcPr>
            <w:tcW w:w="1088" w:type="dxa"/>
          </w:tcPr>
          <w:p w14:paraId="18095A4D" w14:textId="77777777" w:rsidR="000F16EB" w:rsidRDefault="000F16EB" w:rsidP="00A7521D">
            <w:pPr>
              <w:jc w:val="center"/>
            </w:pPr>
            <w:r>
              <w:t>kJ/(</w:t>
            </w:r>
            <w:proofErr w:type="spellStart"/>
            <w:r>
              <w:t>kgK</w:t>
            </w:r>
            <w:proofErr w:type="spellEnd"/>
            <w:r>
              <w:t>)</w:t>
            </w:r>
          </w:p>
        </w:tc>
      </w:tr>
      <w:tr w:rsidR="000F16EB" w14:paraId="24899BA7" w14:textId="77777777" w:rsidTr="00A7521D">
        <w:trPr>
          <w:jc w:val="center"/>
        </w:trPr>
        <w:tc>
          <w:tcPr>
            <w:tcW w:w="4004" w:type="dxa"/>
          </w:tcPr>
          <w:p w14:paraId="787923CF" w14:textId="77777777" w:rsidR="000F16EB" w:rsidRDefault="000F16EB" w:rsidP="00A7521D">
            <w:pPr>
              <w:jc w:val="center"/>
            </w:pPr>
            <w:r>
              <w:t>HT</w:t>
            </w:r>
          </w:p>
        </w:tc>
        <w:tc>
          <w:tcPr>
            <w:tcW w:w="1088" w:type="dxa"/>
          </w:tcPr>
          <w:p w14:paraId="5A5FB402" w14:textId="77777777" w:rsidR="000F16EB" w:rsidRDefault="000F16EB" w:rsidP="00A7521D">
            <w:pPr>
              <w:jc w:val="center"/>
            </w:pPr>
            <w:r>
              <w:t>kW</w:t>
            </w:r>
          </w:p>
        </w:tc>
      </w:tr>
      <w:tr w:rsidR="000F16EB" w14:paraId="7298A6A9" w14:textId="77777777" w:rsidTr="00A7521D">
        <w:trPr>
          <w:jc w:val="center"/>
        </w:trPr>
        <w:tc>
          <w:tcPr>
            <w:tcW w:w="4004" w:type="dxa"/>
          </w:tcPr>
          <w:p w14:paraId="4E2510DC" w14:textId="77777777" w:rsidR="000F16EB" w:rsidRDefault="000F16EB" w:rsidP="00A7521D">
            <w:pPr>
              <w:jc w:val="center"/>
            </w:pPr>
            <w:r>
              <w:t>Tube length</w:t>
            </w:r>
          </w:p>
        </w:tc>
        <w:tc>
          <w:tcPr>
            <w:tcW w:w="1088" w:type="dxa"/>
          </w:tcPr>
          <w:p w14:paraId="7F04B4CA" w14:textId="77777777" w:rsidR="000F16EB" w:rsidRDefault="000F16EB" w:rsidP="00A7521D">
            <w:pPr>
              <w:jc w:val="center"/>
            </w:pPr>
            <w:r>
              <w:t>m</w:t>
            </w:r>
          </w:p>
        </w:tc>
      </w:tr>
      <w:tr w:rsidR="000F16EB" w14:paraId="25AA637F" w14:textId="77777777" w:rsidTr="00A7521D">
        <w:trPr>
          <w:jc w:val="center"/>
        </w:trPr>
        <w:tc>
          <w:tcPr>
            <w:tcW w:w="4004" w:type="dxa"/>
          </w:tcPr>
          <w:p w14:paraId="653E9635" w14:textId="77777777" w:rsidR="000F16EB" w:rsidRDefault="000F16EB" w:rsidP="00A7521D">
            <w:pPr>
              <w:jc w:val="center"/>
            </w:pPr>
            <w:r>
              <w:t>Inner pipe diameter</w:t>
            </w:r>
          </w:p>
        </w:tc>
        <w:tc>
          <w:tcPr>
            <w:tcW w:w="1088" w:type="dxa"/>
          </w:tcPr>
          <w:p w14:paraId="2D154FFD" w14:textId="77777777" w:rsidR="000F16EB" w:rsidRDefault="000F16EB" w:rsidP="00A7521D">
            <w:pPr>
              <w:jc w:val="center"/>
            </w:pPr>
            <w:r>
              <w:t>m</w:t>
            </w:r>
          </w:p>
        </w:tc>
      </w:tr>
      <w:tr w:rsidR="000F16EB" w14:paraId="4FEB093D" w14:textId="77777777" w:rsidTr="00A7521D">
        <w:trPr>
          <w:jc w:val="center"/>
        </w:trPr>
        <w:tc>
          <w:tcPr>
            <w:tcW w:w="4004" w:type="dxa"/>
          </w:tcPr>
          <w:p w14:paraId="14B7B6A9" w14:textId="77777777" w:rsidR="000F16EB" w:rsidRDefault="000F16EB" w:rsidP="00A7521D">
            <w:pPr>
              <w:jc w:val="center"/>
            </w:pPr>
            <w:r>
              <w:t>Number of tube passes</w:t>
            </w:r>
          </w:p>
        </w:tc>
        <w:tc>
          <w:tcPr>
            <w:tcW w:w="1088" w:type="dxa"/>
          </w:tcPr>
          <w:p w14:paraId="66E73BB9" w14:textId="77777777" w:rsidR="000F16EB" w:rsidRDefault="000F16EB" w:rsidP="00A7521D">
            <w:pPr>
              <w:jc w:val="center"/>
            </w:pPr>
            <w:r>
              <w:t>-</w:t>
            </w:r>
          </w:p>
        </w:tc>
      </w:tr>
      <w:tr w:rsidR="000F16EB" w14:paraId="7BDFB94C" w14:textId="77777777" w:rsidTr="00A7521D">
        <w:trPr>
          <w:jc w:val="center"/>
        </w:trPr>
        <w:tc>
          <w:tcPr>
            <w:tcW w:w="4004" w:type="dxa"/>
          </w:tcPr>
          <w:p w14:paraId="06CE4B9F" w14:textId="77777777" w:rsidR="000F16EB" w:rsidRDefault="000F16EB" w:rsidP="00A7521D">
            <w:pPr>
              <w:jc w:val="center"/>
            </w:pPr>
            <w:r>
              <w:t>Pitch shape</w:t>
            </w:r>
          </w:p>
        </w:tc>
        <w:tc>
          <w:tcPr>
            <w:tcW w:w="1088" w:type="dxa"/>
          </w:tcPr>
          <w:p w14:paraId="3337B9CD" w14:textId="77777777" w:rsidR="000F16EB" w:rsidRDefault="000F16EB" w:rsidP="00A7521D">
            <w:pPr>
              <w:jc w:val="center"/>
            </w:pPr>
            <w:r>
              <w:t>-</w:t>
            </w:r>
          </w:p>
        </w:tc>
      </w:tr>
      <w:tr w:rsidR="000F16EB" w14:paraId="3376EA1E" w14:textId="77777777" w:rsidTr="00A7521D">
        <w:trPr>
          <w:jc w:val="center"/>
        </w:trPr>
        <w:tc>
          <w:tcPr>
            <w:tcW w:w="4004" w:type="dxa"/>
          </w:tcPr>
          <w:p w14:paraId="50D491EB" w14:textId="77777777" w:rsidR="000F16EB" w:rsidRDefault="000F16EB" w:rsidP="00A7521D">
            <w:pPr>
              <w:jc w:val="center"/>
            </w:pPr>
            <w:r>
              <w:t>Shell type</w:t>
            </w:r>
          </w:p>
        </w:tc>
        <w:tc>
          <w:tcPr>
            <w:tcW w:w="1088" w:type="dxa"/>
          </w:tcPr>
          <w:p w14:paraId="05EEC136" w14:textId="77777777" w:rsidR="000F16EB" w:rsidRDefault="000F16EB" w:rsidP="00A7521D">
            <w:pPr>
              <w:jc w:val="center"/>
            </w:pPr>
            <w:r>
              <w:t>-</w:t>
            </w:r>
          </w:p>
        </w:tc>
      </w:tr>
      <w:tr w:rsidR="000F16EB" w14:paraId="01A6F98C" w14:textId="77777777" w:rsidTr="00A7521D">
        <w:trPr>
          <w:jc w:val="center"/>
        </w:trPr>
        <w:tc>
          <w:tcPr>
            <w:tcW w:w="4004" w:type="dxa"/>
          </w:tcPr>
          <w:p w14:paraId="74004EE5" w14:textId="77777777" w:rsidR="000F16EB" w:rsidRDefault="000F16EB" w:rsidP="00A7521D">
            <w:pPr>
              <w:jc w:val="center"/>
            </w:pPr>
            <w:r>
              <w:t>Cold fluid mass flowrate</w:t>
            </w:r>
          </w:p>
        </w:tc>
        <w:tc>
          <w:tcPr>
            <w:tcW w:w="1088" w:type="dxa"/>
          </w:tcPr>
          <w:p w14:paraId="4ADFAAC4" w14:textId="77777777" w:rsidR="000F16EB" w:rsidRDefault="000F16EB" w:rsidP="00A7521D">
            <w:pPr>
              <w:jc w:val="center"/>
            </w:pPr>
            <w:r>
              <w:t>kg/s</w:t>
            </w:r>
          </w:p>
        </w:tc>
      </w:tr>
      <w:tr w:rsidR="000F16EB" w14:paraId="7EAB825F" w14:textId="77777777" w:rsidTr="00A7521D">
        <w:trPr>
          <w:jc w:val="center"/>
        </w:trPr>
        <w:tc>
          <w:tcPr>
            <w:tcW w:w="4004" w:type="dxa"/>
          </w:tcPr>
          <w:p w14:paraId="7DC02940" w14:textId="77777777" w:rsidR="000F16EB" w:rsidRDefault="000F16EB" w:rsidP="00A7521D">
            <w:pPr>
              <w:jc w:val="center"/>
            </w:pPr>
            <w:r>
              <w:t>Cold fluid density</w:t>
            </w:r>
          </w:p>
        </w:tc>
        <w:tc>
          <w:tcPr>
            <w:tcW w:w="1088" w:type="dxa"/>
          </w:tcPr>
          <w:p w14:paraId="4FFB81B3" w14:textId="77777777" w:rsidR="000F16EB" w:rsidRPr="00CD15A3" w:rsidRDefault="000F16EB" w:rsidP="00A7521D">
            <w:pPr>
              <w:jc w:val="center"/>
            </w:pPr>
            <w:r>
              <w:t>kg/m</w:t>
            </w:r>
            <w:r>
              <w:rPr>
                <w:vertAlign w:val="superscript"/>
              </w:rPr>
              <w:t>3</w:t>
            </w:r>
          </w:p>
        </w:tc>
      </w:tr>
      <w:tr w:rsidR="000F16EB" w14:paraId="136CC867" w14:textId="77777777" w:rsidTr="00A7521D">
        <w:trPr>
          <w:jc w:val="center"/>
        </w:trPr>
        <w:tc>
          <w:tcPr>
            <w:tcW w:w="4004" w:type="dxa"/>
          </w:tcPr>
          <w:p w14:paraId="14B56841" w14:textId="77777777" w:rsidR="000F16EB" w:rsidRDefault="000F16EB" w:rsidP="00A7521D">
            <w:pPr>
              <w:jc w:val="center"/>
            </w:pPr>
            <w:r>
              <w:t>Cold fluid viscosity</w:t>
            </w:r>
          </w:p>
        </w:tc>
        <w:tc>
          <w:tcPr>
            <w:tcW w:w="1088" w:type="dxa"/>
          </w:tcPr>
          <w:p w14:paraId="0E6D5544" w14:textId="77777777" w:rsidR="000F16EB" w:rsidRDefault="000F16EB" w:rsidP="00A7521D">
            <w:pPr>
              <w:jc w:val="center"/>
            </w:pPr>
            <w:proofErr w:type="spellStart"/>
            <w:r>
              <w:t>Pa.s</w:t>
            </w:r>
            <w:proofErr w:type="spellEnd"/>
          </w:p>
        </w:tc>
      </w:tr>
      <w:tr w:rsidR="000F16EB" w14:paraId="6C147E37" w14:textId="77777777" w:rsidTr="00A7521D">
        <w:trPr>
          <w:jc w:val="center"/>
        </w:trPr>
        <w:tc>
          <w:tcPr>
            <w:tcW w:w="4004" w:type="dxa"/>
          </w:tcPr>
          <w:p w14:paraId="4F50E1D2" w14:textId="77777777" w:rsidR="000F16EB" w:rsidRDefault="000F16EB" w:rsidP="00A7521D">
            <w:pPr>
              <w:jc w:val="center"/>
            </w:pPr>
            <w:r>
              <w:t>Cold fluid thermal conductivity</w:t>
            </w:r>
          </w:p>
        </w:tc>
        <w:tc>
          <w:tcPr>
            <w:tcW w:w="1088" w:type="dxa"/>
          </w:tcPr>
          <w:p w14:paraId="6CF41D4A" w14:textId="77777777" w:rsidR="000F16EB" w:rsidRDefault="000F16EB" w:rsidP="00A7521D">
            <w:pPr>
              <w:jc w:val="center"/>
            </w:pPr>
            <w:r>
              <w:t>W/(</w:t>
            </w:r>
            <w:proofErr w:type="spellStart"/>
            <w:r>
              <w:t>mK</w:t>
            </w:r>
            <w:proofErr w:type="spellEnd"/>
            <w:r>
              <w:t>)</w:t>
            </w:r>
          </w:p>
        </w:tc>
      </w:tr>
      <w:tr w:rsidR="000F16EB" w14:paraId="25533A25" w14:textId="77777777" w:rsidTr="00A7521D">
        <w:trPr>
          <w:jc w:val="center"/>
        </w:trPr>
        <w:tc>
          <w:tcPr>
            <w:tcW w:w="4004" w:type="dxa"/>
          </w:tcPr>
          <w:p w14:paraId="693AF831" w14:textId="77777777" w:rsidR="000F16EB" w:rsidRDefault="000F16EB" w:rsidP="00A7521D">
            <w:pPr>
              <w:jc w:val="center"/>
            </w:pPr>
            <w:r>
              <w:t>Cold fluid specific heat capacity</w:t>
            </w:r>
          </w:p>
        </w:tc>
        <w:tc>
          <w:tcPr>
            <w:tcW w:w="1088" w:type="dxa"/>
          </w:tcPr>
          <w:p w14:paraId="16506584" w14:textId="77777777" w:rsidR="000F16EB" w:rsidRDefault="000F16EB" w:rsidP="00A7521D">
            <w:pPr>
              <w:jc w:val="center"/>
            </w:pPr>
            <w:r>
              <w:t>kJ/(</w:t>
            </w:r>
            <w:proofErr w:type="spellStart"/>
            <w:r>
              <w:t>kgK</w:t>
            </w:r>
            <w:proofErr w:type="spellEnd"/>
            <w:r>
              <w:t>)</w:t>
            </w:r>
          </w:p>
        </w:tc>
      </w:tr>
      <w:tr w:rsidR="000F16EB" w14:paraId="2DBA5EDB" w14:textId="77777777" w:rsidTr="00A7521D">
        <w:trPr>
          <w:jc w:val="center"/>
        </w:trPr>
        <w:tc>
          <w:tcPr>
            <w:tcW w:w="4004" w:type="dxa"/>
          </w:tcPr>
          <w:p w14:paraId="04EA51F8" w14:textId="77777777" w:rsidR="000F16EB" w:rsidRDefault="000F16EB" w:rsidP="00A7521D">
            <w:pPr>
              <w:jc w:val="center"/>
            </w:pPr>
            <w:r>
              <w:t>Hot fluid mass flowrate</w:t>
            </w:r>
          </w:p>
        </w:tc>
        <w:tc>
          <w:tcPr>
            <w:tcW w:w="1088" w:type="dxa"/>
          </w:tcPr>
          <w:p w14:paraId="2C57573C" w14:textId="77777777" w:rsidR="000F16EB" w:rsidRDefault="000F16EB" w:rsidP="00A7521D">
            <w:pPr>
              <w:jc w:val="center"/>
            </w:pPr>
            <w:r>
              <w:t>kg/s</w:t>
            </w:r>
          </w:p>
        </w:tc>
      </w:tr>
      <w:tr w:rsidR="000F16EB" w14:paraId="1E071B41" w14:textId="77777777" w:rsidTr="00A7521D">
        <w:trPr>
          <w:jc w:val="center"/>
        </w:trPr>
        <w:tc>
          <w:tcPr>
            <w:tcW w:w="4004" w:type="dxa"/>
          </w:tcPr>
          <w:p w14:paraId="61D5CB07" w14:textId="77777777" w:rsidR="000F16EB" w:rsidRDefault="000F16EB" w:rsidP="00A7521D">
            <w:pPr>
              <w:jc w:val="center"/>
            </w:pPr>
            <w:r>
              <w:t>Outer pipe diameter</w:t>
            </w:r>
          </w:p>
        </w:tc>
        <w:tc>
          <w:tcPr>
            <w:tcW w:w="1088" w:type="dxa"/>
          </w:tcPr>
          <w:p w14:paraId="61DAB2B8" w14:textId="77777777" w:rsidR="000F16EB" w:rsidRDefault="000F16EB" w:rsidP="00A7521D">
            <w:pPr>
              <w:jc w:val="center"/>
            </w:pPr>
            <w:r>
              <w:t>m</w:t>
            </w:r>
          </w:p>
        </w:tc>
      </w:tr>
      <w:tr w:rsidR="000F16EB" w14:paraId="25758164" w14:textId="77777777" w:rsidTr="00A7521D">
        <w:trPr>
          <w:jc w:val="center"/>
        </w:trPr>
        <w:tc>
          <w:tcPr>
            <w:tcW w:w="4004" w:type="dxa"/>
          </w:tcPr>
          <w:p w14:paraId="11AD615C" w14:textId="77777777" w:rsidR="000F16EB" w:rsidRDefault="000F16EB" w:rsidP="00A7521D">
            <w:pPr>
              <w:jc w:val="center"/>
            </w:pPr>
            <w:r>
              <w:t>Hot fluid density</w:t>
            </w:r>
          </w:p>
        </w:tc>
        <w:tc>
          <w:tcPr>
            <w:tcW w:w="1088" w:type="dxa"/>
          </w:tcPr>
          <w:p w14:paraId="437CCA9B" w14:textId="77777777" w:rsidR="000F16EB" w:rsidRDefault="000F16EB" w:rsidP="00A7521D">
            <w:pPr>
              <w:jc w:val="center"/>
            </w:pPr>
            <w:r>
              <w:t>kg/m</w:t>
            </w:r>
            <w:r>
              <w:rPr>
                <w:vertAlign w:val="superscript"/>
              </w:rPr>
              <w:t>3</w:t>
            </w:r>
          </w:p>
        </w:tc>
      </w:tr>
      <w:tr w:rsidR="000F16EB" w14:paraId="6DCF38C1" w14:textId="77777777" w:rsidTr="00A7521D">
        <w:trPr>
          <w:jc w:val="center"/>
        </w:trPr>
        <w:tc>
          <w:tcPr>
            <w:tcW w:w="4004" w:type="dxa"/>
          </w:tcPr>
          <w:p w14:paraId="27F18E14" w14:textId="77777777" w:rsidR="000F16EB" w:rsidRDefault="000F16EB" w:rsidP="00A7521D">
            <w:pPr>
              <w:jc w:val="center"/>
            </w:pPr>
            <w:r>
              <w:t>Hot fluid viscosity</w:t>
            </w:r>
          </w:p>
        </w:tc>
        <w:tc>
          <w:tcPr>
            <w:tcW w:w="1088" w:type="dxa"/>
          </w:tcPr>
          <w:p w14:paraId="78E46A4E" w14:textId="77777777" w:rsidR="000F16EB" w:rsidRDefault="000F16EB" w:rsidP="00A7521D">
            <w:pPr>
              <w:jc w:val="center"/>
            </w:pPr>
            <w:r>
              <w:t>Pas</w:t>
            </w:r>
          </w:p>
        </w:tc>
      </w:tr>
      <w:tr w:rsidR="000F16EB" w14:paraId="68C0BCC6" w14:textId="77777777" w:rsidTr="00A7521D">
        <w:trPr>
          <w:jc w:val="center"/>
        </w:trPr>
        <w:tc>
          <w:tcPr>
            <w:tcW w:w="4004" w:type="dxa"/>
          </w:tcPr>
          <w:p w14:paraId="41C13F38" w14:textId="77777777" w:rsidR="000F16EB" w:rsidRDefault="000F16EB" w:rsidP="00A7521D">
            <w:pPr>
              <w:jc w:val="center"/>
            </w:pPr>
            <w:r>
              <w:t>Hot fluid specific heat capacity</w:t>
            </w:r>
          </w:p>
        </w:tc>
        <w:tc>
          <w:tcPr>
            <w:tcW w:w="1088" w:type="dxa"/>
          </w:tcPr>
          <w:p w14:paraId="2DA331F8" w14:textId="77777777" w:rsidR="000F16EB" w:rsidRDefault="000F16EB" w:rsidP="00A7521D">
            <w:pPr>
              <w:jc w:val="center"/>
            </w:pPr>
            <w:r>
              <w:t>kJ/(</w:t>
            </w:r>
            <w:proofErr w:type="spellStart"/>
            <w:r>
              <w:t>kgK</w:t>
            </w:r>
            <w:proofErr w:type="spellEnd"/>
            <w:r>
              <w:t>)</w:t>
            </w:r>
          </w:p>
        </w:tc>
      </w:tr>
      <w:tr w:rsidR="000F16EB" w14:paraId="76F8C1B9" w14:textId="77777777" w:rsidTr="00A7521D">
        <w:trPr>
          <w:jc w:val="center"/>
        </w:trPr>
        <w:tc>
          <w:tcPr>
            <w:tcW w:w="4004" w:type="dxa"/>
          </w:tcPr>
          <w:p w14:paraId="4516F549" w14:textId="77777777" w:rsidR="000F16EB" w:rsidRDefault="000F16EB" w:rsidP="00A7521D">
            <w:pPr>
              <w:jc w:val="center"/>
            </w:pPr>
            <w:r>
              <w:t>Hot fluid thermal conductivity</w:t>
            </w:r>
          </w:p>
        </w:tc>
        <w:tc>
          <w:tcPr>
            <w:tcW w:w="1088" w:type="dxa"/>
          </w:tcPr>
          <w:p w14:paraId="1CCCC6F1" w14:textId="77777777" w:rsidR="000F16EB" w:rsidRDefault="000F16EB" w:rsidP="00A7521D">
            <w:pPr>
              <w:jc w:val="center"/>
            </w:pPr>
            <w:r>
              <w:t>W/(</w:t>
            </w:r>
            <w:proofErr w:type="spellStart"/>
            <w:r>
              <w:t>mK</w:t>
            </w:r>
            <w:proofErr w:type="spellEnd"/>
            <w:r>
              <w:t>)</w:t>
            </w:r>
          </w:p>
        </w:tc>
      </w:tr>
      <w:tr w:rsidR="000F16EB" w14:paraId="3BCC75C7" w14:textId="77777777" w:rsidTr="00A7521D">
        <w:trPr>
          <w:jc w:val="center"/>
        </w:trPr>
        <w:tc>
          <w:tcPr>
            <w:tcW w:w="4004" w:type="dxa"/>
          </w:tcPr>
          <w:p w14:paraId="402CBC8F" w14:textId="77777777" w:rsidR="000F16EB" w:rsidRDefault="000F16EB" w:rsidP="00A7521D">
            <w:pPr>
              <w:jc w:val="center"/>
            </w:pPr>
            <w:r>
              <w:t>Baffle cut</w:t>
            </w:r>
          </w:p>
        </w:tc>
        <w:tc>
          <w:tcPr>
            <w:tcW w:w="1088" w:type="dxa"/>
          </w:tcPr>
          <w:p w14:paraId="0F4A9896" w14:textId="77777777" w:rsidR="000F16EB" w:rsidRDefault="000F16EB" w:rsidP="00A7521D">
            <w:pPr>
              <w:jc w:val="center"/>
            </w:pPr>
            <w:r>
              <w:t>-</w:t>
            </w:r>
          </w:p>
        </w:tc>
      </w:tr>
      <w:tr w:rsidR="000F16EB" w14:paraId="1423143B" w14:textId="77777777" w:rsidTr="00A7521D">
        <w:trPr>
          <w:jc w:val="center"/>
        </w:trPr>
        <w:tc>
          <w:tcPr>
            <w:tcW w:w="4004" w:type="dxa"/>
          </w:tcPr>
          <w:p w14:paraId="2DCF317B" w14:textId="77777777" w:rsidR="000F16EB" w:rsidRDefault="000F16EB" w:rsidP="00A7521D">
            <w:pPr>
              <w:jc w:val="center"/>
            </w:pPr>
            <w:r>
              <w:t>Outside fluid type</w:t>
            </w:r>
          </w:p>
        </w:tc>
        <w:tc>
          <w:tcPr>
            <w:tcW w:w="1088" w:type="dxa"/>
          </w:tcPr>
          <w:p w14:paraId="00A9FB87" w14:textId="77777777" w:rsidR="000F16EB" w:rsidRDefault="000F16EB" w:rsidP="00A7521D">
            <w:pPr>
              <w:jc w:val="center"/>
            </w:pPr>
            <w:r>
              <w:t>-</w:t>
            </w:r>
          </w:p>
        </w:tc>
      </w:tr>
      <w:tr w:rsidR="000F16EB" w14:paraId="234E1A35" w14:textId="77777777" w:rsidTr="00A7521D">
        <w:trPr>
          <w:jc w:val="center"/>
        </w:trPr>
        <w:tc>
          <w:tcPr>
            <w:tcW w:w="4004" w:type="dxa"/>
          </w:tcPr>
          <w:p w14:paraId="20CBD907" w14:textId="77777777" w:rsidR="000F16EB" w:rsidRDefault="000F16EB" w:rsidP="00A7521D">
            <w:pPr>
              <w:jc w:val="center"/>
            </w:pPr>
            <w:r>
              <w:t>Inside fluid type</w:t>
            </w:r>
          </w:p>
        </w:tc>
        <w:tc>
          <w:tcPr>
            <w:tcW w:w="1088" w:type="dxa"/>
          </w:tcPr>
          <w:p w14:paraId="4751AC5C" w14:textId="77777777" w:rsidR="000F16EB" w:rsidRDefault="000F16EB" w:rsidP="00A7521D">
            <w:pPr>
              <w:jc w:val="center"/>
            </w:pPr>
            <w:r>
              <w:t>-</w:t>
            </w:r>
          </w:p>
        </w:tc>
      </w:tr>
      <w:tr w:rsidR="000F16EB" w14:paraId="2196D547" w14:textId="77777777" w:rsidTr="00A7521D">
        <w:trPr>
          <w:jc w:val="center"/>
        </w:trPr>
        <w:tc>
          <w:tcPr>
            <w:tcW w:w="4004" w:type="dxa"/>
          </w:tcPr>
          <w:p w14:paraId="065017B5" w14:textId="77777777" w:rsidR="000F16EB" w:rsidRDefault="000F16EB" w:rsidP="00A7521D">
            <w:pPr>
              <w:jc w:val="center"/>
            </w:pPr>
            <w:r>
              <w:t>Thermal conductivity of the wall material</w:t>
            </w:r>
          </w:p>
        </w:tc>
        <w:tc>
          <w:tcPr>
            <w:tcW w:w="1088" w:type="dxa"/>
          </w:tcPr>
          <w:p w14:paraId="49AA33ED" w14:textId="77777777" w:rsidR="000F16EB" w:rsidRDefault="000F16EB" w:rsidP="00A7521D">
            <w:pPr>
              <w:jc w:val="center"/>
            </w:pPr>
            <w:r>
              <w:t>W/(</w:t>
            </w:r>
            <w:proofErr w:type="spellStart"/>
            <w:r>
              <w:t>mK</w:t>
            </w:r>
            <w:proofErr w:type="spellEnd"/>
            <w:r>
              <w:t>)</w:t>
            </w:r>
          </w:p>
        </w:tc>
      </w:tr>
    </w:tbl>
    <w:p w14:paraId="3280D7E4" w14:textId="77777777" w:rsidR="000F16EB" w:rsidRDefault="000F16EB" w:rsidP="00196CD6">
      <w:pPr>
        <w:pStyle w:val="NoSpacing"/>
      </w:pPr>
    </w:p>
    <w:p w14:paraId="13E70A2A" w14:textId="77777777" w:rsidR="000F16EB" w:rsidRDefault="000F16EB" w:rsidP="000F16EB">
      <w:r>
        <w:t>The initial stage of the design process was to calculate the log mean temperature difference and the true temperature difference across the HEX. An initial value for the overall HTC was estimated, which was used to calculate the overall HT SA of the HEX. The physical parameters of the shell and the tube were calculated sequentially, along with the shell side mass, the tube side mass, linear velocities, and their Reynolds, Prandtl, and Nusselt numbers. The Reynolds, Prandtl, and Nusselt numbers allowed the overall HTC to be calculated, which was compared to the estimated overall HTC. If the two values were within an acceptable threshold the calculated HTC was kept, and the shell and tube side pressure drops were calculated. If not, the calculated HTC replaced the initially estimated value and the calculation was repeated iteratively.</w:t>
      </w:r>
    </w:p>
    <w:p w14:paraId="217DB9E9" w14:textId="724FB8ED" w:rsidR="000F16EB" w:rsidRDefault="000F16EB" w:rsidP="000F16EB">
      <w:r>
        <w:t xml:space="preserve">In order to keep the operation of the Excel spreadsheet simple, it had to be capable of running the iterative calculation as well as reading tables and figures automatically. The iterative calculation was controlled using Excel, as shown in Equation </w:t>
      </w:r>
      <w:r>
        <w:fldChar w:fldCharType="begin"/>
      </w:r>
      <w:r>
        <w:instrText xml:space="preserve"> REF _Ref531102184 \h </w:instrText>
      </w:r>
      <w:r>
        <w:fldChar w:fldCharType="separate"/>
      </w:r>
      <w:r w:rsidR="00CB7456">
        <w:rPr>
          <w:noProof/>
        </w:rPr>
        <w:t>5</w:t>
      </w:r>
      <w:r w:rsidR="00CB7456">
        <w:t>.</w:t>
      </w:r>
      <w:r w:rsidR="00CB7456">
        <w:rPr>
          <w:noProof/>
        </w:rPr>
        <w:t>1</w:t>
      </w:r>
      <w:r>
        <w:fldChar w:fldCharType="end"/>
      </w:r>
      <w: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5"/>
        <w:gridCol w:w="543"/>
      </w:tblGrid>
      <w:tr w:rsidR="000F16EB" w14:paraId="4251837A" w14:textId="77777777" w:rsidTr="00A7521D">
        <w:tc>
          <w:tcPr>
            <w:tcW w:w="7655" w:type="dxa"/>
            <w:hideMark/>
          </w:tcPr>
          <w:p w14:paraId="6F51F283" w14:textId="77777777" w:rsidR="000F16EB" w:rsidRDefault="000F16EB" w:rsidP="00A7521D">
            <w:pPr>
              <w:keepNext/>
            </w:pPr>
            <m:oMathPara>
              <m:oMathParaPr>
                <m:jc m:val="left"/>
              </m:oMathParaPr>
              <m:oMath>
                <m:r>
                  <w:rPr>
                    <w:rFonts w:ascii="Cambria Math" w:hAnsi="Cambria Math"/>
                  </w:rPr>
                  <m:t>Value of cell D11 = IF</m:t>
                </m:r>
                <m:d>
                  <m:dPr>
                    <m:ctrlPr>
                      <w:rPr>
                        <w:rFonts w:ascii="Cambria Math" w:hAnsi="Cambria Math"/>
                        <w:i/>
                      </w:rPr>
                    </m:ctrlPr>
                  </m:dPr>
                  <m:e>
                    <m:r>
                      <w:rPr>
                        <w:rFonts w:ascii="Cambria Math" w:hAnsi="Cambria Math"/>
                      </w:rPr>
                      <m:t>D11=D10,D11,D12</m:t>
                    </m:r>
                  </m:e>
                </m:d>
              </m:oMath>
            </m:oMathPara>
          </w:p>
        </w:tc>
        <w:bookmarkStart w:id="559" w:name="_Ref531102184"/>
        <w:tc>
          <w:tcPr>
            <w:tcW w:w="543" w:type="dxa"/>
            <w:vAlign w:val="center"/>
            <w:hideMark/>
          </w:tcPr>
          <w:p w14:paraId="35D187BF" w14:textId="3FC4673B" w:rsidR="000F16EB" w:rsidRPr="000C6BA1" w:rsidRDefault="000F16EB" w:rsidP="00A7521D">
            <w:pPr>
              <w:pStyle w:val="Caption"/>
              <w:jc w:val="right"/>
              <w:rPr>
                <w:b w:val="0"/>
              </w:rPr>
            </w:pPr>
            <w:r>
              <w:fldChar w:fldCharType="begin"/>
            </w:r>
            <w:r>
              <w:instrText xml:space="preserve"> STYLEREF 1 \s </w:instrText>
            </w:r>
            <w:r>
              <w:fldChar w:fldCharType="separate"/>
            </w:r>
            <w:r w:rsidR="00CB7456">
              <w:rPr>
                <w:noProof/>
              </w:rPr>
              <w:t>5</w:t>
            </w:r>
            <w:r>
              <w:fldChar w:fldCharType="end"/>
            </w:r>
            <w:r>
              <w:t>.</w:t>
            </w:r>
            <w:r>
              <w:rPr>
                <w:noProof/>
              </w:rPr>
              <w:fldChar w:fldCharType="begin"/>
            </w:r>
            <w:r>
              <w:rPr>
                <w:noProof/>
              </w:rPr>
              <w:instrText xml:space="preserve"> SEQ Equation \* ARABIC \s 1 </w:instrText>
            </w:r>
            <w:r>
              <w:rPr>
                <w:noProof/>
              </w:rPr>
              <w:fldChar w:fldCharType="separate"/>
            </w:r>
            <w:r w:rsidR="00CB7456">
              <w:rPr>
                <w:noProof/>
              </w:rPr>
              <w:t>1</w:t>
            </w:r>
            <w:r>
              <w:rPr>
                <w:noProof/>
              </w:rPr>
              <w:fldChar w:fldCharType="end"/>
            </w:r>
            <w:bookmarkEnd w:id="559"/>
          </w:p>
        </w:tc>
      </w:tr>
    </w:tbl>
    <w:p w14:paraId="4C2DB809" w14:textId="77777777" w:rsidR="000F16EB" w:rsidRDefault="000F16EB" w:rsidP="00196CD6">
      <w:pPr>
        <w:pStyle w:val="NoSpacing"/>
      </w:pPr>
    </w:p>
    <w:p w14:paraId="10FA0D82" w14:textId="77777777" w:rsidR="000F16EB" w:rsidRDefault="000F16EB" w:rsidP="000F16EB">
      <w:pPr>
        <w:pStyle w:val="NoSpacing"/>
      </w:pPr>
      <m:oMath>
        <m:r>
          <w:rPr>
            <w:rFonts w:ascii="Cambria Math" w:hAnsi="Cambria Math"/>
          </w:rPr>
          <m:t>D11</m:t>
        </m:r>
      </m:oMath>
      <w:r>
        <w:t xml:space="preserve"> is the value of the iterative based calculation to be used in the calculations,</w:t>
      </w:r>
    </w:p>
    <w:p w14:paraId="63E4FEB4" w14:textId="77777777" w:rsidR="000F16EB" w:rsidRDefault="000F16EB" w:rsidP="000F16EB">
      <w:pPr>
        <w:pStyle w:val="NoSpacing"/>
      </w:pPr>
      <m:oMath>
        <m:r>
          <w:rPr>
            <w:rFonts w:ascii="Cambria Math" w:hAnsi="Cambria Math"/>
          </w:rPr>
          <w:lastRenderedPageBreak/>
          <m:t>D10</m:t>
        </m:r>
      </m:oMath>
      <w:r>
        <w:t xml:space="preserve"> is the initial, estimated value of the iterative based calculation,</w:t>
      </w:r>
    </w:p>
    <w:p w14:paraId="630C2E5C" w14:textId="77777777" w:rsidR="000F16EB" w:rsidRDefault="000F16EB" w:rsidP="000F16EB">
      <m:oMath>
        <m:r>
          <w:rPr>
            <w:rFonts w:ascii="Cambria Math" w:hAnsi="Cambria Math"/>
          </w:rPr>
          <m:t>D12</m:t>
        </m:r>
      </m:oMath>
      <w:r>
        <w:t xml:space="preserve"> is the new value of the iterative based calculation, as calculated in the model.</w:t>
      </w:r>
    </w:p>
    <w:p w14:paraId="655B59A2" w14:textId="37199298" w:rsidR="000F16EB" w:rsidRDefault="000F16EB" w:rsidP="000F16EB">
      <w:r>
        <w:t xml:space="preserve">Equation </w:t>
      </w:r>
      <w:r>
        <w:fldChar w:fldCharType="begin"/>
      </w:r>
      <w:r>
        <w:instrText xml:space="preserve"> REF _Ref531102184 \h </w:instrText>
      </w:r>
      <w:r>
        <w:fldChar w:fldCharType="separate"/>
      </w:r>
      <w:r w:rsidR="00CB7456">
        <w:rPr>
          <w:noProof/>
        </w:rPr>
        <w:t>5</w:t>
      </w:r>
      <w:r w:rsidR="00CB7456">
        <w:t>.</w:t>
      </w:r>
      <w:r w:rsidR="00CB7456">
        <w:rPr>
          <w:noProof/>
        </w:rPr>
        <w:t>1</w:t>
      </w:r>
      <w:r>
        <w:fldChar w:fldCharType="end"/>
      </w:r>
      <w:r>
        <w:t xml:space="preserve"> states that for the initial run of the iterative based calculation, when </w:t>
      </w:r>
      <m:oMath>
        <m:r>
          <w:rPr>
            <w:rFonts w:ascii="Cambria Math" w:hAnsi="Cambria Math"/>
          </w:rPr>
          <m:t xml:space="preserve">D11 </m:t>
        </m:r>
        <m:r>
          <m:rPr>
            <m:nor/>
          </m:rPr>
          <w:rPr>
            <w:rFonts w:ascii="Cambria Math" w:hAnsi="Cambria Math"/>
          </w:rPr>
          <m:t>= </m:t>
        </m:r>
        <m:r>
          <w:rPr>
            <w:rFonts w:ascii="Cambria Math" w:hAnsi="Cambria Math"/>
          </w:rPr>
          <m:t>D10</m:t>
        </m:r>
      </m:oMath>
      <w:r>
        <w:t xml:space="preserve">, the value of the parameter used in the calculations, </w:t>
      </w:r>
      <m:oMath>
        <m:r>
          <w:rPr>
            <w:rFonts w:ascii="Cambria Math" w:hAnsi="Cambria Math"/>
          </w:rPr>
          <m:t>D11</m:t>
        </m:r>
      </m:oMath>
      <w:r>
        <w:t xml:space="preserve">, should be the same as the estimated value, </w:t>
      </w:r>
      <m:oMath>
        <m:r>
          <w:rPr>
            <w:rFonts w:ascii="Cambria Math" w:hAnsi="Cambria Math"/>
          </w:rPr>
          <m:t>D10</m:t>
        </m:r>
      </m:oMath>
      <w:r>
        <w:t xml:space="preserve">. In all other iterations of the calculation, when </w:t>
      </w:r>
      <m:oMath>
        <m:r>
          <w:rPr>
            <w:rFonts w:ascii="Cambria Math" w:hAnsi="Cambria Math"/>
          </w:rPr>
          <m:t>D11≠D10</m:t>
        </m:r>
      </m:oMath>
      <w:r>
        <w:t xml:space="preserve">, the value of </w:t>
      </w:r>
      <m:oMath>
        <m:r>
          <w:rPr>
            <w:rFonts w:ascii="Cambria Math" w:hAnsi="Cambria Math"/>
          </w:rPr>
          <m:t>D11</m:t>
        </m:r>
      </m:oMath>
      <w:r>
        <w:t xml:space="preserve"> should be the same as the value calculated in the previous iteration, </w:t>
      </w:r>
      <m:oMath>
        <m:r>
          <w:rPr>
            <w:rFonts w:ascii="Cambria Math" w:hAnsi="Cambria Math"/>
          </w:rPr>
          <m:t>D12</m:t>
        </m:r>
      </m:oMath>
      <w:r>
        <w:t>.</w:t>
      </w:r>
    </w:p>
    <w:p w14:paraId="7C8A905D" w14:textId="77777777" w:rsidR="000F16EB" w:rsidRDefault="000F16EB" w:rsidP="000F16EB">
      <w:r>
        <w:t xml:space="preserve">Tables were read automatically to find values for the initial estimation of the overall HTC, constants, and the inside and outside dirt coefficients. Excel used a simple IF function to automatically read the tables and graphs. In each case, the outputs of the graphs or tables were found using the input parameters which had been previously calculated. Graphs were read automatically to find values for the temperature correction factor, the shell bundle clearance, and friction factors of the coolant, hot fluid, tube, and shell. </w:t>
      </w:r>
    </w:p>
    <w:p w14:paraId="6AD12AEE" w14:textId="77777777" w:rsidR="000F16EB" w:rsidRDefault="000F16EB" w:rsidP="000F16EB">
      <w:pPr>
        <w:pStyle w:val="Heading4"/>
      </w:pPr>
      <w:bookmarkStart w:id="560" w:name="_Ref531345377"/>
      <w:bookmarkStart w:id="561" w:name="_Toc7187525"/>
      <w:r>
        <w:t>Shell and Tube Heat Exchanger</w:t>
      </w:r>
      <w:bookmarkEnd w:id="560"/>
      <w:bookmarkEnd w:id="561"/>
    </w:p>
    <w:p w14:paraId="7568E312" w14:textId="454DD2EC" w:rsidR="000F16EB" w:rsidRDefault="000F16EB" w:rsidP="000F16EB">
      <w:r>
        <w:t xml:space="preserve">The equations used in the modelling of a HEX-ST came from chapter 12.5 of Coulson and Richardson's Chemical Engineering Volume 6 - Chemical Engineering Design </w:t>
      </w:r>
      <w:r>
        <w:fldChar w:fldCharType="begin" w:fldLock="1"/>
      </w:r>
      <w:r w:rsidR="002A6A73">
        <w:instrText>ADDIN CSL_CITATION {"citationItems":[{"id":"ITEM-1","itemData":{"ISBN":"978-0-7506-6538-4","author":[{"dropping-particle":"","family":"Sinnott","given":"R.K.","non-dropping-particle":"","parse-names":false,"suffix":""}],"edition":"4","editor":[{"dropping-particle":"","family":"Sinnott","given":"R.K.","non-dropping-particle":"","parse-names":false,"suffix":""}],"id":"ITEM-1","issued":{"date-parts":[["2005"]]},"publisher":"Elsevier","title":"Coulson and Richardson's Chemical Engineering","type":"book"},"uris":["http://www.mendeley.com/documents/?uuid=d0a6e441-266f-4735-8bef-cd146e7cff7f"]}],"mendeley":{"formattedCitation":"(Sinnott, 2005a)","plainTextFormattedCitation":"(Sinnott, 2005a)","previouslyFormattedCitation":"(Sinnott, 2005a)"},"properties":{"noteIndex":0},"schema":"https://github.com/citation-style-language/schema/raw/master/csl-citation.json"}</w:instrText>
      </w:r>
      <w:r>
        <w:fldChar w:fldCharType="separate"/>
      </w:r>
      <w:r w:rsidR="002A6A73" w:rsidRPr="002A6A73">
        <w:rPr>
          <w:noProof/>
        </w:rPr>
        <w:t>(Sinnott, 2005a)</w:t>
      </w:r>
      <w:r>
        <w:fldChar w:fldCharType="end"/>
      </w:r>
      <w:r>
        <w:t xml:space="preserve">. The list of equations is shown in its entirety in Appendix </w:t>
      </w:r>
      <w:r w:rsidR="00826452">
        <w:fldChar w:fldCharType="begin"/>
      </w:r>
      <w:r w:rsidR="00826452">
        <w:instrText xml:space="preserve"> REF _Ref531344027 \n \h </w:instrText>
      </w:r>
      <w:r w:rsidR="00826452">
        <w:fldChar w:fldCharType="separate"/>
      </w:r>
      <w:r w:rsidR="00CB7456">
        <w:t>13.4</w:t>
      </w:r>
      <w:r w:rsidR="00826452">
        <w:fldChar w:fldCharType="end"/>
      </w:r>
      <w:r>
        <w:t xml:space="preserve">. The same list of inputs </w:t>
      </w:r>
      <w:r w:rsidR="00826452">
        <w:t>was</w:t>
      </w:r>
      <w:r>
        <w:t xml:space="preserve"> needed in the modelling of a HEX-ST as for a HEX-DP, as shown in </w:t>
      </w:r>
      <w:r>
        <w:fldChar w:fldCharType="begin"/>
      </w:r>
      <w:r>
        <w:instrText xml:space="preserve"> REF _Ref525668399 \h </w:instrText>
      </w:r>
      <w:r>
        <w:fldChar w:fldCharType="separate"/>
      </w:r>
      <w:r w:rsidR="00CB7456">
        <w:t xml:space="preserve">Table </w:t>
      </w:r>
      <w:r w:rsidR="00CB7456">
        <w:rPr>
          <w:noProof/>
        </w:rPr>
        <w:t>5</w:t>
      </w:r>
      <w:r w:rsidR="00CB7456">
        <w:t>.</w:t>
      </w:r>
      <w:r w:rsidR="00CB7456">
        <w:rPr>
          <w:noProof/>
        </w:rPr>
        <w:t>1</w:t>
      </w:r>
      <w:r>
        <w:fldChar w:fldCharType="end"/>
      </w:r>
      <w:r>
        <w:t>. The modelling process used in the HEX-ST was almost identical to that in the modelling of a HEX</w:t>
      </w:r>
      <w:r>
        <w:noBreakHyphen/>
        <w:t>DP. The only difference was in the calculation of the equivalent shell diameter, due to the different arrangement of tubes inside the shells.</w:t>
      </w:r>
    </w:p>
    <w:p w14:paraId="53DC180F" w14:textId="77777777" w:rsidR="000F16EB" w:rsidRDefault="000F16EB" w:rsidP="000F16EB">
      <w:pPr>
        <w:pStyle w:val="Heading4"/>
      </w:pPr>
      <w:bookmarkStart w:id="562" w:name="_Ref531345390"/>
      <w:bookmarkStart w:id="563" w:name="_Toc7187526"/>
      <w:r>
        <w:t>Finned Tube Heat Exchanger</w:t>
      </w:r>
      <w:bookmarkEnd w:id="562"/>
      <w:bookmarkEnd w:id="563"/>
    </w:p>
    <w:p w14:paraId="3D93CE4B" w14:textId="4A602A5A" w:rsidR="000F16EB" w:rsidRPr="003D1EF1" w:rsidRDefault="000F16EB" w:rsidP="000F16EB">
      <w:r>
        <w:t xml:space="preserve">The equations used in the modelling of a HEX-FT came from chapter 12.14 of Coulson and Richardson's Chemical Engineering Volume 6 - Chemical Engineering Design </w:t>
      </w:r>
      <w:r>
        <w:fldChar w:fldCharType="begin" w:fldLock="1"/>
      </w:r>
      <w:r w:rsidR="002A6A73">
        <w:instrText>ADDIN CSL_CITATION {"citationItems":[{"id":"ITEM-1","itemData":{"ISBN":"978-0-7506-6538-4","author":[{"dropping-particle":"","family":"Sinnott","given":"R.K.","non-dropping-particle":"","parse-names":false,"suffix":""}],"edition":"4","editor":[{"dropping-particle":"","family":"Sinnott","given":"R.K.","non-dropping-particle":"","parse-names":false,"suffix":""}],"id":"ITEM-1","issued":{"date-parts":[["2005"]]},"publisher":"Elsevier","title":"Coulson and Richardson's Chemical Engineering","type":"book"},"uris":["http://www.mendeley.com/documents/?uuid=d0a6e441-266f-4735-8bef-cd146e7cff7f"]}],"mendeley":{"formattedCitation":"(Sinnott, 2005a)","plainTextFormattedCitation":"(Sinnott, 2005a)","previouslyFormattedCitation":"(Sinnott, 2005a)"},"properties":{"noteIndex":0},"schema":"https://github.com/citation-style-language/schema/raw/master/csl-citation.json"}</w:instrText>
      </w:r>
      <w:r>
        <w:fldChar w:fldCharType="separate"/>
      </w:r>
      <w:r w:rsidR="002A6A73" w:rsidRPr="002A6A73">
        <w:rPr>
          <w:noProof/>
        </w:rPr>
        <w:t>(Sinnott, 2005a)</w:t>
      </w:r>
      <w:r>
        <w:fldChar w:fldCharType="end"/>
      </w:r>
      <w:r>
        <w:t xml:space="preserve">. The list of equations is shown in its entirety in Appendix </w:t>
      </w:r>
      <w:r w:rsidR="00826452">
        <w:fldChar w:fldCharType="begin"/>
      </w:r>
      <w:r w:rsidR="00826452">
        <w:instrText xml:space="preserve"> REF _Ref531344048 \n \h </w:instrText>
      </w:r>
      <w:r w:rsidR="00826452">
        <w:fldChar w:fldCharType="separate"/>
      </w:r>
      <w:r w:rsidR="00CB7456">
        <w:t>13.5</w:t>
      </w:r>
      <w:r w:rsidR="00826452">
        <w:fldChar w:fldCharType="end"/>
      </w:r>
      <w:r>
        <w:t>.</w:t>
      </w:r>
      <w:r w:rsidRPr="00136369">
        <w:t xml:space="preserve"> </w:t>
      </w:r>
      <w:r>
        <w:t xml:space="preserve">The same list of inputs </w:t>
      </w:r>
      <w:r w:rsidR="00826452">
        <w:t>was</w:t>
      </w:r>
      <w:r>
        <w:t xml:space="preserve"> needed in the modelling of a HEX-FT as in a HEX-DP, as shown in </w:t>
      </w:r>
      <w:r>
        <w:fldChar w:fldCharType="begin"/>
      </w:r>
      <w:r>
        <w:instrText xml:space="preserve"> REF _Ref525668399 \h </w:instrText>
      </w:r>
      <w:r>
        <w:fldChar w:fldCharType="separate"/>
      </w:r>
      <w:r w:rsidR="00CB7456">
        <w:t xml:space="preserve">Table </w:t>
      </w:r>
      <w:r w:rsidR="00CB7456">
        <w:rPr>
          <w:noProof/>
        </w:rPr>
        <w:t>5</w:t>
      </w:r>
      <w:r w:rsidR="00CB7456">
        <w:t>.</w:t>
      </w:r>
      <w:r w:rsidR="00CB7456">
        <w:rPr>
          <w:noProof/>
        </w:rPr>
        <w:t>1</w:t>
      </w:r>
      <w:r>
        <w:fldChar w:fldCharType="end"/>
      </w:r>
      <w:r>
        <w:t xml:space="preserve">. Three additional inputs were needed in the modelling of a HEX-FT, representing the physical characteristics of the fins, as shown in </w:t>
      </w:r>
      <w:r>
        <w:fldChar w:fldCharType="begin"/>
      </w:r>
      <w:r>
        <w:instrText xml:space="preserve"> REF _Ref525138110 \h </w:instrText>
      </w:r>
      <w:r>
        <w:fldChar w:fldCharType="separate"/>
      </w:r>
      <w:r w:rsidR="00CB7456">
        <w:t xml:space="preserve">Table </w:t>
      </w:r>
      <w:r w:rsidR="00CB7456">
        <w:rPr>
          <w:noProof/>
        </w:rPr>
        <w:t>5</w:t>
      </w:r>
      <w:r w:rsidR="00CB7456">
        <w:t>.</w:t>
      </w:r>
      <w:r w:rsidR="00CB7456">
        <w:rPr>
          <w:noProof/>
        </w:rPr>
        <w:t>2</w:t>
      </w:r>
      <w:r>
        <w:fldChar w:fldCharType="end"/>
      </w:r>
      <w:r>
        <w:t>.</w:t>
      </w:r>
    </w:p>
    <w:p w14:paraId="6A5DDABA" w14:textId="155EA212" w:rsidR="000F16EB" w:rsidRDefault="000F16EB" w:rsidP="000F16EB">
      <w:pPr>
        <w:pStyle w:val="Caption"/>
        <w:keepNext/>
      </w:pPr>
      <w:bookmarkStart w:id="564" w:name="_Ref524961982"/>
      <w:bookmarkStart w:id="565" w:name="_Ref525138110"/>
      <w:bookmarkStart w:id="566" w:name="_Toc525230129"/>
      <w:bookmarkStart w:id="567" w:name="_Toc7187683"/>
      <w:r>
        <w:t xml:space="preserve">Table </w:t>
      </w:r>
      <w:fldSimple w:instr=" STYLEREF 1 \s ">
        <w:r w:rsidR="00CB7456">
          <w:rPr>
            <w:noProof/>
          </w:rPr>
          <w:t>5</w:t>
        </w:r>
      </w:fldSimple>
      <w:r w:rsidR="009E1A67">
        <w:t>.</w:t>
      </w:r>
      <w:fldSimple w:instr=" SEQ Table \* ARABIC \s 1 ">
        <w:r w:rsidR="00CB7456">
          <w:rPr>
            <w:noProof/>
          </w:rPr>
          <w:t>2</w:t>
        </w:r>
      </w:fldSimple>
      <w:bookmarkEnd w:id="564"/>
      <w:bookmarkEnd w:id="565"/>
      <w:r>
        <w:t xml:space="preserve">: </w:t>
      </w:r>
      <w:r w:rsidR="00A31668">
        <w:t>I</w:t>
      </w:r>
      <w:r>
        <w:t xml:space="preserve">nputs needed </w:t>
      </w:r>
      <w:r w:rsidR="00A31668">
        <w:t>for</w:t>
      </w:r>
      <w:r>
        <w:t xml:space="preserve"> the modelling of a HEX-FT.</w:t>
      </w:r>
      <w:bookmarkEnd w:id="566"/>
      <w:bookmarkEnd w:id="567"/>
    </w:p>
    <w:tbl>
      <w:tblPr>
        <w:tblStyle w:val="TableGrid"/>
        <w:tblW w:w="2266" w:type="dxa"/>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73"/>
        <w:gridCol w:w="793"/>
      </w:tblGrid>
      <w:tr w:rsidR="000F16EB" w14:paraId="14554B5B" w14:textId="77777777" w:rsidTr="00A7521D">
        <w:trPr>
          <w:jc w:val="center"/>
        </w:trPr>
        <w:tc>
          <w:tcPr>
            <w:tcW w:w="1473" w:type="dxa"/>
            <w:tcBorders>
              <w:bottom w:val="single" w:sz="4" w:space="0" w:color="auto"/>
            </w:tcBorders>
          </w:tcPr>
          <w:p w14:paraId="2D9CF65A" w14:textId="77777777" w:rsidR="000F16EB" w:rsidRDefault="000F16EB" w:rsidP="00A7521D">
            <w:pPr>
              <w:jc w:val="center"/>
            </w:pPr>
            <w:r>
              <w:t>Input</w:t>
            </w:r>
          </w:p>
        </w:tc>
        <w:tc>
          <w:tcPr>
            <w:tcW w:w="793" w:type="dxa"/>
            <w:tcBorders>
              <w:bottom w:val="single" w:sz="4" w:space="0" w:color="auto"/>
            </w:tcBorders>
          </w:tcPr>
          <w:p w14:paraId="79A399EE" w14:textId="77777777" w:rsidR="000F16EB" w:rsidRDefault="000F16EB" w:rsidP="00A7521D">
            <w:pPr>
              <w:jc w:val="center"/>
            </w:pPr>
            <w:r>
              <w:t>Units</w:t>
            </w:r>
          </w:p>
        </w:tc>
      </w:tr>
      <w:tr w:rsidR="000F16EB" w14:paraId="37799372" w14:textId="77777777" w:rsidTr="00A7521D">
        <w:trPr>
          <w:jc w:val="center"/>
        </w:trPr>
        <w:tc>
          <w:tcPr>
            <w:tcW w:w="1473" w:type="dxa"/>
            <w:tcBorders>
              <w:top w:val="single" w:sz="4" w:space="0" w:color="auto"/>
              <w:bottom w:val="nil"/>
            </w:tcBorders>
          </w:tcPr>
          <w:p w14:paraId="27389A55" w14:textId="77777777" w:rsidR="000F16EB" w:rsidRDefault="000F16EB" w:rsidP="00A7521D">
            <w:pPr>
              <w:jc w:val="center"/>
            </w:pPr>
            <w:r>
              <w:t>Fin pitch</w:t>
            </w:r>
          </w:p>
        </w:tc>
        <w:tc>
          <w:tcPr>
            <w:tcW w:w="793" w:type="dxa"/>
            <w:tcBorders>
              <w:top w:val="single" w:sz="4" w:space="0" w:color="auto"/>
              <w:bottom w:val="nil"/>
            </w:tcBorders>
          </w:tcPr>
          <w:p w14:paraId="4185722A" w14:textId="77777777" w:rsidR="000F16EB" w:rsidRDefault="000F16EB" w:rsidP="00A7521D">
            <w:pPr>
              <w:jc w:val="center"/>
            </w:pPr>
            <w:r w:rsidRPr="004274D0">
              <w:t>m</w:t>
            </w:r>
          </w:p>
        </w:tc>
      </w:tr>
      <w:tr w:rsidR="000F16EB" w14:paraId="403DBAD9" w14:textId="77777777" w:rsidTr="00A7521D">
        <w:trPr>
          <w:jc w:val="center"/>
        </w:trPr>
        <w:tc>
          <w:tcPr>
            <w:tcW w:w="1473" w:type="dxa"/>
            <w:tcBorders>
              <w:top w:val="nil"/>
            </w:tcBorders>
          </w:tcPr>
          <w:p w14:paraId="4E1A3C41" w14:textId="77777777" w:rsidR="000F16EB" w:rsidRDefault="000F16EB" w:rsidP="00A7521D">
            <w:pPr>
              <w:jc w:val="center"/>
            </w:pPr>
            <w:r>
              <w:t>Fin thickness</w:t>
            </w:r>
          </w:p>
        </w:tc>
        <w:tc>
          <w:tcPr>
            <w:tcW w:w="793" w:type="dxa"/>
            <w:tcBorders>
              <w:top w:val="nil"/>
            </w:tcBorders>
          </w:tcPr>
          <w:p w14:paraId="5F865A29" w14:textId="77777777" w:rsidR="000F16EB" w:rsidRDefault="000F16EB" w:rsidP="00A7521D">
            <w:pPr>
              <w:jc w:val="center"/>
            </w:pPr>
            <w:r w:rsidRPr="004274D0">
              <w:t>m</w:t>
            </w:r>
          </w:p>
        </w:tc>
      </w:tr>
      <w:tr w:rsidR="000F16EB" w14:paraId="01A6DAA6" w14:textId="77777777" w:rsidTr="00A7521D">
        <w:trPr>
          <w:jc w:val="center"/>
        </w:trPr>
        <w:tc>
          <w:tcPr>
            <w:tcW w:w="1473" w:type="dxa"/>
          </w:tcPr>
          <w:p w14:paraId="1B35FC83" w14:textId="77777777" w:rsidR="000F16EB" w:rsidRDefault="000F16EB" w:rsidP="00A7521D">
            <w:pPr>
              <w:jc w:val="center"/>
            </w:pPr>
            <w:r>
              <w:t>Fin height</w:t>
            </w:r>
          </w:p>
        </w:tc>
        <w:tc>
          <w:tcPr>
            <w:tcW w:w="793" w:type="dxa"/>
          </w:tcPr>
          <w:p w14:paraId="0124F3BA" w14:textId="77777777" w:rsidR="000F16EB" w:rsidRDefault="000F16EB" w:rsidP="00A7521D">
            <w:pPr>
              <w:jc w:val="center"/>
            </w:pPr>
            <w:r w:rsidRPr="004274D0">
              <w:t>m</w:t>
            </w:r>
          </w:p>
        </w:tc>
      </w:tr>
    </w:tbl>
    <w:p w14:paraId="791ECEFF" w14:textId="77777777" w:rsidR="000F16EB" w:rsidRDefault="000F16EB" w:rsidP="00196CD6">
      <w:pPr>
        <w:pStyle w:val="NoSpacing"/>
      </w:pPr>
    </w:p>
    <w:p w14:paraId="2DF7F6EC" w14:textId="77777777" w:rsidR="000F16EB" w:rsidRDefault="000F16EB" w:rsidP="000F16EB">
      <w:r>
        <w:t>The modelling process used for a HEX-FT was almost identical to the modelling process used for a HEX-ST, differing only in the equations for the Nusselt number and the overall HTC. The equations were changed to include the effects of and to calculate the HT SA of the fins.</w:t>
      </w:r>
    </w:p>
    <w:p w14:paraId="1CC884A4" w14:textId="77777777" w:rsidR="000F16EB" w:rsidRDefault="000F16EB" w:rsidP="000F16EB">
      <w:pPr>
        <w:pStyle w:val="Heading4"/>
      </w:pPr>
      <w:bookmarkStart w:id="568" w:name="_Ref531345402"/>
      <w:bookmarkStart w:id="569" w:name="_Toc7187527"/>
      <w:r>
        <w:t>Plate Heat Exchanger</w:t>
      </w:r>
      <w:bookmarkEnd w:id="568"/>
      <w:bookmarkEnd w:id="569"/>
    </w:p>
    <w:p w14:paraId="5395574D" w14:textId="758A7218" w:rsidR="000F16EB" w:rsidRDefault="000F16EB" w:rsidP="000F16EB">
      <w:r>
        <w:t xml:space="preserve">The equations used in the modelling of a HEX-P came from chapter 12.12 of Coulson and Richardson's Chemical Engineering Volume 6 - Chemical Engineering Design </w:t>
      </w:r>
      <w:r>
        <w:fldChar w:fldCharType="begin" w:fldLock="1"/>
      </w:r>
      <w:r w:rsidR="002A6A73">
        <w:instrText>ADDIN CSL_CITATION {"citationItems":[{"id":"ITEM-1","itemData":{"ISBN":"978-0-7506-6538-4","author":[{"dropping-particle":"","family":"Sinnott","given":"R.K.","non-dropping-particle":"","parse-names":false,"suffix":""}],"edition":"4","editor":[{"dropping-particle":"","family":"Sinnott","given":"R.K.","non-dropping-particle":"","parse-names":false,"suffix":""}],"id":"ITEM-1","issued":{"date-parts":[["2005"]]},"publisher":"Elsevier","title":"Coulson and Richardson's Chemical Engineering","type":"book"},"uris":["http://www.mendeley.com/documents/?uuid=d0a6e441-266f-4735-8bef-cd146e7cff7f"]}],"mendeley":{"formattedCitation":"(Sinnott, 2005a)","plainTextFormattedCitation":"(Sinnott, 2005a)","previouslyFormattedCitation":"(Sinnott, 2005a)"},"properties":{"noteIndex":0},"schema":"https://github.com/citation-style-language/schema/raw/master/csl-citation.json"}</w:instrText>
      </w:r>
      <w:r>
        <w:fldChar w:fldCharType="separate"/>
      </w:r>
      <w:r w:rsidR="002A6A73" w:rsidRPr="002A6A73">
        <w:rPr>
          <w:noProof/>
        </w:rPr>
        <w:t>(Sinnott, 2005a)</w:t>
      </w:r>
      <w:r>
        <w:fldChar w:fldCharType="end"/>
      </w:r>
      <w:r>
        <w:t xml:space="preserve">. The list of equations is shown in its entirety in Appendix </w:t>
      </w:r>
      <w:r w:rsidR="00826452">
        <w:fldChar w:fldCharType="begin"/>
      </w:r>
      <w:r w:rsidR="00826452">
        <w:instrText xml:space="preserve"> REF _Ref531344071 \n \h </w:instrText>
      </w:r>
      <w:r w:rsidR="00826452">
        <w:fldChar w:fldCharType="separate"/>
      </w:r>
      <w:r w:rsidR="00CB7456">
        <w:t>13.6</w:t>
      </w:r>
      <w:r w:rsidR="00826452">
        <w:fldChar w:fldCharType="end"/>
      </w:r>
      <w:r>
        <w:t xml:space="preserve">. A list of inputs </w:t>
      </w:r>
      <w:r w:rsidR="00826452">
        <w:t>was</w:t>
      </w:r>
      <w:r>
        <w:t xml:space="preserve"> needed in the work, as shown in </w:t>
      </w:r>
      <w:r>
        <w:fldChar w:fldCharType="begin"/>
      </w:r>
      <w:r>
        <w:instrText xml:space="preserve"> REF _Ref524962553 \h </w:instrText>
      </w:r>
      <w:r>
        <w:fldChar w:fldCharType="separate"/>
      </w:r>
      <w:r w:rsidR="00CB7456">
        <w:t xml:space="preserve">Table </w:t>
      </w:r>
      <w:r w:rsidR="00CB7456">
        <w:rPr>
          <w:noProof/>
        </w:rPr>
        <w:t>5</w:t>
      </w:r>
      <w:r w:rsidR="00CB7456">
        <w:t>.</w:t>
      </w:r>
      <w:r w:rsidR="00CB7456">
        <w:rPr>
          <w:noProof/>
        </w:rPr>
        <w:t>3</w:t>
      </w:r>
      <w:r>
        <w:fldChar w:fldCharType="end"/>
      </w:r>
      <w:r>
        <w:t xml:space="preserve">. </w:t>
      </w:r>
    </w:p>
    <w:p w14:paraId="23430901" w14:textId="1266CBF4" w:rsidR="000F16EB" w:rsidRDefault="000F16EB" w:rsidP="000F16EB">
      <w:pPr>
        <w:pStyle w:val="Caption"/>
        <w:keepNext/>
      </w:pPr>
      <w:bookmarkStart w:id="570" w:name="_Ref524962553"/>
      <w:bookmarkStart w:id="571" w:name="_Toc525230130"/>
      <w:bookmarkStart w:id="572" w:name="_Toc7187684"/>
      <w:r>
        <w:lastRenderedPageBreak/>
        <w:t xml:space="preserve">Table </w:t>
      </w:r>
      <w:fldSimple w:instr=" STYLEREF 1 \s ">
        <w:r w:rsidR="00CB7456">
          <w:rPr>
            <w:noProof/>
          </w:rPr>
          <w:t>5</w:t>
        </w:r>
      </w:fldSimple>
      <w:r w:rsidR="009E1A67">
        <w:t>.</w:t>
      </w:r>
      <w:fldSimple w:instr=" SEQ Table \* ARABIC \s 1 ">
        <w:r w:rsidR="00CB7456">
          <w:rPr>
            <w:noProof/>
          </w:rPr>
          <w:t>3</w:t>
        </w:r>
      </w:fldSimple>
      <w:bookmarkEnd w:id="570"/>
      <w:r>
        <w:rPr>
          <w:noProof/>
        </w:rPr>
        <w:t>:</w:t>
      </w:r>
      <w:r>
        <w:t xml:space="preserve"> Inputs needed for the modelling of a HEX-P.</w:t>
      </w:r>
      <w:bookmarkEnd w:id="571"/>
      <w:bookmarkEnd w:id="572"/>
    </w:p>
    <w:tbl>
      <w:tblPr>
        <w:tblStyle w:val="TableGrid"/>
        <w:tblW w:w="5036" w:type="dxa"/>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04"/>
        <w:gridCol w:w="1032"/>
      </w:tblGrid>
      <w:tr w:rsidR="000F16EB" w14:paraId="6389513D" w14:textId="77777777" w:rsidTr="00A7521D">
        <w:trPr>
          <w:jc w:val="center"/>
        </w:trPr>
        <w:tc>
          <w:tcPr>
            <w:tcW w:w="4004" w:type="dxa"/>
            <w:tcBorders>
              <w:bottom w:val="single" w:sz="4" w:space="0" w:color="auto"/>
            </w:tcBorders>
          </w:tcPr>
          <w:p w14:paraId="5DBD31A5" w14:textId="77777777" w:rsidR="000F16EB" w:rsidRDefault="000F16EB" w:rsidP="00A7521D">
            <w:pPr>
              <w:jc w:val="center"/>
            </w:pPr>
            <w:r>
              <w:t>Input</w:t>
            </w:r>
          </w:p>
        </w:tc>
        <w:tc>
          <w:tcPr>
            <w:tcW w:w="1032" w:type="dxa"/>
            <w:tcBorders>
              <w:bottom w:val="single" w:sz="4" w:space="0" w:color="auto"/>
            </w:tcBorders>
          </w:tcPr>
          <w:p w14:paraId="3E266F51" w14:textId="77777777" w:rsidR="000F16EB" w:rsidRDefault="000F16EB" w:rsidP="00A7521D">
            <w:pPr>
              <w:jc w:val="center"/>
            </w:pPr>
            <w:r>
              <w:t>Units</w:t>
            </w:r>
          </w:p>
        </w:tc>
      </w:tr>
      <w:tr w:rsidR="000F16EB" w14:paraId="117CFF91" w14:textId="77777777" w:rsidTr="00A7521D">
        <w:trPr>
          <w:jc w:val="center"/>
        </w:trPr>
        <w:tc>
          <w:tcPr>
            <w:tcW w:w="4004" w:type="dxa"/>
            <w:tcBorders>
              <w:top w:val="single" w:sz="4" w:space="0" w:color="auto"/>
              <w:bottom w:val="nil"/>
            </w:tcBorders>
          </w:tcPr>
          <w:p w14:paraId="25FE70B2" w14:textId="77777777" w:rsidR="000F16EB" w:rsidRDefault="000F16EB" w:rsidP="00A7521D">
            <w:pPr>
              <w:jc w:val="center"/>
            </w:pPr>
            <w:r>
              <w:t>Heat exchange type</w:t>
            </w:r>
          </w:p>
        </w:tc>
        <w:tc>
          <w:tcPr>
            <w:tcW w:w="1032" w:type="dxa"/>
            <w:tcBorders>
              <w:top w:val="single" w:sz="4" w:space="0" w:color="auto"/>
              <w:bottom w:val="nil"/>
            </w:tcBorders>
          </w:tcPr>
          <w:p w14:paraId="2D3626D8" w14:textId="77777777" w:rsidR="000F16EB" w:rsidRDefault="000F16EB" w:rsidP="00A7521D">
            <w:pPr>
              <w:jc w:val="center"/>
            </w:pPr>
            <w:r>
              <w:t>-</w:t>
            </w:r>
          </w:p>
        </w:tc>
      </w:tr>
      <w:tr w:rsidR="000F16EB" w14:paraId="18D4E0E6" w14:textId="77777777" w:rsidTr="00A7521D">
        <w:trPr>
          <w:jc w:val="center"/>
        </w:trPr>
        <w:tc>
          <w:tcPr>
            <w:tcW w:w="4004" w:type="dxa"/>
            <w:tcBorders>
              <w:top w:val="nil"/>
            </w:tcBorders>
          </w:tcPr>
          <w:p w14:paraId="03652204" w14:textId="77777777" w:rsidR="000F16EB" w:rsidRDefault="000F16EB" w:rsidP="00A7521D">
            <w:pPr>
              <w:jc w:val="center"/>
            </w:pPr>
            <w:r>
              <w:t>Heat exchange fluid</w:t>
            </w:r>
          </w:p>
        </w:tc>
        <w:tc>
          <w:tcPr>
            <w:tcW w:w="1032" w:type="dxa"/>
            <w:tcBorders>
              <w:top w:val="nil"/>
            </w:tcBorders>
          </w:tcPr>
          <w:p w14:paraId="59D699BE" w14:textId="77777777" w:rsidR="000F16EB" w:rsidRDefault="000F16EB" w:rsidP="00A7521D">
            <w:pPr>
              <w:jc w:val="center"/>
            </w:pPr>
            <w:r>
              <w:t>-</w:t>
            </w:r>
          </w:p>
        </w:tc>
      </w:tr>
      <w:tr w:rsidR="000F16EB" w14:paraId="6BE8480F" w14:textId="77777777" w:rsidTr="00A7521D">
        <w:trPr>
          <w:jc w:val="center"/>
        </w:trPr>
        <w:tc>
          <w:tcPr>
            <w:tcW w:w="4004" w:type="dxa"/>
          </w:tcPr>
          <w:p w14:paraId="39C486FC" w14:textId="77777777" w:rsidR="000F16EB" w:rsidRDefault="000F16EB" w:rsidP="00A7521D">
            <w:pPr>
              <w:jc w:val="center"/>
            </w:pPr>
            <w:r>
              <w:t>Hot fluid inlet temperature</w:t>
            </w:r>
          </w:p>
        </w:tc>
        <w:tc>
          <w:tcPr>
            <w:tcW w:w="1032" w:type="dxa"/>
          </w:tcPr>
          <w:p w14:paraId="437B4A90" w14:textId="77777777" w:rsidR="000F16EB" w:rsidRDefault="000F16EB" w:rsidP="00A7521D">
            <w:pPr>
              <w:jc w:val="center"/>
            </w:pPr>
            <w:r>
              <w:t>K</w:t>
            </w:r>
          </w:p>
        </w:tc>
      </w:tr>
      <w:tr w:rsidR="000F16EB" w14:paraId="704E2E34" w14:textId="77777777" w:rsidTr="00A7521D">
        <w:trPr>
          <w:jc w:val="center"/>
        </w:trPr>
        <w:tc>
          <w:tcPr>
            <w:tcW w:w="4004" w:type="dxa"/>
          </w:tcPr>
          <w:p w14:paraId="492147CF" w14:textId="77777777" w:rsidR="000F16EB" w:rsidRDefault="000F16EB" w:rsidP="00A7521D">
            <w:pPr>
              <w:jc w:val="center"/>
            </w:pPr>
            <w:r>
              <w:t>Hot fluid outlet temperature</w:t>
            </w:r>
          </w:p>
        </w:tc>
        <w:tc>
          <w:tcPr>
            <w:tcW w:w="1032" w:type="dxa"/>
          </w:tcPr>
          <w:p w14:paraId="1CCC9A75" w14:textId="77777777" w:rsidR="000F16EB" w:rsidRDefault="000F16EB" w:rsidP="00A7521D">
            <w:pPr>
              <w:jc w:val="center"/>
            </w:pPr>
            <w:r w:rsidRPr="00EB023B">
              <w:t>K</w:t>
            </w:r>
          </w:p>
        </w:tc>
      </w:tr>
      <w:tr w:rsidR="000F16EB" w14:paraId="4F6909FC" w14:textId="77777777" w:rsidTr="00A7521D">
        <w:trPr>
          <w:jc w:val="center"/>
        </w:trPr>
        <w:tc>
          <w:tcPr>
            <w:tcW w:w="4004" w:type="dxa"/>
          </w:tcPr>
          <w:p w14:paraId="024F6779" w14:textId="77777777" w:rsidR="000F16EB" w:rsidRDefault="000F16EB" w:rsidP="00A7521D">
            <w:pPr>
              <w:jc w:val="center"/>
            </w:pPr>
            <w:r>
              <w:t>Cold fluid inlet temperature</w:t>
            </w:r>
          </w:p>
        </w:tc>
        <w:tc>
          <w:tcPr>
            <w:tcW w:w="1032" w:type="dxa"/>
          </w:tcPr>
          <w:p w14:paraId="3B4133B2" w14:textId="77777777" w:rsidR="000F16EB" w:rsidRDefault="000F16EB" w:rsidP="00A7521D">
            <w:pPr>
              <w:jc w:val="center"/>
            </w:pPr>
            <w:r w:rsidRPr="00EB023B">
              <w:t>K</w:t>
            </w:r>
          </w:p>
        </w:tc>
      </w:tr>
      <w:tr w:rsidR="000F16EB" w14:paraId="46888A06" w14:textId="77777777" w:rsidTr="00A7521D">
        <w:trPr>
          <w:jc w:val="center"/>
        </w:trPr>
        <w:tc>
          <w:tcPr>
            <w:tcW w:w="4004" w:type="dxa"/>
          </w:tcPr>
          <w:p w14:paraId="0BB0DC9F" w14:textId="77777777" w:rsidR="000F16EB" w:rsidRDefault="000F16EB" w:rsidP="00A7521D">
            <w:pPr>
              <w:jc w:val="center"/>
            </w:pPr>
            <w:r>
              <w:t>Cold fluid outlet temperature</w:t>
            </w:r>
          </w:p>
        </w:tc>
        <w:tc>
          <w:tcPr>
            <w:tcW w:w="1032" w:type="dxa"/>
          </w:tcPr>
          <w:p w14:paraId="1B0C6B99" w14:textId="77777777" w:rsidR="000F16EB" w:rsidRDefault="000F16EB" w:rsidP="00A7521D">
            <w:pPr>
              <w:jc w:val="center"/>
            </w:pPr>
            <w:r w:rsidRPr="00EB023B">
              <w:t>K</w:t>
            </w:r>
          </w:p>
        </w:tc>
      </w:tr>
      <w:tr w:rsidR="000F16EB" w14:paraId="51E61F03" w14:textId="77777777" w:rsidTr="00A7521D">
        <w:trPr>
          <w:jc w:val="center"/>
        </w:trPr>
        <w:tc>
          <w:tcPr>
            <w:tcW w:w="4004" w:type="dxa"/>
          </w:tcPr>
          <w:p w14:paraId="7F23DFEB" w14:textId="77777777" w:rsidR="000F16EB" w:rsidRDefault="000F16EB" w:rsidP="00A7521D">
            <w:pPr>
              <w:jc w:val="center"/>
            </w:pPr>
            <w:r>
              <w:t>Pass arrangement</w:t>
            </w:r>
          </w:p>
        </w:tc>
        <w:tc>
          <w:tcPr>
            <w:tcW w:w="1032" w:type="dxa"/>
          </w:tcPr>
          <w:p w14:paraId="1E522F1D" w14:textId="77777777" w:rsidR="000F16EB" w:rsidRPr="00EB023B" w:rsidRDefault="000F16EB" w:rsidP="00A7521D">
            <w:pPr>
              <w:jc w:val="center"/>
            </w:pPr>
            <w:r>
              <w:t>-</w:t>
            </w:r>
          </w:p>
        </w:tc>
      </w:tr>
      <w:tr w:rsidR="000F16EB" w14:paraId="6B5F2EA8" w14:textId="77777777" w:rsidTr="00A7521D">
        <w:trPr>
          <w:jc w:val="center"/>
        </w:trPr>
        <w:tc>
          <w:tcPr>
            <w:tcW w:w="4004" w:type="dxa"/>
          </w:tcPr>
          <w:p w14:paraId="044087C4" w14:textId="77777777" w:rsidR="000F16EB" w:rsidRDefault="000F16EB" w:rsidP="00A7521D">
            <w:pPr>
              <w:jc w:val="center"/>
            </w:pPr>
            <w:r>
              <w:t>Hot fluid specific heat capacity</w:t>
            </w:r>
          </w:p>
        </w:tc>
        <w:tc>
          <w:tcPr>
            <w:tcW w:w="1032" w:type="dxa"/>
          </w:tcPr>
          <w:p w14:paraId="3AA51D3B" w14:textId="77777777" w:rsidR="000F16EB" w:rsidRDefault="000F16EB" w:rsidP="00A7521D">
            <w:pPr>
              <w:jc w:val="center"/>
            </w:pPr>
            <w:r>
              <w:t>kJ/(</w:t>
            </w:r>
            <w:proofErr w:type="spellStart"/>
            <w:r>
              <w:t>kgK</w:t>
            </w:r>
            <w:proofErr w:type="spellEnd"/>
            <w:r>
              <w:t>)</w:t>
            </w:r>
          </w:p>
        </w:tc>
      </w:tr>
      <w:tr w:rsidR="000F16EB" w14:paraId="25105F69" w14:textId="77777777" w:rsidTr="00A7521D">
        <w:trPr>
          <w:jc w:val="center"/>
        </w:trPr>
        <w:tc>
          <w:tcPr>
            <w:tcW w:w="4004" w:type="dxa"/>
          </w:tcPr>
          <w:p w14:paraId="3D8DD526" w14:textId="77777777" w:rsidR="000F16EB" w:rsidRDefault="000F16EB" w:rsidP="00A7521D">
            <w:pPr>
              <w:jc w:val="center"/>
            </w:pPr>
            <w:r>
              <w:t>HT</w:t>
            </w:r>
          </w:p>
        </w:tc>
        <w:tc>
          <w:tcPr>
            <w:tcW w:w="1032" w:type="dxa"/>
          </w:tcPr>
          <w:p w14:paraId="0536DEDC" w14:textId="77777777" w:rsidR="000F16EB" w:rsidRDefault="000F16EB" w:rsidP="00A7521D">
            <w:pPr>
              <w:jc w:val="center"/>
            </w:pPr>
            <w:r>
              <w:t>kW</w:t>
            </w:r>
          </w:p>
        </w:tc>
      </w:tr>
      <w:tr w:rsidR="000F16EB" w14:paraId="16E71884" w14:textId="77777777" w:rsidTr="00A7521D">
        <w:trPr>
          <w:jc w:val="center"/>
        </w:trPr>
        <w:tc>
          <w:tcPr>
            <w:tcW w:w="4004" w:type="dxa"/>
          </w:tcPr>
          <w:p w14:paraId="00290F8C" w14:textId="77777777" w:rsidR="000F16EB" w:rsidRDefault="000F16EB" w:rsidP="00A7521D">
            <w:pPr>
              <w:jc w:val="center"/>
            </w:pPr>
            <w:r>
              <w:t>Effective plate area</w:t>
            </w:r>
          </w:p>
        </w:tc>
        <w:tc>
          <w:tcPr>
            <w:tcW w:w="1032" w:type="dxa"/>
          </w:tcPr>
          <w:p w14:paraId="42461D84" w14:textId="77777777" w:rsidR="000F16EB" w:rsidRPr="00560DE0" w:rsidRDefault="000F16EB" w:rsidP="00A7521D">
            <w:pPr>
              <w:jc w:val="center"/>
              <w:rPr>
                <w:vertAlign w:val="superscript"/>
              </w:rPr>
            </w:pPr>
            <w:r>
              <w:t>m</w:t>
            </w:r>
            <w:r>
              <w:rPr>
                <w:vertAlign w:val="superscript"/>
              </w:rPr>
              <w:t>2</w:t>
            </w:r>
          </w:p>
        </w:tc>
      </w:tr>
      <w:tr w:rsidR="000F16EB" w14:paraId="3B83A319" w14:textId="77777777" w:rsidTr="00A7521D">
        <w:trPr>
          <w:jc w:val="center"/>
        </w:trPr>
        <w:tc>
          <w:tcPr>
            <w:tcW w:w="4004" w:type="dxa"/>
          </w:tcPr>
          <w:p w14:paraId="3AA42D5C" w14:textId="77777777" w:rsidR="000F16EB" w:rsidRDefault="000F16EB" w:rsidP="00A7521D">
            <w:pPr>
              <w:jc w:val="center"/>
            </w:pPr>
            <w:r>
              <w:t>Effective plate length</w:t>
            </w:r>
          </w:p>
        </w:tc>
        <w:tc>
          <w:tcPr>
            <w:tcW w:w="1032" w:type="dxa"/>
          </w:tcPr>
          <w:p w14:paraId="476CFF1C" w14:textId="77777777" w:rsidR="000F16EB" w:rsidRDefault="000F16EB" w:rsidP="00A7521D">
            <w:pPr>
              <w:jc w:val="center"/>
            </w:pPr>
            <w:r>
              <w:t>m</w:t>
            </w:r>
          </w:p>
        </w:tc>
      </w:tr>
      <w:tr w:rsidR="000F16EB" w14:paraId="378D2E6B" w14:textId="77777777" w:rsidTr="00A7521D">
        <w:trPr>
          <w:jc w:val="center"/>
        </w:trPr>
        <w:tc>
          <w:tcPr>
            <w:tcW w:w="4004" w:type="dxa"/>
          </w:tcPr>
          <w:p w14:paraId="4414CC53" w14:textId="77777777" w:rsidR="000F16EB" w:rsidRDefault="000F16EB" w:rsidP="00A7521D">
            <w:pPr>
              <w:jc w:val="center"/>
            </w:pPr>
            <w:r>
              <w:t>Effective plate width</w:t>
            </w:r>
          </w:p>
        </w:tc>
        <w:tc>
          <w:tcPr>
            <w:tcW w:w="1032" w:type="dxa"/>
          </w:tcPr>
          <w:p w14:paraId="6CEF689D" w14:textId="77777777" w:rsidR="000F16EB" w:rsidRDefault="000F16EB" w:rsidP="00A7521D">
            <w:pPr>
              <w:jc w:val="center"/>
            </w:pPr>
            <w:r>
              <w:t>m</w:t>
            </w:r>
          </w:p>
        </w:tc>
      </w:tr>
      <w:tr w:rsidR="000F16EB" w14:paraId="46D3A0DF" w14:textId="77777777" w:rsidTr="00A7521D">
        <w:trPr>
          <w:jc w:val="center"/>
        </w:trPr>
        <w:tc>
          <w:tcPr>
            <w:tcW w:w="4004" w:type="dxa"/>
          </w:tcPr>
          <w:p w14:paraId="3E3AA18D" w14:textId="77777777" w:rsidR="000F16EB" w:rsidRDefault="000F16EB" w:rsidP="00A7521D">
            <w:pPr>
              <w:jc w:val="center"/>
            </w:pPr>
            <w:r>
              <w:t>Typical plate spacing</w:t>
            </w:r>
          </w:p>
        </w:tc>
        <w:tc>
          <w:tcPr>
            <w:tcW w:w="1032" w:type="dxa"/>
          </w:tcPr>
          <w:p w14:paraId="6A548087" w14:textId="77777777" w:rsidR="000F16EB" w:rsidRDefault="000F16EB" w:rsidP="00A7521D">
            <w:pPr>
              <w:jc w:val="center"/>
            </w:pPr>
            <w:r>
              <w:t>m</w:t>
            </w:r>
          </w:p>
        </w:tc>
      </w:tr>
      <w:tr w:rsidR="000F16EB" w14:paraId="6297D474" w14:textId="77777777" w:rsidTr="00A7521D">
        <w:trPr>
          <w:jc w:val="center"/>
        </w:trPr>
        <w:tc>
          <w:tcPr>
            <w:tcW w:w="4004" w:type="dxa"/>
          </w:tcPr>
          <w:p w14:paraId="3FCF5F15" w14:textId="77777777" w:rsidR="000F16EB" w:rsidRDefault="000F16EB" w:rsidP="00A7521D">
            <w:pPr>
              <w:jc w:val="center"/>
            </w:pPr>
            <w:r>
              <w:t>Hot fluid mass flowrate</w:t>
            </w:r>
          </w:p>
        </w:tc>
        <w:tc>
          <w:tcPr>
            <w:tcW w:w="1032" w:type="dxa"/>
          </w:tcPr>
          <w:p w14:paraId="117F7AD4" w14:textId="77777777" w:rsidR="000F16EB" w:rsidRDefault="000F16EB" w:rsidP="00A7521D">
            <w:pPr>
              <w:jc w:val="center"/>
            </w:pPr>
            <w:r>
              <w:t>kg/s</w:t>
            </w:r>
          </w:p>
        </w:tc>
      </w:tr>
      <w:tr w:rsidR="000F16EB" w14:paraId="5DD64B2D" w14:textId="77777777" w:rsidTr="00A7521D">
        <w:trPr>
          <w:jc w:val="center"/>
        </w:trPr>
        <w:tc>
          <w:tcPr>
            <w:tcW w:w="4004" w:type="dxa"/>
          </w:tcPr>
          <w:p w14:paraId="75BE643E" w14:textId="77777777" w:rsidR="000F16EB" w:rsidRDefault="000F16EB" w:rsidP="00A7521D">
            <w:pPr>
              <w:jc w:val="center"/>
            </w:pPr>
            <w:r>
              <w:t>Hot fluid density</w:t>
            </w:r>
          </w:p>
        </w:tc>
        <w:tc>
          <w:tcPr>
            <w:tcW w:w="1032" w:type="dxa"/>
          </w:tcPr>
          <w:p w14:paraId="24189344" w14:textId="77777777" w:rsidR="000F16EB" w:rsidRDefault="000F16EB" w:rsidP="00A7521D">
            <w:pPr>
              <w:jc w:val="center"/>
            </w:pPr>
            <w:r>
              <w:t>kg/m</w:t>
            </w:r>
            <w:r>
              <w:rPr>
                <w:vertAlign w:val="superscript"/>
              </w:rPr>
              <w:t>3</w:t>
            </w:r>
          </w:p>
        </w:tc>
      </w:tr>
      <w:tr w:rsidR="000F16EB" w14:paraId="3502A380" w14:textId="77777777" w:rsidTr="00A7521D">
        <w:trPr>
          <w:jc w:val="center"/>
        </w:trPr>
        <w:tc>
          <w:tcPr>
            <w:tcW w:w="4004" w:type="dxa"/>
          </w:tcPr>
          <w:p w14:paraId="010EF563" w14:textId="77777777" w:rsidR="000F16EB" w:rsidRDefault="000F16EB" w:rsidP="00A7521D">
            <w:pPr>
              <w:jc w:val="center"/>
            </w:pPr>
            <w:r>
              <w:t>Hot fluid viscosity</w:t>
            </w:r>
          </w:p>
        </w:tc>
        <w:tc>
          <w:tcPr>
            <w:tcW w:w="1032" w:type="dxa"/>
          </w:tcPr>
          <w:p w14:paraId="35E889FE" w14:textId="77777777" w:rsidR="000F16EB" w:rsidRDefault="000F16EB" w:rsidP="00A7521D">
            <w:pPr>
              <w:jc w:val="center"/>
            </w:pPr>
            <w:r>
              <w:t>Pas</w:t>
            </w:r>
          </w:p>
        </w:tc>
      </w:tr>
      <w:tr w:rsidR="000F16EB" w14:paraId="11D10903" w14:textId="77777777" w:rsidTr="00A7521D">
        <w:trPr>
          <w:jc w:val="center"/>
        </w:trPr>
        <w:tc>
          <w:tcPr>
            <w:tcW w:w="4004" w:type="dxa"/>
          </w:tcPr>
          <w:p w14:paraId="41473CB7" w14:textId="77777777" w:rsidR="000F16EB" w:rsidRDefault="000F16EB" w:rsidP="00A7521D">
            <w:pPr>
              <w:jc w:val="center"/>
            </w:pPr>
            <w:r>
              <w:t>Hot fluid specific heat capacity</w:t>
            </w:r>
          </w:p>
        </w:tc>
        <w:tc>
          <w:tcPr>
            <w:tcW w:w="1032" w:type="dxa"/>
          </w:tcPr>
          <w:p w14:paraId="64F122CD" w14:textId="77777777" w:rsidR="000F16EB" w:rsidRDefault="000F16EB" w:rsidP="00A7521D">
            <w:pPr>
              <w:jc w:val="center"/>
            </w:pPr>
            <w:r>
              <w:t>kJ/(</w:t>
            </w:r>
            <w:proofErr w:type="spellStart"/>
            <w:r>
              <w:t>kgK</w:t>
            </w:r>
            <w:proofErr w:type="spellEnd"/>
            <w:r>
              <w:t>)</w:t>
            </w:r>
          </w:p>
        </w:tc>
      </w:tr>
      <w:tr w:rsidR="000F16EB" w14:paraId="5CFC56D2" w14:textId="77777777" w:rsidTr="00A7521D">
        <w:trPr>
          <w:jc w:val="center"/>
        </w:trPr>
        <w:tc>
          <w:tcPr>
            <w:tcW w:w="4004" w:type="dxa"/>
          </w:tcPr>
          <w:p w14:paraId="1B537935" w14:textId="77777777" w:rsidR="000F16EB" w:rsidRDefault="000F16EB" w:rsidP="00A7521D">
            <w:pPr>
              <w:jc w:val="center"/>
            </w:pPr>
            <w:r>
              <w:t>Hot fluid thermal conductivity</w:t>
            </w:r>
          </w:p>
        </w:tc>
        <w:tc>
          <w:tcPr>
            <w:tcW w:w="1032" w:type="dxa"/>
          </w:tcPr>
          <w:p w14:paraId="6C5D93CF" w14:textId="77777777" w:rsidR="000F16EB" w:rsidRDefault="000F16EB" w:rsidP="00A7521D">
            <w:pPr>
              <w:jc w:val="center"/>
            </w:pPr>
            <w:r>
              <w:t>W/(</w:t>
            </w:r>
            <w:proofErr w:type="spellStart"/>
            <w:r>
              <w:t>mK</w:t>
            </w:r>
            <w:proofErr w:type="spellEnd"/>
            <w:r>
              <w:t>)</w:t>
            </w:r>
          </w:p>
        </w:tc>
      </w:tr>
      <w:tr w:rsidR="000F16EB" w14:paraId="411D011B" w14:textId="77777777" w:rsidTr="00A7521D">
        <w:trPr>
          <w:jc w:val="center"/>
        </w:trPr>
        <w:tc>
          <w:tcPr>
            <w:tcW w:w="4004" w:type="dxa"/>
          </w:tcPr>
          <w:p w14:paraId="579BA269" w14:textId="77777777" w:rsidR="000F16EB" w:rsidRDefault="000F16EB" w:rsidP="00A7521D">
            <w:pPr>
              <w:jc w:val="center"/>
            </w:pPr>
            <w:r>
              <w:t>Cold fluid mass flowrate</w:t>
            </w:r>
          </w:p>
        </w:tc>
        <w:tc>
          <w:tcPr>
            <w:tcW w:w="1032" w:type="dxa"/>
          </w:tcPr>
          <w:p w14:paraId="08B2741C" w14:textId="77777777" w:rsidR="000F16EB" w:rsidRDefault="000F16EB" w:rsidP="00A7521D">
            <w:pPr>
              <w:jc w:val="center"/>
            </w:pPr>
            <w:r>
              <w:t>kg/s</w:t>
            </w:r>
          </w:p>
        </w:tc>
      </w:tr>
      <w:tr w:rsidR="000F16EB" w14:paraId="0F1E64BB" w14:textId="77777777" w:rsidTr="00A7521D">
        <w:trPr>
          <w:jc w:val="center"/>
        </w:trPr>
        <w:tc>
          <w:tcPr>
            <w:tcW w:w="4004" w:type="dxa"/>
          </w:tcPr>
          <w:p w14:paraId="10C045B9" w14:textId="77777777" w:rsidR="000F16EB" w:rsidRDefault="000F16EB" w:rsidP="00A7521D">
            <w:pPr>
              <w:jc w:val="center"/>
            </w:pPr>
            <w:r>
              <w:t>Cold fluid density</w:t>
            </w:r>
          </w:p>
        </w:tc>
        <w:tc>
          <w:tcPr>
            <w:tcW w:w="1032" w:type="dxa"/>
          </w:tcPr>
          <w:p w14:paraId="3B3F86AD" w14:textId="77777777" w:rsidR="000F16EB" w:rsidRPr="00CD15A3" w:rsidRDefault="000F16EB" w:rsidP="00A7521D">
            <w:pPr>
              <w:jc w:val="center"/>
            </w:pPr>
            <w:r>
              <w:t>kg/m</w:t>
            </w:r>
            <w:r>
              <w:rPr>
                <w:vertAlign w:val="superscript"/>
              </w:rPr>
              <w:t>3</w:t>
            </w:r>
          </w:p>
        </w:tc>
      </w:tr>
      <w:tr w:rsidR="000F16EB" w14:paraId="1B8047DA" w14:textId="77777777" w:rsidTr="00A7521D">
        <w:trPr>
          <w:jc w:val="center"/>
        </w:trPr>
        <w:tc>
          <w:tcPr>
            <w:tcW w:w="4004" w:type="dxa"/>
          </w:tcPr>
          <w:p w14:paraId="1C0B1129" w14:textId="77777777" w:rsidR="000F16EB" w:rsidRDefault="000F16EB" w:rsidP="00A7521D">
            <w:pPr>
              <w:jc w:val="center"/>
            </w:pPr>
            <w:r>
              <w:t>Cold fluid viscosity</w:t>
            </w:r>
          </w:p>
        </w:tc>
        <w:tc>
          <w:tcPr>
            <w:tcW w:w="1032" w:type="dxa"/>
          </w:tcPr>
          <w:p w14:paraId="6F9E0059" w14:textId="77777777" w:rsidR="000F16EB" w:rsidRDefault="000F16EB" w:rsidP="00A7521D">
            <w:pPr>
              <w:jc w:val="center"/>
            </w:pPr>
            <w:r>
              <w:t>Pas</w:t>
            </w:r>
          </w:p>
        </w:tc>
      </w:tr>
      <w:tr w:rsidR="000F16EB" w14:paraId="4A0DF66D" w14:textId="77777777" w:rsidTr="00A7521D">
        <w:trPr>
          <w:jc w:val="center"/>
        </w:trPr>
        <w:tc>
          <w:tcPr>
            <w:tcW w:w="4004" w:type="dxa"/>
          </w:tcPr>
          <w:p w14:paraId="235130DE" w14:textId="77777777" w:rsidR="000F16EB" w:rsidRDefault="000F16EB" w:rsidP="00A7521D">
            <w:pPr>
              <w:jc w:val="center"/>
            </w:pPr>
            <w:r>
              <w:t>Cold fluid thermal conductivity</w:t>
            </w:r>
          </w:p>
        </w:tc>
        <w:tc>
          <w:tcPr>
            <w:tcW w:w="1032" w:type="dxa"/>
          </w:tcPr>
          <w:p w14:paraId="7CCC70BD" w14:textId="77777777" w:rsidR="000F16EB" w:rsidRDefault="000F16EB" w:rsidP="00A7521D">
            <w:pPr>
              <w:jc w:val="center"/>
            </w:pPr>
            <w:r>
              <w:t>W/(</w:t>
            </w:r>
            <w:proofErr w:type="spellStart"/>
            <w:r>
              <w:t>mK</w:t>
            </w:r>
            <w:proofErr w:type="spellEnd"/>
            <w:r>
              <w:t>)</w:t>
            </w:r>
          </w:p>
        </w:tc>
      </w:tr>
      <w:tr w:rsidR="000F16EB" w14:paraId="3DA15A26" w14:textId="77777777" w:rsidTr="00A7521D">
        <w:trPr>
          <w:jc w:val="center"/>
        </w:trPr>
        <w:tc>
          <w:tcPr>
            <w:tcW w:w="4004" w:type="dxa"/>
          </w:tcPr>
          <w:p w14:paraId="14B37F81" w14:textId="77777777" w:rsidR="000F16EB" w:rsidRDefault="000F16EB" w:rsidP="00A7521D">
            <w:pPr>
              <w:jc w:val="center"/>
            </w:pPr>
            <w:r>
              <w:t>Cold fluid specific heat capacity</w:t>
            </w:r>
          </w:p>
        </w:tc>
        <w:tc>
          <w:tcPr>
            <w:tcW w:w="1032" w:type="dxa"/>
          </w:tcPr>
          <w:p w14:paraId="452F2B6A" w14:textId="77777777" w:rsidR="000F16EB" w:rsidRDefault="000F16EB" w:rsidP="00A7521D">
            <w:pPr>
              <w:jc w:val="center"/>
            </w:pPr>
            <w:r>
              <w:t>kJ/(</w:t>
            </w:r>
            <w:proofErr w:type="spellStart"/>
            <w:r>
              <w:t>kgK</w:t>
            </w:r>
            <w:proofErr w:type="spellEnd"/>
            <w:r>
              <w:t>)</w:t>
            </w:r>
          </w:p>
        </w:tc>
      </w:tr>
      <w:tr w:rsidR="000F16EB" w14:paraId="5B47892B" w14:textId="77777777" w:rsidTr="00A7521D">
        <w:trPr>
          <w:jc w:val="center"/>
        </w:trPr>
        <w:tc>
          <w:tcPr>
            <w:tcW w:w="4004" w:type="dxa"/>
          </w:tcPr>
          <w:p w14:paraId="720C3912" w14:textId="77777777" w:rsidR="000F16EB" w:rsidRDefault="000F16EB" w:rsidP="00A7521D">
            <w:pPr>
              <w:jc w:val="center"/>
            </w:pPr>
            <w:r>
              <w:t>Outer pipe diameter</w:t>
            </w:r>
          </w:p>
        </w:tc>
        <w:tc>
          <w:tcPr>
            <w:tcW w:w="1032" w:type="dxa"/>
          </w:tcPr>
          <w:p w14:paraId="59F65C80" w14:textId="77777777" w:rsidR="000F16EB" w:rsidRDefault="000F16EB" w:rsidP="00A7521D">
            <w:pPr>
              <w:jc w:val="center"/>
            </w:pPr>
            <w:r>
              <w:t>m</w:t>
            </w:r>
          </w:p>
        </w:tc>
      </w:tr>
      <w:tr w:rsidR="000F16EB" w14:paraId="7E0A91AA" w14:textId="77777777" w:rsidTr="00A7521D">
        <w:trPr>
          <w:jc w:val="center"/>
        </w:trPr>
        <w:tc>
          <w:tcPr>
            <w:tcW w:w="4004" w:type="dxa"/>
          </w:tcPr>
          <w:p w14:paraId="62661B53" w14:textId="77777777" w:rsidR="000F16EB" w:rsidRDefault="000F16EB" w:rsidP="00A7521D">
            <w:pPr>
              <w:jc w:val="center"/>
            </w:pPr>
            <w:r>
              <w:t>Baffle cut</w:t>
            </w:r>
          </w:p>
        </w:tc>
        <w:tc>
          <w:tcPr>
            <w:tcW w:w="1032" w:type="dxa"/>
          </w:tcPr>
          <w:p w14:paraId="02331DCA" w14:textId="77777777" w:rsidR="000F16EB" w:rsidRDefault="000F16EB" w:rsidP="00A7521D">
            <w:pPr>
              <w:jc w:val="center"/>
            </w:pPr>
            <w:r>
              <w:t>-</w:t>
            </w:r>
          </w:p>
        </w:tc>
      </w:tr>
      <w:tr w:rsidR="000F16EB" w14:paraId="1582380E" w14:textId="77777777" w:rsidTr="00A7521D">
        <w:trPr>
          <w:jc w:val="center"/>
        </w:trPr>
        <w:tc>
          <w:tcPr>
            <w:tcW w:w="4004" w:type="dxa"/>
          </w:tcPr>
          <w:p w14:paraId="76832B4E" w14:textId="77777777" w:rsidR="000F16EB" w:rsidRDefault="000F16EB" w:rsidP="00A7521D">
            <w:pPr>
              <w:jc w:val="center"/>
            </w:pPr>
            <w:r>
              <w:t>Outside fluid type</w:t>
            </w:r>
          </w:p>
        </w:tc>
        <w:tc>
          <w:tcPr>
            <w:tcW w:w="1032" w:type="dxa"/>
          </w:tcPr>
          <w:p w14:paraId="21214C8B" w14:textId="77777777" w:rsidR="000F16EB" w:rsidRDefault="000F16EB" w:rsidP="00A7521D">
            <w:pPr>
              <w:jc w:val="center"/>
            </w:pPr>
            <w:r>
              <w:t>-</w:t>
            </w:r>
          </w:p>
        </w:tc>
      </w:tr>
      <w:tr w:rsidR="000F16EB" w14:paraId="33F16DCE" w14:textId="77777777" w:rsidTr="00A7521D">
        <w:trPr>
          <w:jc w:val="center"/>
        </w:trPr>
        <w:tc>
          <w:tcPr>
            <w:tcW w:w="4004" w:type="dxa"/>
          </w:tcPr>
          <w:p w14:paraId="3FAD3678" w14:textId="77777777" w:rsidR="000F16EB" w:rsidRDefault="000F16EB" w:rsidP="00A7521D">
            <w:pPr>
              <w:jc w:val="center"/>
            </w:pPr>
            <w:r>
              <w:t>Inside fluid type</w:t>
            </w:r>
          </w:p>
        </w:tc>
        <w:tc>
          <w:tcPr>
            <w:tcW w:w="1032" w:type="dxa"/>
          </w:tcPr>
          <w:p w14:paraId="730F7B13" w14:textId="77777777" w:rsidR="000F16EB" w:rsidRDefault="000F16EB" w:rsidP="00A7521D">
            <w:pPr>
              <w:jc w:val="center"/>
            </w:pPr>
            <w:r>
              <w:t>-</w:t>
            </w:r>
          </w:p>
        </w:tc>
      </w:tr>
      <w:tr w:rsidR="000F16EB" w14:paraId="78D904F4" w14:textId="77777777" w:rsidTr="00A7521D">
        <w:trPr>
          <w:jc w:val="center"/>
        </w:trPr>
        <w:tc>
          <w:tcPr>
            <w:tcW w:w="4004" w:type="dxa"/>
          </w:tcPr>
          <w:p w14:paraId="500E52E0" w14:textId="77777777" w:rsidR="000F16EB" w:rsidRDefault="000F16EB" w:rsidP="00A7521D">
            <w:pPr>
              <w:jc w:val="center"/>
            </w:pPr>
            <w:r>
              <w:t>Thermal conductivity of the wall material</w:t>
            </w:r>
          </w:p>
        </w:tc>
        <w:tc>
          <w:tcPr>
            <w:tcW w:w="1032" w:type="dxa"/>
          </w:tcPr>
          <w:p w14:paraId="508E2973" w14:textId="77777777" w:rsidR="000F16EB" w:rsidRDefault="000F16EB" w:rsidP="00A7521D">
            <w:pPr>
              <w:jc w:val="center"/>
            </w:pPr>
            <w:r>
              <w:t>W/(</w:t>
            </w:r>
            <w:proofErr w:type="spellStart"/>
            <w:r>
              <w:t>mK</w:t>
            </w:r>
            <w:proofErr w:type="spellEnd"/>
            <w:r>
              <w:t>)</w:t>
            </w:r>
          </w:p>
        </w:tc>
      </w:tr>
    </w:tbl>
    <w:p w14:paraId="389FFF39" w14:textId="77777777" w:rsidR="000F16EB" w:rsidRDefault="000F16EB" w:rsidP="00196CD6">
      <w:pPr>
        <w:pStyle w:val="NoSpacing"/>
      </w:pPr>
    </w:p>
    <w:p w14:paraId="6D0F0DD6" w14:textId="77777777" w:rsidR="000F16EB" w:rsidRDefault="000F16EB" w:rsidP="000F16EB">
      <w:r>
        <w:t xml:space="preserve">The design process of a HEX-P differed significantly from that of the other HEX types. Initially, the log mean temperature difference, true temperature difference, and initial HT SA were calculated, using an assumed value of the overall HTC. Next, the physical characteristics of the plate’s HT SA were calculated. Then, for both the hot and the cold fluids, the mass and linear velocity, and the Reynolds, Prandtl, and Nusselt numbers were calculated. The overall HTC was calculated iteratively. Finally, the pressure drops across the plates and the ports for both the hot and cold fluids were calculated. </w:t>
      </w:r>
    </w:p>
    <w:p w14:paraId="7592CCAA" w14:textId="77777777" w:rsidR="000F16EB" w:rsidRDefault="000F16EB" w:rsidP="000F16EB">
      <w:pPr>
        <w:pStyle w:val="Heading4"/>
      </w:pPr>
      <w:bookmarkStart w:id="573" w:name="_Ref531344163"/>
      <w:bookmarkStart w:id="574" w:name="_Ref531345428"/>
      <w:bookmarkStart w:id="575" w:name="_Toc7187528"/>
      <w:r>
        <w:t>Fired Heater</w:t>
      </w:r>
      <w:bookmarkEnd w:id="573"/>
      <w:bookmarkEnd w:id="574"/>
      <w:bookmarkEnd w:id="575"/>
    </w:p>
    <w:p w14:paraId="1BC294C4" w14:textId="05DF0E1E" w:rsidR="000F16EB" w:rsidRDefault="000F16EB" w:rsidP="000F16EB">
      <w:r>
        <w:t xml:space="preserve">The equations used in the modelling of a FH came from chapter one of the Equipment Design Handbook for Refineries and Chemical Plants </w:t>
      </w:r>
      <w:r>
        <w:fldChar w:fldCharType="begin" w:fldLock="1"/>
      </w:r>
      <w:r>
        <w:instrText>ADDIN CSL_CITATION {"citationItems":[{"id":"ITEM-1","itemData":{"ISBN":"0-87201-255-7","author":[{"dropping-particle":"","family":"Evans","given":"Frank L.","non-dropping-particle":"","parse-names":false,"suffix":""}],"container-title":"Equipment Design Handbook for Refineries and Chemical Plants","edition":"2","id":"ITEM-1","issued":{"date-parts":[["1974"]]},"page":"1-27","publisher":"Gulf Publishing Company","publisher-place":"Houston, America","title":"Fired Heaters and Boilers","type":"chapter"},"uris":["http://www.mendeley.com/documents/?uuid=70297c0c-6a5f-4751-91c5-d4386302a47e"]}],"mendeley":{"formattedCitation":"(Evans, 1974)","plainTextFormattedCitation":"(Evans, 1974)","previouslyFormattedCitation":"(Evans, 1974)"},"properties":{"noteIndex":0},"schema":"https://github.com/citation-style-language/schema/raw/master/csl-citation.json"}</w:instrText>
      </w:r>
      <w:r>
        <w:fldChar w:fldCharType="separate"/>
      </w:r>
      <w:r w:rsidRPr="00E7695A">
        <w:rPr>
          <w:noProof/>
        </w:rPr>
        <w:t>(Evans, 1974)</w:t>
      </w:r>
      <w:r>
        <w:fldChar w:fldCharType="end"/>
      </w:r>
      <w:r>
        <w:t xml:space="preserve">. The list of equations is shown in its entirety in Appendix </w:t>
      </w:r>
      <w:r w:rsidR="00826452">
        <w:fldChar w:fldCharType="begin"/>
      </w:r>
      <w:r w:rsidR="00826452">
        <w:instrText xml:space="preserve"> REF _Ref531344087 \n \h </w:instrText>
      </w:r>
      <w:r w:rsidR="00826452">
        <w:fldChar w:fldCharType="separate"/>
      </w:r>
      <w:r w:rsidR="00CB7456">
        <w:t>13.5</w:t>
      </w:r>
      <w:r w:rsidR="00826452">
        <w:fldChar w:fldCharType="end"/>
      </w:r>
      <w:r>
        <w:t xml:space="preserve">. A large list of inputs </w:t>
      </w:r>
      <w:r w:rsidR="00826452">
        <w:t>was</w:t>
      </w:r>
      <w:r>
        <w:t xml:space="preserve"> needed in the work, as shown in</w:t>
      </w:r>
      <w:r w:rsidR="00196CD6">
        <w:t xml:space="preserve"> </w:t>
      </w:r>
      <w:r w:rsidR="00196CD6">
        <w:fldChar w:fldCharType="begin"/>
      </w:r>
      <w:r w:rsidR="00196CD6">
        <w:instrText xml:space="preserve"> REF _Ref535488288 \h </w:instrText>
      </w:r>
      <w:r w:rsidR="00196CD6">
        <w:fldChar w:fldCharType="separate"/>
      </w:r>
      <w:r w:rsidR="00CB7456">
        <w:t xml:space="preserve">Table </w:t>
      </w:r>
      <w:r w:rsidR="00CB7456">
        <w:rPr>
          <w:noProof/>
        </w:rPr>
        <w:t>5</w:t>
      </w:r>
      <w:r w:rsidR="00CB7456">
        <w:t>.</w:t>
      </w:r>
      <w:r w:rsidR="00CB7456">
        <w:rPr>
          <w:noProof/>
        </w:rPr>
        <w:t>4</w:t>
      </w:r>
      <w:r w:rsidR="00196CD6">
        <w:fldChar w:fldCharType="end"/>
      </w:r>
      <w:r>
        <w:t xml:space="preserve">. </w:t>
      </w:r>
    </w:p>
    <w:p w14:paraId="76202D6A" w14:textId="77777777" w:rsidR="00196CD6" w:rsidRDefault="00196CD6">
      <w:pPr>
        <w:jc w:val="left"/>
        <w:rPr>
          <w:b/>
          <w:bCs/>
          <w:sz w:val="18"/>
          <w:szCs w:val="18"/>
        </w:rPr>
      </w:pPr>
      <w:bookmarkStart w:id="576" w:name="_Ref524965149"/>
      <w:bookmarkStart w:id="577" w:name="_Toc525230131"/>
      <w:r>
        <w:br w:type="page"/>
      </w:r>
    </w:p>
    <w:p w14:paraId="12D1D230" w14:textId="17609FD6" w:rsidR="000F16EB" w:rsidRDefault="000F16EB" w:rsidP="000F16EB">
      <w:pPr>
        <w:pStyle w:val="Caption"/>
        <w:keepNext/>
      </w:pPr>
      <w:bookmarkStart w:id="578" w:name="_Ref535488288"/>
      <w:bookmarkStart w:id="579" w:name="_Toc7187685"/>
      <w:r>
        <w:lastRenderedPageBreak/>
        <w:t xml:space="preserve">Table </w:t>
      </w:r>
      <w:fldSimple w:instr=" STYLEREF 1 \s ">
        <w:r w:rsidR="00CB7456">
          <w:rPr>
            <w:noProof/>
          </w:rPr>
          <w:t>5</w:t>
        </w:r>
      </w:fldSimple>
      <w:r w:rsidR="009E1A67">
        <w:t>.</w:t>
      </w:r>
      <w:fldSimple w:instr=" SEQ Table \* ARABIC \s 1 ">
        <w:r w:rsidR="00CB7456">
          <w:rPr>
            <w:noProof/>
          </w:rPr>
          <w:t>4</w:t>
        </w:r>
      </w:fldSimple>
      <w:bookmarkEnd w:id="576"/>
      <w:bookmarkEnd w:id="578"/>
      <w:r>
        <w:t>: Inputs needed for the modelling of a FH.</w:t>
      </w:r>
      <w:bookmarkEnd w:id="577"/>
      <w:bookmarkEnd w:id="579"/>
    </w:p>
    <w:tbl>
      <w:tblPr>
        <w:tblStyle w:val="TableGrid"/>
        <w:tblW w:w="4080" w:type="dxa"/>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36"/>
        <w:gridCol w:w="844"/>
      </w:tblGrid>
      <w:tr w:rsidR="000F16EB" w14:paraId="778590D4" w14:textId="77777777" w:rsidTr="00A7521D">
        <w:trPr>
          <w:jc w:val="center"/>
        </w:trPr>
        <w:tc>
          <w:tcPr>
            <w:tcW w:w="3236" w:type="dxa"/>
            <w:tcBorders>
              <w:bottom w:val="single" w:sz="4" w:space="0" w:color="auto"/>
            </w:tcBorders>
          </w:tcPr>
          <w:p w14:paraId="16792AA5" w14:textId="77777777" w:rsidR="000F16EB" w:rsidRDefault="000F16EB" w:rsidP="00A7521D">
            <w:pPr>
              <w:jc w:val="center"/>
            </w:pPr>
            <w:r>
              <w:t>Input</w:t>
            </w:r>
          </w:p>
        </w:tc>
        <w:tc>
          <w:tcPr>
            <w:tcW w:w="844" w:type="dxa"/>
            <w:tcBorders>
              <w:bottom w:val="single" w:sz="4" w:space="0" w:color="auto"/>
            </w:tcBorders>
          </w:tcPr>
          <w:p w14:paraId="4165C00D" w14:textId="77777777" w:rsidR="000F16EB" w:rsidRDefault="000F16EB" w:rsidP="00A7521D">
            <w:pPr>
              <w:jc w:val="center"/>
            </w:pPr>
            <w:r>
              <w:t>Units</w:t>
            </w:r>
          </w:p>
        </w:tc>
      </w:tr>
      <w:tr w:rsidR="000F16EB" w14:paraId="584A35D7" w14:textId="77777777" w:rsidTr="00A7521D">
        <w:trPr>
          <w:jc w:val="center"/>
        </w:trPr>
        <w:tc>
          <w:tcPr>
            <w:tcW w:w="3236" w:type="dxa"/>
            <w:tcBorders>
              <w:top w:val="single" w:sz="4" w:space="0" w:color="auto"/>
              <w:bottom w:val="nil"/>
            </w:tcBorders>
          </w:tcPr>
          <w:p w14:paraId="5A121A9D" w14:textId="77777777" w:rsidR="000F16EB" w:rsidRDefault="000F16EB" w:rsidP="00A7521D">
            <w:pPr>
              <w:jc w:val="center"/>
            </w:pPr>
            <w:r>
              <w:t>Process fluid flowrate</w:t>
            </w:r>
          </w:p>
        </w:tc>
        <w:tc>
          <w:tcPr>
            <w:tcW w:w="844" w:type="dxa"/>
            <w:tcBorders>
              <w:top w:val="single" w:sz="4" w:space="0" w:color="auto"/>
              <w:bottom w:val="nil"/>
            </w:tcBorders>
          </w:tcPr>
          <w:p w14:paraId="0393CDC8" w14:textId="77777777" w:rsidR="000F16EB" w:rsidRPr="0032344E" w:rsidRDefault="000F16EB" w:rsidP="00A7521D">
            <w:pPr>
              <w:jc w:val="center"/>
            </w:pPr>
            <w:r>
              <w:t>m</w:t>
            </w:r>
            <w:r>
              <w:rPr>
                <w:vertAlign w:val="superscript"/>
              </w:rPr>
              <w:t>3</w:t>
            </w:r>
            <w:r>
              <w:t>/s</w:t>
            </w:r>
          </w:p>
        </w:tc>
      </w:tr>
      <w:tr w:rsidR="000F16EB" w14:paraId="0F22627C" w14:textId="77777777" w:rsidTr="00A7521D">
        <w:trPr>
          <w:jc w:val="center"/>
        </w:trPr>
        <w:tc>
          <w:tcPr>
            <w:tcW w:w="3236" w:type="dxa"/>
            <w:tcBorders>
              <w:top w:val="nil"/>
            </w:tcBorders>
          </w:tcPr>
          <w:p w14:paraId="32005E2F" w14:textId="77777777" w:rsidR="000F16EB" w:rsidRDefault="000F16EB" w:rsidP="00A7521D">
            <w:pPr>
              <w:jc w:val="center"/>
            </w:pPr>
            <w:r>
              <w:t>Process fluid inlet temperature</w:t>
            </w:r>
          </w:p>
        </w:tc>
        <w:tc>
          <w:tcPr>
            <w:tcW w:w="844" w:type="dxa"/>
            <w:tcBorders>
              <w:top w:val="nil"/>
            </w:tcBorders>
          </w:tcPr>
          <w:p w14:paraId="532A0C30" w14:textId="77777777" w:rsidR="000F16EB" w:rsidRDefault="000F16EB" w:rsidP="00A7521D">
            <w:pPr>
              <w:jc w:val="center"/>
            </w:pPr>
            <w:r>
              <w:t>K</w:t>
            </w:r>
          </w:p>
        </w:tc>
      </w:tr>
      <w:tr w:rsidR="000F16EB" w14:paraId="22F9AB03" w14:textId="77777777" w:rsidTr="00A7521D">
        <w:trPr>
          <w:jc w:val="center"/>
        </w:trPr>
        <w:tc>
          <w:tcPr>
            <w:tcW w:w="3236" w:type="dxa"/>
          </w:tcPr>
          <w:p w14:paraId="3528E8BE" w14:textId="77777777" w:rsidR="000F16EB" w:rsidRDefault="000F16EB" w:rsidP="00A7521D">
            <w:pPr>
              <w:jc w:val="center"/>
            </w:pPr>
            <w:r>
              <w:t>Process fluid outlet temperature</w:t>
            </w:r>
          </w:p>
        </w:tc>
        <w:tc>
          <w:tcPr>
            <w:tcW w:w="844" w:type="dxa"/>
          </w:tcPr>
          <w:p w14:paraId="7D75959D" w14:textId="77777777" w:rsidR="000F16EB" w:rsidRDefault="000F16EB" w:rsidP="00A7521D">
            <w:pPr>
              <w:jc w:val="center"/>
            </w:pPr>
            <w:r>
              <w:t>K</w:t>
            </w:r>
          </w:p>
        </w:tc>
      </w:tr>
      <w:tr w:rsidR="000F16EB" w14:paraId="10CBC44C" w14:textId="77777777" w:rsidTr="00A7521D">
        <w:trPr>
          <w:jc w:val="center"/>
        </w:trPr>
        <w:tc>
          <w:tcPr>
            <w:tcW w:w="3236" w:type="dxa"/>
          </w:tcPr>
          <w:p w14:paraId="5F22590C" w14:textId="77777777" w:rsidR="000F16EB" w:rsidRDefault="000F16EB" w:rsidP="00A7521D">
            <w:pPr>
              <w:jc w:val="center"/>
            </w:pPr>
            <w:r>
              <w:t>Fuel inlet temperature</w:t>
            </w:r>
          </w:p>
        </w:tc>
        <w:tc>
          <w:tcPr>
            <w:tcW w:w="844" w:type="dxa"/>
          </w:tcPr>
          <w:p w14:paraId="43BEFBB9" w14:textId="77777777" w:rsidR="000F16EB" w:rsidRDefault="000F16EB" w:rsidP="00A7521D">
            <w:pPr>
              <w:jc w:val="center"/>
            </w:pPr>
            <w:r>
              <w:t>K</w:t>
            </w:r>
          </w:p>
        </w:tc>
      </w:tr>
      <w:tr w:rsidR="000F16EB" w14:paraId="3C96CBFE" w14:textId="77777777" w:rsidTr="00A7521D">
        <w:trPr>
          <w:jc w:val="center"/>
        </w:trPr>
        <w:tc>
          <w:tcPr>
            <w:tcW w:w="3236" w:type="dxa"/>
          </w:tcPr>
          <w:p w14:paraId="74365426" w14:textId="77777777" w:rsidR="000F16EB" w:rsidRDefault="000F16EB" w:rsidP="00A7521D">
            <w:pPr>
              <w:jc w:val="center"/>
            </w:pPr>
            <w:r>
              <w:t>Fuel outlet temperature</w:t>
            </w:r>
          </w:p>
        </w:tc>
        <w:tc>
          <w:tcPr>
            <w:tcW w:w="844" w:type="dxa"/>
          </w:tcPr>
          <w:p w14:paraId="63472D04" w14:textId="77777777" w:rsidR="000F16EB" w:rsidRDefault="000F16EB" w:rsidP="00A7521D">
            <w:pPr>
              <w:jc w:val="center"/>
            </w:pPr>
            <w:r>
              <w:t>K</w:t>
            </w:r>
          </w:p>
        </w:tc>
      </w:tr>
      <w:tr w:rsidR="000F16EB" w14:paraId="2D599042" w14:textId="77777777" w:rsidTr="00A7521D">
        <w:trPr>
          <w:jc w:val="center"/>
        </w:trPr>
        <w:tc>
          <w:tcPr>
            <w:tcW w:w="3236" w:type="dxa"/>
          </w:tcPr>
          <w:p w14:paraId="001CAB71" w14:textId="77777777" w:rsidR="000F16EB" w:rsidRDefault="000F16EB" w:rsidP="00A7521D">
            <w:pPr>
              <w:jc w:val="center"/>
            </w:pPr>
            <w:r>
              <w:t>Fuel heating value</w:t>
            </w:r>
          </w:p>
        </w:tc>
        <w:tc>
          <w:tcPr>
            <w:tcW w:w="844" w:type="dxa"/>
          </w:tcPr>
          <w:p w14:paraId="66E9AB32" w14:textId="77777777" w:rsidR="000F16EB" w:rsidRPr="0032344E" w:rsidRDefault="000F16EB" w:rsidP="00A7521D">
            <w:pPr>
              <w:jc w:val="center"/>
            </w:pPr>
            <w:r>
              <w:t>kJ/m</w:t>
            </w:r>
            <w:r>
              <w:rPr>
                <w:vertAlign w:val="superscript"/>
              </w:rPr>
              <w:t>3</w:t>
            </w:r>
          </w:p>
        </w:tc>
      </w:tr>
      <w:tr w:rsidR="000F16EB" w14:paraId="4BFD55F5" w14:textId="77777777" w:rsidTr="00A7521D">
        <w:trPr>
          <w:jc w:val="center"/>
        </w:trPr>
        <w:tc>
          <w:tcPr>
            <w:tcW w:w="3236" w:type="dxa"/>
          </w:tcPr>
          <w:p w14:paraId="5FFFF5D6" w14:textId="77777777" w:rsidR="000F16EB" w:rsidRDefault="000F16EB" w:rsidP="00A7521D">
            <w:pPr>
              <w:jc w:val="center"/>
            </w:pPr>
            <w:r>
              <w:t>Fuel heating efficiency</w:t>
            </w:r>
          </w:p>
        </w:tc>
        <w:tc>
          <w:tcPr>
            <w:tcW w:w="844" w:type="dxa"/>
          </w:tcPr>
          <w:p w14:paraId="798705FB" w14:textId="77777777" w:rsidR="000F16EB" w:rsidRPr="00EB023B" w:rsidRDefault="000F16EB" w:rsidP="00A7521D">
            <w:pPr>
              <w:jc w:val="center"/>
            </w:pPr>
            <w:r>
              <w:t>%</w:t>
            </w:r>
          </w:p>
        </w:tc>
      </w:tr>
      <w:tr w:rsidR="000F16EB" w14:paraId="2B0F0353" w14:textId="77777777" w:rsidTr="00A7521D">
        <w:trPr>
          <w:jc w:val="center"/>
        </w:trPr>
        <w:tc>
          <w:tcPr>
            <w:tcW w:w="3236" w:type="dxa"/>
          </w:tcPr>
          <w:p w14:paraId="50D787DF" w14:textId="77777777" w:rsidR="000F16EB" w:rsidRDefault="000F16EB" w:rsidP="00A7521D">
            <w:pPr>
              <w:jc w:val="center"/>
            </w:pPr>
            <w:r>
              <w:t>Maximum radiant heat flux</w:t>
            </w:r>
          </w:p>
        </w:tc>
        <w:tc>
          <w:tcPr>
            <w:tcW w:w="844" w:type="dxa"/>
          </w:tcPr>
          <w:p w14:paraId="7784571E" w14:textId="77777777" w:rsidR="000F16EB" w:rsidRPr="0032344E" w:rsidRDefault="000F16EB" w:rsidP="00A7521D">
            <w:pPr>
              <w:jc w:val="center"/>
            </w:pPr>
            <w:r>
              <w:t>kW/m</w:t>
            </w:r>
            <w:r>
              <w:rPr>
                <w:vertAlign w:val="superscript"/>
              </w:rPr>
              <w:t>2</w:t>
            </w:r>
          </w:p>
        </w:tc>
      </w:tr>
      <w:tr w:rsidR="000F16EB" w14:paraId="38F23A82" w14:textId="77777777" w:rsidTr="00A7521D">
        <w:trPr>
          <w:jc w:val="center"/>
        </w:trPr>
        <w:tc>
          <w:tcPr>
            <w:tcW w:w="3236" w:type="dxa"/>
          </w:tcPr>
          <w:p w14:paraId="79FF5081" w14:textId="77777777" w:rsidR="000F16EB" w:rsidRDefault="000F16EB" w:rsidP="00A7521D">
            <w:pPr>
              <w:jc w:val="center"/>
            </w:pPr>
            <w:r>
              <w:t xml:space="preserve">Maximum pressure </w:t>
            </w:r>
            <w:proofErr w:type="gramStart"/>
            <w:r>
              <w:t>drop</w:t>
            </w:r>
            <w:proofErr w:type="gramEnd"/>
          </w:p>
        </w:tc>
        <w:tc>
          <w:tcPr>
            <w:tcW w:w="844" w:type="dxa"/>
          </w:tcPr>
          <w:p w14:paraId="52C05E65" w14:textId="77777777" w:rsidR="000F16EB" w:rsidRDefault="000F16EB" w:rsidP="00A7521D">
            <w:pPr>
              <w:jc w:val="center"/>
            </w:pPr>
            <w:r>
              <w:t>kPa</w:t>
            </w:r>
          </w:p>
        </w:tc>
      </w:tr>
      <w:tr w:rsidR="000F16EB" w14:paraId="135E6925" w14:textId="77777777" w:rsidTr="00A7521D">
        <w:trPr>
          <w:jc w:val="center"/>
        </w:trPr>
        <w:tc>
          <w:tcPr>
            <w:tcW w:w="3236" w:type="dxa"/>
          </w:tcPr>
          <w:p w14:paraId="3FBB63B2" w14:textId="77777777" w:rsidR="000F16EB" w:rsidRDefault="000F16EB" w:rsidP="00A7521D">
            <w:pPr>
              <w:jc w:val="center"/>
            </w:pPr>
            <w:r>
              <w:t>Process fluid inlet enthalpy</w:t>
            </w:r>
          </w:p>
        </w:tc>
        <w:tc>
          <w:tcPr>
            <w:tcW w:w="844" w:type="dxa"/>
          </w:tcPr>
          <w:p w14:paraId="12EC6EAC" w14:textId="77777777" w:rsidR="000F16EB" w:rsidRPr="0032344E" w:rsidRDefault="000F16EB" w:rsidP="00A7521D">
            <w:pPr>
              <w:jc w:val="center"/>
            </w:pPr>
            <w:r>
              <w:t>kJ/kg</w:t>
            </w:r>
          </w:p>
        </w:tc>
      </w:tr>
      <w:tr w:rsidR="000F16EB" w14:paraId="221F18F5" w14:textId="77777777" w:rsidTr="00A7521D">
        <w:trPr>
          <w:jc w:val="center"/>
        </w:trPr>
        <w:tc>
          <w:tcPr>
            <w:tcW w:w="3236" w:type="dxa"/>
          </w:tcPr>
          <w:p w14:paraId="27F46DCF" w14:textId="77777777" w:rsidR="000F16EB" w:rsidRDefault="000F16EB" w:rsidP="00A7521D">
            <w:pPr>
              <w:jc w:val="center"/>
            </w:pPr>
            <w:r>
              <w:t>Process fluid outlet enthalpy</w:t>
            </w:r>
          </w:p>
        </w:tc>
        <w:tc>
          <w:tcPr>
            <w:tcW w:w="844" w:type="dxa"/>
          </w:tcPr>
          <w:p w14:paraId="67256EF8" w14:textId="77777777" w:rsidR="000F16EB" w:rsidRDefault="000F16EB" w:rsidP="00A7521D">
            <w:pPr>
              <w:jc w:val="center"/>
            </w:pPr>
            <w:r>
              <w:t>kJ/kg</w:t>
            </w:r>
          </w:p>
        </w:tc>
      </w:tr>
      <w:tr w:rsidR="000F16EB" w14:paraId="3D718937" w14:textId="77777777" w:rsidTr="00A7521D">
        <w:trPr>
          <w:jc w:val="center"/>
        </w:trPr>
        <w:tc>
          <w:tcPr>
            <w:tcW w:w="3236" w:type="dxa"/>
          </w:tcPr>
          <w:p w14:paraId="1E0D21F5" w14:textId="77777777" w:rsidR="000F16EB" w:rsidRDefault="000F16EB" w:rsidP="00A7521D">
            <w:pPr>
              <w:jc w:val="center"/>
            </w:pPr>
            <w:r>
              <w:t>Fuel type</w:t>
            </w:r>
          </w:p>
        </w:tc>
        <w:tc>
          <w:tcPr>
            <w:tcW w:w="844" w:type="dxa"/>
          </w:tcPr>
          <w:p w14:paraId="78DC7B42" w14:textId="77777777" w:rsidR="000F16EB" w:rsidRDefault="000F16EB" w:rsidP="00A7521D">
            <w:pPr>
              <w:jc w:val="center"/>
            </w:pPr>
            <w:r>
              <w:t>-</w:t>
            </w:r>
          </w:p>
        </w:tc>
      </w:tr>
      <w:tr w:rsidR="000F16EB" w14:paraId="6132344F" w14:textId="77777777" w:rsidTr="00A7521D">
        <w:trPr>
          <w:jc w:val="center"/>
        </w:trPr>
        <w:tc>
          <w:tcPr>
            <w:tcW w:w="3236" w:type="dxa"/>
          </w:tcPr>
          <w:p w14:paraId="47A9CEBC" w14:textId="77777777" w:rsidR="000F16EB" w:rsidRDefault="000F16EB" w:rsidP="00A7521D">
            <w:pPr>
              <w:jc w:val="center"/>
            </w:pPr>
            <w:r>
              <w:t>Tube outer diameter</w:t>
            </w:r>
          </w:p>
        </w:tc>
        <w:tc>
          <w:tcPr>
            <w:tcW w:w="844" w:type="dxa"/>
          </w:tcPr>
          <w:p w14:paraId="586CCE46" w14:textId="77777777" w:rsidR="000F16EB" w:rsidRDefault="000F16EB" w:rsidP="00A7521D">
            <w:pPr>
              <w:jc w:val="center"/>
            </w:pPr>
            <w:r>
              <w:t>m</w:t>
            </w:r>
          </w:p>
        </w:tc>
      </w:tr>
      <w:tr w:rsidR="000F16EB" w14:paraId="316A7902" w14:textId="77777777" w:rsidTr="00A7521D">
        <w:trPr>
          <w:jc w:val="center"/>
        </w:trPr>
        <w:tc>
          <w:tcPr>
            <w:tcW w:w="3236" w:type="dxa"/>
          </w:tcPr>
          <w:p w14:paraId="5E0DB595" w14:textId="77777777" w:rsidR="000F16EB" w:rsidRDefault="000F16EB" w:rsidP="00A7521D">
            <w:pPr>
              <w:jc w:val="center"/>
            </w:pPr>
            <w:r>
              <w:t>Number of tube passes</w:t>
            </w:r>
          </w:p>
        </w:tc>
        <w:tc>
          <w:tcPr>
            <w:tcW w:w="844" w:type="dxa"/>
          </w:tcPr>
          <w:p w14:paraId="4EFBEAC5" w14:textId="77777777" w:rsidR="000F16EB" w:rsidRDefault="000F16EB" w:rsidP="00A7521D">
            <w:pPr>
              <w:jc w:val="center"/>
            </w:pPr>
            <w:r>
              <w:t>-</w:t>
            </w:r>
          </w:p>
        </w:tc>
      </w:tr>
      <w:tr w:rsidR="000F16EB" w14:paraId="20F91281" w14:textId="77777777" w:rsidTr="00A7521D">
        <w:trPr>
          <w:jc w:val="center"/>
        </w:trPr>
        <w:tc>
          <w:tcPr>
            <w:tcW w:w="3236" w:type="dxa"/>
          </w:tcPr>
          <w:p w14:paraId="5CB11BB7" w14:textId="77777777" w:rsidR="000F16EB" w:rsidRDefault="000F16EB" w:rsidP="00A7521D">
            <w:pPr>
              <w:jc w:val="center"/>
            </w:pPr>
            <w:r>
              <w:t>Process fluid velocity</w:t>
            </w:r>
          </w:p>
        </w:tc>
        <w:tc>
          <w:tcPr>
            <w:tcW w:w="844" w:type="dxa"/>
          </w:tcPr>
          <w:p w14:paraId="11811B18" w14:textId="77777777" w:rsidR="000F16EB" w:rsidRDefault="000F16EB" w:rsidP="00A7521D">
            <w:pPr>
              <w:jc w:val="center"/>
            </w:pPr>
            <w:r>
              <w:t>m/s</w:t>
            </w:r>
          </w:p>
        </w:tc>
      </w:tr>
      <w:tr w:rsidR="000F16EB" w14:paraId="5BEB7C0E" w14:textId="77777777" w:rsidTr="00A7521D">
        <w:trPr>
          <w:jc w:val="center"/>
        </w:trPr>
        <w:tc>
          <w:tcPr>
            <w:tcW w:w="3236" w:type="dxa"/>
          </w:tcPr>
          <w:p w14:paraId="0E47ADD7" w14:textId="77777777" w:rsidR="000F16EB" w:rsidRDefault="000F16EB" w:rsidP="00A7521D">
            <w:pPr>
              <w:jc w:val="center"/>
            </w:pPr>
            <w:r>
              <w:t>Pressure drop over process fluid</w:t>
            </w:r>
          </w:p>
        </w:tc>
        <w:tc>
          <w:tcPr>
            <w:tcW w:w="844" w:type="dxa"/>
          </w:tcPr>
          <w:p w14:paraId="6EE4D5D0" w14:textId="77777777" w:rsidR="000F16EB" w:rsidRDefault="000F16EB" w:rsidP="00A7521D">
            <w:pPr>
              <w:jc w:val="center"/>
            </w:pPr>
            <w:r>
              <w:t>kPa</w:t>
            </w:r>
          </w:p>
        </w:tc>
      </w:tr>
      <w:tr w:rsidR="000F16EB" w14:paraId="7DD23E5C" w14:textId="77777777" w:rsidTr="00A7521D">
        <w:trPr>
          <w:jc w:val="center"/>
        </w:trPr>
        <w:tc>
          <w:tcPr>
            <w:tcW w:w="3236" w:type="dxa"/>
          </w:tcPr>
          <w:p w14:paraId="740309B6" w14:textId="77777777" w:rsidR="000F16EB" w:rsidRDefault="000F16EB" w:rsidP="00A7521D">
            <w:pPr>
              <w:jc w:val="center"/>
            </w:pPr>
            <w:r>
              <w:t>Available heating surface</w:t>
            </w:r>
          </w:p>
        </w:tc>
        <w:tc>
          <w:tcPr>
            <w:tcW w:w="844" w:type="dxa"/>
          </w:tcPr>
          <w:p w14:paraId="33988926" w14:textId="77777777" w:rsidR="000F16EB" w:rsidRPr="0032344E" w:rsidRDefault="000F16EB" w:rsidP="00A7521D">
            <w:pPr>
              <w:jc w:val="center"/>
            </w:pPr>
            <w:r>
              <w:t>m</w:t>
            </w:r>
            <w:r>
              <w:rPr>
                <w:vertAlign w:val="superscript"/>
              </w:rPr>
              <w:t>2</w:t>
            </w:r>
            <w:r>
              <w:t>/m</w:t>
            </w:r>
          </w:p>
        </w:tc>
      </w:tr>
      <w:tr w:rsidR="000F16EB" w14:paraId="29920517" w14:textId="77777777" w:rsidTr="00A7521D">
        <w:trPr>
          <w:jc w:val="center"/>
        </w:trPr>
        <w:tc>
          <w:tcPr>
            <w:tcW w:w="3236" w:type="dxa"/>
          </w:tcPr>
          <w:p w14:paraId="05AF3B2C" w14:textId="77777777" w:rsidR="000F16EB" w:rsidRDefault="000F16EB" w:rsidP="00A7521D">
            <w:pPr>
              <w:jc w:val="center"/>
            </w:pPr>
            <w:r>
              <w:t>Heater width</w:t>
            </w:r>
          </w:p>
        </w:tc>
        <w:tc>
          <w:tcPr>
            <w:tcW w:w="844" w:type="dxa"/>
          </w:tcPr>
          <w:p w14:paraId="2E7DC241" w14:textId="77777777" w:rsidR="000F16EB" w:rsidRDefault="000F16EB" w:rsidP="00A7521D">
            <w:pPr>
              <w:jc w:val="center"/>
            </w:pPr>
            <w:r>
              <w:t>m</w:t>
            </w:r>
          </w:p>
        </w:tc>
      </w:tr>
      <w:tr w:rsidR="000F16EB" w14:paraId="76168168" w14:textId="77777777" w:rsidTr="00A7521D">
        <w:trPr>
          <w:jc w:val="center"/>
        </w:trPr>
        <w:tc>
          <w:tcPr>
            <w:tcW w:w="3236" w:type="dxa"/>
          </w:tcPr>
          <w:p w14:paraId="61DA1626" w14:textId="77777777" w:rsidR="000F16EB" w:rsidRDefault="000F16EB" w:rsidP="00A7521D">
            <w:pPr>
              <w:jc w:val="center"/>
            </w:pPr>
            <w:r>
              <w:t>Heater height</w:t>
            </w:r>
          </w:p>
        </w:tc>
        <w:tc>
          <w:tcPr>
            <w:tcW w:w="844" w:type="dxa"/>
          </w:tcPr>
          <w:p w14:paraId="0690A4FF" w14:textId="77777777" w:rsidR="000F16EB" w:rsidRDefault="000F16EB" w:rsidP="00A7521D">
            <w:pPr>
              <w:jc w:val="center"/>
            </w:pPr>
            <w:r>
              <w:t>m</w:t>
            </w:r>
          </w:p>
        </w:tc>
      </w:tr>
      <w:tr w:rsidR="000F16EB" w14:paraId="162EE2D5" w14:textId="77777777" w:rsidTr="00A7521D">
        <w:trPr>
          <w:jc w:val="center"/>
        </w:trPr>
        <w:tc>
          <w:tcPr>
            <w:tcW w:w="3236" w:type="dxa"/>
          </w:tcPr>
          <w:p w14:paraId="586F6A84" w14:textId="77777777" w:rsidR="000F16EB" w:rsidRDefault="000F16EB" w:rsidP="00A7521D">
            <w:pPr>
              <w:jc w:val="center"/>
            </w:pPr>
            <w:r>
              <w:t>Heater length</w:t>
            </w:r>
          </w:p>
        </w:tc>
        <w:tc>
          <w:tcPr>
            <w:tcW w:w="844" w:type="dxa"/>
          </w:tcPr>
          <w:p w14:paraId="45562DFB" w14:textId="77777777" w:rsidR="000F16EB" w:rsidRPr="00CD15A3" w:rsidRDefault="000F16EB" w:rsidP="00A7521D">
            <w:pPr>
              <w:jc w:val="center"/>
            </w:pPr>
            <w:r>
              <w:t>m</w:t>
            </w:r>
          </w:p>
        </w:tc>
      </w:tr>
      <w:tr w:rsidR="000F16EB" w14:paraId="50609E9C" w14:textId="77777777" w:rsidTr="00A7521D">
        <w:trPr>
          <w:jc w:val="center"/>
        </w:trPr>
        <w:tc>
          <w:tcPr>
            <w:tcW w:w="3236" w:type="dxa"/>
          </w:tcPr>
          <w:p w14:paraId="1FC0C765" w14:textId="77777777" w:rsidR="000F16EB" w:rsidRDefault="000F16EB" w:rsidP="00A7521D">
            <w:pPr>
              <w:jc w:val="center"/>
            </w:pPr>
            <w:r>
              <w:t>Heater exposed length</w:t>
            </w:r>
          </w:p>
        </w:tc>
        <w:tc>
          <w:tcPr>
            <w:tcW w:w="844" w:type="dxa"/>
          </w:tcPr>
          <w:p w14:paraId="41AE2224" w14:textId="77777777" w:rsidR="000F16EB" w:rsidRDefault="000F16EB" w:rsidP="00A7521D">
            <w:pPr>
              <w:jc w:val="center"/>
            </w:pPr>
            <w:r>
              <w:t>m</w:t>
            </w:r>
          </w:p>
        </w:tc>
      </w:tr>
      <w:tr w:rsidR="000F16EB" w14:paraId="67E09F99" w14:textId="77777777" w:rsidTr="00A7521D">
        <w:trPr>
          <w:jc w:val="center"/>
        </w:trPr>
        <w:tc>
          <w:tcPr>
            <w:tcW w:w="3236" w:type="dxa"/>
          </w:tcPr>
          <w:p w14:paraId="25B1B737" w14:textId="77777777" w:rsidR="000F16EB" w:rsidRDefault="000F16EB" w:rsidP="00A7521D">
            <w:pPr>
              <w:jc w:val="center"/>
            </w:pPr>
            <w:r>
              <w:t>Number of tubes in the heater</w:t>
            </w:r>
          </w:p>
        </w:tc>
        <w:tc>
          <w:tcPr>
            <w:tcW w:w="844" w:type="dxa"/>
          </w:tcPr>
          <w:p w14:paraId="2DCE8C14" w14:textId="77777777" w:rsidR="000F16EB" w:rsidRDefault="000F16EB" w:rsidP="00A7521D">
            <w:pPr>
              <w:jc w:val="center"/>
            </w:pPr>
            <w:r>
              <w:t>-</w:t>
            </w:r>
          </w:p>
        </w:tc>
      </w:tr>
      <w:tr w:rsidR="000F16EB" w14:paraId="41C0F2EF" w14:textId="77777777" w:rsidTr="00A7521D">
        <w:trPr>
          <w:jc w:val="center"/>
        </w:trPr>
        <w:tc>
          <w:tcPr>
            <w:tcW w:w="3236" w:type="dxa"/>
          </w:tcPr>
          <w:p w14:paraId="2F57A399" w14:textId="77777777" w:rsidR="000F16EB" w:rsidRDefault="000F16EB" w:rsidP="00A7521D">
            <w:pPr>
              <w:jc w:val="center"/>
            </w:pPr>
            <w:r>
              <w:t>Diameter of the heater centres</w:t>
            </w:r>
          </w:p>
        </w:tc>
        <w:tc>
          <w:tcPr>
            <w:tcW w:w="844" w:type="dxa"/>
          </w:tcPr>
          <w:p w14:paraId="502BF774" w14:textId="77777777" w:rsidR="000F16EB" w:rsidRDefault="000F16EB" w:rsidP="00A7521D">
            <w:pPr>
              <w:jc w:val="center"/>
            </w:pPr>
            <w:r>
              <w:t>m</w:t>
            </w:r>
          </w:p>
        </w:tc>
      </w:tr>
      <w:tr w:rsidR="000F16EB" w14:paraId="02AE3B8F" w14:textId="77777777" w:rsidTr="00A7521D">
        <w:trPr>
          <w:jc w:val="center"/>
        </w:trPr>
        <w:tc>
          <w:tcPr>
            <w:tcW w:w="3236" w:type="dxa"/>
          </w:tcPr>
          <w:p w14:paraId="223493D7" w14:textId="77777777" w:rsidR="000F16EB" w:rsidRDefault="000F16EB" w:rsidP="00A7521D">
            <w:pPr>
              <w:jc w:val="center"/>
            </w:pPr>
            <w:r>
              <w:t>Number of shield tubes</w:t>
            </w:r>
          </w:p>
        </w:tc>
        <w:tc>
          <w:tcPr>
            <w:tcW w:w="844" w:type="dxa"/>
          </w:tcPr>
          <w:p w14:paraId="561870DA" w14:textId="77777777" w:rsidR="000F16EB" w:rsidRDefault="000F16EB" w:rsidP="00A7521D">
            <w:pPr>
              <w:jc w:val="center"/>
            </w:pPr>
            <w:r>
              <w:t>-</w:t>
            </w:r>
          </w:p>
        </w:tc>
      </w:tr>
      <w:tr w:rsidR="000F16EB" w14:paraId="3E5DA57F" w14:textId="77777777" w:rsidTr="00A7521D">
        <w:trPr>
          <w:jc w:val="center"/>
        </w:trPr>
        <w:tc>
          <w:tcPr>
            <w:tcW w:w="3236" w:type="dxa"/>
          </w:tcPr>
          <w:p w14:paraId="712F80B0" w14:textId="77777777" w:rsidR="000F16EB" w:rsidRDefault="000F16EB" w:rsidP="00A7521D">
            <w:pPr>
              <w:jc w:val="center"/>
            </w:pPr>
            <w:r>
              <w:t>Tube bank type</w:t>
            </w:r>
          </w:p>
        </w:tc>
        <w:tc>
          <w:tcPr>
            <w:tcW w:w="844" w:type="dxa"/>
          </w:tcPr>
          <w:p w14:paraId="4668D26E" w14:textId="77777777" w:rsidR="000F16EB" w:rsidRDefault="000F16EB" w:rsidP="00A7521D">
            <w:pPr>
              <w:jc w:val="center"/>
            </w:pPr>
            <w:r>
              <w:t>-</w:t>
            </w:r>
          </w:p>
        </w:tc>
      </w:tr>
      <w:tr w:rsidR="000F16EB" w14:paraId="7F785203" w14:textId="77777777" w:rsidTr="00A7521D">
        <w:trPr>
          <w:jc w:val="center"/>
        </w:trPr>
        <w:tc>
          <w:tcPr>
            <w:tcW w:w="3236" w:type="dxa"/>
          </w:tcPr>
          <w:p w14:paraId="29A2C351" w14:textId="77777777" w:rsidR="000F16EB" w:rsidRDefault="000F16EB" w:rsidP="00A7521D">
            <w:pPr>
              <w:jc w:val="center"/>
            </w:pPr>
            <w:r>
              <w:t>Spacing between tubes</w:t>
            </w:r>
          </w:p>
        </w:tc>
        <w:tc>
          <w:tcPr>
            <w:tcW w:w="844" w:type="dxa"/>
          </w:tcPr>
          <w:p w14:paraId="642BCD85" w14:textId="77777777" w:rsidR="000F16EB" w:rsidRDefault="000F16EB" w:rsidP="00A7521D">
            <w:pPr>
              <w:jc w:val="center"/>
            </w:pPr>
            <w:r>
              <w:t>m</w:t>
            </w:r>
          </w:p>
        </w:tc>
      </w:tr>
    </w:tbl>
    <w:p w14:paraId="45EF301B" w14:textId="77777777" w:rsidR="000F16EB" w:rsidRDefault="000F16EB" w:rsidP="00196CD6">
      <w:pPr>
        <w:pStyle w:val="NoSpacing"/>
      </w:pPr>
    </w:p>
    <w:p w14:paraId="04154EC2" w14:textId="77777777" w:rsidR="000F16EB" w:rsidRDefault="000F16EB" w:rsidP="000F16EB">
      <w:r>
        <w:t xml:space="preserve">The modelling work started by calculating the temperatures, HT SA, and rates of various parts of the FH. A firebox temperature was assumed and was used to calculate both the net heat of combustion and a new firebox temperature, in an iterative manner. The confirmed firebox temperature allowed the HT rates of both the radiant and convection sections of the FH to be calculated. The heat release and temperatures in the stack were calculated, which were used to calculate the overall HTC. Finally, the overall HT SA of the heater, the size of the heater, and the pressure drop in the heater were calculated. </w:t>
      </w:r>
    </w:p>
    <w:p w14:paraId="407B1EE0" w14:textId="77777777" w:rsidR="000F16EB" w:rsidRDefault="000F16EB" w:rsidP="000F16EB">
      <w:r>
        <w:t>Graphs were automated to find values for the following the partial pressure in the furnace, the firebox emissivity, the calculated firebox temperature, the stack temperatures, and a variety of factors and coefficients.</w:t>
      </w:r>
    </w:p>
    <w:p w14:paraId="4E5C4C45" w14:textId="77777777" w:rsidR="000F16EB" w:rsidRDefault="000F16EB" w:rsidP="000F16EB">
      <w:pPr>
        <w:pStyle w:val="Heading4"/>
      </w:pPr>
      <w:bookmarkStart w:id="580" w:name="_Ref531344267"/>
      <w:bookmarkStart w:id="581" w:name="_Ref531345458"/>
      <w:bookmarkStart w:id="582" w:name="_Toc7187529"/>
      <w:r>
        <w:t>Organic Rankine Cycle</w:t>
      </w:r>
      <w:bookmarkEnd w:id="580"/>
      <w:bookmarkEnd w:id="581"/>
      <w:bookmarkEnd w:id="582"/>
    </w:p>
    <w:p w14:paraId="45E6C530" w14:textId="285FD91F" w:rsidR="000F16EB" w:rsidRDefault="000F16EB" w:rsidP="000F16EB">
      <w:r>
        <w:t xml:space="preserve">The equations used in the modelling of an ORC came from Tufts University </w:t>
      </w:r>
      <w:r>
        <w:fldChar w:fldCharType="begin" w:fldLock="1"/>
      </w:r>
      <w:r>
        <w:instrText>ADDIN CSL_CITATION {"citationItems":[{"id":"ITEM-1","itemData":{"author":[{"dropping-particle":"","family":"Tufts University","given":"","non-dropping-particle":"","parse-names":false,"suffix":""}],"id":"ITEM-1","issued":{"date-parts":[["2003"]]},"publisher-place":"Boston, America","title":"Ideal Rankine Cycle","type":"report"},"uris":["http://www.mendeley.com/documents/?uuid=f9f1c635-9422-4698-9dba-519f4f21972b"]}],"mendeley":{"formattedCitation":"(Tufts University, 2003)","plainTextFormattedCitation":"(Tufts University, 2003)","previouslyFormattedCitation":"(Tufts University, 2003)"},"properties":{"noteIndex":0},"schema":"https://github.com/citation-style-language/schema/raw/master/csl-citation.json"}</w:instrText>
      </w:r>
      <w:r>
        <w:fldChar w:fldCharType="separate"/>
      </w:r>
      <w:r w:rsidRPr="00E7695A">
        <w:rPr>
          <w:noProof/>
        </w:rPr>
        <w:t>(Tufts University, 2003)</w:t>
      </w:r>
      <w:r>
        <w:fldChar w:fldCharType="end"/>
      </w:r>
      <w:r>
        <w:t xml:space="preserve">. The list of equations is shown in its entirety in Appendix </w:t>
      </w:r>
      <w:r w:rsidR="00826452">
        <w:fldChar w:fldCharType="begin"/>
      </w:r>
      <w:r w:rsidR="00826452">
        <w:instrText xml:space="preserve"> REF _Ref531344108 \n \h </w:instrText>
      </w:r>
      <w:r w:rsidR="00826452">
        <w:fldChar w:fldCharType="separate"/>
      </w:r>
      <w:r w:rsidR="00CB7456">
        <w:t>13.8</w:t>
      </w:r>
      <w:r w:rsidR="00826452">
        <w:fldChar w:fldCharType="end"/>
      </w:r>
      <w:r>
        <w:t xml:space="preserve">. The enthalpy and entropy values were calculated using a piece of software developed by the National Institute of Standards and Technology (NIST) </w:t>
      </w:r>
      <w:r>
        <w:fldChar w:fldCharType="begin" w:fldLock="1"/>
      </w:r>
      <w:r>
        <w:instrText>ADDIN CSL_CITATION {"citationItems":[{"id":"ITEM-1","itemData":{"author":[{"dropping-particle":"","family":"NIST","given":"","non-dropping-particle":"","parse-names":false,"suffix":""}],"id":"ITEM-1","issued":{"date-parts":[["2018"]]},"number":"10","publisher":"National Institute of Standards and Technology","publisher-place":"Gaithersburg, America","title":"Reference Fluid Thermodynamic and Transport Properties Database (REFPROP): Version 10","type":"article"},"uris":["http://www.mendeley.com/documents/?uuid=5f4ec186-2f8a-4278-adf5-ebbee933dfad"]}],"mendeley":{"formattedCitation":"(NIST, 2018)","plainTextFormattedCitation":"(NIST, 2018)","previouslyFormattedCitation":"(NIST, 2018)"},"properties":{"noteIndex":0},"schema":"https://github.com/citation-style-language/schema/raw/master/csl-citation.json"}</w:instrText>
      </w:r>
      <w:r>
        <w:fldChar w:fldCharType="separate"/>
      </w:r>
      <w:r w:rsidRPr="00E7695A">
        <w:rPr>
          <w:noProof/>
        </w:rPr>
        <w:t>(NIST, 2018)</w:t>
      </w:r>
      <w:r>
        <w:fldChar w:fldCharType="end"/>
      </w:r>
      <w:r>
        <w:t xml:space="preserve">. A number of inputs were needed, as shown in </w:t>
      </w:r>
      <w:r>
        <w:fldChar w:fldCharType="begin"/>
      </w:r>
      <w:r>
        <w:instrText xml:space="preserve"> REF _Ref524965811 \h </w:instrText>
      </w:r>
      <w:r>
        <w:fldChar w:fldCharType="separate"/>
      </w:r>
      <w:r w:rsidR="00CB7456">
        <w:t xml:space="preserve">Table </w:t>
      </w:r>
      <w:r w:rsidR="00CB7456">
        <w:rPr>
          <w:noProof/>
        </w:rPr>
        <w:t>5</w:t>
      </w:r>
      <w:r w:rsidR="00CB7456">
        <w:t>.</w:t>
      </w:r>
      <w:r w:rsidR="00CB7456">
        <w:rPr>
          <w:noProof/>
        </w:rPr>
        <w:t>5</w:t>
      </w:r>
      <w:r>
        <w:fldChar w:fldCharType="end"/>
      </w:r>
      <w:r>
        <w:t xml:space="preserve">. The ORC cycle model was based around the cycle of a traditional RC, as shown in </w:t>
      </w:r>
      <w:r>
        <w:fldChar w:fldCharType="begin"/>
      </w:r>
      <w:r>
        <w:instrText xml:space="preserve"> REF _Ref525663469 \h </w:instrText>
      </w:r>
      <w:r>
        <w:fldChar w:fldCharType="separate"/>
      </w:r>
      <w:r w:rsidR="00CB7456">
        <w:t xml:space="preserve">Figure </w:t>
      </w:r>
      <w:r w:rsidR="00CB7456">
        <w:rPr>
          <w:noProof/>
        </w:rPr>
        <w:t>5</w:t>
      </w:r>
      <w:r w:rsidR="00CB7456">
        <w:t>.</w:t>
      </w:r>
      <w:r w:rsidR="00CB7456">
        <w:rPr>
          <w:noProof/>
        </w:rPr>
        <w:t>1</w:t>
      </w:r>
      <w:r>
        <w:fldChar w:fldCharType="end"/>
      </w:r>
      <w:r>
        <w:t xml:space="preserve">. </w:t>
      </w:r>
    </w:p>
    <w:p w14:paraId="41279F46" w14:textId="4940EDE6" w:rsidR="000F16EB" w:rsidRDefault="000F16EB" w:rsidP="000F16EB">
      <w:pPr>
        <w:pStyle w:val="Caption"/>
        <w:keepNext/>
      </w:pPr>
      <w:bookmarkStart w:id="583" w:name="_Ref524965811"/>
      <w:bookmarkStart w:id="584" w:name="_Toc525230132"/>
      <w:bookmarkStart w:id="585" w:name="_Toc7187686"/>
      <w:r>
        <w:lastRenderedPageBreak/>
        <w:t xml:space="preserve">Table </w:t>
      </w:r>
      <w:fldSimple w:instr=" STYLEREF 1 \s ">
        <w:r w:rsidR="00CB7456">
          <w:rPr>
            <w:noProof/>
          </w:rPr>
          <w:t>5</w:t>
        </w:r>
      </w:fldSimple>
      <w:r w:rsidR="009E1A67">
        <w:t>.</w:t>
      </w:r>
      <w:fldSimple w:instr=" SEQ Table \* ARABIC \s 1 ">
        <w:r w:rsidR="00CB7456">
          <w:rPr>
            <w:noProof/>
          </w:rPr>
          <w:t>5</w:t>
        </w:r>
      </w:fldSimple>
      <w:bookmarkEnd w:id="583"/>
      <w:r>
        <w:t>: Inputs needed for the modelling of an ORC.</w:t>
      </w:r>
      <w:bookmarkEnd w:id="584"/>
      <w:bookmarkEnd w:id="585"/>
    </w:p>
    <w:tbl>
      <w:tblPr>
        <w:tblStyle w:val="TableGrid"/>
        <w:tblW w:w="5352" w:type="dxa"/>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4"/>
        <w:gridCol w:w="1088"/>
      </w:tblGrid>
      <w:tr w:rsidR="000F16EB" w14:paraId="347C4919" w14:textId="77777777" w:rsidTr="00A7521D">
        <w:trPr>
          <w:jc w:val="center"/>
        </w:trPr>
        <w:tc>
          <w:tcPr>
            <w:tcW w:w="4264" w:type="dxa"/>
            <w:tcBorders>
              <w:bottom w:val="single" w:sz="4" w:space="0" w:color="auto"/>
            </w:tcBorders>
          </w:tcPr>
          <w:p w14:paraId="28161C4B" w14:textId="77777777" w:rsidR="000F16EB" w:rsidRDefault="000F16EB" w:rsidP="00A7521D">
            <w:pPr>
              <w:jc w:val="center"/>
            </w:pPr>
            <w:r>
              <w:t>Input</w:t>
            </w:r>
          </w:p>
        </w:tc>
        <w:tc>
          <w:tcPr>
            <w:tcW w:w="1088" w:type="dxa"/>
            <w:tcBorders>
              <w:bottom w:val="single" w:sz="4" w:space="0" w:color="auto"/>
            </w:tcBorders>
          </w:tcPr>
          <w:p w14:paraId="7348373E" w14:textId="77777777" w:rsidR="000F16EB" w:rsidRDefault="000F16EB" w:rsidP="00A7521D">
            <w:pPr>
              <w:jc w:val="center"/>
            </w:pPr>
            <w:r>
              <w:t>Units</w:t>
            </w:r>
          </w:p>
        </w:tc>
      </w:tr>
      <w:tr w:rsidR="000F16EB" w14:paraId="37CC015C" w14:textId="77777777" w:rsidTr="00A7521D">
        <w:trPr>
          <w:jc w:val="center"/>
        </w:trPr>
        <w:tc>
          <w:tcPr>
            <w:tcW w:w="4264" w:type="dxa"/>
            <w:tcBorders>
              <w:top w:val="single" w:sz="4" w:space="0" w:color="auto"/>
              <w:bottom w:val="nil"/>
            </w:tcBorders>
          </w:tcPr>
          <w:p w14:paraId="1F0D1C6D" w14:textId="77777777" w:rsidR="000F16EB" w:rsidRDefault="000F16EB" w:rsidP="00A7521D">
            <w:pPr>
              <w:jc w:val="center"/>
            </w:pPr>
            <w:r>
              <w:t>Working fluid</w:t>
            </w:r>
          </w:p>
        </w:tc>
        <w:tc>
          <w:tcPr>
            <w:tcW w:w="1088" w:type="dxa"/>
            <w:tcBorders>
              <w:top w:val="single" w:sz="4" w:space="0" w:color="auto"/>
              <w:bottom w:val="nil"/>
            </w:tcBorders>
          </w:tcPr>
          <w:p w14:paraId="55083AFE" w14:textId="77777777" w:rsidR="000F16EB" w:rsidRPr="0032344E" w:rsidRDefault="000F16EB" w:rsidP="00A7521D">
            <w:pPr>
              <w:jc w:val="center"/>
            </w:pPr>
            <w:r>
              <w:t>-</w:t>
            </w:r>
          </w:p>
        </w:tc>
      </w:tr>
      <w:tr w:rsidR="000F16EB" w14:paraId="58E4BE5C" w14:textId="77777777" w:rsidTr="00A7521D">
        <w:trPr>
          <w:jc w:val="center"/>
        </w:trPr>
        <w:tc>
          <w:tcPr>
            <w:tcW w:w="4264" w:type="dxa"/>
            <w:tcBorders>
              <w:top w:val="nil"/>
            </w:tcBorders>
          </w:tcPr>
          <w:p w14:paraId="285CED28" w14:textId="77777777" w:rsidR="000F16EB" w:rsidRDefault="000F16EB" w:rsidP="00A7521D">
            <w:pPr>
              <w:jc w:val="center"/>
            </w:pPr>
            <w:r>
              <w:t>Pressure leaving the boiler</w:t>
            </w:r>
          </w:p>
        </w:tc>
        <w:tc>
          <w:tcPr>
            <w:tcW w:w="1088" w:type="dxa"/>
            <w:tcBorders>
              <w:top w:val="nil"/>
            </w:tcBorders>
          </w:tcPr>
          <w:p w14:paraId="1002DCFE" w14:textId="77777777" w:rsidR="000F16EB" w:rsidRDefault="000F16EB" w:rsidP="00A7521D">
            <w:pPr>
              <w:jc w:val="center"/>
            </w:pPr>
            <w:r>
              <w:t>kPa</w:t>
            </w:r>
          </w:p>
        </w:tc>
      </w:tr>
      <w:tr w:rsidR="000F16EB" w14:paraId="1A53C1E4" w14:textId="77777777" w:rsidTr="00A7521D">
        <w:trPr>
          <w:jc w:val="center"/>
        </w:trPr>
        <w:tc>
          <w:tcPr>
            <w:tcW w:w="4264" w:type="dxa"/>
            <w:tcBorders>
              <w:top w:val="nil"/>
            </w:tcBorders>
          </w:tcPr>
          <w:p w14:paraId="5A67B134" w14:textId="77777777" w:rsidR="000F16EB" w:rsidRDefault="000F16EB" w:rsidP="00A7521D">
            <w:pPr>
              <w:jc w:val="center"/>
            </w:pPr>
            <w:r>
              <w:t>Temperature leaving the boiler</w:t>
            </w:r>
          </w:p>
        </w:tc>
        <w:tc>
          <w:tcPr>
            <w:tcW w:w="1088" w:type="dxa"/>
            <w:tcBorders>
              <w:top w:val="nil"/>
            </w:tcBorders>
          </w:tcPr>
          <w:p w14:paraId="5705F34D" w14:textId="77777777" w:rsidR="000F16EB" w:rsidRDefault="000F16EB" w:rsidP="00A7521D">
            <w:pPr>
              <w:jc w:val="center"/>
            </w:pPr>
            <w:r>
              <w:t>K</w:t>
            </w:r>
          </w:p>
        </w:tc>
      </w:tr>
      <w:tr w:rsidR="000F16EB" w14:paraId="3882901E" w14:textId="77777777" w:rsidTr="00A7521D">
        <w:trPr>
          <w:jc w:val="center"/>
        </w:trPr>
        <w:tc>
          <w:tcPr>
            <w:tcW w:w="4264" w:type="dxa"/>
            <w:tcBorders>
              <w:top w:val="nil"/>
            </w:tcBorders>
          </w:tcPr>
          <w:p w14:paraId="1A421768" w14:textId="77777777" w:rsidR="000F16EB" w:rsidRDefault="000F16EB" w:rsidP="00A7521D">
            <w:pPr>
              <w:jc w:val="center"/>
            </w:pPr>
            <w:r>
              <w:t>Pressure leaving the turbine</w:t>
            </w:r>
          </w:p>
        </w:tc>
        <w:tc>
          <w:tcPr>
            <w:tcW w:w="1088" w:type="dxa"/>
            <w:tcBorders>
              <w:top w:val="nil"/>
            </w:tcBorders>
          </w:tcPr>
          <w:p w14:paraId="7488A082" w14:textId="77777777" w:rsidR="000F16EB" w:rsidRDefault="000F16EB" w:rsidP="00A7521D">
            <w:pPr>
              <w:jc w:val="center"/>
            </w:pPr>
            <w:r>
              <w:t>kPa</w:t>
            </w:r>
          </w:p>
        </w:tc>
      </w:tr>
      <w:tr w:rsidR="000F16EB" w14:paraId="4BCEE621" w14:textId="77777777" w:rsidTr="00A7521D">
        <w:trPr>
          <w:jc w:val="center"/>
        </w:trPr>
        <w:tc>
          <w:tcPr>
            <w:tcW w:w="4264" w:type="dxa"/>
          </w:tcPr>
          <w:p w14:paraId="03DF902A" w14:textId="77777777" w:rsidR="000F16EB" w:rsidRDefault="000F16EB" w:rsidP="00A7521D">
            <w:pPr>
              <w:jc w:val="center"/>
            </w:pPr>
            <w:r>
              <w:t>Mass flowrate of the condenser fluid</w:t>
            </w:r>
          </w:p>
        </w:tc>
        <w:tc>
          <w:tcPr>
            <w:tcW w:w="1088" w:type="dxa"/>
          </w:tcPr>
          <w:p w14:paraId="32AA56C1" w14:textId="77777777" w:rsidR="000F16EB" w:rsidRDefault="000F16EB" w:rsidP="00A7521D">
            <w:pPr>
              <w:jc w:val="center"/>
            </w:pPr>
            <w:r>
              <w:t>kg/s</w:t>
            </w:r>
          </w:p>
        </w:tc>
      </w:tr>
      <w:tr w:rsidR="000F16EB" w:rsidRPr="00EB023B" w14:paraId="1DC63EAB" w14:textId="77777777" w:rsidTr="00A7521D">
        <w:trPr>
          <w:jc w:val="center"/>
        </w:trPr>
        <w:tc>
          <w:tcPr>
            <w:tcW w:w="4264" w:type="dxa"/>
          </w:tcPr>
          <w:p w14:paraId="5B5F6CC8" w14:textId="77777777" w:rsidR="000F16EB" w:rsidRDefault="000F16EB" w:rsidP="00A7521D">
            <w:pPr>
              <w:jc w:val="center"/>
            </w:pPr>
            <w:r>
              <w:t>Specific heat capacity of the condenser fluid</w:t>
            </w:r>
          </w:p>
        </w:tc>
        <w:tc>
          <w:tcPr>
            <w:tcW w:w="1088" w:type="dxa"/>
          </w:tcPr>
          <w:p w14:paraId="76DD2AF7" w14:textId="77777777" w:rsidR="000F16EB" w:rsidRDefault="000F16EB" w:rsidP="00A7521D">
            <w:pPr>
              <w:jc w:val="center"/>
            </w:pPr>
            <w:r>
              <w:t>kJ/(</w:t>
            </w:r>
            <w:proofErr w:type="spellStart"/>
            <w:r>
              <w:t>kgK</w:t>
            </w:r>
            <w:proofErr w:type="spellEnd"/>
            <w:r>
              <w:t>)</w:t>
            </w:r>
          </w:p>
        </w:tc>
      </w:tr>
      <w:tr w:rsidR="000F16EB" w:rsidRPr="00EB023B" w14:paraId="464EC162" w14:textId="77777777" w:rsidTr="00A7521D">
        <w:trPr>
          <w:jc w:val="center"/>
        </w:trPr>
        <w:tc>
          <w:tcPr>
            <w:tcW w:w="4264" w:type="dxa"/>
          </w:tcPr>
          <w:p w14:paraId="595EE030" w14:textId="77777777" w:rsidR="000F16EB" w:rsidRDefault="000F16EB" w:rsidP="00A7521D">
            <w:pPr>
              <w:jc w:val="center"/>
            </w:pPr>
            <w:r>
              <w:t>Power generated in the condenser</w:t>
            </w:r>
          </w:p>
        </w:tc>
        <w:tc>
          <w:tcPr>
            <w:tcW w:w="1088" w:type="dxa"/>
          </w:tcPr>
          <w:p w14:paraId="27CB88E0" w14:textId="77777777" w:rsidR="000F16EB" w:rsidRDefault="000F16EB" w:rsidP="00A7521D">
            <w:pPr>
              <w:jc w:val="center"/>
            </w:pPr>
            <w:r>
              <w:t>MW</w:t>
            </w:r>
          </w:p>
        </w:tc>
      </w:tr>
    </w:tbl>
    <w:p w14:paraId="565D956E" w14:textId="77777777" w:rsidR="000F16EB" w:rsidRDefault="000F16EB" w:rsidP="00196CD6">
      <w:pPr>
        <w:pStyle w:val="NoSpacing"/>
      </w:pPr>
    </w:p>
    <w:p w14:paraId="5F3A8C14" w14:textId="77777777" w:rsidR="000F16EB" w:rsidRDefault="000F16EB" w:rsidP="000F16EB">
      <w:pPr>
        <w:keepNext/>
        <w:jc w:val="center"/>
      </w:pPr>
      <w:r>
        <w:rPr>
          <w:noProof/>
        </w:rPr>
        <w:drawing>
          <wp:inline distT="0" distB="0" distL="0" distR="0" wp14:anchorId="020163CA" wp14:editId="0A5DEBAB">
            <wp:extent cx="3167380" cy="2038562"/>
            <wp:effectExtent l="19050" t="19050" r="13970" b="19050"/>
            <wp:docPr id="16" name="Picture 1">
              <a:extLst xmlns:a="http://schemas.openxmlformats.org/drawingml/2006/main">
                <a:ext uri="{FF2B5EF4-FFF2-40B4-BE49-F238E27FC236}">
                  <a16:creationId xmlns:a16="http://schemas.microsoft.com/office/drawing/2014/main" id="{3ED3D087-E4C3-44BF-BD61-81C31912C27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3ED3D087-E4C3-44BF-BD61-81C31912C273}"/>
                        </a:ext>
                      </a:extLst>
                    </pic:cNvPr>
                    <pic:cNvPicPr>
                      <a:picLocks noChangeAspect="1"/>
                    </pic:cNvPicPr>
                  </pic:nvPicPr>
                  <pic:blipFill>
                    <a:blip r:embed="rId36"/>
                    <a:stretch>
                      <a:fillRect/>
                    </a:stretch>
                  </pic:blipFill>
                  <pic:spPr>
                    <a:xfrm>
                      <a:off x="0" y="0"/>
                      <a:ext cx="3179580" cy="2046414"/>
                    </a:xfrm>
                    <a:prstGeom prst="rect">
                      <a:avLst/>
                    </a:prstGeom>
                    <a:ln>
                      <a:solidFill>
                        <a:schemeClr val="tx1"/>
                      </a:solidFill>
                    </a:ln>
                  </pic:spPr>
                </pic:pic>
              </a:graphicData>
            </a:graphic>
          </wp:inline>
        </w:drawing>
      </w:r>
    </w:p>
    <w:p w14:paraId="641CC36A" w14:textId="3D714736" w:rsidR="000F16EB" w:rsidRDefault="000F16EB" w:rsidP="000F16EB">
      <w:pPr>
        <w:pStyle w:val="Caption"/>
      </w:pPr>
      <w:bookmarkStart w:id="586" w:name="_Ref525663469"/>
      <w:bookmarkStart w:id="587" w:name="_Toc525230089"/>
      <w:bookmarkStart w:id="588" w:name="_Toc7187637"/>
      <w:r>
        <w:t xml:space="preserve">Figure </w:t>
      </w:r>
      <w:fldSimple w:instr=" STYLEREF 1 \s ">
        <w:r w:rsidR="00CB7456">
          <w:rPr>
            <w:noProof/>
          </w:rPr>
          <w:t>5</w:t>
        </w:r>
      </w:fldSimple>
      <w:r w:rsidR="007B29C3">
        <w:t>.</w:t>
      </w:r>
      <w:fldSimple w:instr=" SEQ Figure \* ARABIC \s 1 ">
        <w:r w:rsidR="00CB7456">
          <w:rPr>
            <w:noProof/>
          </w:rPr>
          <w:t>1</w:t>
        </w:r>
      </w:fldSimple>
      <w:bookmarkEnd w:id="586"/>
      <w:r>
        <w:rPr>
          <w:noProof/>
        </w:rPr>
        <w:t>:</w:t>
      </w:r>
      <w:r>
        <w:t xml:space="preserve"> Operating cycle of a traditional RC </w:t>
      </w:r>
      <w:r w:rsidRPr="009F17AA">
        <w:fldChar w:fldCharType="begin" w:fldLock="1"/>
      </w:r>
      <w:r>
        <w:instrText>ADDIN CSL_CITATION {"citationItems":[{"id":"ITEM-1","itemData":{"author":[{"dropping-particle":"","family":"Tufts University","given":"","non-dropping-particle":"","parse-names":false,"suffix":""}],"id":"ITEM-1","issued":{"date-parts":[["2003"]]},"publisher-place":"Boston, America","title":"Ideal Rankine Cycle","type":"report"},"uris":["http://www.mendeley.com/documents/?uuid=f9f1c635-9422-4698-9dba-519f4f21972b"]}],"mendeley":{"formattedCitation":"(Tufts University, 2003)","plainTextFormattedCitation":"(Tufts University, 2003)","previouslyFormattedCitation":"(Tufts University, 2003)"},"properties":{"noteIndex":0},"schema":"https://github.com/citation-style-language/schema/raw/master/csl-citation.json"}</w:instrText>
      </w:r>
      <w:r w:rsidRPr="009F17AA">
        <w:fldChar w:fldCharType="separate"/>
      </w:r>
      <w:r w:rsidRPr="009F17AA">
        <w:rPr>
          <w:noProof/>
        </w:rPr>
        <w:t>(Tufts University, 2003)</w:t>
      </w:r>
      <w:r w:rsidRPr="009F17AA">
        <w:fldChar w:fldCharType="end"/>
      </w:r>
      <w:r w:rsidRPr="009F17AA">
        <w:t>.</w:t>
      </w:r>
      <w:bookmarkEnd w:id="587"/>
      <w:bookmarkEnd w:id="588"/>
    </w:p>
    <w:p w14:paraId="3E81A5C8" w14:textId="77777777" w:rsidR="000F16EB" w:rsidRDefault="000F16EB" w:rsidP="000F16EB">
      <w:r>
        <w:t>As the choice of the working fluid and the pressure and temperature of the superheated vapour, in state 3, were known, the specific enthalpy and entropy of the vapour could be calculated. Similarly, as the temperature leaving the turbine was known, the liquid, vapour, and specific enthalpies and entropies at state four could be calculated. The specific enthalpy of the saturated liquid was the same as the liquid enthalpy of state 3, allowing the density of the saturated liquid to be calculated. All of the calculations shown thus far allowed the work done by the pump and generated by the turbine to be calculated.</w:t>
      </w:r>
    </w:p>
    <w:p w14:paraId="0EC1AF31" w14:textId="7E7F51F8" w:rsidR="000F16EB" w:rsidRDefault="000F16EB" w:rsidP="000F16EB">
      <w:r>
        <w:t xml:space="preserve">Enthalpy and entropy data </w:t>
      </w:r>
      <w:r w:rsidR="00826452">
        <w:t>were</w:t>
      </w:r>
      <w:r>
        <w:t xml:space="preserve"> taken from graphs generated in NIST software and used to generate a series of regression models in Excel. The curves were plotted at a variety of different temperatures and pressures, allowing the enthalpies and entropies to be calculated under any condition.</w:t>
      </w:r>
    </w:p>
    <w:p w14:paraId="376AB3DB" w14:textId="77777777" w:rsidR="000F16EB" w:rsidRDefault="000F16EB" w:rsidP="000F16EB">
      <w:pPr>
        <w:pStyle w:val="Heading4"/>
      </w:pPr>
      <w:bookmarkStart w:id="589" w:name="_Ref531345430"/>
      <w:bookmarkStart w:id="590" w:name="_Toc7187530"/>
      <w:r>
        <w:t>Boiler</w:t>
      </w:r>
      <w:bookmarkEnd w:id="589"/>
      <w:bookmarkEnd w:id="590"/>
    </w:p>
    <w:p w14:paraId="1382B639" w14:textId="63A5BEAE" w:rsidR="000F16EB" w:rsidRDefault="000F16EB" w:rsidP="000F16EB">
      <w:r>
        <w:t>The calculation used for the modelling of a boiler is identical to the calculation used for a FH</w:t>
      </w:r>
      <w:r w:rsidR="00826452">
        <w:t xml:space="preserve">, as shown in section </w:t>
      </w:r>
      <w:r w:rsidR="00826452">
        <w:fldChar w:fldCharType="begin"/>
      </w:r>
      <w:r w:rsidR="00826452">
        <w:instrText xml:space="preserve"> REF _Ref531344163 \n \h </w:instrText>
      </w:r>
      <w:r w:rsidR="00826452">
        <w:fldChar w:fldCharType="separate"/>
      </w:r>
      <w:r w:rsidR="00CB7456">
        <w:t>5.1.1.5</w:t>
      </w:r>
      <w:r w:rsidR="00826452">
        <w:fldChar w:fldCharType="end"/>
      </w:r>
      <w:r>
        <w:t>. The only difference is that some of the inputs came directly from the ORC calculation. The inputs that came directly from the ORC calculations were the input and output temperature and the maximum pressure drop.</w:t>
      </w:r>
    </w:p>
    <w:p w14:paraId="18955E22" w14:textId="77777777" w:rsidR="000F16EB" w:rsidRDefault="000F16EB" w:rsidP="000F16EB">
      <w:pPr>
        <w:pStyle w:val="Heading4"/>
      </w:pPr>
      <w:bookmarkStart w:id="591" w:name="_Ref531345485"/>
      <w:bookmarkStart w:id="592" w:name="_Toc7187531"/>
      <w:r>
        <w:t>Condenser</w:t>
      </w:r>
      <w:bookmarkEnd w:id="591"/>
      <w:bookmarkEnd w:id="592"/>
    </w:p>
    <w:p w14:paraId="35490562" w14:textId="09193CE2" w:rsidR="000F16EB" w:rsidRDefault="000F16EB" w:rsidP="000F16EB">
      <w:r>
        <w:t xml:space="preserve">The equations used in the modelling of a condenser came from chapter 12.10 of Coulson and Richardson's Chemical Engineering Volume 6 - Chemical Engineering Design </w:t>
      </w:r>
      <w:r>
        <w:fldChar w:fldCharType="begin" w:fldLock="1"/>
      </w:r>
      <w:r w:rsidR="002A6A73">
        <w:instrText>ADDIN CSL_CITATION {"citationItems":[{"id":"ITEM-1","itemData":{"ISBN":"978-0-7506-6538-4","author":[{"dropping-particle":"","family":"Sinnott","given":"R.K.","non-dropping-particle":"","parse-names":false,"suffix":""}],"edition":"4","editor":[{"dropping-particle":"","family":"Sinnott","given":"R.K.","non-dropping-particle":"","parse-names":false,"suffix":""}],"id":"ITEM-1","issued":{"date-parts":[["2005"]]},"publisher":"Elsevier","title":"Coulson and Richardson's Chemical Engineering","type":"book"},"uris":["http://www.mendeley.com/documents/?uuid=d0a6e441-266f-4735-8bef-cd146e7cff7f"]}],"mendeley":{"formattedCitation":"(Sinnott, 2005a)","plainTextFormattedCitation":"(Sinnott, 2005a)","previouslyFormattedCitation":"(Sinnott, 2005a)"},"properties":{"noteIndex":0},"schema":"https://github.com/citation-style-language/schema/raw/master/csl-citation.json"}</w:instrText>
      </w:r>
      <w:r>
        <w:fldChar w:fldCharType="separate"/>
      </w:r>
      <w:r w:rsidR="002A6A73" w:rsidRPr="002A6A73">
        <w:rPr>
          <w:noProof/>
        </w:rPr>
        <w:t>(Sinnott, 2005a)</w:t>
      </w:r>
      <w:r>
        <w:fldChar w:fldCharType="end"/>
      </w:r>
      <w:r>
        <w:t xml:space="preserve">. The list of equations is shown in its entirety in Appendix </w:t>
      </w:r>
      <w:r w:rsidR="00826452">
        <w:fldChar w:fldCharType="begin"/>
      </w:r>
      <w:r w:rsidR="00826452">
        <w:instrText xml:space="preserve"> REF _Ref531344136 \n \h </w:instrText>
      </w:r>
      <w:r w:rsidR="00826452">
        <w:fldChar w:fldCharType="separate"/>
      </w:r>
      <w:r w:rsidR="00CB7456">
        <w:t>13.9</w:t>
      </w:r>
      <w:r w:rsidR="00826452">
        <w:fldChar w:fldCharType="end"/>
      </w:r>
      <w:r>
        <w:t xml:space="preserve">. A list of inputs </w:t>
      </w:r>
      <w:r w:rsidR="00826452">
        <w:t>was</w:t>
      </w:r>
      <w:r>
        <w:t xml:space="preserve"> needed in the work, as shown in </w:t>
      </w:r>
      <w:r>
        <w:fldChar w:fldCharType="begin"/>
      </w:r>
      <w:r>
        <w:instrText xml:space="preserve"> REF _Ref525138261 \h </w:instrText>
      </w:r>
      <w:r>
        <w:fldChar w:fldCharType="separate"/>
      </w:r>
      <w:r w:rsidR="00CB7456">
        <w:t xml:space="preserve">Table </w:t>
      </w:r>
      <w:r w:rsidR="00CB7456">
        <w:rPr>
          <w:noProof/>
        </w:rPr>
        <w:t>5</w:t>
      </w:r>
      <w:r w:rsidR="00CB7456">
        <w:t>.</w:t>
      </w:r>
      <w:r w:rsidR="00CB7456">
        <w:rPr>
          <w:noProof/>
        </w:rPr>
        <w:t>6</w:t>
      </w:r>
      <w:r>
        <w:fldChar w:fldCharType="end"/>
      </w:r>
      <w:r>
        <w:t>.</w:t>
      </w:r>
    </w:p>
    <w:p w14:paraId="4D6061EF" w14:textId="3AADCAE5" w:rsidR="000F16EB" w:rsidRDefault="000F16EB" w:rsidP="000F16EB">
      <w:pPr>
        <w:pStyle w:val="Caption"/>
        <w:keepNext/>
      </w:pPr>
      <w:bookmarkStart w:id="593" w:name="_Ref524967752"/>
      <w:bookmarkStart w:id="594" w:name="_Ref525138261"/>
      <w:bookmarkStart w:id="595" w:name="_Toc525230133"/>
      <w:bookmarkStart w:id="596" w:name="_Toc7187687"/>
      <w:r>
        <w:lastRenderedPageBreak/>
        <w:t xml:space="preserve">Table </w:t>
      </w:r>
      <w:fldSimple w:instr=" STYLEREF 1 \s ">
        <w:r w:rsidR="00CB7456">
          <w:rPr>
            <w:noProof/>
          </w:rPr>
          <w:t>5</w:t>
        </w:r>
      </w:fldSimple>
      <w:r w:rsidR="009E1A67">
        <w:t>.</w:t>
      </w:r>
      <w:fldSimple w:instr=" SEQ Table \* ARABIC \s 1 ">
        <w:r w:rsidR="00CB7456">
          <w:rPr>
            <w:noProof/>
          </w:rPr>
          <w:t>6</w:t>
        </w:r>
      </w:fldSimple>
      <w:bookmarkEnd w:id="593"/>
      <w:bookmarkEnd w:id="594"/>
      <w:r>
        <w:rPr>
          <w:noProof/>
        </w:rPr>
        <w:t>:</w:t>
      </w:r>
      <w:r>
        <w:t xml:space="preserve"> Inputs needed for the modelling of condensers.</w:t>
      </w:r>
      <w:bookmarkEnd w:id="595"/>
      <w:bookmarkEnd w:id="596"/>
    </w:p>
    <w:tbl>
      <w:tblPr>
        <w:tblStyle w:val="TableGrid"/>
        <w:tblW w:w="4868" w:type="dxa"/>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36"/>
        <w:gridCol w:w="1032"/>
      </w:tblGrid>
      <w:tr w:rsidR="000F16EB" w14:paraId="40A99C16" w14:textId="77777777" w:rsidTr="00A7521D">
        <w:trPr>
          <w:jc w:val="center"/>
        </w:trPr>
        <w:tc>
          <w:tcPr>
            <w:tcW w:w="3836" w:type="dxa"/>
            <w:tcBorders>
              <w:bottom w:val="single" w:sz="4" w:space="0" w:color="auto"/>
            </w:tcBorders>
          </w:tcPr>
          <w:p w14:paraId="0599E5CB" w14:textId="77777777" w:rsidR="000F16EB" w:rsidRDefault="000F16EB" w:rsidP="00A7521D">
            <w:pPr>
              <w:jc w:val="center"/>
            </w:pPr>
            <w:r>
              <w:t>Input</w:t>
            </w:r>
          </w:p>
        </w:tc>
        <w:tc>
          <w:tcPr>
            <w:tcW w:w="1032" w:type="dxa"/>
            <w:tcBorders>
              <w:bottom w:val="single" w:sz="4" w:space="0" w:color="auto"/>
            </w:tcBorders>
          </w:tcPr>
          <w:p w14:paraId="7C1159A9" w14:textId="77777777" w:rsidR="000F16EB" w:rsidRDefault="000F16EB" w:rsidP="00A7521D">
            <w:pPr>
              <w:jc w:val="center"/>
            </w:pPr>
            <w:r>
              <w:t>Units</w:t>
            </w:r>
          </w:p>
        </w:tc>
      </w:tr>
      <w:tr w:rsidR="000F16EB" w14:paraId="2087BCBB" w14:textId="77777777" w:rsidTr="00A7521D">
        <w:trPr>
          <w:jc w:val="center"/>
        </w:trPr>
        <w:tc>
          <w:tcPr>
            <w:tcW w:w="3836" w:type="dxa"/>
            <w:tcBorders>
              <w:top w:val="single" w:sz="4" w:space="0" w:color="auto"/>
              <w:bottom w:val="nil"/>
            </w:tcBorders>
          </w:tcPr>
          <w:p w14:paraId="45D5BCDA" w14:textId="77777777" w:rsidR="000F16EB" w:rsidRDefault="000F16EB" w:rsidP="00A7521D">
            <w:pPr>
              <w:jc w:val="center"/>
            </w:pPr>
            <w:r>
              <w:t>Heat exchange type</w:t>
            </w:r>
          </w:p>
        </w:tc>
        <w:tc>
          <w:tcPr>
            <w:tcW w:w="1032" w:type="dxa"/>
            <w:tcBorders>
              <w:top w:val="single" w:sz="4" w:space="0" w:color="auto"/>
              <w:bottom w:val="nil"/>
            </w:tcBorders>
          </w:tcPr>
          <w:p w14:paraId="33BACE43" w14:textId="77777777" w:rsidR="000F16EB" w:rsidRDefault="000F16EB" w:rsidP="00A7521D">
            <w:pPr>
              <w:jc w:val="center"/>
            </w:pPr>
            <w:r>
              <w:t>-</w:t>
            </w:r>
          </w:p>
        </w:tc>
      </w:tr>
      <w:tr w:rsidR="000F16EB" w14:paraId="0E547565" w14:textId="77777777" w:rsidTr="00A7521D">
        <w:trPr>
          <w:jc w:val="center"/>
        </w:trPr>
        <w:tc>
          <w:tcPr>
            <w:tcW w:w="3836" w:type="dxa"/>
            <w:tcBorders>
              <w:top w:val="nil"/>
            </w:tcBorders>
          </w:tcPr>
          <w:p w14:paraId="126003FD" w14:textId="77777777" w:rsidR="000F16EB" w:rsidRDefault="000F16EB" w:rsidP="00A7521D">
            <w:pPr>
              <w:jc w:val="center"/>
            </w:pPr>
            <w:r>
              <w:t>Heat exchange fluid</w:t>
            </w:r>
          </w:p>
        </w:tc>
        <w:tc>
          <w:tcPr>
            <w:tcW w:w="1032" w:type="dxa"/>
            <w:tcBorders>
              <w:top w:val="nil"/>
            </w:tcBorders>
          </w:tcPr>
          <w:p w14:paraId="0885C147" w14:textId="77777777" w:rsidR="000F16EB" w:rsidRDefault="000F16EB" w:rsidP="00A7521D">
            <w:pPr>
              <w:jc w:val="center"/>
            </w:pPr>
            <w:r>
              <w:t>-</w:t>
            </w:r>
          </w:p>
        </w:tc>
      </w:tr>
      <w:tr w:rsidR="000F16EB" w14:paraId="5B011BFD" w14:textId="77777777" w:rsidTr="00A7521D">
        <w:trPr>
          <w:jc w:val="center"/>
        </w:trPr>
        <w:tc>
          <w:tcPr>
            <w:tcW w:w="3836" w:type="dxa"/>
          </w:tcPr>
          <w:p w14:paraId="59286ACC" w14:textId="77777777" w:rsidR="000F16EB" w:rsidRDefault="000F16EB" w:rsidP="00A7521D">
            <w:pPr>
              <w:jc w:val="center"/>
            </w:pPr>
            <w:r>
              <w:t>Cooling water inlet temperature</w:t>
            </w:r>
          </w:p>
        </w:tc>
        <w:tc>
          <w:tcPr>
            <w:tcW w:w="1032" w:type="dxa"/>
          </w:tcPr>
          <w:p w14:paraId="7E95FC68" w14:textId="77777777" w:rsidR="000F16EB" w:rsidRDefault="000F16EB" w:rsidP="00A7521D">
            <w:pPr>
              <w:jc w:val="center"/>
            </w:pPr>
            <w:r w:rsidRPr="00EB023B">
              <w:t>K</w:t>
            </w:r>
          </w:p>
        </w:tc>
      </w:tr>
      <w:tr w:rsidR="000F16EB" w14:paraId="38E11F31" w14:textId="77777777" w:rsidTr="00A7521D">
        <w:trPr>
          <w:jc w:val="center"/>
        </w:trPr>
        <w:tc>
          <w:tcPr>
            <w:tcW w:w="3836" w:type="dxa"/>
          </w:tcPr>
          <w:p w14:paraId="549B9CA4" w14:textId="77777777" w:rsidR="000F16EB" w:rsidRDefault="000F16EB" w:rsidP="00A7521D">
            <w:pPr>
              <w:jc w:val="center"/>
            </w:pPr>
            <w:r>
              <w:t>Cooling water outlet temperature</w:t>
            </w:r>
          </w:p>
        </w:tc>
        <w:tc>
          <w:tcPr>
            <w:tcW w:w="1032" w:type="dxa"/>
          </w:tcPr>
          <w:p w14:paraId="70D51059" w14:textId="77777777" w:rsidR="000F16EB" w:rsidRDefault="000F16EB" w:rsidP="00A7521D">
            <w:pPr>
              <w:jc w:val="center"/>
            </w:pPr>
            <w:r w:rsidRPr="00EB023B">
              <w:t>K</w:t>
            </w:r>
          </w:p>
        </w:tc>
      </w:tr>
      <w:tr w:rsidR="000F16EB" w14:paraId="32A8BA4C" w14:textId="77777777" w:rsidTr="00A7521D">
        <w:trPr>
          <w:jc w:val="center"/>
        </w:trPr>
        <w:tc>
          <w:tcPr>
            <w:tcW w:w="3836" w:type="dxa"/>
          </w:tcPr>
          <w:p w14:paraId="2F767431" w14:textId="77777777" w:rsidR="000F16EB" w:rsidRDefault="000F16EB" w:rsidP="00A7521D">
            <w:pPr>
              <w:jc w:val="center"/>
            </w:pPr>
            <w:r>
              <w:t>Cooling water specific heat capacity</w:t>
            </w:r>
          </w:p>
        </w:tc>
        <w:tc>
          <w:tcPr>
            <w:tcW w:w="1032" w:type="dxa"/>
          </w:tcPr>
          <w:p w14:paraId="6E544A06" w14:textId="77777777" w:rsidR="000F16EB" w:rsidRDefault="000F16EB" w:rsidP="00A7521D">
            <w:pPr>
              <w:jc w:val="center"/>
            </w:pPr>
            <w:r>
              <w:t>kJ/(</w:t>
            </w:r>
            <w:proofErr w:type="spellStart"/>
            <w:r>
              <w:t>kgK</w:t>
            </w:r>
            <w:proofErr w:type="spellEnd"/>
            <w:r>
              <w:t>)</w:t>
            </w:r>
          </w:p>
        </w:tc>
      </w:tr>
      <w:tr w:rsidR="000F16EB" w14:paraId="73073948" w14:textId="77777777" w:rsidTr="00A7521D">
        <w:trPr>
          <w:jc w:val="center"/>
        </w:trPr>
        <w:tc>
          <w:tcPr>
            <w:tcW w:w="3836" w:type="dxa"/>
          </w:tcPr>
          <w:p w14:paraId="0DFFC1AA" w14:textId="77777777" w:rsidR="000F16EB" w:rsidRDefault="000F16EB" w:rsidP="00A7521D">
            <w:pPr>
              <w:jc w:val="center"/>
            </w:pPr>
            <w:r>
              <w:t>Tube length</w:t>
            </w:r>
          </w:p>
        </w:tc>
        <w:tc>
          <w:tcPr>
            <w:tcW w:w="1032" w:type="dxa"/>
          </w:tcPr>
          <w:p w14:paraId="27B5583F" w14:textId="77777777" w:rsidR="000F16EB" w:rsidRDefault="000F16EB" w:rsidP="00A7521D">
            <w:pPr>
              <w:jc w:val="center"/>
            </w:pPr>
            <w:r>
              <w:t>m</w:t>
            </w:r>
          </w:p>
        </w:tc>
      </w:tr>
      <w:tr w:rsidR="000F16EB" w14:paraId="59315FC2" w14:textId="77777777" w:rsidTr="00A7521D">
        <w:trPr>
          <w:jc w:val="center"/>
        </w:trPr>
        <w:tc>
          <w:tcPr>
            <w:tcW w:w="3836" w:type="dxa"/>
          </w:tcPr>
          <w:p w14:paraId="772D7B89" w14:textId="77777777" w:rsidR="000F16EB" w:rsidRDefault="000F16EB" w:rsidP="00A7521D">
            <w:pPr>
              <w:jc w:val="center"/>
            </w:pPr>
            <w:r>
              <w:t>Outer pipe diameter</w:t>
            </w:r>
          </w:p>
        </w:tc>
        <w:tc>
          <w:tcPr>
            <w:tcW w:w="1032" w:type="dxa"/>
          </w:tcPr>
          <w:p w14:paraId="26E924B1" w14:textId="77777777" w:rsidR="000F16EB" w:rsidRDefault="000F16EB" w:rsidP="00A7521D">
            <w:pPr>
              <w:jc w:val="center"/>
            </w:pPr>
            <w:r>
              <w:t>m</w:t>
            </w:r>
          </w:p>
        </w:tc>
      </w:tr>
      <w:tr w:rsidR="000F16EB" w14:paraId="1F776927" w14:textId="77777777" w:rsidTr="00A7521D">
        <w:trPr>
          <w:jc w:val="center"/>
        </w:trPr>
        <w:tc>
          <w:tcPr>
            <w:tcW w:w="3836" w:type="dxa"/>
          </w:tcPr>
          <w:p w14:paraId="56337DED" w14:textId="77777777" w:rsidR="000F16EB" w:rsidRDefault="000F16EB" w:rsidP="00A7521D">
            <w:pPr>
              <w:jc w:val="center"/>
            </w:pPr>
            <w:r>
              <w:t>Number of tube passes</w:t>
            </w:r>
          </w:p>
        </w:tc>
        <w:tc>
          <w:tcPr>
            <w:tcW w:w="1032" w:type="dxa"/>
          </w:tcPr>
          <w:p w14:paraId="1072CEE2" w14:textId="77777777" w:rsidR="000F16EB" w:rsidRDefault="000F16EB" w:rsidP="00A7521D">
            <w:pPr>
              <w:jc w:val="center"/>
            </w:pPr>
            <w:r>
              <w:t>-</w:t>
            </w:r>
          </w:p>
        </w:tc>
      </w:tr>
      <w:tr w:rsidR="000F16EB" w14:paraId="50AC75C0" w14:textId="77777777" w:rsidTr="00A7521D">
        <w:trPr>
          <w:jc w:val="center"/>
        </w:trPr>
        <w:tc>
          <w:tcPr>
            <w:tcW w:w="3836" w:type="dxa"/>
          </w:tcPr>
          <w:p w14:paraId="4309C7B9" w14:textId="77777777" w:rsidR="000F16EB" w:rsidRDefault="000F16EB" w:rsidP="00A7521D">
            <w:pPr>
              <w:jc w:val="center"/>
            </w:pPr>
            <w:r>
              <w:t>Pitch shape</w:t>
            </w:r>
          </w:p>
        </w:tc>
        <w:tc>
          <w:tcPr>
            <w:tcW w:w="1032" w:type="dxa"/>
          </w:tcPr>
          <w:p w14:paraId="693FD3C7" w14:textId="77777777" w:rsidR="000F16EB" w:rsidRDefault="000F16EB" w:rsidP="00A7521D">
            <w:pPr>
              <w:jc w:val="center"/>
            </w:pPr>
            <w:r>
              <w:t>-</w:t>
            </w:r>
          </w:p>
        </w:tc>
      </w:tr>
      <w:tr w:rsidR="000F16EB" w14:paraId="1B3C28F2" w14:textId="77777777" w:rsidTr="00A7521D">
        <w:trPr>
          <w:jc w:val="center"/>
        </w:trPr>
        <w:tc>
          <w:tcPr>
            <w:tcW w:w="3836" w:type="dxa"/>
          </w:tcPr>
          <w:p w14:paraId="032E1547" w14:textId="77777777" w:rsidR="000F16EB" w:rsidRDefault="000F16EB" w:rsidP="00A7521D">
            <w:pPr>
              <w:jc w:val="center"/>
            </w:pPr>
            <w:r>
              <w:t>Cooling water density</w:t>
            </w:r>
          </w:p>
        </w:tc>
        <w:tc>
          <w:tcPr>
            <w:tcW w:w="1032" w:type="dxa"/>
          </w:tcPr>
          <w:p w14:paraId="19F3060F" w14:textId="77777777" w:rsidR="000F16EB" w:rsidRPr="00CD15A3" w:rsidRDefault="000F16EB" w:rsidP="00A7521D">
            <w:pPr>
              <w:jc w:val="center"/>
            </w:pPr>
            <w:r>
              <w:t>kg/m</w:t>
            </w:r>
            <w:r>
              <w:rPr>
                <w:vertAlign w:val="superscript"/>
              </w:rPr>
              <w:t>3</w:t>
            </w:r>
          </w:p>
        </w:tc>
      </w:tr>
      <w:tr w:rsidR="000F16EB" w14:paraId="36C08A6F" w14:textId="77777777" w:rsidTr="00A7521D">
        <w:trPr>
          <w:jc w:val="center"/>
        </w:trPr>
        <w:tc>
          <w:tcPr>
            <w:tcW w:w="3836" w:type="dxa"/>
          </w:tcPr>
          <w:p w14:paraId="6DFB9EEF" w14:textId="77777777" w:rsidR="000F16EB" w:rsidRDefault="000F16EB" w:rsidP="00A7521D">
            <w:pPr>
              <w:jc w:val="center"/>
            </w:pPr>
            <w:r>
              <w:t>Cooling water viscosity</w:t>
            </w:r>
          </w:p>
        </w:tc>
        <w:tc>
          <w:tcPr>
            <w:tcW w:w="1032" w:type="dxa"/>
          </w:tcPr>
          <w:p w14:paraId="690D1A8D" w14:textId="77777777" w:rsidR="000F16EB" w:rsidRDefault="000F16EB" w:rsidP="00A7521D">
            <w:pPr>
              <w:jc w:val="center"/>
            </w:pPr>
            <w:r>
              <w:t>Pas</w:t>
            </w:r>
          </w:p>
        </w:tc>
      </w:tr>
      <w:tr w:rsidR="000F16EB" w14:paraId="6E2EAC65" w14:textId="77777777" w:rsidTr="00A7521D">
        <w:trPr>
          <w:jc w:val="center"/>
        </w:trPr>
        <w:tc>
          <w:tcPr>
            <w:tcW w:w="3836" w:type="dxa"/>
          </w:tcPr>
          <w:p w14:paraId="138B9DCB" w14:textId="77777777" w:rsidR="000F16EB" w:rsidRDefault="000F16EB" w:rsidP="00A7521D">
            <w:pPr>
              <w:jc w:val="center"/>
            </w:pPr>
            <w:r>
              <w:t>Cooling water thermal conductivity</w:t>
            </w:r>
          </w:p>
        </w:tc>
        <w:tc>
          <w:tcPr>
            <w:tcW w:w="1032" w:type="dxa"/>
          </w:tcPr>
          <w:p w14:paraId="6E312393" w14:textId="77777777" w:rsidR="000F16EB" w:rsidRDefault="000F16EB" w:rsidP="00A7521D">
            <w:pPr>
              <w:jc w:val="center"/>
            </w:pPr>
            <w:r>
              <w:t>W/(</w:t>
            </w:r>
            <w:proofErr w:type="spellStart"/>
            <w:r>
              <w:t>mK</w:t>
            </w:r>
            <w:proofErr w:type="spellEnd"/>
            <w:r>
              <w:t>)</w:t>
            </w:r>
          </w:p>
        </w:tc>
      </w:tr>
      <w:tr w:rsidR="000F16EB" w14:paraId="3E53CB3A" w14:textId="77777777" w:rsidTr="00A7521D">
        <w:trPr>
          <w:jc w:val="center"/>
        </w:trPr>
        <w:tc>
          <w:tcPr>
            <w:tcW w:w="3836" w:type="dxa"/>
          </w:tcPr>
          <w:p w14:paraId="0F989169" w14:textId="77777777" w:rsidR="000F16EB" w:rsidRDefault="000F16EB" w:rsidP="00A7521D">
            <w:pPr>
              <w:jc w:val="center"/>
            </w:pPr>
            <w:r>
              <w:t>Process fluid molecular weight</w:t>
            </w:r>
          </w:p>
        </w:tc>
        <w:tc>
          <w:tcPr>
            <w:tcW w:w="1032" w:type="dxa"/>
          </w:tcPr>
          <w:p w14:paraId="6B0F2037" w14:textId="77777777" w:rsidR="000F16EB" w:rsidRDefault="000F16EB" w:rsidP="00A7521D">
            <w:pPr>
              <w:jc w:val="center"/>
            </w:pPr>
            <w:r>
              <w:t>kg/mol</w:t>
            </w:r>
          </w:p>
        </w:tc>
      </w:tr>
      <w:tr w:rsidR="000F16EB" w14:paraId="0243DB01" w14:textId="77777777" w:rsidTr="00A7521D">
        <w:trPr>
          <w:jc w:val="center"/>
        </w:trPr>
        <w:tc>
          <w:tcPr>
            <w:tcW w:w="3836" w:type="dxa"/>
          </w:tcPr>
          <w:p w14:paraId="2FA8439E" w14:textId="77777777" w:rsidR="000F16EB" w:rsidRDefault="000F16EB" w:rsidP="00A7521D">
            <w:pPr>
              <w:jc w:val="center"/>
            </w:pPr>
            <w:r>
              <w:t>Process fluid pressure</w:t>
            </w:r>
          </w:p>
        </w:tc>
        <w:tc>
          <w:tcPr>
            <w:tcW w:w="1032" w:type="dxa"/>
          </w:tcPr>
          <w:p w14:paraId="6536CC2E" w14:textId="77777777" w:rsidR="000F16EB" w:rsidRDefault="000F16EB" w:rsidP="00A7521D">
            <w:pPr>
              <w:jc w:val="center"/>
            </w:pPr>
            <w:r>
              <w:t>kPa</w:t>
            </w:r>
          </w:p>
        </w:tc>
      </w:tr>
      <w:tr w:rsidR="000F16EB" w14:paraId="363FA092" w14:textId="77777777" w:rsidTr="00A7521D">
        <w:trPr>
          <w:jc w:val="center"/>
        </w:trPr>
        <w:tc>
          <w:tcPr>
            <w:tcW w:w="3836" w:type="dxa"/>
          </w:tcPr>
          <w:p w14:paraId="0035641F" w14:textId="77777777" w:rsidR="000F16EB" w:rsidRDefault="000F16EB" w:rsidP="00A7521D">
            <w:pPr>
              <w:jc w:val="center"/>
            </w:pPr>
            <w:r>
              <w:t>Process fluid viscosity</w:t>
            </w:r>
          </w:p>
        </w:tc>
        <w:tc>
          <w:tcPr>
            <w:tcW w:w="1032" w:type="dxa"/>
          </w:tcPr>
          <w:p w14:paraId="1B4EB9EE" w14:textId="77777777" w:rsidR="000F16EB" w:rsidRDefault="000F16EB" w:rsidP="00A7521D">
            <w:pPr>
              <w:jc w:val="center"/>
            </w:pPr>
            <w:r>
              <w:t>Pas</w:t>
            </w:r>
          </w:p>
        </w:tc>
      </w:tr>
      <w:tr w:rsidR="000F16EB" w14:paraId="3DC414E6" w14:textId="77777777" w:rsidTr="00A7521D">
        <w:trPr>
          <w:jc w:val="center"/>
        </w:trPr>
        <w:tc>
          <w:tcPr>
            <w:tcW w:w="3836" w:type="dxa"/>
          </w:tcPr>
          <w:p w14:paraId="41FFC4B3" w14:textId="77777777" w:rsidR="000F16EB" w:rsidRDefault="000F16EB" w:rsidP="00A7521D">
            <w:pPr>
              <w:jc w:val="center"/>
            </w:pPr>
            <w:r>
              <w:t>Inner pipe diameter</w:t>
            </w:r>
          </w:p>
        </w:tc>
        <w:tc>
          <w:tcPr>
            <w:tcW w:w="1032" w:type="dxa"/>
          </w:tcPr>
          <w:p w14:paraId="0C29E1B2" w14:textId="77777777" w:rsidR="000F16EB" w:rsidRDefault="000F16EB" w:rsidP="00A7521D">
            <w:pPr>
              <w:jc w:val="center"/>
            </w:pPr>
            <w:r>
              <w:t>m</w:t>
            </w:r>
          </w:p>
        </w:tc>
      </w:tr>
      <w:tr w:rsidR="000F16EB" w14:paraId="0BA77701" w14:textId="77777777" w:rsidTr="00A7521D">
        <w:trPr>
          <w:jc w:val="center"/>
        </w:trPr>
        <w:tc>
          <w:tcPr>
            <w:tcW w:w="3836" w:type="dxa"/>
          </w:tcPr>
          <w:p w14:paraId="26628DFA" w14:textId="77777777" w:rsidR="000F16EB" w:rsidRDefault="000F16EB" w:rsidP="00A7521D">
            <w:pPr>
              <w:jc w:val="center"/>
            </w:pPr>
            <w:r>
              <w:t>Outside fluid type</w:t>
            </w:r>
          </w:p>
        </w:tc>
        <w:tc>
          <w:tcPr>
            <w:tcW w:w="1032" w:type="dxa"/>
          </w:tcPr>
          <w:p w14:paraId="2DED822B" w14:textId="77777777" w:rsidR="000F16EB" w:rsidRDefault="000F16EB" w:rsidP="00A7521D">
            <w:pPr>
              <w:jc w:val="center"/>
            </w:pPr>
            <w:r>
              <w:t>-</w:t>
            </w:r>
          </w:p>
        </w:tc>
      </w:tr>
      <w:tr w:rsidR="000F16EB" w14:paraId="7C708FC4" w14:textId="77777777" w:rsidTr="00A7521D">
        <w:trPr>
          <w:jc w:val="center"/>
        </w:trPr>
        <w:tc>
          <w:tcPr>
            <w:tcW w:w="3836" w:type="dxa"/>
          </w:tcPr>
          <w:p w14:paraId="328D0A80" w14:textId="77777777" w:rsidR="000F16EB" w:rsidRDefault="000F16EB" w:rsidP="00A7521D">
            <w:pPr>
              <w:jc w:val="center"/>
            </w:pPr>
            <w:r>
              <w:t>Inside fluid type</w:t>
            </w:r>
          </w:p>
        </w:tc>
        <w:tc>
          <w:tcPr>
            <w:tcW w:w="1032" w:type="dxa"/>
          </w:tcPr>
          <w:p w14:paraId="67D89F9F" w14:textId="77777777" w:rsidR="000F16EB" w:rsidRDefault="000F16EB" w:rsidP="00A7521D">
            <w:pPr>
              <w:jc w:val="center"/>
            </w:pPr>
            <w:r>
              <w:t>-</w:t>
            </w:r>
          </w:p>
        </w:tc>
      </w:tr>
      <w:tr w:rsidR="000F16EB" w14:paraId="7F4DD2B2" w14:textId="77777777" w:rsidTr="00A7521D">
        <w:trPr>
          <w:jc w:val="center"/>
        </w:trPr>
        <w:tc>
          <w:tcPr>
            <w:tcW w:w="3836" w:type="dxa"/>
          </w:tcPr>
          <w:p w14:paraId="05485FD2" w14:textId="77777777" w:rsidR="000F16EB" w:rsidRDefault="000F16EB" w:rsidP="00A7521D">
            <w:pPr>
              <w:jc w:val="center"/>
            </w:pPr>
            <w:r>
              <w:t>Fouling factor</w:t>
            </w:r>
          </w:p>
        </w:tc>
        <w:tc>
          <w:tcPr>
            <w:tcW w:w="1032" w:type="dxa"/>
          </w:tcPr>
          <w:p w14:paraId="4490BA74" w14:textId="77777777" w:rsidR="000F16EB" w:rsidRDefault="000F16EB" w:rsidP="00A7521D">
            <w:pPr>
              <w:jc w:val="center"/>
            </w:pPr>
            <w:r>
              <w:t>W/(</w:t>
            </w:r>
            <w:proofErr w:type="spellStart"/>
            <w:r>
              <w:t>mK</w:t>
            </w:r>
            <w:proofErr w:type="spellEnd"/>
            <w:r>
              <w:t>)</w:t>
            </w:r>
          </w:p>
        </w:tc>
      </w:tr>
      <w:tr w:rsidR="000F16EB" w14:paraId="7549F625" w14:textId="77777777" w:rsidTr="00A7521D">
        <w:trPr>
          <w:jc w:val="center"/>
        </w:trPr>
        <w:tc>
          <w:tcPr>
            <w:tcW w:w="3836" w:type="dxa"/>
          </w:tcPr>
          <w:p w14:paraId="6798FFB5" w14:textId="77777777" w:rsidR="000F16EB" w:rsidRDefault="000F16EB" w:rsidP="00A7521D">
            <w:pPr>
              <w:jc w:val="center"/>
            </w:pPr>
            <w:r>
              <w:t>Shell type</w:t>
            </w:r>
          </w:p>
        </w:tc>
        <w:tc>
          <w:tcPr>
            <w:tcW w:w="1032" w:type="dxa"/>
          </w:tcPr>
          <w:p w14:paraId="7396A522" w14:textId="77777777" w:rsidR="000F16EB" w:rsidRDefault="000F16EB" w:rsidP="00A7521D">
            <w:pPr>
              <w:jc w:val="center"/>
            </w:pPr>
            <w:r>
              <w:t>-</w:t>
            </w:r>
          </w:p>
        </w:tc>
      </w:tr>
      <w:tr w:rsidR="000F16EB" w14:paraId="29EE16BB" w14:textId="77777777" w:rsidTr="00A7521D">
        <w:trPr>
          <w:jc w:val="center"/>
        </w:trPr>
        <w:tc>
          <w:tcPr>
            <w:tcW w:w="3836" w:type="dxa"/>
          </w:tcPr>
          <w:p w14:paraId="3174DFC1" w14:textId="77777777" w:rsidR="000F16EB" w:rsidRDefault="000F16EB" w:rsidP="00A7521D">
            <w:pPr>
              <w:jc w:val="center"/>
            </w:pPr>
            <w:r>
              <w:t>Shell diameter</w:t>
            </w:r>
          </w:p>
        </w:tc>
        <w:tc>
          <w:tcPr>
            <w:tcW w:w="1032" w:type="dxa"/>
          </w:tcPr>
          <w:p w14:paraId="6BB8C1C2" w14:textId="77777777" w:rsidR="000F16EB" w:rsidRDefault="000F16EB" w:rsidP="00A7521D">
            <w:pPr>
              <w:jc w:val="center"/>
            </w:pPr>
            <w:r>
              <w:t>m</w:t>
            </w:r>
          </w:p>
        </w:tc>
      </w:tr>
      <w:tr w:rsidR="000F16EB" w14:paraId="43C69A42" w14:textId="77777777" w:rsidTr="00A7521D">
        <w:trPr>
          <w:jc w:val="center"/>
        </w:trPr>
        <w:tc>
          <w:tcPr>
            <w:tcW w:w="3836" w:type="dxa"/>
          </w:tcPr>
          <w:p w14:paraId="2DEAC319" w14:textId="77777777" w:rsidR="000F16EB" w:rsidRDefault="000F16EB" w:rsidP="00A7521D">
            <w:pPr>
              <w:jc w:val="center"/>
            </w:pPr>
            <w:r>
              <w:t>Baffle cut</w:t>
            </w:r>
          </w:p>
        </w:tc>
        <w:tc>
          <w:tcPr>
            <w:tcW w:w="1032" w:type="dxa"/>
          </w:tcPr>
          <w:p w14:paraId="224B74A5" w14:textId="77777777" w:rsidR="000F16EB" w:rsidRDefault="000F16EB" w:rsidP="00A7521D">
            <w:pPr>
              <w:jc w:val="center"/>
            </w:pPr>
            <w:r>
              <w:t>-</w:t>
            </w:r>
          </w:p>
        </w:tc>
      </w:tr>
      <w:tr w:rsidR="000F16EB" w14:paraId="2F07A29E" w14:textId="77777777" w:rsidTr="00A7521D">
        <w:trPr>
          <w:jc w:val="center"/>
        </w:trPr>
        <w:tc>
          <w:tcPr>
            <w:tcW w:w="3836" w:type="dxa"/>
          </w:tcPr>
          <w:p w14:paraId="3518B849" w14:textId="77777777" w:rsidR="000F16EB" w:rsidRPr="00DF1BE7" w:rsidRDefault="000F16EB" w:rsidP="00A7521D">
            <w:pPr>
              <w:jc w:val="center"/>
              <w:rPr>
                <w:rFonts w:ascii="Calibri" w:hAnsi="Calibri"/>
                <w:color w:val="000000"/>
              </w:rPr>
            </w:pPr>
            <w:r>
              <w:rPr>
                <w:rFonts w:ascii="Calibri" w:hAnsi="Calibri"/>
                <w:color w:val="000000"/>
              </w:rPr>
              <w:t>Pressure drop as a percent of inlet flow</w:t>
            </w:r>
          </w:p>
        </w:tc>
        <w:tc>
          <w:tcPr>
            <w:tcW w:w="1032" w:type="dxa"/>
          </w:tcPr>
          <w:p w14:paraId="106287FD" w14:textId="77777777" w:rsidR="000F16EB" w:rsidRDefault="000F16EB" w:rsidP="00A7521D">
            <w:pPr>
              <w:jc w:val="center"/>
            </w:pPr>
            <w:r>
              <w:t>%</w:t>
            </w:r>
          </w:p>
        </w:tc>
      </w:tr>
    </w:tbl>
    <w:p w14:paraId="52F65998" w14:textId="77777777" w:rsidR="000F16EB" w:rsidRDefault="000F16EB" w:rsidP="00196CD6">
      <w:pPr>
        <w:pStyle w:val="NoSpacing"/>
      </w:pPr>
    </w:p>
    <w:p w14:paraId="4FD80006" w14:textId="77777777" w:rsidR="000F16EB" w:rsidRDefault="000F16EB" w:rsidP="000F16EB">
      <w:r>
        <w:t xml:space="preserve">The enthalpies of the cooling water and process fluid, as well as the inlet and outlet temperatures of the process fluid came from the ORC calculation. An initial overall HTC was estimated. The methodology calculated the heat available from the process fluid, the flowrate of the cooling water, and the overall HTC. Finally, the physical characteristics of the condenser along with the Reynolds numbers and the pressure drop in the condenser were calculated. </w:t>
      </w:r>
    </w:p>
    <w:p w14:paraId="2C85BDEC" w14:textId="77777777" w:rsidR="000F16EB" w:rsidRDefault="000F16EB" w:rsidP="000F16EB">
      <w:pPr>
        <w:pStyle w:val="Heading4"/>
      </w:pPr>
      <w:bookmarkStart w:id="597" w:name="_Ref531345502"/>
      <w:bookmarkStart w:id="598" w:name="_Ref531345514"/>
      <w:bookmarkStart w:id="599" w:name="_Toc7187532"/>
      <w:r>
        <w:t>Pump</w:t>
      </w:r>
      <w:bookmarkEnd w:id="597"/>
      <w:bookmarkEnd w:id="598"/>
      <w:bookmarkEnd w:id="599"/>
    </w:p>
    <w:p w14:paraId="21D3D51D" w14:textId="471348F6" w:rsidR="000F16EB" w:rsidRPr="00E14778" w:rsidRDefault="000F16EB" w:rsidP="000F16EB">
      <w:r>
        <w:t xml:space="preserve">The equations used in the modelling of a pump came from chapter 5.4 of Coulson and Richardson's Chemical Engineering Volume 6 - Chemical Engineering Design </w:t>
      </w:r>
      <w:r>
        <w:fldChar w:fldCharType="begin" w:fldLock="1"/>
      </w:r>
      <w:r w:rsidR="002A6A73">
        <w:instrText>ADDIN CSL_CITATION {"citationItems":[{"id":"ITEM-1","itemData":{"ISBN":"978-0-7506-6538-4","author":[{"dropping-particle":"","family":"Sinnott","given":"R.K.","non-dropping-particle":"","parse-names":false,"suffix":""}],"edition":"4","editor":[{"dropping-particle":"","family":"Sinnott","given":"R.K.","non-dropping-particle":"","parse-names":false,"suffix":""}],"id":"ITEM-1","issued":{"date-parts":[["2005"]]},"publisher":"Elsevier","title":"Coulson and Richardson's Chemical Engineering","type":"book"},"uris":["http://www.mendeley.com/documents/?uuid=d0a6e441-266f-4735-8bef-cd146e7cff7f"]}],"mendeley":{"formattedCitation":"(Sinnott, 2005a)","plainTextFormattedCitation":"(Sinnott, 2005a)","previouslyFormattedCitation":"(Sinnott, 2005a)"},"properties":{"noteIndex":0},"schema":"https://github.com/citation-style-language/schema/raw/master/csl-citation.json"}</w:instrText>
      </w:r>
      <w:r>
        <w:fldChar w:fldCharType="separate"/>
      </w:r>
      <w:r w:rsidR="002A6A73" w:rsidRPr="002A6A73">
        <w:rPr>
          <w:noProof/>
        </w:rPr>
        <w:t>(Sinnott, 2005a)</w:t>
      </w:r>
      <w:r>
        <w:fldChar w:fldCharType="end"/>
      </w:r>
      <w:r>
        <w:t xml:space="preserve">. The list of equations is shown in its entirety in Appendix </w:t>
      </w:r>
      <w:r w:rsidR="00826452">
        <w:fldChar w:fldCharType="begin"/>
      </w:r>
      <w:r w:rsidR="00826452">
        <w:instrText xml:space="preserve"> REF _Ref531344189 \n \h </w:instrText>
      </w:r>
      <w:r w:rsidR="00826452">
        <w:fldChar w:fldCharType="separate"/>
      </w:r>
      <w:r w:rsidR="00CB7456">
        <w:t>13.10</w:t>
      </w:r>
      <w:r w:rsidR="00826452">
        <w:fldChar w:fldCharType="end"/>
      </w:r>
      <w:r>
        <w:t xml:space="preserve">. A list of inputs </w:t>
      </w:r>
      <w:r w:rsidR="00826452">
        <w:t>was</w:t>
      </w:r>
      <w:r>
        <w:t xml:space="preserve"> needed in the work, as shown in </w:t>
      </w:r>
      <w:r>
        <w:fldChar w:fldCharType="begin"/>
      </w:r>
      <w:r>
        <w:instrText xml:space="preserve"> REF _Ref530565350 \h </w:instrText>
      </w:r>
      <w:r>
        <w:fldChar w:fldCharType="separate"/>
      </w:r>
      <w:r w:rsidR="00CB7456">
        <w:t xml:space="preserve">Table </w:t>
      </w:r>
      <w:r w:rsidR="00CB7456">
        <w:rPr>
          <w:noProof/>
        </w:rPr>
        <w:t>5</w:t>
      </w:r>
      <w:r w:rsidR="00CB7456">
        <w:t>.</w:t>
      </w:r>
      <w:r w:rsidR="00CB7456">
        <w:rPr>
          <w:noProof/>
        </w:rPr>
        <w:t>7</w:t>
      </w:r>
      <w:r>
        <w:fldChar w:fldCharType="end"/>
      </w:r>
      <w:r>
        <w:t>.</w:t>
      </w:r>
      <w:bookmarkStart w:id="600" w:name="_Ref524969088"/>
    </w:p>
    <w:p w14:paraId="56A36CDC" w14:textId="77777777" w:rsidR="000F16EB" w:rsidRDefault="000F16EB" w:rsidP="000F16EB">
      <w:pPr>
        <w:jc w:val="left"/>
        <w:rPr>
          <w:b/>
          <w:bCs/>
          <w:sz w:val="18"/>
          <w:szCs w:val="18"/>
        </w:rPr>
      </w:pPr>
      <w:bookmarkStart w:id="601" w:name="_Ref525138289"/>
      <w:bookmarkStart w:id="602" w:name="_Toc525230134"/>
      <w:r>
        <w:br w:type="page"/>
      </w:r>
    </w:p>
    <w:p w14:paraId="56941E05" w14:textId="5C4D6619" w:rsidR="000F16EB" w:rsidRDefault="000F16EB" w:rsidP="000F16EB">
      <w:pPr>
        <w:pStyle w:val="Caption"/>
        <w:keepNext/>
      </w:pPr>
      <w:bookmarkStart w:id="603" w:name="_Ref530565350"/>
      <w:bookmarkStart w:id="604" w:name="_Toc7187688"/>
      <w:r>
        <w:lastRenderedPageBreak/>
        <w:t xml:space="preserve">Table </w:t>
      </w:r>
      <w:fldSimple w:instr=" STYLEREF 1 \s ">
        <w:r w:rsidR="00CB7456">
          <w:rPr>
            <w:noProof/>
          </w:rPr>
          <w:t>5</w:t>
        </w:r>
      </w:fldSimple>
      <w:r w:rsidR="009E1A67">
        <w:t>.</w:t>
      </w:r>
      <w:fldSimple w:instr=" SEQ Table \* ARABIC \s 1 ">
        <w:r w:rsidR="00CB7456">
          <w:rPr>
            <w:noProof/>
          </w:rPr>
          <w:t>7</w:t>
        </w:r>
      </w:fldSimple>
      <w:bookmarkEnd w:id="600"/>
      <w:bookmarkEnd w:id="601"/>
      <w:bookmarkEnd w:id="603"/>
      <w:r>
        <w:t>: Inputs needed for the modelling of a pump.</w:t>
      </w:r>
      <w:bookmarkEnd w:id="602"/>
      <w:bookmarkEnd w:id="604"/>
    </w:p>
    <w:tbl>
      <w:tblPr>
        <w:tblStyle w:val="TableGrid"/>
        <w:tblW w:w="4797" w:type="dxa"/>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04"/>
        <w:gridCol w:w="793"/>
      </w:tblGrid>
      <w:tr w:rsidR="000F16EB" w14:paraId="793AD468" w14:textId="77777777" w:rsidTr="00A7521D">
        <w:trPr>
          <w:jc w:val="center"/>
        </w:trPr>
        <w:tc>
          <w:tcPr>
            <w:tcW w:w="4004" w:type="dxa"/>
            <w:tcBorders>
              <w:bottom w:val="single" w:sz="4" w:space="0" w:color="auto"/>
            </w:tcBorders>
          </w:tcPr>
          <w:p w14:paraId="0B508774" w14:textId="77777777" w:rsidR="000F16EB" w:rsidRDefault="000F16EB" w:rsidP="00A7521D">
            <w:pPr>
              <w:jc w:val="center"/>
            </w:pPr>
            <w:r>
              <w:t>Input</w:t>
            </w:r>
          </w:p>
        </w:tc>
        <w:tc>
          <w:tcPr>
            <w:tcW w:w="793" w:type="dxa"/>
            <w:tcBorders>
              <w:bottom w:val="single" w:sz="4" w:space="0" w:color="auto"/>
            </w:tcBorders>
          </w:tcPr>
          <w:p w14:paraId="2B691441" w14:textId="77777777" w:rsidR="000F16EB" w:rsidRDefault="000F16EB" w:rsidP="00A7521D">
            <w:pPr>
              <w:jc w:val="center"/>
            </w:pPr>
            <w:r>
              <w:t>Units</w:t>
            </w:r>
          </w:p>
        </w:tc>
      </w:tr>
      <w:tr w:rsidR="000F16EB" w14:paraId="4A5CB1CE" w14:textId="77777777" w:rsidTr="00A7521D">
        <w:trPr>
          <w:jc w:val="center"/>
        </w:trPr>
        <w:tc>
          <w:tcPr>
            <w:tcW w:w="4004" w:type="dxa"/>
            <w:tcBorders>
              <w:top w:val="single" w:sz="4" w:space="0" w:color="auto"/>
              <w:bottom w:val="nil"/>
            </w:tcBorders>
          </w:tcPr>
          <w:p w14:paraId="60F38EF8" w14:textId="77777777" w:rsidR="000F16EB" w:rsidRDefault="000F16EB" w:rsidP="00A7521D">
            <w:pPr>
              <w:jc w:val="center"/>
            </w:pPr>
            <w:r>
              <w:t>Internal pipe diameter</w:t>
            </w:r>
          </w:p>
        </w:tc>
        <w:tc>
          <w:tcPr>
            <w:tcW w:w="793" w:type="dxa"/>
            <w:tcBorders>
              <w:top w:val="single" w:sz="4" w:space="0" w:color="auto"/>
              <w:bottom w:val="nil"/>
            </w:tcBorders>
          </w:tcPr>
          <w:p w14:paraId="7AC09D3A" w14:textId="77777777" w:rsidR="000F16EB" w:rsidRDefault="000F16EB" w:rsidP="00A7521D">
            <w:pPr>
              <w:jc w:val="center"/>
            </w:pPr>
            <w:r>
              <w:t>m</w:t>
            </w:r>
          </w:p>
        </w:tc>
      </w:tr>
      <w:tr w:rsidR="000F16EB" w14:paraId="7312FBD5" w14:textId="77777777" w:rsidTr="00A7521D">
        <w:trPr>
          <w:jc w:val="center"/>
        </w:trPr>
        <w:tc>
          <w:tcPr>
            <w:tcW w:w="4004" w:type="dxa"/>
          </w:tcPr>
          <w:p w14:paraId="611E0FDD" w14:textId="77777777" w:rsidR="000F16EB" w:rsidRDefault="000F16EB" w:rsidP="00A7521D">
            <w:pPr>
              <w:jc w:val="center"/>
            </w:pPr>
            <w:r>
              <w:t>Process fluid viscosity</w:t>
            </w:r>
          </w:p>
        </w:tc>
        <w:tc>
          <w:tcPr>
            <w:tcW w:w="793" w:type="dxa"/>
          </w:tcPr>
          <w:p w14:paraId="59537DEE" w14:textId="77777777" w:rsidR="000F16EB" w:rsidRDefault="000F16EB" w:rsidP="00A7521D">
            <w:pPr>
              <w:jc w:val="center"/>
            </w:pPr>
            <w:r>
              <w:t>Pas</w:t>
            </w:r>
          </w:p>
        </w:tc>
      </w:tr>
      <w:tr w:rsidR="000F16EB" w14:paraId="113BCD72" w14:textId="77777777" w:rsidTr="00A7521D">
        <w:trPr>
          <w:jc w:val="center"/>
        </w:trPr>
        <w:tc>
          <w:tcPr>
            <w:tcW w:w="4004" w:type="dxa"/>
          </w:tcPr>
          <w:p w14:paraId="3A541B8E" w14:textId="77777777" w:rsidR="000F16EB" w:rsidRDefault="000F16EB" w:rsidP="00A7521D">
            <w:pPr>
              <w:jc w:val="center"/>
            </w:pPr>
            <w:r>
              <w:t>Pipe material</w:t>
            </w:r>
          </w:p>
        </w:tc>
        <w:tc>
          <w:tcPr>
            <w:tcW w:w="793" w:type="dxa"/>
          </w:tcPr>
          <w:p w14:paraId="47B1F61F" w14:textId="77777777" w:rsidR="000F16EB" w:rsidRDefault="000F16EB" w:rsidP="00A7521D">
            <w:pPr>
              <w:jc w:val="center"/>
            </w:pPr>
            <w:r>
              <w:t>-</w:t>
            </w:r>
          </w:p>
        </w:tc>
      </w:tr>
      <w:tr w:rsidR="000F16EB" w14:paraId="343562BB" w14:textId="77777777" w:rsidTr="00A7521D">
        <w:trPr>
          <w:jc w:val="center"/>
        </w:trPr>
        <w:tc>
          <w:tcPr>
            <w:tcW w:w="4004" w:type="dxa"/>
          </w:tcPr>
          <w:p w14:paraId="3E453B26" w14:textId="77777777" w:rsidR="000F16EB" w:rsidRDefault="000F16EB" w:rsidP="00A7521D">
            <w:pPr>
              <w:jc w:val="center"/>
            </w:pPr>
            <w:r>
              <w:rPr>
                <w:rFonts w:ascii="Calibri" w:hAnsi="Calibri"/>
              </w:rPr>
              <w:t>Number of 45° standard elbows</w:t>
            </w:r>
          </w:p>
        </w:tc>
        <w:tc>
          <w:tcPr>
            <w:tcW w:w="793" w:type="dxa"/>
          </w:tcPr>
          <w:p w14:paraId="00FAE525" w14:textId="77777777" w:rsidR="000F16EB" w:rsidRDefault="000F16EB" w:rsidP="00A7521D">
            <w:pPr>
              <w:jc w:val="center"/>
            </w:pPr>
            <w:r>
              <w:t>-</w:t>
            </w:r>
          </w:p>
        </w:tc>
      </w:tr>
      <w:tr w:rsidR="000F16EB" w14:paraId="1A9B1BC4" w14:textId="77777777" w:rsidTr="00A7521D">
        <w:trPr>
          <w:jc w:val="center"/>
        </w:trPr>
        <w:tc>
          <w:tcPr>
            <w:tcW w:w="4004" w:type="dxa"/>
          </w:tcPr>
          <w:p w14:paraId="7F1972CD" w14:textId="77777777" w:rsidR="000F16EB" w:rsidRDefault="000F16EB" w:rsidP="00A7521D">
            <w:pPr>
              <w:jc w:val="center"/>
            </w:pPr>
            <w:r>
              <w:rPr>
                <w:rFonts w:ascii="Calibri" w:hAnsi="Calibri"/>
              </w:rPr>
              <w:t>Number of 45° long radius elbows</w:t>
            </w:r>
          </w:p>
        </w:tc>
        <w:tc>
          <w:tcPr>
            <w:tcW w:w="793" w:type="dxa"/>
          </w:tcPr>
          <w:p w14:paraId="0E562A22" w14:textId="77777777" w:rsidR="000F16EB" w:rsidRDefault="000F16EB" w:rsidP="00A7521D">
            <w:pPr>
              <w:jc w:val="center"/>
            </w:pPr>
            <w:r>
              <w:t>-</w:t>
            </w:r>
          </w:p>
        </w:tc>
      </w:tr>
      <w:tr w:rsidR="000F16EB" w14:paraId="39306675" w14:textId="77777777" w:rsidTr="00A7521D">
        <w:trPr>
          <w:jc w:val="center"/>
        </w:trPr>
        <w:tc>
          <w:tcPr>
            <w:tcW w:w="4004" w:type="dxa"/>
          </w:tcPr>
          <w:p w14:paraId="4B84F7A2" w14:textId="77777777" w:rsidR="000F16EB" w:rsidRDefault="000F16EB" w:rsidP="00A7521D">
            <w:pPr>
              <w:jc w:val="center"/>
            </w:pPr>
            <w:r>
              <w:rPr>
                <w:rFonts w:ascii="Calibri" w:hAnsi="Calibri"/>
              </w:rPr>
              <w:t>Number of 90° standard radius elbows</w:t>
            </w:r>
          </w:p>
        </w:tc>
        <w:tc>
          <w:tcPr>
            <w:tcW w:w="793" w:type="dxa"/>
          </w:tcPr>
          <w:p w14:paraId="471CDBFD" w14:textId="77777777" w:rsidR="000F16EB" w:rsidRDefault="000F16EB" w:rsidP="00A7521D">
            <w:pPr>
              <w:jc w:val="center"/>
            </w:pPr>
            <w:r>
              <w:t>-</w:t>
            </w:r>
          </w:p>
        </w:tc>
      </w:tr>
      <w:tr w:rsidR="000F16EB" w14:paraId="4C6B3EAD" w14:textId="77777777" w:rsidTr="00A7521D">
        <w:trPr>
          <w:jc w:val="center"/>
        </w:trPr>
        <w:tc>
          <w:tcPr>
            <w:tcW w:w="4004" w:type="dxa"/>
          </w:tcPr>
          <w:p w14:paraId="10D75F6A" w14:textId="77777777" w:rsidR="000F16EB" w:rsidRDefault="000F16EB" w:rsidP="00A7521D">
            <w:pPr>
              <w:jc w:val="center"/>
            </w:pPr>
            <w:r>
              <w:rPr>
                <w:rFonts w:ascii="Calibri" w:hAnsi="Calibri"/>
              </w:rPr>
              <w:t>Number of 90° standard long elbows</w:t>
            </w:r>
          </w:p>
        </w:tc>
        <w:tc>
          <w:tcPr>
            <w:tcW w:w="793" w:type="dxa"/>
          </w:tcPr>
          <w:p w14:paraId="31740EDF" w14:textId="77777777" w:rsidR="000F16EB" w:rsidRDefault="000F16EB" w:rsidP="00A7521D">
            <w:pPr>
              <w:jc w:val="center"/>
            </w:pPr>
            <w:r>
              <w:t>-</w:t>
            </w:r>
          </w:p>
        </w:tc>
      </w:tr>
      <w:tr w:rsidR="000F16EB" w14:paraId="74D8859D" w14:textId="77777777" w:rsidTr="00A7521D">
        <w:trPr>
          <w:jc w:val="center"/>
        </w:trPr>
        <w:tc>
          <w:tcPr>
            <w:tcW w:w="4004" w:type="dxa"/>
          </w:tcPr>
          <w:p w14:paraId="49505F7E" w14:textId="77777777" w:rsidR="000F16EB" w:rsidRDefault="000F16EB" w:rsidP="00A7521D">
            <w:pPr>
              <w:jc w:val="center"/>
            </w:pPr>
            <w:r>
              <w:rPr>
                <w:rFonts w:ascii="Calibri" w:hAnsi="Calibri"/>
              </w:rPr>
              <w:t>Number of 90° square elbows</w:t>
            </w:r>
          </w:p>
        </w:tc>
        <w:tc>
          <w:tcPr>
            <w:tcW w:w="793" w:type="dxa"/>
          </w:tcPr>
          <w:p w14:paraId="2B6C4D26" w14:textId="77777777" w:rsidR="000F16EB" w:rsidRDefault="000F16EB" w:rsidP="00A7521D">
            <w:pPr>
              <w:jc w:val="center"/>
            </w:pPr>
            <w:r>
              <w:t>-</w:t>
            </w:r>
          </w:p>
        </w:tc>
      </w:tr>
      <w:tr w:rsidR="000F16EB" w14:paraId="00EAAD55" w14:textId="77777777" w:rsidTr="00A7521D">
        <w:trPr>
          <w:jc w:val="center"/>
        </w:trPr>
        <w:tc>
          <w:tcPr>
            <w:tcW w:w="4004" w:type="dxa"/>
          </w:tcPr>
          <w:p w14:paraId="318ADDEF" w14:textId="77777777" w:rsidR="000F16EB" w:rsidRDefault="000F16EB" w:rsidP="00A7521D">
            <w:pPr>
              <w:jc w:val="center"/>
            </w:pPr>
            <w:r>
              <w:rPr>
                <w:rFonts w:ascii="Calibri" w:hAnsi="Calibri"/>
              </w:rPr>
              <w:t>Number of tee-entry from legs</w:t>
            </w:r>
          </w:p>
        </w:tc>
        <w:tc>
          <w:tcPr>
            <w:tcW w:w="793" w:type="dxa"/>
          </w:tcPr>
          <w:p w14:paraId="3770E414" w14:textId="77777777" w:rsidR="000F16EB" w:rsidRPr="00CD15A3" w:rsidRDefault="000F16EB" w:rsidP="00A7521D">
            <w:pPr>
              <w:jc w:val="center"/>
            </w:pPr>
            <w:r>
              <w:t>-</w:t>
            </w:r>
          </w:p>
        </w:tc>
      </w:tr>
      <w:tr w:rsidR="000F16EB" w14:paraId="2D25B134" w14:textId="77777777" w:rsidTr="00A7521D">
        <w:trPr>
          <w:jc w:val="center"/>
        </w:trPr>
        <w:tc>
          <w:tcPr>
            <w:tcW w:w="4004" w:type="dxa"/>
          </w:tcPr>
          <w:p w14:paraId="46085618" w14:textId="77777777" w:rsidR="000F16EB" w:rsidRDefault="000F16EB" w:rsidP="00A7521D">
            <w:pPr>
              <w:jc w:val="center"/>
            </w:pPr>
            <w:r>
              <w:rPr>
                <w:rFonts w:ascii="Calibri" w:hAnsi="Calibri"/>
              </w:rPr>
              <w:t>Number of tee-entry into legs</w:t>
            </w:r>
          </w:p>
        </w:tc>
        <w:tc>
          <w:tcPr>
            <w:tcW w:w="793" w:type="dxa"/>
          </w:tcPr>
          <w:p w14:paraId="48DBA3BF" w14:textId="77777777" w:rsidR="000F16EB" w:rsidRDefault="000F16EB" w:rsidP="00A7521D">
            <w:pPr>
              <w:jc w:val="center"/>
            </w:pPr>
            <w:r>
              <w:t>-</w:t>
            </w:r>
          </w:p>
        </w:tc>
      </w:tr>
      <w:tr w:rsidR="000F16EB" w14:paraId="4C450F5E" w14:textId="77777777" w:rsidTr="00A7521D">
        <w:trPr>
          <w:jc w:val="center"/>
        </w:trPr>
        <w:tc>
          <w:tcPr>
            <w:tcW w:w="4004" w:type="dxa"/>
          </w:tcPr>
          <w:p w14:paraId="1A0BD110" w14:textId="77777777" w:rsidR="000F16EB" w:rsidRDefault="000F16EB" w:rsidP="00A7521D">
            <w:pPr>
              <w:jc w:val="center"/>
            </w:pPr>
            <w:r>
              <w:rPr>
                <w:rFonts w:ascii="Calibri" w:hAnsi="Calibri"/>
              </w:rPr>
              <w:t>Number of union and couplings</w:t>
            </w:r>
          </w:p>
        </w:tc>
        <w:tc>
          <w:tcPr>
            <w:tcW w:w="793" w:type="dxa"/>
          </w:tcPr>
          <w:p w14:paraId="52601CFE" w14:textId="77777777" w:rsidR="000F16EB" w:rsidRDefault="000F16EB" w:rsidP="00A7521D">
            <w:pPr>
              <w:jc w:val="center"/>
            </w:pPr>
            <w:r>
              <w:t>-</w:t>
            </w:r>
          </w:p>
        </w:tc>
      </w:tr>
      <w:tr w:rsidR="000F16EB" w14:paraId="39E01FEB" w14:textId="77777777" w:rsidTr="00A7521D">
        <w:trPr>
          <w:jc w:val="center"/>
        </w:trPr>
        <w:tc>
          <w:tcPr>
            <w:tcW w:w="4004" w:type="dxa"/>
          </w:tcPr>
          <w:p w14:paraId="106B73D9" w14:textId="77777777" w:rsidR="000F16EB" w:rsidRDefault="000F16EB" w:rsidP="00A7521D">
            <w:pPr>
              <w:jc w:val="center"/>
            </w:pPr>
            <w:r>
              <w:rPr>
                <w:rFonts w:ascii="Calibri" w:hAnsi="Calibri"/>
              </w:rPr>
              <w:t>Number of sharp reductions (tank outlet)</w:t>
            </w:r>
          </w:p>
        </w:tc>
        <w:tc>
          <w:tcPr>
            <w:tcW w:w="793" w:type="dxa"/>
          </w:tcPr>
          <w:p w14:paraId="0548187D" w14:textId="77777777" w:rsidR="000F16EB" w:rsidRDefault="000F16EB" w:rsidP="00A7521D">
            <w:pPr>
              <w:jc w:val="center"/>
            </w:pPr>
            <w:r>
              <w:t>-</w:t>
            </w:r>
          </w:p>
        </w:tc>
      </w:tr>
      <w:tr w:rsidR="000F16EB" w14:paraId="144F332E" w14:textId="77777777" w:rsidTr="00A7521D">
        <w:trPr>
          <w:jc w:val="center"/>
        </w:trPr>
        <w:tc>
          <w:tcPr>
            <w:tcW w:w="4004" w:type="dxa"/>
          </w:tcPr>
          <w:p w14:paraId="66355029" w14:textId="77777777" w:rsidR="000F16EB" w:rsidRDefault="000F16EB" w:rsidP="00A7521D">
            <w:pPr>
              <w:jc w:val="center"/>
            </w:pPr>
            <w:r>
              <w:rPr>
                <w:rFonts w:ascii="Calibri" w:hAnsi="Calibri"/>
              </w:rPr>
              <w:t>Number of sudden expansions (tank inlet)</w:t>
            </w:r>
          </w:p>
        </w:tc>
        <w:tc>
          <w:tcPr>
            <w:tcW w:w="793" w:type="dxa"/>
          </w:tcPr>
          <w:p w14:paraId="26513446" w14:textId="77777777" w:rsidR="000F16EB" w:rsidRDefault="000F16EB" w:rsidP="00A7521D">
            <w:pPr>
              <w:jc w:val="center"/>
            </w:pPr>
            <w:r>
              <w:t>-</w:t>
            </w:r>
          </w:p>
        </w:tc>
      </w:tr>
      <w:tr w:rsidR="000F16EB" w14:paraId="53B4760C" w14:textId="77777777" w:rsidTr="00A7521D">
        <w:trPr>
          <w:jc w:val="center"/>
        </w:trPr>
        <w:tc>
          <w:tcPr>
            <w:tcW w:w="4004" w:type="dxa"/>
          </w:tcPr>
          <w:p w14:paraId="3D6B25B5" w14:textId="77777777" w:rsidR="000F16EB" w:rsidRDefault="000F16EB" w:rsidP="00A7521D">
            <w:pPr>
              <w:jc w:val="center"/>
            </w:pPr>
            <w:r>
              <w:rPr>
                <w:rFonts w:ascii="Calibri" w:hAnsi="Calibri"/>
              </w:rPr>
              <w:t>Number of gate valves - fully open</w:t>
            </w:r>
          </w:p>
        </w:tc>
        <w:tc>
          <w:tcPr>
            <w:tcW w:w="793" w:type="dxa"/>
          </w:tcPr>
          <w:p w14:paraId="52925ADB" w14:textId="77777777" w:rsidR="000F16EB" w:rsidRDefault="000F16EB" w:rsidP="00A7521D">
            <w:pPr>
              <w:jc w:val="center"/>
            </w:pPr>
            <w:r>
              <w:t>-</w:t>
            </w:r>
          </w:p>
        </w:tc>
      </w:tr>
      <w:tr w:rsidR="000F16EB" w14:paraId="61CFD14D" w14:textId="77777777" w:rsidTr="00A7521D">
        <w:trPr>
          <w:jc w:val="center"/>
        </w:trPr>
        <w:tc>
          <w:tcPr>
            <w:tcW w:w="4004" w:type="dxa"/>
          </w:tcPr>
          <w:p w14:paraId="4D21992E" w14:textId="77777777" w:rsidR="000F16EB" w:rsidRDefault="000F16EB" w:rsidP="00A7521D">
            <w:pPr>
              <w:jc w:val="center"/>
            </w:pPr>
            <w:r>
              <w:rPr>
                <w:rFonts w:ascii="Calibri" w:hAnsi="Calibri"/>
              </w:rPr>
              <w:t>Number of gate valves - 25% open</w:t>
            </w:r>
          </w:p>
        </w:tc>
        <w:tc>
          <w:tcPr>
            <w:tcW w:w="793" w:type="dxa"/>
          </w:tcPr>
          <w:p w14:paraId="1CFE45FE" w14:textId="77777777" w:rsidR="000F16EB" w:rsidRDefault="000F16EB" w:rsidP="00A7521D">
            <w:pPr>
              <w:jc w:val="center"/>
            </w:pPr>
            <w:r>
              <w:t>-</w:t>
            </w:r>
          </w:p>
        </w:tc>
      </w:tr>
      <w:tr w:rsidR="000F16EB" w14:paraId="5FFBFA19" w14:textId="77777777" w:rsidTr="00A7521D">
        <w:trPr>
          <w:jc w:val="center"/>
        </w:trPr>
        <w:tc>
          <w:tcPr>
            <w:tcW w:w="4004" w:type="dxa"/>
          </w:tcPr>
          <w:p w14:paraId="7C9D615E" w14:textId="77777777" w:rsidR="000F16EB" w:rsidRDefault="000F16EB" w:rsidP="00A7521D">
            <w:pPr>
              <w:jc w:val="center"/>
            </w:pPr>
            <w:r>
              <w:rPr>
                <w:rFonts w:ascii="Calibri" w:hAnsi="Calibri"/>
              </w:rPr>
              <w:t>Number of gate valves - 50% open</w:t>
            </w:r>
          </w:p>
        </w:tc>
        <w:tc>
          <w:tcPr>
            <w:tcW w:w="793" w:type="dxa"/>
          </w:tcPr>
          <w:p w14:paraId="3CAD50A7" w14:textId="77777777" w:rsidR="000F16EB" w:rsidRDefault="000F16EB" w:rsidP="00A7521D">
            <w:pPr>
              <w:jc w:val="center"/>
            </w:pPr>
            <w:r>
              <w:t>-</w:t>
            </w:r>
          </w:p>
        </w:tc>
      </w:tr>
      <w:tr w:rsidR="000F16EB" w14:paraId="034C9819" w14:textId="77777777" w:rsidTr="00A7521D">
        <w:trPr>
          <w:jc w:val="center"/>
        </w:trPr>
        <w:tc>
          <w:tcPr>
            <w:tcW w:w="4004" w:type="dxa"/>
          </w:tcPr>
          <w:p w14:paraId="60B66C58" w14:textId="77777777" w:rsidR="000F16EB" w:rsidRDefault="000F16EB" w:rsidP="00A7521D">
            <w:pPr>
              <w:jc w:val="center"/>
            </w:pPr>
            <w:r>
              <w:rPr>
                <w:rFonts w:ascii="Calibri" w:hAnsi="Calibri"/>
              </w:rPr>
              <w:t>Number of gate valves - 75% open</w:t>
            </w:r>
          </w:p>
        </w:tc>
        <w:tc>
          <w:tcPr>
            <w:tcW w:w="793" w:type="dxa"/>
          </w:tcPr>
          <w:p w14:paraId="51674EF3" w14:textId="77777777" w:rsidR="000F16EB" w:rsidRDefault="000F16EB" w:rsidP="00A7521D">
            <w:pPr>
              <w:jc w:val="center"/>
            </w:pPr>
            <w:r>
              <w:t>-</w:t>
            </w:r>
          </w:p>
        </w:tc>
      </w:tr>
      <w:tr w:rsidR="000F16EB" w14:paraId="54C14FB7" w14:textId="77777777" w:rsidTr="00A7521D">
        <w:trPr>
          <w:jc w:val="center"/>
        </w:trPr>
        <w:tc>
          <w:tcPr>
            <w:tcW w:w="4004" w:type="dxa"/>
          </w:tcPr>
          <w:p w14:paraId="2C73A610" w14:textId="77777777" w:rsidR="000F16EB" w:rsidRDefault="000F16EB" w:rsidP="00A7521D">
            <w:pPr>
              <w:jc w:val="center"/>
            </w:pPr>
            <w:r>
              <w:rPr>
                <w:rFonts w:ascii="Calibri" w:hAnsi="Calibri"/>
              </w:rPr>
              <w:t>Number of globe valves - fully open</w:t>
            </w:r>
          </w:p>
        </w:tc>
        <w:tc>
          <w:tcPr>
            <w:tcW w:w="793" w:type="dxa"/>
          </w:tcPr>
          <w:p w14:paraId="6BB68961" w14:textId="77777777" w:rsidR="000F16EB" w:rsidRDefault="000F16EB" w:rsidP="00A7521D">
            <w:pPr>
              <w:jc w:val="center"/>
            </w:pPr>
            <w:r>
              <w:t>-</w:t>
            </w:r>
          </w:p>
        </w:tc>
      </w:tr>
      <w:tr w:rsidR="000F16EB" w14:paraId="2E705F41" w14:textId="77777777" w:rsidTr="00A7521D">
        <w:trPr>
          <w:jc w:val="center"/>
        </w:trPr>
        <w:tc>
          <w:tcPr>
            <w:tcW w:w="4004" w:type="dxa"/>
          </w:tcPr>
          <w:p w14:paraId="171BF487" w14:textId="77777777" w:rsidR="000F16EB" w:rsidRDefault="000F16EB" w:rsidP="00A7521D">
            <w:pPr>
              <w:jc w:val="center"/>
            </w:pPr>
            <w:r>
              <w:rPr>
                <w:rFonts w:ascii="Calibri" w:hAnsi="Calibri"/>
              </w:rPr>
              <w:t>Number of globe valves - 75% open</w:t>
            </w:r>
          </w:p>
        </w:tc>
        <w:tc>
          <w:tcPr>
            <w:tcW w:w="793" w:type="dxa"/>
          </w:tcPr>
          <w:p w14:paraId="268098BD" w14:textId="77777777" w:rsidR="000F16EB" w:rsidRDefault="000F16EB" w:rsidP="00A7521D">
            <w:pPr>
              <w:jc w:val="center"/>
            </w:pPr>
            <w:r>
              <w:t>-</w:t>
            </w:r>
          </w:p>
        </w:tc>
      </w:tr>
      <w:tr w:rsidR="000F16EB" w14:paraId="7B8543E7" w14:textId="77777777" w:rsidTr="00A7521D">
        <w:trPr>
          <w:jc w:val="center"/>
        </w:trPr>
        <w:tc>
          <w:tcPr>
            <w:tcW w:w="4004" w:type="dxa"/>
          </w:tcPr>
          <w:p w14:paraId="28031D3A" w14:textId="77777777" w:rsidR="000F16EB" w:rsidRDefault="000F16EB" w:rsidP="00A7521D">
            <w:pPr>
              <w:jc w:val="center"/>
            </w:pPr>
            <w:r>
              <w:rPr>
                <w:rFonts w:ascii="Calibri" w:hAnsi="Calibri"/>
              </w:rPr>
              <w:t>Number of plug valves</w:t>
            </w:r>
          </w:p>
        </w:tc>
        <w:tc>
          <w:tcPr>
            <w:tcW w:w="793" w:type="dxa"/>
          </w:tcPr>
          <w:p w14:paraId="1A850108" w14:textId="77777777" w:rsidR="000F16EB" w:rsidRDefault="000F16EB" w:rsidP="00A7521D">
            <w:pPr>
              <w:jc w:val="center"/>
            </w:pPr>
            <w:r>
              <w:t>-</w:t>
            </w:r>
          </w:p>
        </w:tc>
      </w:tr>
      <w:tr w:rsidR="000F16EB" w14:paraId="154B2DCF" w14:textId="77777777" w:rsidTr="00A7521D">
        <w:trPr>
          <w:jc w:val="center"/>
        </w:trPr>
        <w:tc>
          <w:tcPr>
            <w:tcW w:w="4004" w:type="dxa"/>
          </w:tcPr>
          <w:p w14:paraId="428AF75E" w14:textId="77777777" w:rsidR="000F16EB" w:rsidRDefault="000F16EB" w:rsidP="00A7521D">
            <w:pPr>
              <w:jc w:val="center"/>
            </w:pPr>
            <w:r>
              <w:t>Pipe length</w:t>
            </w:r>
          </w:p>
        </w:tc>
        <w:tc>
          <w:tcPr>
            <w:tcW w:w="793" w:type="dxa"/>
          </w:tcPr>
          <w:p w14:paraId="6840B420" w14:textId="77777777" w:rsidR="000F16EB" w:rsidRDefault="000F16EB" w:rsidP="00A7521D">
            <w:pPr>
              <w:jc w:val="center"/>
            </w:pPr>
            <w:r>
              <w:t>m</w:t>
            </w:r>
          </w:p>
        </w:tc>
      </w:tr>
    </w:tbl>
    <w:p w14:paraId="00290D2F" w14:textId="77777777" w:rsidR="000F16EB" w:rsidRDefault="000F16EB" w:rsidP="00196CD6">
      <w:pPr>
        <w:pStyle w:val="NoSpacing"/>
      </w:pPr>
    </w:p>
    <w:p w14:paraId="41EB7347" w14:textId="77777777" w:rsidR="000F16EB" w:rsidRDefault="000F16EB" w:rsidP="000F16EB">
      <w:r>
        <w:t>The density and flowrate of the working fluid came from the ORC calculations. The flowrate and velocity of the working fluid were calculated, which were used to calculate the velocity head. The number of components in the pipes were estimated, allowing the number of miscellaneous losses and consequently the head loss of the pump to be calculated. It would unreasonable to expect the non-technical user to know the number of components that would be in the pipes, so an average value of the miscellaneous losses will be provided. The friction loss of the pumps was calculated, allowing the overall pressure loss in the pump to be calculated.</w:t>
      </w:r>
    </w:p>
    <w:p w14:paraId="00B25546" w14:textId="77777777" w:rsidR="000F16EB" w:rsidRDefault="000F16EB" w:rsidP="000F16EB">
      <w:pPr>
        <w:pStyle w:val="Heading4"/>
      </w:pPr>
      <w:bookmarkStart w:id="605" w:name="_Ref531344269"/>
      <w:bookmarkStart w:id="606" w:name="_Ref531345529"/>
      <w:bookmarkStart w:id="607" w:name="_Toc7187533"/>
      <w:r>
        <w:t>Turbine</w:t>
      </w:r>
      <w:bookmarkEnd w:id="605"/>
      <w:bookmarkEnd w:id="606"/>
      <w:bookmarkEnd w:id="607"/>
    </w:p>
    <w:p w14:paraId="547DFE33" w14:textId="5C51D4E9" w:rsidR="000F16EB" w:rsidRDefault="000F16EB" w:rsidP="000F16EB">
      <w:r>
        <w:t xml:space="preserve">The equations used in the modelling of a turbine came from chapter 15 of the Elliott Shortcut Selection Method for Multivalve, Multistage Steam Turbines </w:t>
      </w:r>
      <w:r>
        <w:fldChar w:fldCharType="begin" w:fldLock="1"/>
      </w:r>
      <w:r>
        <w:instrText>ADDIN CSL_CITATION {"citationItems":[{"id":"ITEM-1","itemData":{"ISBN":"9780071641005","author":[{"dropping-particle":"","family":"Bloch","given":"Heinz P.","non-dropping-particle":"","parse-names":false,"suffix":""},{"dropping-particle":"","family":"Singh","given":"Murari P.","non-dropping-particle":"","parse-names":false,"suffix":""}],"chapter-number":"15","container-title":"Steam Turbines - Design, Applications and Re-Rating","edition":"2","id":"ITEM-1","issued":{"date-parts":[["2009"]]},"page":"309-328","publisher":"McGraw-Hill","publisher-place":"New York, America","title":"Elliott Shortcut Selection Method for Multivalve, Multistage Steam Turbines","type":"chapter"},"uris":["http://www.mendeley.com/documents/?uuid=e75e9b62-ce28-4111-950b-d748a36f7cca"]}],"mendeley":{"formattedCitation":"(Bloch and Singh, 2009)","plainTextFormattedCitation":"(Bloch and Singh, 2009)","previouslyFormattedCitation":"(Bloch and Singh, 2009)"},"properties":{"noteIndex":0},"schema":"https://github.com/citation-style-language/schema/raw/master/csl-citation.json"}</w:instrText>
      </w:r>
      <w:r>
        <w:fldChar w:fldCharType="separate"/>
      </w:r>
      <w:r w:rsidRPr="00E7695A">
        <w:rPr>
          <w:noProof/>
        </w:rPr>
        <w:t>(Bloch and Singh, 2009)</w:t>
      </w:r>
      <w:r>
        <w:fldChar w:fldCharType="end"/>
      </w:r>
      <w:r>
        <w:t>. The list of equations is shown in its entirety in Appendix</w:t>
      </w:r>
      <w:r w:rsidR="00826452">
        <w:t xml:space="preserve"> </w:t>
      </w:r>
      <w:r w:rsidR="00826452">
        <w:fldChar w:fldCharType="begin"/>
      </w:r>
      <w:r w:rsidR="00826452">
        <w:instrText xml:space="preserve"> REF _Ref531344214 \n \h </w:instrText>
      </w:r>
      <w:r w:rsidR="00826452">
        <w:fldChar w:fldCharType="separate"/>
      </w:r>
      <w:r w:rsidR="00CB7456">
        <w:t>13.11</w:t>
      </w:r>
      <w:r w:rsidR="00826452">
        <w:fldChar w:fldCharType="end"/>
      </w:r>
      <w:r>
        <w:t xml:space="preserve">. A list of inputs </w:t>
      </w:r>
      <w:r w:rsidR="00826452">
        <w:t>was</w:t>
      </w:r>
      <w:r>
        <w:t xml:space="preserve"> needed in the work, as shown in </w:t>
      </w:r>
      <w:r>
        <w:fldChar w:fldCharType="begin"/>
      </w:r>
      <w:r>
        <w:instrText xml:space="preserve"> REF _Ref524969852 \h </w:instrText>
      </w:r>
      <w:r>
        <w:fldChar w:fldCharType="separate"/>
      </w:r>
      <w:r w:rsidR="00CB7456">
        <w:t xml:space="preserve">Table </w:t>
      </w:r>
      <w:r w:rsidR="00CB7456">
        <w:rPr>
          <w:noProof/>
        </w:rPr>
        <w:t>5</w:t>
      </w:r>
      <w:r w:rsidR="00CB7456">
        <w:t>.</w:t>
      </w:r>
      <w:r w:rsidR="00CB7456">
        <w:rPr>
          <w:noProof/>
        </w:rPr>
        <w:t>8</w:t>
      </w:r>
      <w:r>
        <w:fldChar w:fldCharType="end"/>
      </w:r>
      <w:r>
        <w:t>.</w:t>
      </w:r>
    </w:p>
    <w:p w14:paraId="008DC4F9" w14:textId="340D7D4C" w:rsidR="000F16EB" w:rsidRDefault="000F16EB" w:rsidP="000F16EB">
      <w:pPr>
        <w:pStyle w:val="Caption"/>
        <w:keepNext/>
      </w:pPr>
      <w:bookmarkStart w:id="608" w:name="_Ref524969852"/>
      <w:bookmarkStart w:id="609" w:name="_Toc525230135"/>
      <w:bookmarkStart w:id="610" w:name="_Toc7187689"/>
      <w:r>
        <w:t xml:space="preserve">Table </w:t>
      </w:r>
      <w:fldSimple w:instr=" STYLEREF 1 \s ">
        <w:r w:rsidR="00CB7456">
          <w:rPr>
            <w:noProof/>
          </w:rPr>
          <w:t>5</w:t>
        </w:r>
      </w:fldSimple>
      <w:r w:rsidR="009E1A67">
        <w:t>.</w:t>
      </w:r>
      <w:fldSimple w:instr=" SEQ Table \* ARABIC \s 1 ">
        <w:r w:rsidR="00CB7456">
          <w:rPr>
            <w:noProof/>
          </w:rPr>
          <w:t>8</w:t>
        </w:r>
      </w:fldSimple>
      <w:bookmarkEnd w:id="608"/>
      <w:r>
        <w:t>: Inputs needed for the modelling of a turbine.</w:t>
      </w:r>
      <w:bookmarkEnd w:id="609"/>
      <w:bookmarkEnd w:id="610"/>
    </w:p>
    <w:tbl>
      <w:tblPr>
        <w:tblStyle w:val="TableGrid"/>
        <w:tblW w:w="3236" w:type="dxa"/>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43"/>
        <w:gridCol w:w="793"/>
      </w:tblGrid>
      <w:tr w:rsidR="000F16EB" w14:paraId="5E4D57CB" w14:textId="77777777" w:rsidTr="00A7521D">
        <w:trPr>
          <w:jc w:val="center"/>
        </w:trPr>
        <w:tc>
          <w:tcPr>
            <w:tcW w:w="2443" w:type="dxa"/>
            <w:tcBorders>
              <w:bottom w:val="single" w:sz="4" w:space="0" w:color="auto"/>
            </w:tcBorders>
          </w:tcPr>
          <w:p w14:paraId="59CA2640" w14:textId="77777777" w:rsidR="000F16EB" w:rsidRDefault="000F16EB" w:rsidP="00A7521D">
            <w:pPr>
              <w:jc w:val="center"/>
            </w:pPr>
            <w:r>
              <w:t>Input</w:t>
            </w:r>
          </w:p>
        </w:tc>
        <w:tc>
          <w:tcPr>
            <w:tcW w:w="793" w:type="dxa"/>
            <w:tcBorders>
              <w:bottom w:val="single" w:sz="4" w:space="0" w:color="auto"/>
            </w:tcBorders>
          </w:tcPr>
          <w:p w14:paraId="3B2A3C05" w14:textId="77777777" w:rsidR="000F16EB" w:rsidRDefault="000F16EB" w:rsidP="00A7521D">
            <w:pPr>
              <w:jc w:val="center"/>
            </w:pPr>
            <w:r>
              <w:t>Units</w:t>
            </w:r>
          </w:p>
        </w:tc>
      </w:tr>
      <w:tr w:rsidR="000F16EB" w14:paraId="6C6D825E" w14:textId="77777777" w:rsidTr="00A7521D">
        <w:trPr>
          <w:jc w:val="center"/>
        </w:trPr>
        <w:tc>
          <w:tcPr>
            <w:tcW w:w="2443" w:type="dxa"/>
            <w:tcBorders>
              <w:top w:val="single" w:sz="4" w:space="0" w:color="auto"/>
              <w:bottom w:val="nil"/>
            </w:tcBorders>
          </w:tcPr>
          <w:p w14:paraId="582DE7A1" w14:textId="77777777" w:rsidR="000F16EB" w:rsidRDefault="000F16EB" w:rsidP="00A7521D">
            <w:pPr>
              <w:jc w:val="center"/>
            </w:pPr>
            <w:r>
              <w:t>Shaft power</w:t>
            </w:r>
          </w:p>
        </w:tc>
        <w:tc>
          <w:tcPr>
            <w:tcW w:w="793" w:type="dxa"/>
            <w:tcBorders>
              <w:top w:val="single" w:sz="4" w:space="0" w:color="auto"/>
              <w:bottom w:val="nil"/>
            </w:tcBorders>
          </w:tcPr>
          <w:p w14:paraId="741BE001" w14:textId="77777777" w:rsidR="000F16EB" w:rsidRDefault="000F16EB" w:rsidP="00A7521D">
            <w:pPr>
              <w:jc w:val="center"/>
            </w:pPr>
            <w:r>
              <w:t>kW</w:t>
            </w:r>
          </w:p>
        </w:tc>
      </w:tr>
      <w:tr w:rsidR="000F16EB" w14:paraId="708CE2D6" w14:textId="77777777" w:rsidTr="00A7521D">
        <w:trPr>
          <w:jc w:val="center"/>
        </w:trPr>
        <w:tc>
          <w:tcPr>
            <w:tcW w:w="2443" w:type="dxa"/>
          </w:tcPr>
          <w:p w14:paraId="402F41AA" w14:textId="77777777" w:rsidR="000F16EB" w:rsidRDefault="000F16EB" w:rsidP="00A7521D">
            <w:pPr>
              <w:jc w:val="center"/>
            </w:pPr>
            <w:r>
              <w:t>Shaft speed</w:t>
            </w:r>
          </w:p>
        </w:tc>
        <w:tc>
          <w:tcPr>
            <w:tcW w:w="793" w:type="dxa"/>
          </w:tcPr>
          <w:p w14:paraId="6FF6F7CA" w14:textId="77777777" w:rsidR="000F16EB" w:rsidRDefault="000F16EB" w:rsidP="00A7521D">
            <w:pPr>
              <w:jc w:val="center"/>
            </w:pPr>
            <w:r>
              <w:t>rpm</w:t>
            </w:r>
          </w:p>
        </w:tc>
      </w:tr>
      <w:tr w:rsidR="000F16EB" w14:paraId="743CC1AE" w14:textId="77777777" w:rsidTr="00A7521D">
        <w:trPr>
          <w:jc w:val="center"/>
        </w:trPr>
        <w:tc>
          <w:tcPr>
            <w:tcW w:w="2443" w:type="dxa"/>
          </w:tcPr>
          <w:p w14:paraId="67E71FA7" w14:textId="77777777" w:rsidR="000F16EB" w:rsidRDefault="000F16EB" w:rsidP="00A7521D">
            <w:pPr>
              <w:jc w:val="center"/>
            </w:pPr>
            <w:r>
              <w:t>Turbine pressure</w:t>
            </w:r>
          </w:p>
        </w:tc>
        <w:tc>
          <w:tcPr>
            <w:tcW w:w="793" w:type="dxa"/>
          </w:tcPr>
          <w:p w14:paraId="28B649DF" w14:textId="77777777" w:rsidR="000F16EB" w:rsidRDefault="000F16EB" w:rsidP="00A7521D">
            <w:pPr>
              <w:jc w:val="center"/>
            </w:pPr>
            <w:r>
              <w:t>kPa</w:t>
            </w:r>
          </w:p>
        </w:tc>
      </w:tr>
      <w:tr w:rsidR="000F16EB" w14:paraId="484236A0" w14:textId="77777777" w:rsidTr="00A7521D">
        <w:trPr>
          <w:jc w:val="center"/>
        </w:trPr>
        <w:tc>
          <w:tcPr>
            <w:tcW w:w="2443" w:type="dxa"/>
          </w:tcPr>
          <w:p w14:paraId="59DF2FF6" w14:textId="77777777" w:rsidR="000F16EB" w:rsidRDefault="000F16EB" w:rsidP="00A7521D">
            <w:pPr>
              <w:jc w:val="center"/>
            </w:pPr>
            <w:r>
              <w:t>Turbine blade diameter</w:t>
            </w:r>
          </w:p>
        </w:tc>
        <w:tc>
          <w:tcPr>
            <w:tcW w:w="793" w:type="dxa"/>
          </w:tcPr>
          <w:p w14:paraId="623FE507" w14:textId="77777777" w:rsidR="000F16EB" w:rsidRDefault="000F16EB" w:rsidP="00A7521D">
            <w:pPr>
              <w:jc w:val="center"/>
            </w:pPr>
            <w:r>
              <w:t>m</w:t>
            </w:r>
          </w:p>
        </w:tc>
      </w:tr>
      <w:tr w:rsidR="000F16EB" w14:paraId="1ED0E512" w14:textId="77777777" w:rsidTr="00A7521D">
        <w:trPr>
          <w:jc w:val="center"/>
        </w:trPr>
        <w:tc>
          <w:tcPr>
            <w:tcW w:w="2443" w:type="dxa"/>
          </w:tcPr>
          <w:p w14:paraId="2F368659" w14:textId="77777777" w:rsidR="000F16EB" w:rsidRDefault="000F16EB" w:rsidP="00A7521D">
            <w:pPr>
              <w:jc w:val="center"/>
            </w:pPr>
            <w:r>
              <w:t>Turbine blade thickness</w:t>
            </w:r>
          </w:p>
        </w:tc>
        <w:tc>
          <w:tcPr>
            <w:tcW w:w="793" w:type="dxa"/>
          </w:tcPr>
          <w:p w14:paraId="59CCBF39" w14:textId="77777777" w:rsidR="000F16EB" w:rsidRDefault="000F16EB" w:rsidP="00A7521D">
            <w:pPr>
              <w:jc w:val="center"/>
            </w:pPr>
            <w:r>
              <w:t>m</w:t>
            </w:r>
          </w:p>
        </w:tc>
      </w:tr>
    </w:tbl>
    <w:p w14:paraId="4EF0A494" w14:textId="77777777" w:rsidR="000F16EB" w:rsidRDefault="000F16EB" w:rsidP="00196CD6">
      <w:pPr>
        <w:pStyle w:val="NoSpacing"/>
      </w:pPr>
    </w:p>
    <w:p w14:paraId="00E68EB9" w14:textId="77777777" w:rsidR="000F16EB" w:rsidRDefault="000F16EB" w:rsidP="000F16EB">
      <w:r>
        <w:lastRenderedPageBreak/>
        <w:t xml:space="preserve">The inlet and outlet pressures and temperatures of the turbine and the mass flowrate of the working fluid came from the ORC calculations. The overall turbine efficiency was calculated, then the theoretical steam rate (TSR) found using the inlet and outlet pressures and temperatures. At this point, the modelling split into two different pathways which provided two options for the possible turbine design, comparing Curtis and </w:t>
      </w:r>
      <w:proofErr w:type="spellStart"/>
      <w:r>
        <w:t>Rateau</w:t>
      </w:r>
      <w:proofErr w:type="spellEnd"/>
      <w:r>
        <w:t xml:space="preserve"> stages. Curtis turbines are velocity compounded whereas </w:t>
      </w:r>
      <w:proofErr w:type="spellStart"/>
      <w:r>
        <w:t>Rateau</w:t>
      </w:r>
      <w:proofErr w:type="spellEnd"/>
      <w:r>
        <w:t xml:space="preserve"> turbines are pressure compounded. For each option, the turbine velocity and the velocity ratios were calculated. The velocities were compared to an optimum turbine velocity, allowing Excel to automatically choose the optimal option. The remaining TSR was calculated and the remaining stages were designed. </w:t>
      </w:r>
    </w:p>
    <w:p w14:paraId="27FDF13A" w14:textId="77777777" w:rsidR="000F16EB" w:rsidRDefault="000F16EB" w:rsidP="000F16EB">
      <w:pPr>
        <w:pStyle w:val="Heading4"/>
      </w:pPr>
      <w:bookmarkStart w:id="611" w:name="_Ref531345461"/>
      <w:bookmarkStart w:id="612" w:name="_Toc7187534"/>
      <w:r>
        <w:t>Rankine Cycle and Corresponding Components</w:t>
      </w:r>
      <w:bookmarkEnd w:id="611"/>
      <w:bookmarkEnd w:id="612"/>
    </w:p>
    <w:p w14:paraId="541C0361" w14:textId="5656DE69" w:rsidR="000F16EB" w:rsidRDefault="000F16EB" w:rsidP="000F16EB">
      <w:r>
        <w:t>The design of the RC and its corresponding components the boiler, the condenser, the pump, and the turbine followed an identical process to the design of the ORC and its corresponding components.</w:t>
      </w:r>
      <w:r w:rsidR="00826452">
        <w:t xml:space="preserve"> The calculations of the components are shown in more detail in section </w:t>
      </w:r>
      <w:r w:rsidR="00826452">
        <w:fldChar w:fldCharType="begin"/>
      </w:r>
      <w:r w:rsidR="00826452">
        <w:instrText xml:space="preserve"> REF _Ref531344267 \n \h </w:instrText>
      </w:r>
      <w:r w:rsidR="00826452">
        <w:fldChar w:fldCharType="separate"/>
      </w:r>
      <w:r w:rsidR="00CB7456">
        <w:t>5.1.1.6</w:t>
      </w:r>
      <w:r w:rsidR="00826452">
        <w:fldChar w:fldCharType="end"/>
      </w:r>
      <w:r w:rsidR="00826452">
        <w:t xml:space="preserve"> to section </w:t>
      </w:r>
      <w:r w:rsidR="00826452">
        <w:fldChar w:fldCharType="begin"/>
      </w:r>
      <w:r w:rsidR="00826452">
        <w:instrText xml:space="preserve"> REF _Ref531344269 \n \h </w:instrText>
      </w:r>
      <w:r w:rsidR="00826452">
        <w:fldChar w:fldCharType="separate"/>
      </w:r>
      <w:r w:rsidR="00CB7456">
        <w:t>5.1.1.10</w:t>
      </w:r>
      <w:r w:rsidR="00826452">
        <w:fldChar w:fldCharType="end"/>
      </w:r>
      <w:r w:rsidR="00826452">
        <w:t>.</w:t>
      </w:r>
      <w:r>
        <w:t xml:space="preserve"> The only difference was instead of using the NIST software, x-</w:t>
      </w:r>
      <w:proofErr w:type="spellStart"/>
      <w:r>
        <w:t>eng</w:t>
      </w:r>
      <w:proofErr w:type="spellEnd"/>
      <w:r>
        <w:t xml:space="preserve"> steam tables </w:t>
      </w:r>
      <w:r>
        <w:fldChar w:fldCharType="begin" w:fldLock="1"/>
      </w:r>
      <w:r>
        <w:instrText>ADDIN CSL_CITATION {"citationItems":[{"id":"ITEM-1","itemData":{"author":[{"dropping-particle":"","family":"x-eng","given":"","non-dropping-particle":"","parse-names":false,"suffix":""}],"id":"ITEM-1","issued":{"date-parts":[["2012"]]},"number":"2.6","publisher":"x-eng","publisher-place":"Horsham, London","title":"X Steam Tables","type":"article"},"uris":["http://www.mendeley.com/documents/?uuid=4e7f1edf-5a52-4cf2-9a5a-a116a9031a11"]}],"mendeley":{"formattedCitation":"(x-eng, 2012)","plainTextFormattedCitation":"(x-eng, 2012)","previouslyFormattedCitation":"(x-eng, 2012)"},"properties":{"noteIndex":0},"schema":"https://github.com/citation-style-language/schema/raw/master/csl-citation.json"}</w:instrText>
      </w:r>
      <w:r>
        <w:fldChar w:fldCharType="separate"/>
      </w:r>
      <w:r w:rsidRPr="00E7695A">
        <w:rPr>
          <w:noProof/>
        </w:rPr>
        <w:t>(x-eng, 2012)</w:t>
      </w:r>
      <w:r>
        <w:fldChar w:fldCharType="end"/>
      </w:r>
      <w:r>
        <w:t xml:space="preserve"> were used to calculate the RC enthalpies and entropies, x-</w:t>
      </w:r>
      <w:proofErr w:type="spellStart"/>
      <w:r>
        <w:t>eng</w:t>
      </w:r>
      <w:proofErr w:type="spellEnd"/>
      <w:r>
        <w:t xml:space="preserve"> steam tables are built into Excel.</w:t>
      </w:r>
    </w:p>
    <w:p w14:paraId="51BA8641" w14:textId="77777777" w:rsidR="000F16EB" w:rsidRDefault="000F16EB" w:rsidP="000F16EB">
      <w:pPr>
        <w:pStyle w:val="Heading3"/>
      </w:pPr>
      <w:bookmarkStart w:id="613" w:name="_Toc525230009"/>
      <w:bookmarkStart w:id="614" w:name="_Toc7187535"/>
      <w:r>
        <w:t>Costs</w:t>
      </w:r>
      <w:bookmarkEnd w:id="613"/>
      <w:bookmarkEnd w:id="614"/>
    </w:p>
    <w:p w14:paraId="7BBD3DE2" w14:textId="20707072" w:rsidR="000F16EB" w:rsidRDefault="000F16EB" w:rsidP="000F16EB">
      <w:r>
        <w:t>The end result of the work so far was sizes of the different WHR technologies. Next, a series of equations are introduced to calculate the CAPEX, OPEX, and revenues for each of the technologies based on the calculated sizes. The CAPEX of both a HEX</w:t>
      </w:r>
      <w:r>
        <w:noBreakHyphen/>
        <w:t xml:space="preserve">DP and a HEX-P were calculated using Figure 6.4 produced by Sinnott </w:t>
      </w:r>
      <w:r>
        <w:fldChar w:fldCharType="begin" w:fldLock="1"/>
      </w:r>
      <w:r w:rsidR="002A6A73">
        <w:instrText>ADDIN CSL_CITATION {"citationItems":[{"id":"ITEM-1","itemData":{"ISBN":"978-0-7506-6538-4","author":[{"dropping-particle":"","family":"Sinnott","given":"R.K.","non-dropping-particle":"","parse-names":false,"suffix":""}],"edition":"4","editor":[{"dropping-particle":"","family":"Sinnott","given":"R.K.","non-dropping-particle":"","parse-names":false,"suffix":""}],"id":"ITEM-1","issued":{"date-parts":[["2005"]]},"publisher":"Elsevier","title":"Coulson and Richardson's Chemical Engineering","type":"book"},"uris":["http://www.mendeley.com/documents/?uuid=d0a6e441-266f-4735-8bef-cd146e7cff7f"]}],"mendeley":{"formattedCitation":"(Sinnott, 2005a)","plainTextFormattedCitation":"(Sinnott, 2005a)","previouslyFormattedCitation":"(Sinnott, 2005a)"},"properties":{"noteIndex":0},"schema":"https://github.com/citation-style-language/schema/raw/master/csl-citation.json"}</w:instrText>
      </w:r>
      <w:r>
        <w:fldChar w:fldCharType="separate"/>
      </w:r>
      <w:r w:rsidR="002A6A73" w:rsidRPr="002A6A73">
        <w:rPr>
          <w:noProof/>
        </w:rPr>
        <w:t>(Sinnott, 2005a)</w:t>
      </w:r>
      <w:r>
        <w:fldChar w:fldCharType="end"/>
      </w:r>
      <w:r>
        <w:t xml:space="preserve">. The CAPEX of both a HEX-ST, a HEX-FT and a condenser were calculated using Figure 6.3 produced by Sinnott. The CAPEX of both a FH and a boiler were calculated using Table 6.2 produced by Sinnott. The CAPEX of a turbine was calculated using from the US DOE </w:t>
      </w:r>
      <w:r>
        <w:fldChar w:fldCharType="begin" w:fldLock="1"/>
      </w:r>
      <w:r>
        <w:instrText>ADDIN CSL_CITATION {"citationItems":[{"id":"ITEM-1","itemData":{"author":[{"dropping-particle":"","family":"US DOE","given":"","non-dropping-particle":"","parse-names":false,"suffix":""}],"id":"ITEM-1","issued":{"date-parts":[["2016"]]},"number-of-pages":"1-4","publisher-place":"Washington, USA","title":"Combined Heat and Power Technology Fact Sheet Series Steam Turbines","type":"report"},"uris":["http://www.mendeley.com/documents/?uuid=091cf309-e25c-4c9e-b841-8953b2072207"]}],"mendeley":{"formattedCitation":"(US DOE, 2016)","plainTextFormattedCitation":"(US DOE, 2016)","previouslyFormattedCitation":"(US DOE, 2016)"},"properties":{"noteIndex":0},"schema":"https://github.com/citation-style-language/schema/raw/master/csl-citation.json"}</w:instrText>
      </w:r>
      <w:r>
        <w:fldChar w:fldCharType="separate"/>
      </w:r>
      <w:r w:rsidRPr="00E7695A">
        <w:rPr>
          <w:noProof/>
        </w:rPr>
        <w:t>(US DOE, 2016)</w:t>
      </w:r>
      <w:r>
        <w:fldChar w:fldCharType="end"/>
      </w:r>
      <w:r>
        <w:t xml:space="preserve">, which provided a cost of </w:t>
      </w:r>
      <w:r w:rsidR="00527AD2">
        <w:t>£215</w:t>
      </w:r>
      <w:r>
        <w:t xml:space="preserve"> /kW. The pump CAPEX were estimated from cost curves produced by </w:t>
      </w:r>
      <w:proofErr w:type="spellStart"/>
      <w:r>
        <w:t>Loh</w:t>
      </w:r>
      <w:proofErr w:type="spellEnd"/>
      <w:r>
        <w:t xml:space="preserve"> </w:t>
      </w:r>
      <w:r w:rsidRPr="006B360F">
        <w:rPr>
          <w:i/>
        </w:rPr>
        <w:t>et al</w:t>
      </w:r>
      <w:r>
        <w:t xml:space="preserve">. </w:t>
      </w:r>
      <w:r>
        <w:fldChar w:fldCharType="begin" w:fldLock="1"/>
      </w:r>
      <w:r w:rsidR="00FF4B5D">
        <w:instrText>ADDIN CSL_CITATION {"citationItems":[{"id":"ITEM-1","itemData":{"DOI":"10.2172/797810","ISBN":"DOE/NETL-2002/1169; TRN: US200216%%97 United States10.2172/797810TRN: US200216%%97Tue Feb 05 04:43:31 EST 2008OSTI as DE00797810NETLEnglish","author":[{"dropping-particle":"","family":"Loh","given":"H P","non-dropping-particle":"","parse-names":false,"suffix":""},{"dropping-particle":"","family":"Lyons","given":"Jennifer","non-dropping-particle":"","parse-names":false,"suffix":""},{"dropping-particle":"","family":"White","given":"Charles W","non-dropping-particle":"","parse-names":false,"suffix":""}],"id":"ITEM-1","issued":{"date-parts":[["2002"]]},"publisher-place":"Pittsburgh, USA","title":"Process Equipment Cost Estimation, Final Report","type":"report"},"uris":["http://www.mendeley.com/documents/?uuid=4ffe8c63-0c44-435a-ba78-2c8a30558f92"]}],"mendeley":{"formattedCitation":"(Loh &lt;i&gt;et al.&lt;/i&gt;, 2002)","plainTextFormattedCitation":"(Loh et al., 2002)","previouslyFormattedCitation":"(Loh &lt;i&gt;et al.&lt;/i&gt;, 2002)"},"properties":{"noteIndex":0},"schema":"https://github.com/citation-style-language/schema/raw/master/csl-citation.json"}</w:instrText>
      </w:r>
      <w:r>
        <w:fldChar w:fldCharType="separate"/>
      </w:r>
      <w:r w:rsidR="005F544E" w:rsidRPr="005F544E">
        <w:rPr>
          <w:noProof/>
        </w:rPr>
        <w:t xml:space="preserve">(Loh </w:t>
      </w:r>
      <w:r w:rsidR="005F544E" w:rsidRPr="005F544E">
        <w:rPr>
          <w:i/>
          <w:noProof/>
        </w:rPr>
        <w:t>et al.</w:t>
      </w:r>
      <w:r w:rsidR="005F544E" w:rsidRPr="005F544E">
        <w:rPr>
          <w:noProof/>
        </w:rPr>
        <w:t>, 2002)</w:t>
      </w:r>
      <w:r>
        <w:fldChar w:fldCharType="end"/>
      </w:r>
      <w:r>
        <w:t>.</w:t>
      </w:r>
    </w:p>
    <w:p w14:paraId="25FBF1E0" w14:textId="7821B590" w:rsidR="000F16EB" w:rsidRDefault="000F16EB" w:rsidP="000F16EB">
      <w:pPr>
        <w:rPr>
          <w:iCs/>
        </w:rPr>
      </w:pPr>
      <w:r>
        <w:rPr>
          <w:iCs/>
        </w:rPr>
        <w:t xml:space="preserve">The pump OPEX were calculated based on an equation presented by the Engineering Toolbox </w:t>
      </w:r>
      <w:r>
        <w:rPr>
          <w:iCs/>
        </w:rPr>
        <w:fldChar w:fldCharType="begin" w:fldLock="1"/>
      </w:r>
      <w:r>
        <w:rPr>
          <w:iCs/>
        </w:rPr>
        <w:instrText>ADDIN CSL_CITATION {"citationItems":[{"id":"ITEM-1","itemData":{"URL":"https://www.engineeringtoolbox.com/water-pumping-costs-d_1527.html","accessed":{"date-parts":[["2018","9","14"]]},"author":[{"dropping-particle":"","family":"The Engineering Toolbox","given":"","non-dropping-particle":"","parse-names":false,"suffix":""}],"id":"ITEM-1","issued":{"date-parts":[["2009"]]},"title":"Pumping Water - Costs","type":"webpage"},"uris":["http://www.mendeley.com/documents/?uuid=a6bc56f1-d959-4a33-a3ba-a111f03a8e44"]}],"mendeley":{"formattedCitation":"(The Engineering Toolbox, 2009)","plainTextFormattedCitation":"(The Engineering Toolbox, 2009)","previouslyFormattedCitation":"(The Engineering Toolbox, 2009)"},"properties":{"noteIndex":0},"schema":"https://github.com/citation-style-language/schema/raw/master/csl-citation.json"}</w:instrText>
      </w:r>
      <w:r>
        <w:rPr>
          <w:iCs/>
        </w:rPr>
        <w:fldChar w:fldCharType="separate"/>
      </w:r>
      <w:r w:rsidRPr="00E7695A">
        <w:rPr>
          <w:iCs/>
          <w:noProof/>
        </w:rPr>
        <w:t>(The Engineering Toolbox, 2009)</w:t>
      </w:r>
      <w:r>
        <w:rPr>
          <w:iCs/>
        </w:rPr>
        <w:fldChar w:fldCharType="end"/>
      </w:r>
      <w:r>
        <w:rPr>
          <w:iCs/>
        </w:rPr>
        <w:t xml:space="preserve">, as shown in Equation </w:t>
      </w:r>
      <w:r>
        <w:rPr>
          <w:iCs/>
        </w:rPr>
        <w:fldChar w:fldCharType="begin"/>
      </w:r>
      <w:r>
        <w:rPr>
          <w:iCs/>
        </w:rPr>
        <w:instrText xml:space="preserve"> REF _Ref531102281 \h </w:instrText>
      </w:r>
      <w:r>
        <w:rPr>
          <w:iCs/>
        </w:rPr>
      </w:r>
      <w:r>
        <w:rPr>
          <w:iCs/>
        </w:rPr>
        <w:fldChar w:fldCharType="separate"/>
      </w:r>
      <w:r w:rsidR="00CB7456">
        <w:rPr>
          <w:noProof/>
        </w:rPr>
        <w:t>5</w:t>
      </w:r>
      <w:r w:rsidR="00CB7456">
        <w:t>.</w:t>
      </w:r>
      <w:r w:rsidR="00CB7456">
        <w:rPr>
          <w:noProof/>
        </w:rPr>
        <w:t>2</w:t>
      </w:r>
      <w:r>
        <w:rPr>
          <w:iCs/>
        </w:rPr>
        <w:fldChar w:fldCharType="end"/>
      </w:r>
      <w:r>
        <w:rPr>
          <w:iCs/>
        </w:rP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5"/>
        <w:gridCol w:w="543"/>
      </w:tblGrid>
      <w:tr w:rsidR="000F16EB" w14:paraId="661D2005" w14:textId="77777777" w:rsidTr="00A7521D">
        <w:tc>
          <w:tcPr>
            <w:tcW w:w="7655" w:type="dxa"/>
            <w:hideMark/>
          </w:tcPr>
          <w:p w14:paraId="4D7AF212" w14:textId="77777777" w:rsidR="000F16EB" w:rsidRDefault="00C73E04" w:rsidP="00A7521D">
            <w:pPr>
              <w:keepNext/>
            </w:pPr>
            <m:oMathPara>
              <m:oMathParaPr>
                <m:jc m:val="left"/>
              </m:oMathParaPr>
              <m:oMath>
                <m:sSub>
                  <m:sSubPr>
                    <m:ctrlPr>
                      <w:rPr>
                        <w:rFonts w:ascii="Cambria Math" w:hAnsi="Cambria Math"/>
                        <w:i/>
                        <w:iCs/>
                      </w:rPr>
                    </m:ctrlPr>
                  </m:sSubPr>
                  <m:e>
                    <m:r>
                      <m:rPr>
                        <m:nor/>
                      </m:rPr>
                      <w:rPr>
                        <w:rFonts w:ascii="Cambria Math" w:hAnsi="Cambria Math"/>
                        <w:iCs/>
                      </w:rPr>
                      <m:t>cost</m:t>
                    </m:r>
                  </m:e>
                  <m:sub>
                    <m:r>
                      <w:rPr>
                        <w:rFonts w:ascii="Cambria Math" w:hAnsi="Cambria Math"/>
                      </w:rPr>
                      <m:t>Op,pump</m:t>
                    </m:r>
                  </m:sub>
                </m:sSub>
                <m:r>
                  <w:rPr>
                    <w:rFonts w:ascii="Cambria Math" w:hAnsi="Cambria Math"/>
                  </w:rPr>
                  <m:t>=</m:t>
                </m:r>
                <m:f>
                  <m:fPr>
                    <m:ctrlPr>
                      <w:rPr>
                        <w:rFonts w:ascii="Cambria Math" w:hAnsi="Cambria Math"/>
                        <w:i/>
                        <w:iCs/>
                      </w:rPr>
                    </m:ctrlPr>
                  </m:fPr>
                  <m:num>
                    <m:r>
                      <w:rPr>
                        <w:rFonts w:ascii="Cambria Math" w:hAnsi="Cambria Math"/>
                      </w:rPr>
                      <m:t>0.746</m:t>
                    </m:r>
                    <m:sSub>
                      <m:sSubPr>
                        <m:ctrlPr>
                          <w:rPr>
                            <w:rFonts w:ascii="Cambria Math" w:hAnsi="Cambria Math"/>
                            <w:i/>
                            <w:iCs/>
                          </w:rPr>
                        </m:ctrlPr>
                      </m:sSubPr>
                      <m:e>
                        <m:r>
                          <w:rPr>
                            <w:rFonts w:ascii="Cambria Math" w:hAnsi="Cambria Math"/>
                          </w:rPr>
                          <m:t>Q</m:t>
                        </m:r>
                      </m:e>
                      <m:sub>
                        <m:r>
                          <w:rPr>
                            <w:rFonts w:ascii="Cambria Math" w:hAnsi="Cambria Math"/>
                          </w:rPr>
                          <m:t>F,pump</m:t>
                        </m:r>
                      </m:sub>
                    </m:sSub>
                    <m:r>
                      <w:rPr>
                        <w:rFonts w:ascii="Cambria Math" w:hAnsi="Cambria Math"/>
                      </w:rPr>
                      <m:t>he.</m:t>
                    </m:r>
                    <m:sSub>
                      <m:sSubPr>
                        <m:ctrlPr>
                          <w:rPr>
                            <w:rFonts w:ascii="Cambria Math" w:hAnsi="Cambria Math"/>
                            <w:i/>
                            <w:iCs/>
                          </w:rPr>
                        </m:ctrlPr>
                      </m:sSubPr>
                      <m:e>
                        <m:r>
                          <w:rPr>
                            <w:rFonts w:ascii="Cambria Math" w:hAnsi="Cambria Math"/>
                          </w:rPr>
                          <m:t>cost</m:t>
                        </m:r>
                      </m:e>
                      <m:sub>
                        <m:r>
                          <w:rPr>
                            <w:rFonts w:ascii="Cambria Math" w:hAnsi="Cambria Math"/>
                          </w:rPr>
                          <m:t>El,pump</m:t>
                        </m:r>
                      </m:sub>
                    </m:sSub>
                  </m:num>
                  <m:den>
                    <m:r>
                      <w:rPr>
                        <w:rFonts w:ascii="Cambria Math" w:hAnsi="Cambria Math"/>
                      </w:rPr>
                      <m:t>3960</m:t>
                    </m:r>
                    <m:sSub>
                      <m:sSubPr>
                        <m:ctrlPr>
                          <w:rPr>
                            <w:rFonts w:ascii="Cambria Math" w:hAnsi="Cambria Math"/>
                            <w:i/>
                            <w:iCs/>
                          </w:rPr>
                        </m:ctrlPr>
                      </m:sSubPr>
                      <m:e>
                        <m:r>
                          <w:rPr>
                            <w:rFonts w:ascii="Cambria Math" w:hAnsi="Cambria Math"/>
                          </w:rPr>
                          <m:t>η</m:t>
                        </m:r>
                      </m:e>
                      <m:sub>
                        <m:r>
                          <w:rPr>
                            <w:rFonts w:ascii="Cambria Math" w:hAnsi="Cambria Math"/>
                          </w:rPr>
                          <m:t>pump</m:t>
                        </m:r>
                      </m:sub>
                    </m:sSub>
                    <m:sSub>
                      <m:sSubPr>
                        <m:ctrlPr>
                          <w:rPr>
                            <w:rFonts w:ascii="Cambria Math" w:hAnsi="Cambria Math"/>
                            <w:i/>
                            <w:iCs/>
                          </w:rPr>
                        </m:ctrlPr>
                      </m:sSubPr>
                      <m:e>
                        <m:r>
                          <w:rPr>
                            <w:rFonts w:ascii="Cambria Math" w:hAnsi="Cambria Math"/>
                          </w:rPr>
                          <m:t>η</m:t>
                        </m:r>
                      </m:e>
                      <m:sub>
                        <m:r>
                          <w:rPr>
                            <w:rFonts w:ascii="Cambria Math" w:hAnsi="Cambria Math"/>
                          </w:rPr>
                          <m:t>motor</m:t>
                        </m:r>
                      </m:sub>
                    </m:sSub>
                  </m:den>
                </m:f>
              </m:oMath>
            </m:oMathPara>
          </w:p>
        </w:tc>
        <w:bookmarkStart w:id="615" w:name="_Ref531102281"/>
        <w:tc>
          <w:tcPr>
            <w:tcW w:w="543" w:type="dxa"/>
            <w:vAlign w:val="center"/>
            <w:hideMark/>
          </w:tcPr>
          <w:p w14:paraId="00A57243" w14:textId="26C1DED1" w:rsidR="000F16EB" w:rsidRPr="000C6BA1" w:rsidRDefault="000F16EB" w:rsidP="00A7521D">
            <w:pPr>
              <w:pStyle w:val="Caption"/>
              <w:jc w:val="right"/>
              <w:rPr>
                <w:b w:val="0"/>
              </w:rPr>
            </w:pPr>
            <w:r>
              <w:fldChar w:fldCharType="begin"/>
            </w:r>
            <w:r>
              <w:instrText xml:space="preserve"> STYLEREF 1 \s </w:instrText>
            </w:r>
            <w:r>
              <w:fldChar w:fldCharType="separate"/>
            </w:r>
            <w:r w:rsidR="00CB7456">
              <w:rPr>
                <w:noProof/>
              </w:rPr>
              <w:t>5</w:t>
            </w:r>
            <w:r>
              <w:fldChar w:fldCharType="end"/>
            </w:r>
            <w:r>
              <w:t>.</w:t>
            </w:r>
            <w:r>
              <w:rPr>
                <w:noProof/>
              </w:rPr>
              <w:fldChar w:fldCharType="begin"/>
            </w:r>
            <w:r>
              <w:rPr>
                <w:noProof/>
              </w:rPr>
              <w:instrText xml:space="preserve"> SEQ Equation \* ARABIC \s 1 </w:instrText>
            </w:r>
            <w:r>
              <w:rPr>
                <w:noProof/>
              </w:rPr>
              <w:fldChar w:fldCharType="separate"/>
            </w:r>
            <w:r w:rsidR="00CB7456">
              <w:rPr>
                <w:noProof/>
              </w:rPr>
              <w:t>2</w:t>
            </w:r>
            <w:r>
              <w:rPr>
                <w:noProof/>
              </w:rPr>
              <w:fldChar w:fldCharType="end"/>
            </w:r>
            <w:bookmarkEnd w:id="615"/>
          </w:p>
        </w:tc>
      </w:tr>
    </w:tbl>
    <w:p w14:paraId="06625C0D" w14:textId="77777777" w:rsidR="000F16EB" w:rsidRDefault="000F16EB" w:rsidP="00196CD6">
      <w:pPr>
        <w:pStyle w:val="NoSpacing"/>
      </w:pPr>
    </w:p>
    <w:p w14:paraId="067223CF" w14:textId="3173550B" w:rsidR="000F16EB" w:rsidRDefault="00C73E04" w:rsidP="000F16EB">
      <w:pPr>
        <w:pStyle w:val="NoSpacing"/>
      </w:pPr>
      <m:oMath>
        <m:sSub>
          <m:sSubPr>
            <m:ctrlPr>
              <w:rPr>
                <w:rFonts w:ascii="Cambria Math" w:hAnsi="Cambria Math"/>
                <w:i/>
              </w:rPr>
            </m:ctrlPr>
          </m:sSubPr>
          <m:e>
            <m:r>
              <m:rPr>
                <m:nor/>
              </m:rPr>
              <w:rPr>
                <w:rFonts w:ascii="Cambria Math" w:hAnsi="Cambria Math"/>
              </w:rPr>
              <m:t>cost</m:t>
            </m:r>
          </m:e>
          <m:sub>
            <m:r>
              <w:rPr>
                <w:rFonts w:ascii="Cambria Math" w:hAnsi="Cambria Math"/>
              </w:rPr>
              <m:t>Op,pump</m:t>
            </m:r>
          </m:sub>
        </m:sSub>
      </m:oMath>
      <w:r w:rsidR="000F16EB">
        <w:t xml:space="preserve"> was the </w:t>
      </w:r>
      <w:r w:rsidR="00C72679">
        <w:t>OPEX</w:t>
      </w:r>
      <w:r w:rsidR="000F16EB">
        <w:t xml:space="preserve"> of the pump (£/s),</w:t>
      </w:r>
    </w:p>
    <w:p w14:paraId="63D481CE" w14:textId="77777777" w:rsidR="000F16EB" w:rsidRDefault="00C73E04" w:rsidP="000F16EB">
      <w:pPr>
        <w:pStyle w:val="NoSpacing"/>
      </w:pPr>
      <m:oMath>
        <m:sSub>
          <m:sSubPr>
            <m:ctrlPr>
              <w:rPr>
                <w:rFonts w:ascii="Cambria Math" w:hAnsi="Cambria Math"/>
                <w:i/>
              </w:rPr>
            </m:ctrlPr>
          </m:sSubPr>
          <m:e>
            <m:r>
              <w:rPr>
                <w:rFonts w:ascii="Cambria Math" w:hAnsi="Cambria Math"/>
              </w:rPr>
              <m:t>Q</m:t>
            </m:r>
          </m:e>
          <m:sub>
            <m:r>
              <w:rPr>
                <w:rFonts w:ascii="Cambria Math" w:hAnsi="Cambria Math"/>
              </w:rPr>
              <m:t>F,pump</m:t>
            </m:r>
          </m:sub>
        </m:sSub>
      </m:oMath>
      <w:r w:rsidR="000F16EB">
        <w:t xml:space="preserve"> was the volumetric flowrate of the working fluid </w:t>
      </w:r>
      <w:bookmarkStart w:id="616" w:name="_Hlk526155607"/>
      <w:r w:rsidR="000F16EB">
        <w:t>(m</w:t>
      </w:r>
      <w:r w:rsidR="000F16EB">
        <w:rPr>
          <w:vertAlign w:val="superscript"/>
        </w:rPr>
        <w:t>3</w:t>
      </w:r>
      <w:r w:rsidR="000F16EB">
        <w:t>/s),</w:t>
      </w:r>
      <w:bookmarkEnd w:id="616"/>
    </w:p>
    <w:p w14:paraId="6A84B238" w14:textId="77777777" w:rsidR="000F16EB" w:rsidRDefault="000F16EB" w:rsidP="000F16EB">
      <w:pPr>
        <w:pStyle w:val="NoSpacing"/>
      </w:pPr>
      <w:bookmarkStart w:id="617" w:name="_Hlk526155616"/>
      <m:oMath>
        <m:r>
          <w:rPr>
            <w:rFonts w:ascii="Cambria Math" w:hAnsi="Cambria Math"/>
          </w:rPr>
          <m:t>h</m:t>
        </m:r>
        <w:bookmarkEnd w:id="617"/>
        <m:r>
          <w:rPr>
            <w:rFonts w:ascii="Cambria Math" w:hAnsi="Cambria Math"/>
          </w:rPr>
          <m:t>e</m:t>
        </m:r>
      </m:oMath>
      <w:r>
        <w:t xml:space="preserve"> was the pump head (m),</w:t>
      </w:r>
    </w:p>
    <w:bookmarkStart w:id="618" w:name="_Hlk526155706"/>
    <w:p w14:paraId="7FB60E3E" w14:textId="77777777" w:rsidR="000F16EB" w:rsidRDefault="00C73E04" w:rsidP="000F16EB">
      <w:pPr>
        <w:pStyle w:val="NoSpacing"/>
      </w:pPr>
      <m:oMath>
        <m:sSub>
          <m:sSubPr>
            <m:ctrlPr>
              <w:rPr>
                <w:rFonts w:ascii="Cambria Math" w:hAnsi="Cambria Math"/>
                <w:i/>
              </w:rPr>
            </m:ctrlPr>
          </m:sSubPr>
          <m:e>
            <m:r>
              <w:rPr>
                <w:rFonts w:ascii="Cambria Math" w:hAnsi="Cambria Math"/>
              </w:rPr>
              <m:t>cost</m:t>
            </m:r>
          </m:e>
          <m:sub>
            <m:r>
              <w:rPr>
                <w:rFonts w:ascii="Cambria Math" w:hAnsi="Cambria Math"/>
              </w:rPr>
              <m:t>El,</m:t>
            </m:r>
            <w:bookmarkStart w:id="619" w:name="_Hlk526155850"/>
            <m:r>
              <w:rPr>
                <w:rFonts w:ascii="Cambria Math" w:hAnsi="Cambria Math"/>
              </w:rPr>
              <m:t>pump</m:t>
            </m:r>
            <w:bookmarkEnd w:id="619"/>
          </m:sub>
        </m:sSub>
      </m:oMath>
      <w:bookmarkEnd w:id="618"/>
      <w:r w:rsidR="000F16EB">
        <w:t xml:space="preserve"> </w:t>
      </w:r>
      <w:proofErr w:type="gramStart"/>
      <w:r w:rsidR="000F16EB">
        <w:t>was</w:t>
      </w:r>
      <w:proofErr w:type="gramEnd"/>
      <w:r w:rsidR="000F16EB">
        <w:t xml:space="preserve"> the electricity costs (£/kWh),</w:t>
      </w:r>
    </w:p>
    <w:p w14:paraId="064D630D" w14:textId="77777777" w:rsidR="000F16EB" w:rsidRDefault="00C73E04" w:rsidP="000F16EB">
      <w:pPr>
        <w:pStyle w:val="NoSpacing"/>
      </w:pPr>
      <m:oMath>
        <m:sSub>
          <m:sSubPr>
            <m:ctrlPr>
              <w:rPr>
                <w:rFonts w:ascii="Cambria Math" w:hAnsi="Cambria Math"/>
                <w:i/>
              </w:rPr>
            </m:ctrlPr>
          </m:sSubPr>
          <m:e>
            <w:bookmarkStart w:id="620" w:name="_Hlk526156018"/>
            <m:r>
              <w:rPr>
                <w:rFonts w:ascii="Cambria Math" w:hAnsi="Cambria Math"/>
              </w:rPr>
              <m:t>η</m:t>
            </m:r>
            <w:bookmarkEnd w:id="620"/>
          </m:e>
          <m:sub>
            <m:r>
              <w:rPr>
                <w:rFonts w:ascii="Cambria Math" w:hAnsi="Cambria Math"/>
              </w:rPr>
              <m:t>pump</m:t>
            </m:r>
          </m:sub>
        </m:sSub>
      </m:oMath>
      <w:r w:rsidR="000F16EB">
        <w:t xml:space="preserve"> was the pump efficiency (%),</w:t>
      </w:r>
    </w:p>
    <w:p w14:paraId="61DDAD62" w14:textId="77777777" w:rsidR="000F16EB" w:rsidRPr="005A0BE8" w:rsidRDefault="00C73E04" w:rsidP="000F16EB">
      <m:oMath>
        <m:sSub>
          <m:sSubPr>
            <m:ctrlPr>
              <w:rPr>
                <w:rFonts w:ascii="Cambria Math" w:hAnsi="Cambria Math"/>
                <w:i/>
                <w:iCs/>
              </w:rPr>
            </m:ctrlPr>
          </m:sSubPr>
          <m:e>
            <m:r>
              <w:rPr>
                <w:rFonts w:ascii="Cambria Math" w:hAnsi="Cambria Math"/>
              </w:rPr>
              <m:t>η</m:t>
            </m:r>
          </m:e>
          <m:sub>
            <m:r>
              <w:rPr>
                <w:rFonts w:ascii="Cambria Math" w:hAnsi="Cambria Math"/>
              </w:rPr>
              <m:t>Motor</m:t>
            </m:r>
          </m:sub>
        </m:sSub>
      </m:oMath>
      <w:r w:rsidR="000F16EB">
        <w:rPr>
          <w:iCs/>
        </w:rPr>
        <w:t xml:space="preserve"> was the motor efficiency (%).</w:t>
      </w:r>
    </w:p>
    <w:p w14:paraId="1D59F94D" w14:textId="647BCF0A" w:rsidR="000F16EB" w:rsidRDefault="000F16EB" w:rsidP="009A3DED">
      <w:pPr>
        <w:rPr>
          <w:b/>
          <w:bCs/>
          <w:sz w:val="18"/>
          <w:szCs w:val="18"/>
        </w:rPr>
      </w:pPr>
      <w:r>
        <w:t xml:space="preserve">The OPEX of the remaining WHR technologies could be found using assumed costs, as shown in </w:t>
      </w:r>
      <w:r>
        <w:fldChar w:fldCharType="begin"/>
      </w:r>
      <w:r>
        <w:instrText xml:space="preserve"> REF _Ref529353687 \h </w:instrText>
      </w:r>
      <w:r>
        <w:fldChar w:fldCharType="separate"/>
      </w:r>
      <w:r w:rsidR="00CB7456">
        <w:t xml:space="preserve">Table </w:t>
      </w:r>
      <w:r w:rsidR="00CB7456">
        <w:rPr>
          <w:noProof/>
        </w:rPr>
        <w:t>5</w:t>
      </w:r>
      <w:r w:rsidR="00CB7456">
        <w:t>.</w:t>
      </w:r>
      <w:r w:rsidR="00CB7456">
        <w:rPr>
          <w:noProof/>
        </w:rPr>
        <w:t>9</w:t>
      </w:r>
      <w:r>
        <w:fldChar w:fldCharType="end"/>
      </w:r>
      <w:r>
        <w:t>.</w:t>
      </w:r>
      <w:r w:rsidR="009A3DED">
        <w:t xml:space="preserve"> The total yearly use of the various inputs such as natural gas, carbon dioxide, or dodecane etc as well as the total production of various outputs such as electricity and district heat were calculated. From the total input or output and the assumed cost, the total yearly cost or profit for the various inputs and outputs could be calculated.</w:t>
      </w:r>
      <w:bookmarkStart w:id="621" w:name="_Ref524973910"/>
      <w:bookmarkStart w:id="622" w:name="_Ref525029845"/>
      <w:bookmarkStart w:id="623" w:name="_Toc525230136"/>
      <w:r w:rsidR="009A3DED">
        <w:t xml:space="preserve"> In addition, the total </w:t>
      </w:r>
      <w:r w:rsidR="009A3DED">
        <w:lastRenderedPageBreak/>
        <w:t>yearly reduction of natural gas usage was calculated, which was used to calculate the yearly reduction in natural gas costs.</w:t>
      </w:r>
    </w:p>
    <w:p w14:paraId="1FBDD165" w14:textId="19BD1ECD" w:rsidR="000F16EB" w:rsidRDefault="000F16EB" w:rsidP="000F16EB">
      <w:pPr>
        <w:pStyle w:val="Caption"/>
        <w:keepNext/>
      </w:pPr>
      <w:bookmarkStart w:id="624" w:name="_Ref529353687"/>
      <w:bookmarkStart w:id="625" w:name="_Toc7187690"/>
      <w:r>
        <w:t xml:space="preserve">Table </w:t>
      </w:r>
      <w:fldSimple w:instr=" STYLEREF 1 \s ">
        <w:r w:rsidR="00CB7456">
          <w:rPr>
            <w:noProof/>
          </w:rPr>
          <w:t>5</w:t>
        </w:r>
      </w:fldSimple>
      <w:r w:rsidR="009E1A67">
        <w:t>.</w:t>
      </w:r>
      <w:fldSimple w:instr=" SEQ Table \* ARABIC \s 1 ">
        <w:r w:rsidR="00CB7456">
          <w:rPr>
            <w:noProof/>
          </w:rPr>
          <w:t>9</w:t>
        </w:r>
      </w:fldSimple>
      <w:bookmarkEnd w:id="621"/>
      <w:bookmarkEnd w:id="622"/>
      <w:bookmarkEnd w:id="624"/>
      <w:r>
        <w:rPr>
          <w:noProof/>
        </w:rPr>
        <w:t>:</w:t>
      </w:r>
      <w:r>
        <w:t xml:space="preserve"> Input and output costs of the WHR technologies.</w:t>
      </w:r>
      <w:bookmarkEnd w:id="623"/>
      <w:bookmarkEnd w:id="625"/>
    </w:p>
    <w:tbl>
      <w:tblPr>
        <w:tblStyle w:val="TableGrid"/>
        <w:tblW w:w="0" w:type="auto"/>
        <w:jc w:val="center"/>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70"/>
        <w:gridCol w:w="1051"/>
        <w:gridCol w:w="934"/>
        <w:gridCol w:w="2643"/>
      </w:tblGrid>
      <w:tr w:rsidR="000F16EB" w14:paraId="592A8DD4" w14:textId="77777777" w:rsidTr="003E2066">
        <w:trPr>
          <w:jc w:val="center"/>
        </w:trPr>
        <w:tc>
          <w:tcPr>
            <w:tcW w:w="1670" w:type="dxa"/>
            <w:tcBorders>
              <w:top w:val="single" w:sz="4" w:space="0" w:color="auto"/>
              <w:bottom w:val="single" w:sz="4" w:space="0" w:color="auto"/>
            </w:tcBorders>
          </w:tcPr>
          <w:p w14:paraId="5016E209" w14:textId="77777777" w:rsidR="000F16EB" w:rsidRDefault="000F16EB" w:rsidP="00A7521D">
            <w:pPr>
              <w:jc w:val="center"/>
            </w:pPr>
            <w:r>
              <w:t>Product</w:t>
            </w:r>
          </w:p>
        </w:tc>
        <w:tc>
          <w:tcPr>
            <w:tcW w:w="1051" w:type="dxa"/>
            <w:tcBorders>
              <w:top w:val="single" w:sz="4" w:space="0" w:color="auto"/>
              <w:bottom w:val="single" w:sz="4" w:space="0" w:color="auto"/>
            </w:tcBorders>
          </w:tcPr>
          <w:p w14:paraId="18EA6503" w14:textId="77777777" w:rsidR="000F16EB" w:rsidRDefault="000F16EB" w:rsidP="00A7521D">
            <w:pPr>
              <w:jc w:val="center"/>
            </w:pPr>
            <w:r>
              <w:t>Cost</w:t>
            </w:r>
          </w:p>
        </w:tc>
        <w:tc>
          <w:tcPr>
            <w:tcW w:w="934" w:type="dxa"/>
            <w:tcBorders>
              <w:top w:val="single" w:sz="4" w:space="0" w:color="auto"/>
              <w:bottom w:val="single" w:sz="4" w:space="0" w:color="auto"/>
            </w:tcBorders>
          </w:tcPr>
          <w:p w14:paraId="7331F396" w14:textId="77777777" w:rsidR="000F16EB" w:rsidRDefault="000F16EB" w:rsidP="00A7521D">
            <w:pPr>
              <w:jc w:val="center"/>
            </w:pPr>
            <w:r>
              <w:t>Units</w:t>
            </w:r>
          </w:p>
        </w:tc>
        <w:tc>
          <w:tcPr>
            <w:tcW w:w="2643" w:type="dxa"/>
            <w:tcBorders>
              <w:top w:val="single" w:sz="4" w:space="0" w:color="auto"/>
              <w:bottom w:val="single" w:sz="4" w:space="0" w:color="auto"/>
            </w:tcBorders>
          </w:tcPr>
          <w:p w14:paraId="5E5AB6FA" w14:textId="77777777" w:rsidR="000F16EB" w:rsidRDefault="000F16EB" w:rsidP="00A7521D">
            <w:pPr>
              <w:jc w:val="center"/>
            </w:pPr>
            <w:r>
              <w:t>Source</w:t>
            </w:r>
          </w:p>
        </w:tc>
      </w:tr>
      <w:tr w:rsidR="009A3DED" w14:paraId="163A16D4" w14:textId="77777777" w:rsidTr="00BA65E5">
        <w:trPr>
          <w:jc w:val="center"/>
        </w:trPr>
        <w:tc>
          <w:tcPr>
            <w:tcW w:w="6298" w:type="dxa"/>
            <w:gridSpan w:val="4"/>
            <w:tcBorders>
              <w:top w:val="single" w:sz="4" w:space="0" w:color="auto"/>
              <w:bottom w:val="single" w:sz="4" w:space="0" w:color="auto"/>
            </w:tcBorders>
          </w:tcPr>
          <w:p w14:paraId="6D2742C9" w14:textId="353C4806" w:rsidR="009A3DED" w:rsidRDefault="009A3DED" w:rsidP="00A7521D">
            <w:pPr>
              <w:jc w:val="center"/>
            </w:pPr>
            <w:r>
              <w:t>Input costs</w:t>
            </w:r>
          </w:p>
        </w:tc>
      </w:tr>
      <w:tr w:rsidR="000F16EB" w14:paraId="58F33C8A" w14:textId="77777777" w:rsidTr="003E2066">
        <w:trPr>
          <w:jc w:val="center"/>
        </w:trPr>
        <w:tc>
          <w:tcPr>
            <w:tcW w:w="1670" w:type="dxa"/>
            <w:tcBorders>
              <w:top w:val="single" w:sz="4" w:space="0" w:color="auto"/>
              <w:bottom w:val="nil"/>
            </w:tcBorders>
          </w:tcPr>
          <w:p w14:paraId="508FE544" w14:textId="77777777" w:rsidR="000F16EB" w:rsidRDefault="000F16EB" w:rsidP="00A7521D">
            <w:pPr>
              <w:jc w:val="center"/>
            </w:pPr>
            <w:r>
              <w:t>Electricity</w:t>
            </w:r>
          </w:p>
        </w:tc>
        <w:tc>
          <w:tcPr>
            <w:tcW w:w="1051" w:type="dxa"/>
            <w:tcBorders>
              <w:top w:val="single" w:sz="4" w:space="0" w:color="auto"/>
              <w:bottom w:val="nil"/>
            </w:tcBorders>
          </w:tcPr>
          <w:p w14:paraId="3B5B4715" w14:textId="77777777" w:rsidR="000F16EB" w:rsidRDefault="000F16EB" w:rsidP="00A7521D">
            <w:pPr>
              <w:jc w:val="center"/>
            </w:pPr>
            <w:r>
              <w:t>0.105</w:t>
            </w:r>
          </w:p>
        </w:tc>
        <w:tc>
          <w:tcPr>
            <w:tcW w:w="934" w:type="dxa"/>
            <w:tcBorders>
              <w:top w:val="single" w:sz="4" w:space="0" w:color="auto"/>
              <w:bottom w:val="nil"/>
            </w:tcBorders>
          </w:tcPr>
          <w:p w14:paraId="37C2C141" w14:textId="77777777" w:rsidR="000F16EB" w:rsidRDefault="000F16EB" w:rsidP="00A7521D">
            <w:pPr>
              <w:jc w:val="center"/>
            </w:pPr>
            <w:r>
              <w:t>£/kWh</w:t>
            </w:r>
          </w:p>
        </w:tc>
        <w:tc>
          <w:tcPr>
            <w:tcW w:w="2643" w:type="dxa"/>
            <w:tcBorders>
              <w:top w:val="single" w:sz="4" w:space="0" w:color="auto"/>
              <w:bottom w:val="nil"/>
            </w:tcBorders>
          </w:tcPr>
          <w:p w14:paraId="457C9F2C" w14:textId="7A3FF002" w:rsidR="000F16EB" w:rsidRDefault="000F16EB" w:rsidP="00A7521D">
            <w:pPr>
              <w:jc w:val="center"/>
            </w:pPr>
            <w:r>
              <w:fldChar w:fldCharType="begin" w:fldLock="1"/>
            </w:r>
            <w:r w:rsidR="002A6A73">
              <w:instrText>ADDIN CSL_CITATION {"citationItems":[{"id":"ITEM-1","itemData":{"author":[{"dropping-particle":"","family":"BEIS","given":"","non-dropping-particle":"","parse-names":false,"suffix":""}],"id":"ITEM-1","issued":{"date-parts":[["2017"]]},"publisher-place":"London, England","title":"Prices of fuels purchased by non-domestic consumers in the United Kingdom","type":"report"},"uris":["http://www.mendeley.com/documents/?uuid=e002eb20-c7d2-411c-a61d-654ed1b7049a"]}],"mendeley":{"formattedCitation":"(BEIS, 2017c)","plainTextFormattedCitation":"(BEIS, 2017c)","previouslyFormattedCitation":"(BEIS, 2017c)"},"properties":{"noteIndex":0},"schema":"https://github.com/citation-style-language/schema/raw/master/csl-citation.json"}</w:instrText>
            </w:r>
            <w:r>
              <w:fldChar w:fldCharType="separate"/>
            </w:r>
            <w:r w:rsidR="002A6A73" w:rsidRPr="002A6A73">
              <w:rPr>
                <w:noProof/>
              </w:rPr>
              <w:t>(BEIS, 2017c)</w:t>
            </w:r>
            <w:r>
              <w:fldChar w:fldCharType="end"/>
            </w:r>
          </w:p>
        </w:tc>
      </w:tr>
      <w:tr w:rsidR="000F16EB" w14:paraId="2B790E04" w14:textId="77777777" w:rsidTr="009A3DED">
        <w:trPr>
          <w:jc w:val="center"/>
        </w:trPr>
        <w:tc>
          <w:tcPr>
            <w:tcW w:w="1670" w:type="dxa"/>
            <w:tcBorders>
              <w:top w:val="nil"/>
              <w:bottom w:val="single" w:sz="4" w:space="0" w:color="auto"/>
            </w:tcBorders>
          </w:tcPr>
          <w:p w14:paraId="1176F0C3" w14:textId="77777777" w:rsidR="000F16EB" w:rsidRDefault="000F16EB" w:rsidP="00A7521D">
            <w:pPr>
              <w:jc w:val="center"/>
            </w:pPr>
            <w:r>
              <w:t>District heat</w:t>
            </w:r>
          </w:p>
        </w:tc>
        <w:tc>
          <w:tcPr>
            <w:tcW w:w="1051" w:type="dxa"/>
            <w:tcBorders>
              <w:top w:val="nil"/>
              <w:bottom w:val="single" w:sz="4" w:space="0" w:color="auto"/>
            </w:tcBorders>
          </w:tcPr>
          <w:p w14:paraId="1AFF32CC" w14:textId="77777777" w:rsidR="000F16EB" w:rsidRDefault="000F16EB" w:rsidP="00A7521D">
            <w:pPr>
              <w:jc w:val="center"/>
            </w:pPr>
            <w:r>
              <w:t>0.042</w:t>
            </w:r>
          </w:p>
        </w:tc>
        <w:tc>
          <w:tcPr>
            <w:tcW w:w="934" w:type="dxa"/>
            <w:tcBorders>
              <w:top w:val="nil"/>
              <w:bottom w:val="single" w:sz="4" w:space="0" w:color="auto"/>
            </w:tcBorders>
          </w:tcPr>
          <w:p w14:paraId="4B4C7A4D" w14:textId="77777777" w:rsidR="000F16EB" w:rsidRDefault="000F16EB" w:rsidP="00A7521D">
            <w:pPr>
              <w:jc w:val="center"/>
            </w:pPr>
            <w:r>
              <w:t>£/kWh</w:t>
            </w:r>
          </w:p>
        </w:tc>
        <w:tc>
          <w:tcPr>
            <w:tcW w:w="2643" w:type="dxa"/>
            <w:tcBorders>
              <w:top w:val="nil"/>
              <w:bottom w:val="single" w:sz="4" w:space="0" w:color="auto"/>
            </w:tcBorders>
          </w:tcPr>
          <w:p w14:paraId="4FFCACAB" w14:textId="0BF34E91" w:rsidR="000F16EB" w:rsidRDefault="000F16EB" w:rsidP="00A7521D">
            <w:pPr>
              <w:jc w:val="center"/>
            </w:pPr>
            <w:r>
              <w:fldChar w:fldCharType="begin" w:fldLock="1"/>
            </w:r>
            <w:r w:rsidR="002A6A73">
              <w:instrText>ADDIN CSL_CITATION {"citationItems":[{"id":"ITEM-1","itemData":{"author":[{"dropping-particle":"","family":"DECC","given":"","non-dropping-particle":"","parse-names":false,"suffix":""}],"id":"ITEM-1","issued":{"date-parts":[["2015"]]},"publisher-place":"London, England","title":"Assessment of the Costs, Performance, and Characteristics of UK Heat Networks","type":"report"},"uris":["http://www.mendeley.com/documents/?uuid=fa96b1e4-69b1-4e0e-ba67-0101ca328647"]}],"mendeley":{"formattedCitation":"(DECC, 2015a)","plainTextFormattedCitation":"(DECC, 2015a)","previouslyFormattedCitation":"(DECC, 2015a)"},"properties":{"noteIndex":0},"schema":"https://github.com/citation-style-language/schema/raw/master/csl-citation.json"}</w:instrText>
            </w:r>
            <w:r>
              <w:fldChar w:fldCharType="separate"/>
            </w:r>
            <w:r w:rsidR="002A6A73" w:rsidRPr="002A6A73">
              <w:rPr>
                <w:noProof/>
              </w:rPr>
              <w:t>(DECC, 2015a)</w:t>
            </w:r>
            <w:r>
              <w:fldChar w:fldCharType="end"/>
            </w:r>
          </w:p>
        </w:tc>
      </w:tr>
      <w:tr w:rsidR="009A3DED" w14:paraId="6DAAB502" w14:textId="77777777" w:rsidTr="009A3DED">
        <w:trPr>
          <w:jc w:val="center"/>
        </w:trPr>
        <w:tc>
          <w:tcPr>
            <w:tcW w:w="6298" w:type="dxa"/>
            <w:gridSpan w:val="4"/>
            <w:tcBorders>
              <w:top w:val="single" w:sz="4" w:space="0" w:color="auto"/>
              <w:bottom w:val="single" w:sz="4" w:space="0" w:color="auto"/>
            </w:tcBorders>
          </w:tcPr>
          <w:p w14:paraId="4F64EB7B" w14:textId="12A2452C" w:rsidR="009A3DED" w:rsidRDefault="009A3DED" w:rsidP="00A7521D">
            <w:pPr>
              <w:jc w:val="center"/>
            </w:pPr>
            <w:r>
              <w:t>Output costs</w:t>
            </w:r>
          </w:p>
        </w:tc>
      </w:tr>
      <w:tr w:rsidR="009A3DED" w14:paraId="333C8563" w14:textId="77777777" w:rsidTr="009A3DED">
        <w:trPr>
          <w:jc w:val="center"/>
        </w:trPr>
        <w:tc>
          <w:tcPr>
            <w:tcW w:w="1670" w:type="dxa"/>
            <w:tcBorders>
              <w:top w:val="single" w:sz="4" w:space="0" w:color="auto"/>
              <w:bottom w:val="nil"/>
            </w:tcBorders>
          </w:tcPr>
          <w:p w14:paraId="1164C812" w14:textId="15AFDB64" w:rsidR="009A3DED" w:rsidRDefault="009A3DED" w:rsidP="009A3DED">
            <w:pPr>
              <w:jc w:val="center"/>
            </w:pPr>
            <w:r>
              <w:t>Natural gas</w:t>
            </w:r>
          </w:p>
        </w:tc>
        <w:tc>
          <w:tcPr>
            <w:tcW w:w="1051" w:type="dxa"/>
            <w:tcBorders>
              <w:top w:val="single" w:sz="4" w:space="0" w:color="auto"/>
              <w:bottom w:val="nil"/>
            </w:tcBorders>
          </w:tcPr>
          <w:p w14:paraId="625C211F" w14:textId="168039DD" w:rsidR="009A3DED" w:rsidRDefault="009A3DED" w:rsidP="009A3DED">
            <w:pPr>
              <w:jc w:val="center"/>
            </w:pPr>
            <w:r>
              <w:t>0.0236</w:t>
            </w:r>
          </w:p>
        </w:tc>
        <w:tc>
          <w:tcPr>
            <w:tcW w:w="934" w:type="dxa"/>
            <w:tcBorders>
              <w:top w:val="single" w:sz="4" w:space="0" w:color="auto"/>
              <w:bottom w:val="nil"/>
            </w:tcBorders>
          </w:tcPr>
          <w:p w14:paraId="036F8027" w14:textId="50387F0B" w:rsidR="009A3DED" w:rsidRDefault="009A3DED" w:rsidP="009A3DED">
            <w:pPr>
              <w:jc w:val="center"/>
            </w:pPr>
            <w:r>
              <w:t>£/kWh</w:t>
            </w:r>
          </w:p>
        </w:tc>
        <w:tc>
          <w:tcPr>
            <w:tcW w:w="2643" w:type="dxa"/>
            <w:tcBorders>
              <w:top w:val="single" w:sz="4" w:space="0" w:color="auto"/>
              <w:bottom w:val="nil"/>
            </w:tcBorders>
          </w:tcPr>
          <w:p w14:paraId="6793FC22" w14:textId="226EA5D6" w:rsidR="009A3DED" w:rsidRDefault="009A3DED" w:rsidP="009A3DED">
            <w:pPr>
              <w:jc w:val="center"/>
            </w:pPr>
            <w:r>
              <w:fldChar w:fldCharType="begin" w:fldLock="1"/>
            </w:r>
            <w:r>
              <w:instrText>ADDIN CSL_CITATION {"citationItems":[{"id":"ITEM-1","itemData":{"author":[{"dropping-particle":"","family":"BEIS","given":"","non-dropping-particle":"","parse-names":false,"suffix":""}],"id":"ITEM-1","issued":{"date-parts":[["2017"]]},"publisher-place":"London, England","title":"Prices of fuels purchased by non-domestic consumers in the United Kingdom","type":"report"},"uris":["http://www.mendeley.com/documents/?uuid=e002eb20-c7d2-411c-a61d-654ed1b7049a"]}],"mendeley":{"formattedCitation":"(BEIS, 2017c)","plainTextFormattedCitation":"(BEIS, 2017c)","previouslyFormattedCitation":"(BEIS, 2017c)"},"properties":{"noteIndex":0},"schema":"https://github.com/citation-style-language/schema/raw/master/csl-citation.json"}</w:instrText>
            </w:r>
            <w:r>
              <w:fldChar w:fldCharType="separate"/>
            </w:r>
            <w:r w:rsidRPr="002A6A73">
              <w:rPr>
                <w:noProof/>
              </w:rPr>
              <w:t>(BEIS, 2017c)</w:t>
            </w:r>
            <w:r>
              <w:fldChar w:fldCharType="end"/>
            </w:r>
          </w:p>
        </w:tc>
      </w:tr>
      <w:tr w:rsidR="009A3DED" w14:paraId="5C6636B6" w14:textId="77777777" w:rsidTr="009A3DED">
        <w:trPr>
          <w:jc w:val="center"/>
        </w:trPr>
        <w:tc>
          <w:tcPr>
            <w:tcW w:w="1670" w:type="dxa"/>
            <w:tcBorders>
              <w:top w:val="nil"/>
            </w:tcBorders>
          </w:tcPr>
          <w:p w14:paraId="5E1B6686" w14:textId="77777777" w:rsidR="009A3DED" w:rsidRPr="005A0BE8" w:rsidRDefault="009A3DED" w:rsidP="009A3DED">
            <w:pPr>
              <w:jc w:val="center"/>
              <w:rPr>
                <w:vertAlign w:val="subscript"/>
              </w:rPr>
            </w:pPr>
            <w:r>
              <w:t>Carbon dioxide</w:t>
            </w:r>
          </w:p>
        </w:tc>
        <w:tc>
          <w:tcPr>
            <w:tcW w:w="1051" w:type="dxa"/>
            <w:tcBorders>
              <w:top w:val="nil"/>
            </w:tcBorders>
          </w:tcPr>
          <w:p w14:paraId="5C390FEC" w14:textId="77777777" w:rsidR="009A3DED" w:rsidRDefault="009A3DED" w:rsidP="009A3DED">
            <w:pPr>
              <w:jc w:val="center"/>
            </w:pPr>
            <w:r>
              <w:t>0.532</w:t>
            </w:r>
          </w:p>
        </w:tc>
        <w:tc>
          <w:tcPr>
            <w:tcW w:w="934" w:type="dxa"/>
            <w:tcBorders>
              <w:top w:val="nil"/>
            </w:tcBorders>
          </w:tcPr>
          <w:p w14:paraId="1424CA7F" w14:textId="77777777" w:rsidR="009A3DED" w:rsidRDefault="009A3DED" w:rsidP="009A3DED">
            <w:pPr>
              <w:jc w:val="center"/>
            </w:pPr>
            <w:r>
              <w:t>£/L</w:t>
            </w:r>
          </w:p>
        </w:tc>
        <w:tc>
          <w:tcPr>
            <w:tcW w:w="2643" w:type="dxa"/>
            <w:tcBorders>
              <w:top w:val="nil"/>
            </w:tcBorders>
          </w:tcPr>
          <w:p w14:paraId="627923FB" w14:textId="77777777" w:rsidR="009A3DED" w:rsidRDefault="009A3DED" w:rsidP="009A3DED">
            <w:pPr>
              <w:jc w:val="center"/>
            </w:pPr>
            <w:r>
              <w:fldChar w:fldCharType="begin" w:fldLock="1"/>
            </w:r>
            <w:r>
              <w:instrText>ADDIN CSL_CITATION {"citationItems":[{"id":"ITEM-1","itemData":{"URL":"https://www.boconline.co.uk/shop/en/uk/carbon-dioxide--research-grade-cylinder-270182","accessed":{"date-parts":[["2018","9","14"]]},"author":[{"dropping-particle":"","family":"BOC","given":"","non-dropping-particle":"","parse-names":false,"suffix":""}],"id":"ITEM-1","issued":{"date-parts":[["0"]]},"title":"Carbon Dioxide, Research Grade Cylinder","type":"webpage"},"uris":["http://www.mendeley.com/documents/?uuid=67a97a78-3f13-40e3-adf6-e9faad1bc06f"]}],"mendeley":{"formattedCitation":"(BOC, no date a)","plainTextFormattedCitation":"(BOC, no date a)","previouslyFormattedCitation":"(BOC, no date a)"},"properties":{"noteIndex":0},"schema":"https://github.com/citation-style-language/schema/raw/master/csl-citation.json"}</w:instrText>
            </w:r>
            <w:r>
              <w:fldChar w:fldCharType="separate"/>
            </w:r>
            <w:r w:rsidRPr="00E7695A">
              <w:rPr>
                <w:noProof/>
              </w:rPr>
              <w:t>(BOC, no date a)</w:t>
            </w:r>
            <w:r>
              <w:fldChar w:fldCharType="end"/>
            </w:r>
          </w:p>
        </w:tc>
      </w:tr>
      <w:tr w:rsidR="009A3DED" w14:paraId="0E2B49B6" w14:textId="77777777" w:rsidTr="003E2066">
        <w:trPr>
          <w:jc w:val="center"/>
        </w:trPr>
        <w:tc>
          <w:tcPr>
            <w:tcW w:w="1670" w:type="dxa"/>
          </w:tcPr>
          <w:p w14:paraId="584DDED9" w14:textId="77777777" w:rsidR="009A3DED" w:rsidRDefault="009A3DED" w:rsidP="009A3DED">
            <w:pPr>
              <w:jc w:val="center"/>
            </w:pPr>
            <w:r>
              <w:t>Dodecane</w:t>
            </w:r>
          </w:p>
        </w:tc>
        <w:tc>
          <w:tcPr>
            <w:tcW w:w="1051" w:type="dxa"/>
          </w:tcPr>
          <w:p w14:paraId="3E6B18E7" w14:textId="77777777" w:rsidR="009A3DED" w:rsidRDefault="009A3DED" w:rsidP="009A3DED">
            <w:pPr>
              <w:jc w:val="center"/>
            </w:pPr>
            <w:r>
              <w:t>135</w:t>
            </w:r>
          </w:p>
        </w:tc>
        <w:tc>
          <w:tcPr>
            <w:tcW w:w="934" w:type="dxa"/>
          </w:tcPr>
          <w:p w14:paraId="2DA7293D" w14:textId="77777777" w:rsidR="009A3DED" w:rsidRDefault="009A3DED" w:rsidP="009A3DED">
            <w:pPr>
              <w:jc w:val="center"/>
            </w:pPr>
            <w:r>
              <w:t>£/L</w:t>
            </w:r>
          </w:p>
        </w:tc>
        <w:tc>
          <w:tcPr>
            <w:tcW w:w="2643" w:type="dxa"/>
          </w:tcPr>
          <w:p w14:paraId="00E5E267" w14:textId="77777777" w:rsidR="009A3DED" w:rsidRDefault="009A3DED" w:rsidP="009A3DED">
            <w:pPr>
              <w:jc w:val="center"/>
            </w:pPr>
            <w:r>
              <w:fldChar w:fldCharType="begin" w:fldLock="1"/>
            </w:r>
            <w:r>
              <w:instrText>ADDIN CSL_CITATION {"citationItems":[{"id":"ITEM-1","itemData":{"URL":"https://www.fishersci.com/shop/products/dodecane-99-pure-acros-organics-6/AC117590250","accessed":{"date-parts":[["2018","9","14"]]},"author":[{"dropping-particle":"","family":"Fisher Scientific","given":"","non-dropping-particle":"","parse-names":false,"suffix":""}],"id":"ITEM-1","issued":{"date-parts":[["0"]]},"title":"n-Dodecane, 99%, pure, ACROS Organics™","type":"webpage"},"uris":["http://www.mendeley.com/documents/?uuid=ef894571-2257-4829-88b8-039274046892"]}],"mendeley":{"formattedCitation":"(Fisher Scientific, no date)","plainTextFormattedCitation":"(Fisher Scientific, no date)","previouslyFormattedCitation":"(Fisher Scientific, no date)"},"properties":{"noteIndex":0},"schema":"https://github.com/citation-style-language/schema/raw/master/csl-citation.json"}</w:instrText>
            </w:r>
            <w:r>
              <w:fldChar w:fldCharType="separate"/>
            </w:r>
            <w:r w:rsidRPr="00E7695A">
              <w:rPr>
                <w:noProof/>
              </w:rPr>
              <w:t>(Fisher Scientific, no date)</w:t>
            </w:r>
            <w:r>
              <w:fldChar w:fldCharType="end"/>
            </w:r>
          </w:p>
        </w:tc>
      </w:tr>
      <w:tr w:rsidR="009A3DED" w14:paraId="5B5698F0" w14:textId="77777777" w:rsidTr="003E2066">
        <w:trPr>
          <w:jc w:val="center"/>
        </w:trPr>
        <w:tc>
          <w:tcPr>
            <w:tcW w:w="1670" w:type="dxa"/>
          </w:tcPr>
          <w:p w14:paraId="2DB778C0" w14:textId="77777777" w:rsidR="009A3DED" w:rsidRDefault="009A3DED" w:rsidP="009A3DED">
            <w:pPr>
              <w:jc w:val="center"/>
            </w:pPr>
            <w:r>
              <w:t>Ethylene glycol</w:t>
            </w:r>
          </w:p>
        </w:tc>
        <w:tc>
          <w:tcPr>
            <w:tcW w:w="1051" w:type="dxa"/>
          </w:tcPr>
          <w:p w14:paraId="72A0347A" w14:textId="77777777" w:rsidR="009A3DED" w:rsidRDefault="009A3DED" w:rsidP="009A3DED">
            <w:pPr>
              <w:jc w:val="center"/>
            </w:pPr>
            <w:r>
              <w:t>2.58</w:t>
            </w:r>
          </w:p>
        </w:tc>
        <w:tc>
          <w:tcPr>
            <w:tcW w:w="934" w:type="dxa"/>
          </w:tcPr>
          <w:p w14:paraId="070A22E6" w14:textId="77777777" w:rsidR="009A3DED" w:rsidRDefault="009A3DED" w:rsidP="009A3DED">
            <w:pPr>
              <w:jc w:val="center"/>
            </w:pPr>
            <w:r>
              <w:t>£/L</w:t>
            </w:r>
          </w:p>
        </w:tc>
        <w:tc>
          <w:tcPr>
            <w:tcW w:w="2643" w:type="dxa"/>
          </w:tcPr>
          <w:p w14:paraId="2AE98315" w14:textId="77777777" w:rsidR="009A3DED" w:rsidRDefault="009A3DED" w:rsidP="009A3DED">
            <w:pPr>
              <w:jc w:val="center"/>
            </w:pPr>
            <w:r>
              <w:fldChar w:fldCharType="begin" w:fldLock="1"/>
            </w:r>
            <w:r>
              <w:instrText>ADDIN CSL_CITATION {"citationItems":[{"id":"ITEM-1","itemData":{"URL":"https://www.chemicals.co.uk/ethylene-glycol","accessed":{"date-parts":[["2018","9","14"]]},"author":[{"dropping-particle":"","family":"Chemicals","given":"","non-dropping-particle":"","parse-names":false,"suffix":""}],"id":"ITEM-1","issued":{"date-parts":[["0"]]},"title":"Ethylene Glycol","type":"webpage"},"uris":["http://www.mendeley.com/documents/?uuid=e561ac6e-c742-4acf-9d97-03db9ff7c898"]}],"mendeley":{"formattedCitation":"(Chemicals, no date)","plainTextFormattedCitation":"(Chemicals, no date)","previouslyFormattedCitation":"(Chemicals, no date)"},"properties":{"noteIndex":0},"schema":"https://github.com/citation-style-language/schema/raw/master/csl-citation.json"}</w:instrText>
            </w:r>
            <w:r>
              <w:fldChar w:fldCharType="separate"/>
            </w:r>
            <w:r w:rsidRPr="00E7695A">
              <w:rPr>
                <w:noProof/>
              </w:rPr>
              <w:t>(Chemicals, no date)</w:t>
            </w:r>
            <w:r>
              <w:fldChar w:fldCharType="end"/>
            </w:r>
          </w:p>
        </w:tc>
      </w:tr>
      <w:tr w:rsidR="009A3DED" w14:paraId="15C40204" w14:textId="77777777" w:rsidTr="003E2066">
        <w:trPr>
          <w:jc w:val="center"/>
        </w:trPr>
        <w:tc>
          <w:tcPr>
            <w:tcW w:w="1670" w:type="dxa"/>
          </w:tcPr>
          <w:p w14:paraId="24362700" w14:textId="77777777" w:rsidR="009A3DED" w:rsidRDefault="009A3DED" w:rsidP="009A3DED">
            <w:pPr>
              <w:jc w:val="center"/>
            </w:pPr>
            <w:r>
              <w:t>Fuel oil</w:t>
            </w:r>
          </w:p>
        </w:tc>
        <w:tc>
          <w:tcPr>
            <w:tcW w:w="1051" w:type="dxa"/>
          </w:tcPr>
          <w:p w14:paraId="4C82EF7C" w14:textId="77777777" w:rsidR="009A3DED" w:rsidRDefault="009A3DED" w:rsidP="009A3DED">
            <w:pPr>
              <w:jc w:val="center"/>
            </w:pPr>
            <w:r>
              <w:t>0.577</w:t>
            </w:r>
          </w:p>
        </w:tc>
        <w:tc>
          <w:tcPr>
            <w:tcW w:w="934" w:type="dxa"/>
          </w:tcPr>
          <w:p w14:paraId="562A42A2" w14:textId="77777777" w:rsidR="009A3DED" w:rsidRDefault="009A3DED" w:rsidP="009A3DED">
            <w:pPr>
              <w:jc w:val="center"/>
            </w:pPr>
            <w:r>
              <w:t>£/L</w:t>
            </w:r>
          </w:p>
        </w:tc>
        <w:tc>
          <w:tcPr>
            <w:tcW w:w="2643" w:type="dxa"/>
          </w:tcPr>
          <w:p w14:paraId="2E4B31D8" w14:textId="77777777" w:rsidR="009A3DED" w:rsidRDefault="009A3DED" w:rsidP="009A3DED">
            <w:pPr>
              <w:jc w:val="center"/>
            </w:pPr>
            <w:r>
              <w:fldChar w:fldCharType="begin" w:fldLock="1"/>
            </w:r>
            <w:r>
              <w:instrText>ADDIN CSL_CITATION {"citationItems":[{"id":"ITEM-1","itemData":{"URL":"https://www.boilerjuice.com/red-diesel-prices/","accessed":{"date-parts":[["2018","9","14"]]},"author":[{"dropping-particle":"","family":"Boiler Juice","given":"","non-dropping-particle":"","parse-names":false,"suffix":""}],"id":"ITEM-1","issued":{"date-parts":[["0"]]},"title":"Red Diesel (Gas Oil) Prices in the UK","type":"webpage"},"uris":["http://www.mendeley.com/documents/?uuid=94b1b4bc-ac8c-4378-b4d0-a42de46e6555"]}],"mendeley":{"formattedCitation":"(Boiler Juice, no date)","plainTextFormattedCitation":"(Boiler Juice, no date)","previouslyFormattedCitation":"(Boiler Juice, no date)"},"properties":{"noteIndex":0},"schema":"https://github.com/citation-style-language/schema/raw/master/csl-citation.json"}</w:instrText>
            </w:r>
            <w:r>
              <w:fldChar w:fldCharType="separate"/>
            </w:r>
            <w:r w:rsidRPr="00E7695A">
              <w:rPr>
                <w:noProof/>
              </w:rPr>
              <w:t>(Boiler Juice, no date)</w:t>
            </w:r>
            <w:r>
              <w:fldChar w:fldCharType="end"/>
            </w:r>
          </w:p>
        </w:tc>
      </w:tr>
      <w:tr w:rsidR="009A3DED" w14:paraId="30D96342" w14:textId="77777777" w:rsidTr="003E2066">
        <w:trPr>
          <w:jc w:val="center"/>
        </w:trPr>
        <w:tc>
          <w:tcPr>
            <w:tcW w:w="1670" w:type="dxa"/>
          </w:tcPr>
          <w:p w14:paraId="1B8DFF10" w14:textId="77777777" w:rsidR="009A3DED" w:rsidRDefault="009A3DED" w:rsidP="009A3DED">
            <w:pPr>
              <w:jc w:val="center"/>
            </w:pPr>
            <w:r>
              <w:t>Helium</w:t>
            </w:r>
          </w:p>
        </w:tc>
        <w:tc>
          <w:tcPr>
            <w:tcW w:w="1051" w:type="dxa"/>
          </w:tcPr>
          <w:p w14:paraId="317ED7B7" w14:textId="77777777" w:rsidR="009A3DED" w:rsidRDefault="009A3DED" w:rsidP="009A3DED">
            <w:pPr>
              <w:jc w:val="center"/>
            </w:pPr>
            <w:r>
              <w:t>0.0305</w:t>
            </w:r>
          </w:p>
        </w:tc>
        <w:tc>
          <w:tcPr>
            <w:tcW w:w="934" w:type="dxa"/>
          </w:tcPr>
          <w:p w14:paraId="6A264538" w14:textId="77777777" w:rsidR="009A3DED" w:rsidRDefault="009A3DED" w:rsidP="009A3DED">
            <w:pPr>
              <w:jc w:val="center"/>
            </w:pPr>
            <w:r>
              <w:t>£/L</w:t>
            </w:r>
          </w:p>
        </w:tc>
        <w:tc>
          <w:tcPr>
            <w:tcW w:w="2643" w:type="dxa"/>
          </w:tcPr>
          <w:p w14:paraId="593A68F5" w14:textId="77777777" w:rsidR="009A3DED" w:rsidRDefault="009A3DED" w:rsidP="009A3DED">
            <w:pPr>
              <w:jc w:val="center"/>
            </w:pPr>
            <w:r>
              <w:fldChar w:fldCharType="begin" w:fldLock="1"/>
            </w:r>
            <w:r>
              <w:instrText>ADDIN CSL_CITATION {"citationItems":[{"id":"ITEM-1","itemData":{"URL":"https://www.boconlineshop.com/shop/en/uk/helium-291885-101","accessed":{"date-parts":[["2018","9","14"]]},"author":[{"dropping-particle":"","family":"BOC","given":"","non-dropping-particle":"","parse-names":false,"suffix":""}],"id":"ITEM-1","issued":{"date-parts":[["0"]]},"title":"Helium, Grade A, Manifolded Cylinder Pallet","type":"webpage"},"uris":["http://www.mendeley.com/documents/?uuid=ebf190f9-831f-4253-a349-58565ba3641f"]}],"mendeley":{"formattedCitation":"(BOC, no date b)","plainTextFormattedCitation":"(BOC, no date b)","previouslyFormattedCitation":"(BOC, no date b)"},"properties":{"noteIndex":0},"schema":"https://github.com/citation-style-language/schema/raw/master/csl-citation.json"}</w:instrText>
            </w:r>
            <w:r>
              <w:fldChar w:fldCharType="separate"/>
            </w:r>
            <w:r w:rsidRPr="00E7695A">
              <w:rPr>
                <w:noProof/>
              </w:rPr>
              <w:t>(BOC, no date b)</w:t>
            </w:r>
            <w:r>
              <w:fldChar w:fldCharType="end"/>
            </w:r>
          </w:p>
        </w:tc>
      </w:tr>
      <w:tr w:rsidR="009A3DED" w14:paraId="3E2828F8" w14:textId="77777777" w:rsidTr="003E2066">
        <w:trPr>
          <w:jc w:val="center"/>
        </w:trPr>
        <w:tc>
          <w:tcPr>
            <w:tcW w:w="1670" w:type="dxa"/>
          </w:tcPr>
          <w:p w14:paraId="1EC1B62B" w14:textId="77777777" w:rsidR="009A3DED" w:rsidRDefault="009A3DED" w:rsidP="009A3DED">
            <w:pPr>
              <w:jc w:val="center"/>
            </w:pPr>
            <w:r>
              <w:t>Methane</w:t>
            </w:r>
          </w:p>
        </w:tc>
        <w:tc>
          <w:tcPr>
            <w:tcW w:w="1051" w:type="dxa"/>
          </w:tcPr>
          <w:p w14:paraId="08764546" w14:textId="77777777" w:rsidR="009A3DED" w:rsidRDefault="009A3DED" w:rsidP="009A3DED">
            <w:pPr>
              <w:jc w:val="center"/>
            </w:pPr>
            <w:r>
              <w:t>0.369</w:t>
            </w:r>
          </w:p>
        </w:tc>
        <w:tc>
          <w:tcPr>
            <w:tcW w:w="934" w:type="dxa"/>
          </w:tcPr>
          <w:p w14:paraId="3C4C4401" w14:textId="77777777" w:rsidR="009A3DED" w:rsidRDefault="009A3DED" w:rsidP="009A3DED">
            <w:pPr>
              <w:jc w:val="center"/>
            </w:pPr>
            <w:r w:rsidRPr="007F184D">
              <w:t>£/L</w:t>
            </w:r>
          </w:p>
        </w:tc>
        <w:tc>
          <w:tcPr>
            <w:tcW w:w="2643" w:type="dxa"/>
          </w:tcPr>
          <w:p w14:paraId="54D9AF55" w14:textId="77777777" w:rsidR="009A3DED" w:rsidRDefault="009A3DED" w:rsidP="009A3DED">
            <w:pPr>
              <w:jc w:val="center"/>
            </w:pPr>
            <w:r>
              <w:fldChar w:fldCharType="begin" w:fldLock="1"/>
            </w:r>
            <w:r>
              <w:instrText>ADDIN CSL_CITATION {"citationItems":[{"id":"ITEM-1","itemData":{"URL":"https://www.boconlineshop.com/shop/en/uk/methane--research-grade-cylinder-158402","accessed":{"date-parts":[["2018","9","14"]]},"author":[{"dropping-particle":"","family":"BOC","given":"","non-dropping-particle":"","parse-names":false,"suffix":""}],"id":"ITEM-1","issued":{"date-parts":[["0"]]},"title":"Methane, Research Grade Cylinder","type":"webpage"},"uris":["http://www.mendeley.com/documents/?uuid=c50792b0-0ed2-4c95-8938-c65a6c91d6fd"]}],"mendeley":{"formattedCitation":"(BOC, no date c)","plainTextFormattedCitation":"(BOC, no date c)","previouslyFormattedCitation":"(BOC, no date c)"},"properties":{"noteIndex":0},"schema":"https://github.com/citation-style-language/schema/raw/master/csl-citation.json"}</w:instrText>
            </w:r>
            <w:r>
              <w:fldChar w:fldCharType="separate"/>
            </w:r>
            <w:r w:rsidRPr="00E7695A">
              <w:rPr>
                <w:noProof/>
              </w:rPr>
              <w:t>(BOC, no date c)</w:t>
            </w:r>
            <w:r>
              <w:fldChar w:fldCharType="end"/>
            </w:r>
          </w:p>
        </w:tc>
      </w:tr>
      <w:tr w:rsidR="009A3DED" w14:paraId="263F1749" w14:textId="77777777" w:rsidTr="003E2066">
        <w:trPr>
          <w:jc w:val="center"/>
        </w:trPr>
        <w:tc>
          <w:tcPr>
            <w:tcW w:w="1670" w:type="dxa"/>
          </w:tcPr>
          <w:p w14:paraId="25B88AD0" w14:textId="77777777" w:rsidR="009A3DED" w:rsidRDefault="009A3DED" w:rsidP="009A3DED">
            <w:pPr>
              <w:jc w:val="center"/>
            </w:pPr>
            <w:r>
              <w:t>Nitrogen</w:t>
            </w:r>
          </w:p>
        </w:tc>
        <w:tc>
          <w:tcPr>
            <w:tcW w:w="1051" w:type="dxa"/>
          </w:tcPr>
          <w:p w14:paraId="33B20370" w14:textId="77777777" w:rsidR="009A3DED" w:rsidRDefault="009A3DED" w:rsidP="009A3DED">
            <w:pPr>
              <w:jc w:val="center"/>
            </w:pPr>
            <w:r>
              <w:t>0.00399</w:t>
            </w:r>
          </w:p>
        </w:tc>
        <w:tc>
          <w:tcPr>
            <w:tcW w:w="934" w:type="dxa"/>
          </w:tcPr>
          <w:p w14:paraId="4F3AAA2A" w14:textId="77777777" w:rsidR="009A3DED" w:rsidRDefault="009A3DED" w:rsidP="009A3DED">
            <w:pPr>
              <w:jc w:val="center"/>
            </w:pPr>
            <w:r w:rsidRPr="007F184D">
              <w:t>£/L</w:t>
            </w:r>
          </w:p>
        </w:tc>
        <w:tc>
          <w:tcPr>
            <w:tcW w:w="2643" w:type="dxa"/>
          </w:tcPr>
          <w:p w14:paraId="189EFC3B" w14:textId="77777777" w:rsidR="009A3DED" w:rsidRDefault="009A3DED" w:rsidP="009A3DED">
            <w:pPr>
              <w:jc w:val="center"/>
            </w:pPr>
            <w:r>
              <w:fldChar w:fldCharType="begin" w:fldLock="1"/>
            </w:r>
            <w:r>
              <w:instrText>ADDIN CSL_CITATION {"citationItems":[{"id":"ITEM-1","itemData":{"URL":"https://www.boconlineshop.com/shop/en/uk/nitrogen-300-bar-manifolded-cylinder-pallet","accessed":{"date-parts":[["2018","9","14"]]},"author":[{"dropping-particle":"","family":"BOC","given":"","non-dropping-particle":"","parse-names":false,"suffix":""}],"id":"ITEM-1","issued":{"date-parts":[["0"]]},"title":"Nitrogen 300bar Manifolded Cylinder Pallet","type":"webpage"},"uris":["http://www.mendeley.com/documents/?uuid=87653729-aebc-4b9b-b0d3-d28e0f6d2955"]}],"mendeley":{"formattedCitation":"(BOC, no date d)","plainTextFormattedCitation":"(BOC, no date d)","previouslyFormattedCitation":"(BOC, no date d)"},"properties":{"noteIndex":0},"schema":"https://github.com/citation-style-language/schema/raw/master/csl-citation.json"}</w:instrText>
            </w:r>
            <w:r>
              <w:fldChar w:fldCharType="separate"/>
            </w:r>
            <w:r w:rsidRPr="00E7695A">
              <w:rPr>
                <w:noProof/>
              </w:rPr>
              <w:t>(BOC, no date d)</w:t>
            </w:r>
            <w:r>
              <w:fldChar w:fldCharType="end"/>
            </w:r>
          </w:p>
        </w:tc>
      </w:tr>
      <w:tr w:rsidR="009A3DED" w14:paraId="3FF4953F" w14:textId="77777777" w:rsidTr="003E2066">
        <w:trPr>
          <w:jc w:val="center"/>
        </w:trPr>
        <w:tc>
          <w:tcPr>
            <w:tcW w:w="1670" w:type="dxa"/>
          </w:tcPr>
          <w:p w14:paraId="5D6D19AB" w14:textId="77777777" w:rsidR="009A3DED" w:rsidRDefault="009A3DED" w:rsidP="009A3DED">
            <w:pPr>
              <w:jc w:val="center"/>
            </w:pPr>
            <w:r>
              <w:t>R134a</w:t>
            </w:r>
          </w:p>
        </w:tc>
        <w:tc>
          <w:tcPr>
            <w:tcW w:w="1051" w:type="dxa"/>
          </w:tcPr>
          <w:p w14:paraId="3D7EA045" w14:textId="77777777" w:rsidR="009A3DED" w:rsidRDefault="009A3DED" w:rsidP="009A3DED">
            <w:pPr>
              <w:jc w:val="center"/>
            </w:pPr>
            <w:r>
              <w:t>1.63</w:t>
            </w:r>
          </w:p>
        </w:tc>
        <w:tc>
          <w:tcPr>
            <w:tcW w:w="934" w:type="dxa"/>
          </w:tcPr>
          <w:p w14:paraId="3DD7472A" w14:textId="77777777" w:rsidR="009A3DED" w:rsidRDefault="009A3DED" w:rsidP="009A3DED">
            <w:pPr>
              <w:jc w:val="center"/>
            </w:pPr>
            <w:r w:rsidRPr="007F184D">
              <w:t>£/L</w:t>
            </w:r>
          </w:p>
        </w:tc>
        <w:tc>
          <w:tcPr>
            <w:tcW w:w="2643" w:type="dxa"/>
          </w:tcPr>
          <w:p w14:paraId="06D1F6C5" w14:textId="77777777" w:rsidR="009A3DED" w:rsidRDefault="009A3DED" w:rsidP="009A3DED">
            <w:pPr>
              <w:jc w:val="center"/>
            </w:pPr>
            <w:r>
              <w:fldChar w:fldCharType="begin" w:fldLock="1"/>
            </w:r>
            <w:r>
              <w:instrText>ADDIN CSL_CITATION {"citationItems":[{"id":"ITEM-1","itemData":{"URL":"https://www.boconlineshop.com/shop/en/uk/gas/refrigerant-gas/r134a-cylinder?_ga=2.64198570.487161449.1520339042-74645771.1520339042","accessed":{"date-parts":[["2018","9","14"]]},"author":[{"dropping-particle":"","family":"BOC","given":"","non-dropping-particle":"","parse-names":false,"suffix":""}],"id":"ITEM-1","issued":{"date-parts":[["0"]]},"title":"R134a Refrigerant Cylinder","type":"webpage"},"uris":["http://www.mendeley.com/documents/?uuid=93e75d71-6d99-4892-9628-3f34a2edd62b"]}],"mendeley":{"formattedCitation":"(BOC, no date e)","plainTextFormattedCitation":"(BOC, no date e)","previouslyFormattedCitation":"(BOC, no date e)"},"properties":{"noteIndex":0},"schema":"https://github.com/citation-style-language/schema/raw/master/csl-citation.json"}</w:instrText>
            </w:r>
            <w:r>
              <w:fldChar w:fldCharType="separate"/>
            </w:r>
            <w:r w:rsidRPr="00E7695A">
              <w:rPr>
                <w:noProof/>
              </w:rPr>
              <w:t>(BOC, no date e)</w:t>
            </w:r>
            <w:r>
              <w:fldChar w:fldCharType="end"/>
            </w:r>
          </w:p>
        </w:tc>
      </w:tr>
      <w:tr w:rsidR="009A3DED" w14:paraId="5C9B986F" w14:textId="77777777" w:rsidTr="003E2066">
        <w:trPr>
          <w:jc w:val="center"/>
        </w:trPr>
        <w:tc>
          <w:tcPr>
            <w:tcW w:w="1670" w:type="dxa"/>
          </w:tcPr>
          <w:p w14:paraId="250E55C6" w14:textId="77777777" w:rsidR="009A3DED" w:rsidRDefault="009A3DED" w:rsidP="009A3DED">
            <w:pPr>
              <w:jc w:val="center"/>
            </w:pPr>
            <w:r>
              <w:t>Fuel gases</w:t>
            </w:r>
          </w:p>
        </w:tc>
        <w:tc>
          <w:tcPr>
            <w:tcW w:w="1051" w:type="dxa"/>
          </w:tcPr>
          <w:p w14:paraId="31FD5623" w14:textId="77777777" w:rsidR="009A3DED" w:rsidRDefault="009A3DED" w:rsidP="009A3DED">
            <w:pPr>
              <w:jc w:val="center"/>
            </w:pPr>
            <w:r>
              <w:t>0.369</w:t>
            </w:r>
          </w:p>
        </w:tc>
        <w:tc>
          <w:tcPr>
            <w:tcW w:w="934" w:type="dxa"/>
          </w:tcPr>
          <w:p w14:paraId="5EDE41F2" w14:textId="77777777" w:rsidR="009A3DED" w:rsidRDefault="009A3DED" w:rsidP="009A3DED">
            <w:pPr>
              <w:jc w:val="center"/>
            </w:pPr>
            <w:r w:rsidRPr="007F184D">
              <w:t>£/L</w:t>
            </w:r>
          </w:p>
        </w:tc>
        <w:tc>
          <w:tcPr>
            <w:tcW w:w="2643" w:type="dxa"/>
          </w:tcPr>
          <w:p w14:paraId="0F94DAD3" w14:textId="77777777" w:rsidR="009A3DED" w:rsidRDefault="009A3DED" w:rsidP="009A3DED">
            <w:pPr>
              <w:jc w:val="center"/>
            </w:pPr>
            <w:r>
              <w:fldChar w:fldCharType="begin" w:fldLock="1"/>
            </w:r>
            <w:r>
              <w:instrText>ADDIN CSL_CITATION {"citationItems":[{"id":"ITEM-1","itemData":{"URL":"https://www.boconlineshop.com/shop/en/uk/methane--research-grade-cylinder-158402","accessed":{"date-parts":[["2018","9","14"]]},"author":[{"dropping-particle":"","family":"BOC","given":"","non-dropping-particle":"","parse-names":false,"suffix":""}],"id":"ITEM-1","issued":{"date-parts":[["0"]]},"title":"Methane, Research Grade Cylinder","type":"webpage"},"uris":["http://www.mendeley.com/documents/?uuid=c50792b0-0ed2-4c95-8938-c65a6c91d6fd"]}],"mendeley":{"formattedCitation":"(BOC, no date c)","plainTextFormattedCitation":"(BOC, no date c)","previouslyFormattedCitation":"(BOC, no date c)"},"properties":{"noteIndex":0},"schema":"https://github.com/citation-style-language/schema/raw/master/csl-citation.json"}</w:instrText>
            </w:r>
            <w:r>
              <w:fldChar w:fldCharType="separate"/>
            </w:r>
            <w:r w:rsidRPr="00E7695A">
              <w:rPr>
                <w:noProof/>
              </w:rPr>
              <w:t>(BOC, no date c)</w:t>
            </w:r>
            <w:r>
              <w:fldChar w:fldCharType="end"/>
            </w:r>
          </w:p>
        </w:tc>
      </w:tr>
    </w:tbl>
    <w:p w14:paraId="5833B49D" w14:textId="2B4BBCC2" w:rsidR="000F16EB" w:rsidRDefault="000F16EB" w:rsidP="00196CD6">
      <w:pPr>
        <w:pStyle w:val="NoSpacing"/>
      </w:pPr>
    </w:p>
    <w:p w14:paraId="139538EB" w14:textId="41E37087" w:rsidR="0084719F" w:rsidRDefault="0084719F" w:rsidP="0084719F">
      <w:pPr>
        <w:pStyle w:val="Heading3"/>
      </w:pPr>
      <w:bookmarkStart w:id="626" w:name="_Ref6482304"/>
      <w:bookmarkStart w:id="627" w:name="_Toc7187536"/>
      <w:r>
        <w:t>Keeping the Model Simple in Structure</w:t>
      </w:r>
      <w:bookmarkEnd w:id="626"/>
      <w:bookmarkEnd w:id="627"/>
    </w:p>
    <w:p w14:paraId="12A1F878" w14:textId="77777777" w:rsidR="0084719F" w:rsidRDefault="0084719F" w:rsidP="0084719F">
      <w:r>
        <w:t>During the modelling of the 12 different WHR technologies, a large number of inputs were required (65 in total). A model with 65 different inputs would be more complicated than a non</w:t>
      </w:r>
      <w:r>
        <w:noBreakHyphen/>
        <w:t xml:space="preserve">technical user would be able to understand and use, therefore some of these inputs needed to be modified. The modification occurred through splitting the inputs into four categories: </w:t>
      </w:r>
    </w:p>
    <w:p w14:paraId="6AC5CDD0" w14:textId="77777777" w:rsidR="0084719F" w:rsidRDefault="0084719F" w:rsidP="0084719F">
      <w:pPr>
        <w:pStyle w:val="ListParagraph"/>
        <w:numPr>
          <w:ilvl w:val="0"/>
          <w:numId w:val="20"/>
        </w:numPr>
      </w:pPr>
      <w:r>
        <w:t xml:space="preserve">Continuous inputs. </w:t>
      </w:r>
    </w:p>
    <w:p w14:paraId="41758392" w14:textId="77777777" w:rsidR="0084719F" w:rsidRDefault="0084719F" w:rsidP="0084719F">
      <w:pPr>
        <w:pStyle w:val="ListParagraph"/>
        <w:numPr>
          <w:ilvl w:val="0"/>
          <w:numId w:val="20"/>
        </w:numPr>
      </w:pPr>
      <w:r>
        <w:t>Discrete inputs.</w:t>
      </w:r>
    </w:p>
    <w:p w14:paraId="54455E2A" w14:textId="77777777" w:rsidR="0084719F" w:rsidRDefault="0084719F" w:rsidP="0084719F">
      <w:pPr>
        <w:pStyle w:val="ListParagraph"/>
        <w:numPr>
          <w:ilvl w:val="0"/>
          <w:numId w:val="20"/>
        </w:numPr>
      </w:pPr>
      <w:r>
        <w:t xml:space="preserve">Dependent inputs. </w:t>
      </w:r>
    </w:p>
    <w:p w14:paraId="043A6134" w14:textId="77777777" w:rsidR="0084719F" w:rsidRDefault="0084719F" w:rsidP="0084719F">
      <w:pPr>
        <w:pStyle w:val="ListParagraph"/>
        <w:numPr>
          <w:ilvl w:val="0"/>
          <w:numId w:val="20"/>
        </w:numPr>
      </w:pPr>
      <w:r>
        <w:t xml:space="preserve">Fluid dependent inputs. </w:t>
      </w:r>
    </w:p>
    <w:p w14:paraId="4EAFC99A" w14:textId="77777777" w:rsidR="0084719F" w:rsidRDefault="0084719F" w:rsidP="0084719F">
      <w:r>
        <w:t xml:space="preserve">Continuous inputs, such as input temperatures or the flowrates, could take any real numerical value over a continuous range and therefore must be defined by the user. Discrete inputs, such as the number of </w:t>
      </w:r>
      <w:proofErr w:type="gramStart"/>
      <w:r>
        <w:t>tube</w:t>
      </w:r>
      <w:proofErr w:type="gramEnd"/>
      <w:r>
        <w:t xml:space="preserve"> passes or type of heat exchange that occurs in a HEX, could only have values within a set range. Therefore, discrete inputs could be chosen in advance by the creator of the model, offering no choice to the model user after the model had been sent to the users. Alternatively, discrete inputs could be split into a small list that was pre-programmed into the Excel spreadsheet, which would give the model user a small range of choice. It was noted that some inputs, such as pipe lengths or diameters, may be continuous in theory but in practice they are only available in standard sizes. Inputs that were only available in standard sizes were treated as discrete. </w:t>
      </w:r>
    </w:p>
    <w:p w14:paraId="48D5FE40" w14:textId="77777777" w:rsidR="0084719F" w:rsidRDefault="0084719F" w:rsidP="0084719F">
      <w:pPr>
        <w:jc w:val="left"/>
        <w:rPr>
          <w:b/>
          <w:bCs/>
          <w:sz w:val="18"/>
          <w:szCs w:val="18"/>
        </w:rPr>
      </w:pPr>
      <w:bookmarkStart w:id="628" w:name="_Ref525046973"/>
      <w:bookmarkStart w:id="629" w:name="_Toc525230137"/>
      <w:r>
        <w:br w:type="page"/>
      </w:r>
    </w:p>
    <w:p w14:paraId="5487A6E7" w14:textId="296C9397" w:rsidR="0084719F" w:rsidRDefault="0084719F" w:rsidP="0084719F">
      <w:pPr>
        <w:pStyle w:val="Caption"/>
        <w:keepNext/>
      </w:pPr>
      <w:bookmarkStart w:id="630" w:name="_Ref5876346"/>
      <w:bookmarkStart w:id="631" w:name="_Toc7187691"/>
      <w:r>
        <w:lastRenderedPageBreak/>
        <w:t xml:space="preserve">Table </w:t>
      </w:r>
      <w:fldSimple w:instr=" STYLEREF 1 \s ">
        <w:r w:rsidR="00CB7456">
          <w:rPr>
            <w:noProof/>
          </w:rPr>
          <w:t>5</w:t>
        </w:r>
      </w:fldSimple>
      <w:r w:rsidR="009E1A67">
        <w:t>.</w:t>
      </w:r>
      <w:fldSimple w:instr=" SEQ Table \* ARABIC \s 1 ">
        <w:r w:rsidR="00CB7456">
          <w:rPr>
            <w:noProof/>
          </w:rPr>
          <w:t>10</w:t>
        </w:r>
      </w:fldSimple>
      <w:bookmarkEnd w:id="628"/>
      <w:bookmarkEnd w:id="630"/>
      <w:r>
        <w:t>: Continuous and discrete inputs that can be chosen from a list</w:t>
      </w:r>
      <w:bookmarkEnd w:id="629"/>
      <w:r>
        <w:t>.</w:t>
      </w:r>
      <w:bookmarkEnd w:id="631"/>
    </w:p>
    <w:tbl>
      <w:tblPr>
        <w:tblStyle w:val="TableGrid"/>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74"/>
        <w:gridCol w:w="3437"/>
      </w:tblGrid>
      <w:tr w:rsidR="0084719F" w14:paraId="376F1B54" w14:textId="77777777" w:rsidTr="004F63A5">
        <w:trPr>
          <w:jc w:val="center"/>
        </w:trPr>
        <w:tc>
          <w:tcPr>
            <w:tcW w:w="3174" w:type="dxa"/>
            <w:tcBorders>
              <w:bottom w:val="single" w:sz="4" w:space="0" w:color="auto"/>
            </w:tcBorders>
          </w:tcPr>
          <w:p w14:paraId="731ADAF5" w14:textId="77777777" w:rsidR="0084719F" w:rsidRDefault="0084719F" w:rsidP="004F63A5">
            <w:pPr>
              <w:jc w:val="center"/>
            </w:pPr>
            <w:r>
              <w:t>Continuous inputs</w:t>
            </w:r>
          </w:p>
        </w:tc>
        <w:tc>
          <w:tcPr>
            <w:tcW w:w="3437" w:type="dxa"/>
            <w:tcBorders>
              <w:bottom w:val="single" w:sz="4" w:space="0" w:color="auto"/>
            </w:tcBorders>
          </w:tcPr>
          <w:p w14:paraId="684EF08C" w14:textId="77777777" w:rsidR="0084719F" w:rsidRDefault="0084719F" w:rsidP="004F63A5">
            <w:pPr>
              <w:jc w:val="center"/>
            </w:pPr>
            <w:r>
              <w:t>Discrete inputs (chosen from a list)</w:t>
            </w:r>
          </w:p>
        </w:tc>
      </w:tr>
      <w:tr w:rsidR="0084719F" w14:paraId="4E93C855" w14:textId="77777777" w:rsidTr="004F63A5">
        <w:trPr>
          <w:jc w:val="center"/>
        </w:trPr>
        <w:tc>
          <w:tcPr>
            <w:tcW w:w="3174" w:type="dxa"/>
            <w:tcBorders>
              <w:top w:val="single" w:sz="4" w:space="0" w:color="auto"/>
              <w:bottom w:val="nil"/>
            </w:tcBorders>
          </w:tcPr>
          <w:p w14:paraId="3C7831A5" w14:textId="77777777" w:rsidR="0084719F" w:rsidRDefault="0084719F" w:rsidP="004F63A5">
            <w:pPr>
              <w:jc w:val="center"/>
            </w:pPr>
            <w:r>
              <w:t>Working fluid inlet temperature</w:t>
            </w:r>
          </w:p>
        </w:tc>
        <w:tc>
          <w:tcPr>
            <w:tcW w:w="3437" w:type="dxa"/>
            <w:tcBorders>
              <w:top w:val="single" w:sz="4" w:space="0" w:color="auto"/>
              <w:bottom w:val="nil"/>
            </w:tcBorders>
          </w:tcPr>
          <w:p w14:paraId="6A154F65" w14:textId="77777777" w:rsidR="0084719F" w:rsidRDefault="0084719F" w:rsidP="004F63A5">
            <w:pPr>
              <w:jc w:val="center"/>
            </w:pPr>
            <w:r>
              <w:t>Type of heat exchange that occurs</w:t>
            </w:r>
          </w:p>
        </w:tc>
      </w:tr>
      <w:tr w:rsidR="0084719F" w14:paraId="10F59C60" w14:textId="77777777" w:rsidTr="004F63A5">
        <w:trPr>
          <w:jc w:val="center"/>
        </w:trPr>
        <w:tc>
          <w:tcPr>
            <w:tcW w:w="3174" w:type="dxa"/>
            <w:tcBorders>
              <w:top w:val="nil"/>
            </w:tcBorders>
          </w:tcPr>
          <w:p w14:paraId="16793B46" w14:textId="77777777" w:rsidR="0084719F" w:rsidRDefault="0084719F" w:rsidP="004F63A5">
            <w:pPr>
              <w:jc w:val="center"/>
            </w:pPr>
            <w:r>
              <w:t>Working fluid flowrate</w:t>
            </w:r>
          </w:p>
        </w:tc>
        <w:tc>
          <w:tcPr>
            <w:tcW w:w="3437" w:type="dxa"/>
            <w:tcBorders>
              <w:top w:val="nil"/>
            </w:tcBorders>
          </w:tcPr>
          <w:p w14:paraId="43E3B077" w14:textId="77777777" w:rsidR="0084719F" w:rsidRDefault="0084719F" w:rsidP="004F63A5">
            <w:pPr>
              <w:jc w:val="center"/>
            </w:pPr>
            <w:r>
              <w:t>Choice of working fluid</w:t>
            </w:r>
          </w:p>
        </w:tc>
      </w:tr>
      <w:tr w:rsidR="0084719F" w14:paraId="0C5A1FA8" w14:textId="77777777" w:rsidTr="004F63A5">
        <w:trPr>
          <w:jc w:val="center"/>
        </w:trPr>
        <w:tc>
          <w:tcPr>
            <w:tcW w:w="3174" w:type="dxa"/>
          </w:tcPr>
          <w:p w14:paraId="397CCBDE" w14:textId="77777777" w:rsidR="0084719F" w:rsidRDefault="0084719F" w:rsidP="004F63A5">
            <w:pPr>
              <w:jc w:val="center"/>
            </w:pPr>
            <w:r>
              <w:t>HTF flowrate</w:t>
            </w:r>
          </w:p>
        </w:tc>
        <w:tc>
          <w:tcPr>
            <w:tcW w:w="3437" w:type="dxa"/>
          </w:tcPr>
          <w:p w14:paraId="03A5D7F2" w14:textId="77777777" w:rsidR="0084719F" w:rsidRDefault="0084719F" w:rsidP="004F63A5">
            <w:pPr>
              <w:jc w:val="center"/>
            </w:pPr>
            <w:r>
              <w:t>Tube length</w:t>
            </w:r>
          </w:p>
        </w:tc>
      </w:tr>
      <w:tr w:rsidR="0084719F" w14:paraId="127D2B99" w14:textId="77777777" w:rsidTr="004F63A5">
        <w:trPr>
          <w:jc w:val="center"/>
        </w:trPr>
        <w:tc>
          <w:tcPr>
            <w:tcW w:w="3174" w:type="dxa"/>
          </w:tcPr>
          <w:p w14:paraId="787D211B" w14:textId="77777777" w:rsidR="0084719F" w:rsidRDefault="0084719F" w:rsidP="004F63A5">
            <w:pPr>
              <w:jc w:val="center"/>
            </w:pPr>
            <w:r>
              <w:t>Boiler outlet pressure</w:t>
            </w:r>
          </w:p>
        </w:tc>
        <w:tc>
          <w:tcPr>
            <w:tcW w:w="3437" w:type="dxa"/>
          </w:tcPr>
          <w:p w14:paraId="736C0809" w14:textId="77777777" w:rsidR="0084719F" w:rsidRDefault="0084719F" w:rsidP="004F63A5">
            <w:pPr>
              <w:jc w:val="center"/>
            </w:pPr>
            <w:r>
              <w:t>Inner pipe diameter</w:t>
            </w:r>
          </w:p>
        </w:tc>
      </w:tr>
      <w:tr w:rsidR="0084719F" w14:paraId="5BBBF9A5" w14:textId="77777777" w:rsidTr="004F63A5">
        <w:trPr>
          <w:jc w:val="center"/>
        </w:trPr>
        <w:tc>
          <w:tcPr>
            <w:tcW w:w="3174" w:type="dxa"/>
          </w:tcPr>
          <w:p w14:paraId="66FE3677" w14:textId="77777777" w:rsidR="0084719F" w:rsidRDefault="0084719F" w:rsidP="004F63A5">
            <w:pPr>
              <w:jc w:val="center"/>
            </w:pPr>
            <w:r>
              <w:t>Turbine outlet pressure</w:t>
            </w:r>
          </w:p>
        </w:tc>
        <w:tc>
          <w:tcPr>
            <w:tcW w:w="3437" w:type="dxa"/>
          </w:tcPr>
          <w:p w14:paraId="417C61AD" w14:textId="77777777" w:rsidR="0084719F" w:rsidRDefault="0084719F" w:rsidP="004F63A5">
            <w:pPr>
              <w:jc w:val="center"/>
            </w:pPr>
            <w:r>
              <w:t>Outer pipe diameter</w:t>
            </w:r>
          </w:p>
        </w:tc>
      </w:tr>
      <w:tr w:rsidR="0084719F" w14:paraId="13D8D2DF" w14:textId="77777777" w:rsidTr="004F63A5">
        <w:trPr>
          <w:jc w:val="center"/>
        </w:trPr>
        <w:tc>
          <w:tcPr>
            <w:tcW w:w="3174" w:type="dxa"/>
          </w:tcPr>
          <w:p w14:paraId="556519F0" w14:textId="77777777" w:rsidR="0084719F" w:rsidRDefault="0084719F" w:rsidP="004F63A5">
            <w:pPr>
              <w:jc w:val="center"/>
            </w:pPr>
            <w:r>
              <w:t>Turbine shaft power</w:t>
            </w:r>
          </w:p>
        </w:tc>
        <w:tc>
          <w:tcPr>
            <w:tcW w:w="3437" w:type="dxa"/>
          </w:tcPr>
          <w:p w14:paraId="22A0F4B7" w14:textId="77777777" w:rsidR="0084719F" w:rsidRDefault="0084719F" w:rsidP="004F63A5">
            <w:pPr>
              <w:jc w:val="center"/>
            </w:pPr>
            <w:r>
              <w:t>Number of tube passes</w:t>
            </w:r>
          </w:p>
        </w:tc>
      </w:tr>
      <w:tr w:rsidR="0084719F" w14:paraId="21C1CFBD" w14:textId="77777777" w:rsidTr="004F63A5">
        <w:trPr>
          <w:jc w:val="center"/>
        </w:trPr>
        <w:tc>
          <w:tcPr>
            <w:tcW w:w="3174" w:type="dxa"/>
          </w:tcPr>
          <w:p w14:paraId="001E65F2" w14:textId="77777777" w:rsidR="0084719F" w:rsidRDefault="0084719F" w:rsidP="004F63A5">
            <w:pPr>
              <w:jc w:val="center"/>
            </w:pPr>
            <w:r>
              <w:t>Turbine shaft speed</w:t>
            </w:r>
          </w:p>
        </w:tc>
        <w:tc>
          <w:tcPr>
            <w:tcW w:w="3437" w:type="dxa"/>
          </w:tcPr>
          <w:p w14:paraId="2939997B" w14:textId="77777777" w:rsidR="0084719F" w:rsidRDefault="0084719F" w:rsidP="004F63A5">
            <w:pPr>
              <w:jc w:val="center"/>
            </w:pPr>
            <w:r>
              <w:t>Pitch shape</w:t>
            </w:r>
          </w:p>
        </w:tc>
      </w:tr>
      <w:tr w:rsidR="0084719F" w14:paraId="276F04EB" w14:textId="77777777" w:rsidTr="004F63A5">
        <w:trPr>
          <w:jc w:val="center"/>
        </w:trPr>
        <w:tc>
          <w:tcPr>
            <w:tcW w:w="3174" w:type="dxa"/>
          </w:tcPr>
          <w:p w14:paraId="234B5589" w14:textId="77777777" w:rsidR="0084719F" w:rsidRDefault="0084719F" w:rsidP="004F63A5">
            <w:pPr>
              <w:jc w:val="center"/>
            </w:pPr>
          </w:p>
        </w:tc>
        <w:tc>
          <w:tcPr>
            <w:tcW w:w="3437" w:type="dxa"/>
          </w:tcPr>
          <w:p w14:paraId="1C1D3460" w14:textId="77777777" w:rsidR="0084719F" w:rsidRDefault="0084719F" w:rsidP="004F63A5">
            <w:pPr>
              <w:jc w:val="center"/>
            </w:pPr>
            <w:r>
              <w:t>Shell type</w:t>
            </w:r>
          </w:p>
        </w:tc>
      </w:tr>
      <w:tr w:rsidR="0084719F" w14:paraId="30249BF3" w14:textId="77777777" w:rsidTr="004F63A5">
        <w:trPr>
          <w:jc w:val="center"/>
        </w:trPr>
        <w:tc>
          <w:tcPr>
            <w:tcW w:w="3174" w:type="dxa"/>
          </w:tcPr>
          <w:p w14:paraId="691C6E21" w14:textId="77777777" w:rsidR="0084719F" w:rsidRDefault="0084719F" w:rsidP="004F63A5">
            <w:pPr>
              <w:jc w:val="center"/>
            </w:pPr>
          </w:p>
        </w:tc>
        <w:tc>
          <w:tcPr>
            <w:tcW w:w="3437" w:type="dxa"/>
          </w:tcPr>
          <w:p w14:paraId="02B9E220" w14:textId="77777777" w:rsidR="0084719F" w:rsidRDefault="0084719F" w:rsidP="004F63A5">
            <w:pPr>
              <w:jc w:val="center"/>
            </w:pPr>
            <w:r>
              <w:t>Choice of HTF</w:t>
            </w:r>
          </w:p>
        </w:tc>
      </w:tr>
      <w:tr w:rsidR="0084719F" w14:paraId="47B4E91C" w14:textId="77777777" w:rsidTr="004F63A5">
        <w:trPr>
          <w:jc w:val="center"/>
        </w:trPr>
        <w:tc>
          <w:tcPr>
            <w:tcW w:w="3174" w:type="dxa"/>
          </w:tcPr>
          <w:p w14:paraId="077F8735" w14:textId="77777777" w:rsidR="0084719F" w:rsidRDefault="0084719F" w:rsidP="004F63A5">
            <w:pPr>
              <w:jc w:val="center"/>
            </w:pPr>
          </w:p>
        </w:tc>
        <w:tc>
          <w:tcPr>
            <w:tcW w:w="3437" w:type="dxa"/>
          </w:tcPr>
          <w:p w14:paraId="4272C323" w14:textId="77777777" w:rsidR="0084719F" w:rsidRDefault="0084719F" w:rsidP="004F63A5">
            <w:pPr>
              <w:jc w:val="center"/>
            </w:pPr>
            <w:r>
              <w:t>Choice of ORC working fluid</w:t>
            </w:r>
          </w:p>
        </w:tc>
      </w:tr>
      <w:tr w:rsidR="0084719F" w14:paraId="1643E7F1" w14:textId="77777777" w:rsidTr="004F63A5">
        <w:trPr>
          <w:jc w:val="center"/>
        </w:trPr>
        <w:tc>
          <w:tcPr>
            <w:tcW w:w="3174" w:type="dxa"/>
          </w:tcPr>
          <w:p w14:paraId="025FB762" w14:textId="77777777" w:rsidR="0084719F" w:rsidRDefault="0084719F" w:rsidP="004F63A5">
            <w:pPr>
              <w:jc w:val="center"/>
            </w:pPr>
          </w:p>
        </w:tc>
        <w:tc>
          <w:tcPr>
            <w:tcW w:w="3437" w:type="dxa"/>
          </w:tcPr>
          <w:p w14:paraId="2D0AE6C5" w14:textId="77777777" w:rsidR="0084719F" w:rsidRDefault="0084719F" w:rsidP="004F63A5">
            <w:pPr>
              <w:jc w:val="center"/>
            </w:pPr>
            <w:r>
              <w:t>Baffle cut</w:t>
            </w:r>
          </w:p>
        </w:tc>
      </w:tr>
      <w:tr w:rsidR="0084719F" w14:paraId="31603C44" w14:textId="77777777" w:rsidTr="004F63A5">
        <w:trPr>
          <w:jc w:val="center"/>
        </w:trPr>
        <w:tc>
          <w:tcPr>
            <w:tcW w:w="3174" w:type="dxa"/>
          </w:tcPr>
          <w:p w14:paraId="4625C0E6" w14:textId="77777777" w:rsidR="0084719F" w:rsidRDefault="0084719F" w:rsidP="004F63A5">
            <w:pPr>
              <w:jc w:val="center"/>
            </w:pPr>
          </w:p>
        </w:tc>
        <w:tc>
          <w:tcPr>
            <w:tcW w:w="3437" w:type="dxa"/>
          </w:tcPr>
          <w:p w14:paraId="316601CF" w14:textId="77777777" w:rsidR="0084719F" w:rsidRDefault="0084719F" w:rsidP="004F63A5">
            <w:pPr>
              <w:jc w:val="center"/>
            </w:pPr>
            <w:r>
              <w:t>Wall material</w:t>
            </w:r>
          </w:p>
        </w:tc>
      </w:tr>
      <w:tr w:rsidR="0084719F" w14:paraId="7A192867" w14:textId="77777777" w:rsidTr="004F63A5">
        <w:trPr>
          <w:jc w:val="center"/>
        </w:trPr>
        <w:tc>
          <w:tcPr>
            <w:tcW w:w="3174" w:type="dxa"/>
          </w:tcPr>
          <w:p w14:paraId="53F4BCEA" w14:textId="77777777" w:rsidR="0084719F" w:rsidRDefault="0084719F" w:rsidP="004F63A5">
            <w:pPr>
              <w:jc w:val="center"/>
            </w:pPr>
          </w:p>
        </w:tc>
        <w:tc>
          <w:tcPr>
            <w:tcW w:w="3437" w:type="dxa"/>
          </w:tcPr>
          <w:p w14:paraId="6F005065" w14:textId="77777777" w:rsidR="0084719F" w:rsidRDefault="0084719F" w:rsidP="004F63A5">
            <w:pPr>
              <w:jc w:val="center"/>
            </w:pPr>
            <w:r>
              <w:t>Pipe material</w:t>
            </w:r>
          </w:p>
        </w:tc>
      </w:tr>
      <w:tr w:rsidR="0084719F" w14:paraId="37BA8F73" w14:textId="77777777" w:rsidTr="004F63A5">
        <w:trPr>
          <w:jc w:val="center"/>
        </w:trPr>
        <w:tc>
          <w:tcPr>
            <w:tcW w:w="3174" w:type="dxa"/>
          </w:tcPr>
          <w:p w14:paraId="322FDF0C" w14:textId="77777777" w:rsidR="0084719F" w:rsidRDefault="0084719F" w:rsidP="004F63A5">
            <w:pPr>
              <w:jc w:val="center"/>
            </w:pPr>
          </w:p>
        </w:tc>
        <w:tc>
          <w:tcPr>
            <w:tcW w:w="3437" w:type="dxa"/>
          </w:tcPr>
          <w:p w14:paraId="718C8AED" w14:textId="77777777" w:rsidR="0084719F" w:rsidRDefault="0084719F" w:rsidP="004F63A5">
            <w:pPr>
              <w:jc w:val="center"/>
            </w:pPr>
            <w:r>
              <w:t>Shell material</w:t>
            </w:r>
          </w:p>
        </w:tc>
      </w:tr>
      <w:tr w:rsidR="0084719F" w14:paraId="5AD6E90A" w14:textId="77777777" w:rsidTr="004F63A5">
        <w:trPr>
          <w:jc w:val="center"/>
        </w:trPr>
        <w:tc>
          <w:tcPr>
            <w:tcW w:w="3174" w:type="dxa"/>
          </w:tcPr>
          <w:p w14:paraId="0B1DF13E" w14:textId="77777777" w:rsidR="0084719F" w:rsidRDefault="0084719F" w:rsidP="004F63A5">
            <w:pPr>
              <w:jc w:val="center"/>
            </w:pPr>
          </w:p>
        </w:tc>
        <w:tc>
          <w:tcPr>
            <w:tcW w:w="3437" w:type="dxa"/>
          </w:tcPr>
          <w:p w14:paraId="16BC8F6C" w14:textId="77777777" w:rsidR="0084719F" w:rsidRDefault="0084719F" w:rsidP="004F63A5">
            <w:pPr>
              <w:jc w:val="center"/>
            </w:pPr>
            <w:r>
              <w:t>Tube material</w:t>
            </w:r>
          </w:p>
        </w:tc>
      </w:tr>
      <w:tr w:rsidR="0084719F" w14:paraId="73406C78" w14:textId="77777777" w:rsidTr="004F63A5">
        <w:trPr>
          <w:jc w:val="center"/>
        </w:trPr>
        <w:tc>
          <w:tcPr>
            <w:tcW w:w="3174" w:type="dxa"/>
          </w:tcPr>
          <w:p w14:paraId="01B7176D" w14:textId="77777777" w:rsidR="0084719F" w:rsidRDefault="0084719F" w:rsidP="004F63A5">
            <w:pPr>
              <w:jc w:val="center"/>
            </w:pPr>
          </w:p>
        </w:tc>
        <w:tc>
          <w:tcPr>
            <w:tcW w:w="3437" w:type="dxa"/>
          </w:tcPr>
          <w:p w14:paraId="680A6E90" w14:textId="77777777" w:rsidR="0084719F" w:rsidRDefault="0084719F" w:rsidP="004F63A5">
            <w:pPr>
              <w:jc w:val="center"/>
            </w:pPr>
            <w:r>
              <w:t>Turbine blade diameter</w:t>
            </w:r>
          </w:p>
        </w:tc>
      </w:tr>
      <w:tr w:rsidR="0084719F" w14:paraId="715A6B4D" w14:textId="77777777" w:rsidTr="004F63A5">
        <w:trPr>
          <w:jc w:val="center"/>
        </w:trPr>
        <w:tc>
          <w:tcPr>
            <w:tcW w:w="3174" w:type="dxa"/>
          </w:tcPr>
          <w:p w14:paraId="098E267E" w14:textId="77777777" w:rsidR="0084719F" w:rsidRDefault="0084719F" w:rsidP="004F63A5">
            <w:pPr>
              <w:jc w:val="center"/>
            </w:pPr>
          </w:p>
        </w:tc>
        <w:tc>
          <w:tcPr>
            <w:tcW w:w="3437" w:type="dxa"/>
          </w:tcPr>
          <w:p w14:paraId="2D675CA8" w14:textId="77777777" w:rsidR="0084719F" w:rsidRDefault="0084719F" w:rsidP="004F63A5">
            <w:pPr>
              <w:jc w:val="center"/>
            </w:pPr>
            <w:r>
              <w:t>Turbine blade thickness</w:t>
            </w:r>
          </w:p>
        </w:tc>
      </w:tr>
    </w:tbl>
    <w:p w14:paraId="34D353BF" w14:textId="77777777" w:rsidR="0084719F" w:rsidRDefault="0084719F" w:rsidP="0084719F">
      <w:pPr>
        <w:pStyle w:val="NoSpacing"/>
      </w:pPr>
    </w:p>
    <w:p w14:paraId="2A409A15" w14:textId="77777777" w:rsidR="0084719F" w:rsidRDefault="0084719F" w:rsidP="0084719F">
      <w:r>
        <w:t xml:space="preserve">Dependent inputs are one’s whose value could be assumed to be proportional to another input or parameter and were modelled as such. An example of a dependent input is the output temperature of the process fluid, which could be assumed to be equal to the input temperature divided by </w:t>
      </w:r>
      <w:r>
        <w:rPr>
          <w:i/>
        </w:rPr>
        <w:t>x</w:t>
      </w:r>
      <w:r>
        <w:t>. Fluid dependent inputs were inputs that could be calculated if the fluid in question and the operating conditions were known. For example, the density of the working fluid could be calculated if the working fluid had been selected and the operating temperature and pressure were known. The fluid dependent inputs could be automatically calculated by the spreadsheet, if the model user selected a working fluid from the list of available fluids.</w:t>
      </w:r>
    </w:p>
    <w:p w14:paraId="0B63ED5A" w14:textId="69A54452" w:rsidR="0084719F" w:rsidRDefault="0084719F" w:rsidP="0084719F">
      <w:r>
        <w:t>The remaining discrete inputs (the dependent, and the fluid dependent inputs that were hidden) are shown in</w:t>
      </w:r>
      <w:r w:rsidR="00682CF9">
        <w:t xml:space="preserve"> </w:t>
      </w:r>
      <w:r w:rsidR="00682CF9">
        <w:fldChar w:fldCharType="begin"/>
      </w:r>
      <w:r w:rsidR="00682CF9">
        <w:instrText xml:space="preserve"> REF _Ref5788398 \h </w:instrText>
      </w:r>
      <w:r w:rsidR="00682CF9">
        <w:fldChar w:fldCharType="separate"/>
      </w:r>
      <w:r w:rsidR="00CB7456">
        <w:t xml:space="preserve">Table </w:t>
      </w:r>
      <w:r w:rsidR="00CB7456">
        <w:rPr>
          <w:noProof/>
        </w:rPr>
        <w:t>5</w:t>
      </w:r>
      <w:r w:rsidR="00CB7456">
        <w:t>.</w:t>
      </w:r>
      <w:r w:rsidR="00CB7456">
        <w:rPr>
          <w:noProof/>
        </w:rPr>
        <w:t>11</w:t>
      </w:r>
      <w:r w:rsidR="00682CF9">
        <w:fldChar w:fldCharType="end"/>
      </w:r>
      <w:r>
        <w:t>.</w:t>
      </w:r>
    </w:p>
    <w:p w14:paraId="4CC45139" w14:textId="77777777" w:rsidR="0084719F" w:rsidRDefault="0084719F" w:rsidP="0084719F">
      <w:r>
        <w:t xml:space="preserve">The large number of inputs required a large number of assumptions to be made in the WHR modelling process. It was assumed that the user would correctly inputs the values for the 7 continuous inputs and select the correct values for 17 discrete inputs to be chosen from lists. It was also assumed that the 17 lists would correctly represent the discrete inputs in the particular case to be modelled. It was assumed that the 23 preloaded discrete inputs and the 7 relationships in the dependent inputs would accurately represent the inputs in each different case. </w:t>
      </w:r>
    </w:p>
    <w:p w14:paraId="299824B1" w14:textId="014D1F89" w:rsidR="0084719F" w:rsidRDefault="0084719F" w:rsidP="0084719F">
      <w:r>
        <w:t xml:space="preserve">During the modelling work it was assumed that each WHR equipment had a lifespan of 30 years </w:t>
      </w:r>
      <w:r>
        <w:fldChar w:fldCharType="begin" w:fldLock="1"/>
      </w:r>
      <w:r w:rsidR="00D31CA5">
        <w:instrText>ADDIN CSL_CITATION {"citationItems":[{"id":"ITEM-1","itemData":{"author":[{"dropping-particle":"","family":"Adolfsson","given":"Marcus","non-dropping-particle":"","parse-names":false,"suffix":""},{"dropping-particle":"","family":"Rashid","given":"Shivan","non-dropping-particle":"","parse-names":false,"suffix":""}],"id":"ITEM-1","issued":{"date-parts":[["2016"]]},"publisher":"Chalmers","title":"Life Cycle Assessment and Life Cycle Cost of Heat Exchangers. A Case for Inter Terminals Sweden AB Located in Port of Gothenburg.","type":"thesis"},"uris":["http://www.mendeley.com/documents/?uuid=351c8359-5be8-4a45-be25-8c87b121facc"]}],"mendeley":{"formattedCitation":"(Adolfsson and Rashid, 2016)","plainTextFormattedCitation":"(Adolfsson and Rashid, 2016)","previouslyFormattedCitation":"(Adolfsson and Rashid, 2016)"},"properties":{"noteIndex":0},"schema":"https://github.com/citation-style-language/schema/raw/master/csl-citation.json"}</w:instrText>
      </w:r>
      <w:r>
        <w:fldChar w:fldCharType="separate"/>
      </w:r>
      <w:r w:rsidRPr="0084719F">
        <w:rPr>
          <w:noProof/>
        </w:rPr>
        <w:t>(Adolfsson and Rashid, 2016)</w:t>
      </w:r>
      <w:r>
        <w:fldChar w:fldCharType="end"/>
      </w:r>
      <w:r>
        <w:t>.</w:t>
      </w:r>
    </w:p>
    <w:p w14:paraId="562648BF" w14:textId="77777777" w:rsidR="0084719F" w:rsidRDefault="0084719F" w:rsidP="0084719F">
      <w:pPr>
        <w:pStyle w:val="Caption"/>
        <w:keepNext/>
      </w:pPr>
      <w:bookmarkStart w:id="632" w:name="_Ref525047128"/>
      <w:bookmarkStart w:id="633" w:name="_Ref525138386"/>
      <w:bookmarkStart w:id="634" w:name="_Toc525230138"/>
    </w:p>
    <w:p w14:paraId="70341E4D" w14:textId="77777777" w:rsidR="0084719F" w:rsidRDefault="0084719F">
      <w:pPr>
        <w:jc w:val="left"/>
        <w:rPr>
          <w:b/>
          <w:bCs/>
          <w:sz w:val="18"/>
          <w:szCs w:val="18"/>
        </w:rPr>
      </w:pPr>
      <w:r>
        <w:br w:type="page"/>
      </w:r>
    </w:p>
    <w:p w14:paraId="13954162" w14:textId="77EB3314" w:rsidR="0084719F" w:rsidRDefault="0084719F" w:rsidP="0084719F">
      <w:pPr>
        <w:pStyle w:val="Caption"/>
        <w:keepNext/>
      </w:pPr>
      <w:bookmarkStart w:id="635" w:name="_Ref5788398"/>
      <w:bookmarkStart w:id="636" w:name="_Toc7187692"/>
      <w:r>
        <w:lastRenderedPageBreak/>
        <w:t xml:space="preserve">Table </w:t>
      </w:r>
      <w:fldSimple w:instr=" STYLEREF 1 \s ">
        <w:r w:rsidR="00CB7456">
          <w:rPr>
            <w:noProof/>
          </w:rPr>
          <w:t>5</w:t>
        </w:r>
      </w:fldSimple>
      <w:r w:rsidR="009E1A67">
        <w:t>.</w:t>
      </w:r>
      <w:fldSimple w:instr=" SEQ Table \* ARABIC \s 1 ">
        <w:r w:rsidR="00CB7456">
          <w:rPr>
            <w:noProof/>
          </w:rPr>
          <w:t>11</w:t>
        </w:r>
      </w:fldSimple>
      <w:bookmarkEnd w:id="632"/>
      <w:bookmarkEnd w:id="633"/>
      <w:bookmarkEnd w:id="635"/>
      <w:r>
        <w:rPr>
          <w:noProof/>
        </w:rPr>
        <w:t>:</w:t>
      </w:r>
      <w:r>
        <w:t xml:space="preserve"> Discrete that are to be hidden from the user, dependent, and fluid dependent inputs.</w:t>
      </w:r>
      <w:bookmarkEnd w:id="634"/>
      <w:bookmarkEnd w:id="636"/>
    </w:p>
    <w:tbl>
      <w:tblPr>
        <w:tblStyle w:val="TableGrid"/>
        <w:tblW w:w="7797"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89"/>
        <w:gridCol w:w="2414"/>
        <w:gridCol w:w="2694"/>
      </w:tblGrid>
      <w:tr w:rsidR="0084719F" w14:paraId="57CE413E" w14:textId="77777777" w:rsidTr="004F63A5">
        <w:tc>
          <w:tcPr>
            <w:tcW w:w="2689" w:type="dxa"/>
            <w:tcBorders>
              <w:bottom w:val="single" w:sz="4" w:space="0" w:color="auto"/>
            </w:tcBorders>
          </w:tcPr>
          <w:p w14:paraId="5FF9FC1B" w14:textId="77777777" w:rsidR="0084719F" w:rsidRDefault="0084719F" w:rsidP="004F63A5">
            <w:pPr>
              <w:jc w:val="center"/>
            </w:pPr>
            <w:r>
              <w:t>Discrete inputs (hidden from the user)</w:t>
            </w:r>
          </w:p>
        </w:tc>
        <w:tc>
          <w:tcPr>
            <w:tcW w:w="2414" w:type="dxa"/>
            <w:tcBorders>
              <w:bottom w:val="single" w:sz="4" w:space="0" w:color="auto"/>
            </w:tcBorders>
          </w:tcPr>
          <w:p w14:paraId="144977CB" w14:textId="77777777" w:rsidR="0084719F" w:rsidRDefault="0084719F" w:rsidP="004F63A5">
            <w:pPr>
              <w:jc w:val="center"/>
            </w:pPr>
            <w:r>
              <w:t>Dependent inputs</w:t>
            </w:r>
          </w:p>
        </w:tc>
        <w:tc>
          <w:tcPr>
            <w:tcW w:w="2694" w:type="dxa"/>
            <w:tcBorders>
              <w:bottom w:val="single" w:sz="4" w:space="0" w:color="auto"/>
            </w:tcBorders>
          </w:tcPr>
          <w:p w14:paraId="6185745F" w14:textId="77777777" w:rsidR="0084719F" w:rsidRDefault="0084719F" w:rsidP="004F63A5">
            <w:pPr>
              <w:jc w:val="center"/>
            </w:pPr>
            <w:r>
              <w:t>Fluid dependent inputs</w:t>
            </w:r>
          </w:p>
        </w:tc>
      </w:tr>
      <w:tr w:rsidR="0084719F" w14:paraId="13398E20" w14:textId="77777777" w:rsidTr="004F63A5">
        <w:tc>
          <w:tcPr>
            <w:tcW w:w="2689" w:type="dxa"/>
            <w:tcBorders>
              <w:top w:val="single" w:sz="4" w:space="0" w:color="auto"/>
              <w:bottom w:val="nil"/>
            </w:tcBorders>
          </w:tcPr>
          <w:p w14:paraId="1EA9D479" w14:textId="77777777" w:rsidR="0084719F" w:rsidRDefault="0084719F" w:rsidP="004F63A5">
            <w:pPr>
              <w:jc w:val="center"/>
            </w:pPr>
            <w:r>
              <w:t>Fin pitch</w:t>
            </w:r>
          </w:p>
        </w:tc>
        <w:tc>
          <w:tcPr>
            <w:tcW w:w="2414" w:type="dxa"/>
            <w:tcBorders>
              <w:top w:val="single" w:sz="4" w:space="0" w:color="auto"/>
              <w:bottom w:val="nil"/>
            </w:tcBorders>
          </w:tcPr>
          <w:p w14:paraId="7448DD7A" w14:textId="77777777" w:rsidR="0084719F" w:rsidRDefault="0084719F" w:rsidP="004F63A5">
            <w:pPr>
              <w:jc w:val="center"/>
            </w:pPr>
            <w:r>
              <w:t>Assumed total HTC</w:t>
            </w:r>
          </w:p>
        </w:tc>
        <w:tc>
          <w:tcPr>
            <w:tcW w:w="2694" w:type="dxa"/>
            <w:tcBorders>
              <w:top w:val="single" w:sz="4" w:space="0" w:color="auto"/>
              <w:bottom w:val="nil"/>
            </w:tcBorders>
          </w:tcPr>
          <w:p w14:paraId="2A658204" w14:textId="77777777" w:rsidR="0084719F" w:rsidRDefault="0084719F" w:rsidP="004F63A5">
            <w:pPr>
              <w:jc w:val="center"/>
            </w:pPr>
            <w:r>
              <w:t>HTF density</w:t>
            </w:r>
          </w:p>
        </w:tc>
      </w:tr>
      <w:tr w:rsidR="0084719F" w14:paraId="18A5FC6E" w14:textId="77777777" w:rsidTr="004F63A5">
        <w:tc>
          <w:tcPr>
            <w:tcW w:w="2689" w:type="dxa"/>
            <w:tcBorders>
              <w:top w:val="nil"/>
            </w:tcBorders>
          </w:tcPr>
          <w:p w14:paraId="220E1DB8" w14:textId="77777777" w:rsidR="0084719F" w:rsidRDefault="0084719F" w:rsidP="004F63A5">
            <w:pPr>
              <w:jc w:val="center"/>
            </w:pPr>
            <w:r>
              <w:t>Fin thickness</w:t>
            </w:r>
          </w:p>
        </w:tc>
        <w:tc>
          <w:tcPr>
            <w:tcW w:w="2414" w:type="dxa"/>
            <w:tcBorders>
              <w:top w:val="nil"/>
            </w:tcBorders>
          </w:tcPr>
          <w:p w14:paraId="1296E93F" w14:textId="77777777" w:rsidR="0084719F" w:rsidRPr="004B53BE" w:rsidRDefault="0084719F" w:rsidP="004F63A5">
            <w:pPr>
              <w:jc w:val="center"/>
            </w:pPr>
            <w:r w:rsidRPr="004B53BE">
              <w:t>Working fluid outlet temperature</w:t>
            </w:r>
          </w:p>
        </w:tc>
        <w:tc>
          <w:tcPr>
            <w:tcW w:w="2694" w:type="dxa"/>
            <w:tcBorders>
              <w:top w:val="nil"/>
            </w:tcBorders>
          </w:tcPr>
          <w:p w14:paraId="427EE1B7" w14:textId="77777777" w:rsidR="0084719F" w:rsidRDefault="0084719F" w:rsidP="004F63A5">
            <w:pPr>
              <w:jc w:val="center"/>
            </w:pPr>
            <w:r>
              <w:t>HTF viscosity</w:t>
            </w:r>
          </w:p>
        </w:tc>
      </w:tr>
      <w:tr w:rsidR="0084719F" w14:paraId="6CA59CB1" w14:textId="77777777" w:rsidTr="004F63A5">
        <w:tc>
          <w:tcPr>
            <w:tcW w:w="2689" w:type="dxa"/>
          </w:tcPr>
          <w:p w14:paraId="32D1BE5C" w14:textId="77777777" w:rsidR="0084719F" w:rsidRDefault="0084719F" w:rsidP="004F63A5">
            <w:pPr>
              <w:jc w:val="center"/>
            </w:pPr>
            <w:r>
              <w:t>Fin height</w:t>
            </w:r>
          </w:p>
        </w:tc>
        <w:tc>
          <w:tcPr>
            <w:tcW w:w="2414" w:type="dxa"/>
          </w:tcPr>
          <w:p w14:paraId="3380A451" w14:textId="77777777" w:rsidR="0084719F" w:rsidRPr="004B53BE" w:rsidRDefault="0084719F" w:rsidP="004F63A5">
            <w:pPr>
              <w:jc w:val="center"/>
            </w:pPr>
            <w:r w:rsidRPr="004B53BE">
              <w:t>HTF input temperature</w:t>
            </w:r>
          </w:p>
        </w:tc>
        <w:tc>
          <w:tcPr>
            <w:tcW w:w="2694" w:type="dxa"/>
          </w:tcPr>
          <w:p w14:paraId="692C898C" w14:textId="77777777" w:rsidR="0084719F" w:rsidRDefault="0084719F" w:rsidP="004F63A5">
            <w:pPr>
              <w:jc w:val="center"/>
            </w:pPr>
            <w:r>
              <w:t>HTF thermal conductivity</w:t>
            </w:r>
          </w:p>
        </w:tc>
      </w:tr>
      <w:tr w:rsidR="0084719F" w14:paraId="31EC4960" w14:textId="77777777" w:rsidTr="004F63A5">
        <w:tc>
          <w:tcPr>
            <w:tcW w:w="2689" w:type="dxa"/>
          </w:tcPr>
          <w:p w14:paraId="28793487" w14:textId="77777777" w:rsidR="0084719F" w:rsidRDefault="0084719F" w:rsidP="004F63A5">
            <w:pPr>
              <w:jc w:val="center"/>
            </w:pPr>
            <w:r>
              <w:t>Fin efficiency</w:t>
            </w:r>
          </w:p>
        </w:tc>
        <w:tc>
          <w:tcPr>
            <w:tcW w:w="2414" w:type="dxa"/>
          </w:tcPr>
          <w:p w14:paraId="4CE0ED31" w14:textId="77777777" w:rsidR="0084719F" w:rsidRPr="004B53BE" w:rsidRDefault="0084719F" w:rsidP="004F63A5">
            <w:pPr>
              <w:jc w:val="center"/>
            </w:pPr>
            <w:r w:rsidRPr="004B53BE">
              <w:t>HTF outlet temperature</w:t>
            </w:r>
          </w:p>
        </w:tc>
        <w:tc>
          <w:tcPr>
            <w:tcW w:w="2694" w:type="dxa"/>
          </w:tcPr>
          <w:p w14:paraId="6BF85BF2" w14:textId="77777777" w:rsidR="0084719F" w:rsidRDefault="0084719F" w:rsidP="004F63A5">
            <w:pPr>
              <w:jc w:val="center"/>
            </w:pPr>
            <w:r>
              <w:t>HTF specific heat capacity</w:t>
            </w:r>
          </w:p>
        </w:tc>
      </w:tr>
      <w:tr w:rsidR="0084719F" w14:paraId="60142E6C" w14:textId="77777777" w:rsidTr="004F63A5">
        <w:tc>
          <w:tcPr>
            <w:tcW w:w="2689" w:type="dxa"/>
          </w:tcPr>
          <w:p w14:paraId="50C7C875" w14:textId="77777777" w:rsidR="0084719F" w:rsidRDefault="0084719F" w:rsidP="004F63A5">
            <w:pPr>
              <w:jc w:val="center"/>
            </w:pPr>
            <w:r>
              <w:t>Fin pass arrangement</w:t>
            </w:r>
          </w:p>
        </w:tc>
        <w:tc>
          <w:tcPr>
            <w:tcW w:w="2414" w:type="dxa"/>
          </w:tcPr>
          <w:p w14:paraId="1B620F84" w14:textId="77777777" w:rsidR="0084719F" w:rsidRPr="004B53BE" w:rsidRDefault="0084719F" w:rsidP="004F63A5">
            <w:pPr>
              <w:jc w:val="center"/>
            </w:pPr>
            <w:r w:rsidRPr="004B53BE">
              <w:rPr>
                <w:rFonts w:ascii="Calibri" w:hAnsi="Calibri"/>
              </w:rPr>
              <w:t>Heater exposed length</w:t>
            </w:r>
          </w:p>
        </w:tc>
        <w:tc>
          <w:tcPr>
            <w:tcW w:w="2694" w:type="dxa"/>
          </w:tcPr>
          <w:p w14:paraId="1BF9FAB8" w14:textId="77777777" w:rsidR="0084719F" w:rsidRDefault="0084719F" w:rsidP="004F63A5">
            <w:pPr>
              <w:jc w:val="center"/>
            </w:pPr>
            <w:r>
              <w:t>HTF molecular weight</w:t>
            </w:r>
          </w:p>
        </w:tc>
      </w:tr>
      <w:tr w:rsidR="0084719F" w14:paraId="2D1D611D" w14:textId="77777777" w:rsidTr="004F63A5">
        <w:tc>
          <w:tcPr>
            <w:tcW w:w="2689" w:type="dxa"/>
          </w:tcPr>
          <w:p w14:paraId="0145CD50" w14:textId="77777777" w:rsidR="0084719F" w:rsidRDefault="0084719F" w:rsidP="004F63A5">
            <w:pPr>
              <w:jc w:val="center"/>
            </w:pPr>
            <w:r>
              <w:rPr>
                <w:rFonts w:ascii="Calibri" w:hAnsi="Calibri"/>
              </w:rPr>
              <w:t>Effective plate area</w:t>
            </w:r>
          </w:p>
        </w:tc>
        <w:tc>
          <w:tcPr>
            <w:tcW w:w="2414" w:type="dxa"/>
          </w:tcPr>
          <w:p w14:paraId="6DE23500" w14:textId="77777777" w:rsidR="0084719F" w:rsidRPr="004B53BE" w:rsidRDefault="0084719F" w:rsidP="004F63A5">
            <w:pPr>
              <w:jc w:val="center"/>
            </w:pPr>
            <w:r w:rsidRPr="004B53BE">
              <w:rPr>
                <w:rFonts w:ascii="Calibri" w:hAnsi="Calibri"/>
              </w:rPr>
              <w:t>Heater centres</w:t>
            </w:r>
          </w:p>
        </w:tc>
        <w:tc>
          <w:tcPr>
            <w:tcW w:w="2694" w:type="dxa"/>
          </w:tcPr>
          <w:p w14:paraId="1A183106" w14:textId="77777777" w:rsidR="0084719F" w:rsidRDefault="0084719F" w:rsidP="004F63A5">
            <w:pPr>
              <w:jc w:val="center"/>
            </w:pPr>
            <w:r>
              <w:t>Working fluid density</w:t>
            </w:r>
          </w:p>
        </w:tc>
      </w:tr>
      <w:tr w:rsidR="0084719F" w14:paraId="482474B3" w14:textId="77777777" w:rsidTr="004F63A5">
        <w:tc>
          <w:tcPr>
            <w:tcW w:w="2689" w:type="dxa"/>
          </w:tcPr>
          <w:p w14:paraId="5B235646" w14:textId="77777777" w:rsidR="0084719F" w:rsidRDefault="0084719F" w:rsidP="004F63A5">
            <w:pPr>
              <w:jc w:val="center"/>
            </w:pPr>
            <w:r>
              <w:rPr>
                <w:rFonts w:ascii="Calibri" w:hAnsi="Calibri"/>
              </w:rPr>
              <w:t>Effective plate length</w:t>
            </w:r>
          </w:p>
        </w:tc>
        <w:tc>
          <w:tcPr>
            <w:tcW w:w="2414" w:type="dxa"/>
          </w:tcPr>
          <w:p w14:paraId="75B192DE" w14:textId="77777777" w:rsidR="0084719F" w:rsidRPr="004B53BE" w:rsidRDefault="0084719F" w:rsidP="004F63A5">
            <w:pPr>
              <w:jc w:val="center"/>
            </w:pPr>
            <w:r w:rsidRPr="004B53BE">
              <w:t>Assumed firebox temperature</w:t>
            </w:r>
          </w:p>
        </w:tc>
        <w:tc>
          <w:tcPr>
            <w:tcW w:w="2694" w:type="dxa"/>
          </w:tcPr>
          <w:p w14:paraId="385C4DE1" w14:textId="77777777" w:rsidR="0084719F" w:rsidRDefault="0084719F" w:rsidP="004F63A5">
            <w:pPr>
              <w:jc w:val="center"/>
            </w:pPr>
            <w:r>
              <w:t>Working fluid viscosity</w:t>
            </w:r>
          </w:p>
        </w:tc>
      </w:tr>
      <w:tr w:rsidR="0084719F" w14:paraId="26F555C8" w14:textId="77777777" w:rsidTr="004F63A5">
        <w:tc>
          <w:tcPr>
            <w:tcW w:w="2689" w:type="dxa"/>
          </w:tcPr>
          <w:p w14:paraId="399DC734" w14:textId="77777777" w:rsidR="0084719F" w:rsidRDefault="0084719F" w:rsidP="004F63A5">
            <w:pPr>
              <w:jc w:val="center"/>
            </w:pPr>
            <w:r>
              <w:rPr>
                <w:rFonts w:ascii="Calibri" w:hAnsi="Calibri"/>
              </w:rPr>
              <w:t>Effective plate width</w:t>
            </w:r>
          </w:p>
        </w:tc>
        <w:tc>
          <w:tcPr>
            <w:tcW w:w="2414" w:type="dxa"/>
          </w:tcPr>
          <w:p w14:paraId="74EFD700" w14:textId="77777777" w:rsidR="0084719F" w:rsidRDefault="0084719F" w:rsidP="004F63A5">
            <w:pPr>
              <w:jc w:val="center"/>
            </w:pPr>
          </w:p>
        </w:tc>
        <w:tc>
          <w:tcPr>
            <w:tcW w:w="2694" w:type="dxa"/>
          </w:tcPr>
          <w:p w14:paraId="30181549" w14:textId="77777777" w:rsidR="0084719F" w:rsidRDefault="0084719F" w:rsidP="004F63A5">
            <w:pPr>
              <w:jc w:val="center"/>
            </w:pPr>
            <w:r>
              <w:t>Working fluid thermal conductivity</w:t>
            </w:r>
          </w:p>
        </w:tc>
      </w:tr>
      <w:tr w:rsidR="0084719F" w14:paraId="7170AE89" w14:textId="77777777" w:rsidTr="004F63A5">
        <w:tc>
          <w:tcPr>
            <w:tcW w:w="2689" w:type="dxa"/>
          </w:tcPr>
          <w:p w14:paraId="2CE89F57" w14:textId="77777777" w:rsidR="0084719F" w:rsidRDefault="0084719F" w:rsidP="004F63A5">
            <w:pPr>
              <w:jc w:val="center"/>
            </w:pPr>
            <w:r>
              <w:rPr>
                <w:rFonts w:ascii="Calibri" w:hAnsi="Calibri"/>
              </w:rPr>
              <w:t>Typical plate spacing</w:t>
            </w:r>
          </w:p>
        </w:tc>
        <w:tc>
          <w:tcPr>
            <w:tcW w:w="2414" w:type="dxa"/>
          </w:tcPr>
          <w:p w14:paraId="7335A398" w14:textId="77777777" w:rsidR="0084719F" w:rsidRDefault="0084719F" w:rsidP="004F63A5">
            <w:pPr>
              <w:jc w:val="center"/>
            </w:pPr>
          </w:p>
        </w:tc>
        <w:tc>
          <w:tcPr>
            <w:tcW w:w="2694" w:type="dxa"/>
          </w:tcPr>
          <w:p w14:paraId="6BD1F9FF" w14:textId="77777777" w:rsidR="0084719F" w:rsidRDefault="0084719F" w:rsidP="004F63A5">
            <w:pPr>
              <w:jc w:val="center"/>
            </w:pPr>
            <w:r>
              <w:t>Working fluid specific heat capacity</w:t>
            </w:r>
          </w:p>
        </w:tc>
      </w:tr>
      <w:tr w:rsidR="0084719F" w14:paraId="01051D9C" w14:textId="77777777" w:rsidTr="004F63A5">
        <w:tc>
          <w:tcPr>
            <w:tcW w:w="2689" w:type="dxa"/>
          </w:tcPr>
          <w:p w14:paraId="0AE4A433" w14:textId="77777777" w:rsidR="0084719F" w:rsidRDefault="0084719F" w:rsidP="004F63A5">
            <w:pPr>
              <w:jc w:val="center"/>
            </w:pPr>
            <w:r>
              <w:rPr>
                <w:rFonts w:ascii="Calibri" w:hAnsi="Calibri"/>
              </w:rPr>
              <w:t>Port Diameter</w:t>
            </w:r>
          </w:p>
        </w:tc>
        <w:tc>
          <w:tcPr>
            <w:tcW w:w="2414" w:type="dxa"/>
          </w:tcPr>
          <w:p w14:paraId="007BF7B2" w14:textId="77777777" w:rsidR="0084719F" w:rsidRDefault="0084719F" w:rsidP="004F63A5">
            <w:pPr>
              <w:jc w:val="center"/>
            </w:pPr>
          </w:p>
        </w:tc>
        <w:tc>
          <w:tcPr>
            <w:tcW w:w="2694" w:type="dxa"/>
          </w:tcPr>
          <w:p w14:paraId="2EDA1FDD" w14:textId="77777777" w:rsidR="0084719F" w:rsidRDefault="0084719F" w:rsidP="004F63A5">
            <w:pPr>
              <w:jc w:val="center"/>
            </w:pPr>
            <w:r>
              <w:t>Working fluid molecular weight</w:t>
            </w:r>
          </w:p>
        </w:tc>
      </w:tr>
      <w:tr w:rsidR="0084719F" w14:paraId="0CD34FB7" w14:textId="77777777" w:rsidTr="004F63A5">
        <w:tc>
          <w:tcPr>
            <w:tcW w:w="2689" w:type="dxa"/>
          </w:tcPr>
          <w:p w14:paraId="3C4D8AC1" w14:textId="77777777" w:rsidR="0084719F" w:rsidRDefault="0084719F" w:rsidP="004F63A5">
            <w:pPr>
              <w:jc w:val="center"/>
            </w:pPr>
            <w:r>
              <w:rPr>
                <w:rFonts w:ascii="Calibri" w:hAnsi="Calibri"/>
              </w:rPr>
              <w:t>Typical plate thickness</w:t>
            </w:r>
          </w:p>
        </w:tc>
        <w:tc>
          <w:tcPr>
            <w:tcW w:w="2414" w:type="dxa"/>
          </w:tcPr>
          <w:p w14:paraId="05D0DC3B" w14:textId="77777777" w:rsidR="0084719F" w:rsidRDefault="0084719F" w:rsidP="004F63A5">
            <w:pPr>
              <w:jc w:val="center"/>
            </w:pPr>
          </w:p>
        </w:tc>
        <w:tc>
          <w:tcPr>
            <w:tcW w:w="2694" w:type="dxa"/>
          </w:tcPr>
          <w:p w14:paraId="389D7D0E" w14:textId="77777777" w:rsidR="0084719F" w:rsidRDefault="0084719F" w:rsidP="004F63A5">
            <w:pPr>
              <w:jc w:val="center"/>
            </w:pPr>
            <w:r>
              <w:t>Thermal conductivity of the wall</w:t>
            </w:r>
          </w:p>
        </w:tc>
      </w:tr>
      <w:tr w:rsidR="0084719F" w14:paraId="1695951E" w14:textId="77777777" w:rsidTr="004F63A5">
        <w:tc>
          <w:tcPr>
            <w:tcW w:w="2689" w:type="dxa"/>
          </w:tcPr>
          <w:p w14:paraId="21A5D9DA" w14:textId="77777777" w:rsidR="0084719F" w:rsidRDefault="0084719F" w:rsidP="004F63A5">
            <w:pPr>
              <w:jc w:val="center"/>
            </w:pPr>
            <w:r>
              <w:t>Fuel heating value</w:t>
            </w:r>
          </w:p>
        </w:tc>
        <w:tc>
          <w:tcPr>
            <w:tcW w:w="2414" w:type="dxa"/>
          </w:tcPr>
          <w:p w14:paraId="72A346C6" w14:textId="77777777" w:rsidR="0084719F" w:rsidRDefault="0084719F" w:rsidP="004F63A5">
            <w:pPr>
              <w:jc w:val="center"/>
            </w:pPr>
          </w:p>
        </w:tc>
        <w:tc>
          <w:tcPr>
            <w:tcW w:w="2694" w:type="dxa"/>
          </w:tcPr>
          <w:p w14:paraId="7CDF1E2D" w14:textId="77777777" w:rsidR="0084719F" w:rsidRDefault="0084719F" w:rsidP="004F63A5">
            <w:pPr>
              <w:jc w:val="center"/>
            </w:pPr>
          </w:p>
        </w:tc>
      </w:tr>
      <w:tr w:rsidR="0084719F" w14:paraId="03B36301" w14:textId="77777777" w:rsidTr="004F63A5">
        <w:tc>
          <w:tcPr>
            <w:tcW w:w="2689" w:type="dxa"/>
          </w:tcPr>
          <w:p w14:paraId="0386619D" w14:textId="77777777" w:rsidR="0084719F" w:rsidRDefault="0084719F" w:rsidP="004F63A5">
            <w:pPr>
              <w:jc w:val="center"/>
            </w:pPr>
            <w:r>
              <w:t>Fired burner efficiency</w:t>
            </w:r>
          </w:p>
        </w:tc>
        <w:tc>
          <w:tcPr>
            <w:tcW w:w="2414" w:type="dxa"/>
          </w:tcPr>
          <w:p w14:paraId="555B82F9" w14:textId="77777777" w:rsidR="0084719F" w:rsidRDefault="0084719F" w:rsidP="004F63A5">
            <w:pPr>
              <w:jc w:val="center"/>
            </w:pPr>
          </w:p>
        </w:tc>
        <w:tc>
          <w:tcPr>
            <w:tcW w:w="2694" w:type="dxa"/>
          </w:tcPr>
          <w:p w14:paraId="32BC7A7A" w14:textId="77777777" w:rsidR="0084719F" w:rsidRDefault="0084719F" w:rsidP="004F63A5">
            <w:pPr>
              <w:jc w:val="center"/>
            </w:pPr>
          </w:p>
        </w:tc>
      </w:tr>
      <w:tr w:rsidR="0084719F" w14:paraId="5D51FBAB" w14:textId="77777777" w:rsidTr="004F63A5">
        <w:tc>
          <w:tcPr>
            <w:tcW w:w="2689" w:type="dxa"/>
          </w:tcPr>
          <w:p w14:paraId="13E9D82F" w14:textId="77777777" w:rsidR="0084719F" w:rsidRDefault="0084719F" w:rsidP="004F63A5">
            <w:pPr>
              <w:jc w:val="center"/>
            </w:pPr>
            <w:r>
              <w:t>Maximum radiant heat flux</w:t>
            </w:r>
          </w:p>
        </w:tc>
        <w:tc>
          <w:tcPr>
            <w:tcW w:w="2414" w:type="dxa"/>
          </w:tcPr>
          <w:p w14:paraId="0D174D1B" w14:textId="77777777" w:rsidR="0084719F" w:rsidRDefault="0084719F" w:rsidP="004F63A5">
            <w:pPr>
              <w:jc w:val="center"/>
            </w:pPr>
          </w:p>
        </w:tc>
        <w:tc>
          <w:tcPr>
            <w:tcW w:w="2694" w:type="dxa"/>
          </w:tcPr>
          <w:p w14:paraId="51F5C9F7" w14:textId="77777777" w:rsidR="0084719F" w:rsidRDefault="0084719F" w:rsidP="004F63A5">
            <w:pPr>
              <w:jc w:val="center"/>
            </w:pPr>
          </w:p>
        </w:tc>
      </w:tr>
      <w:tr w:rsidR="0084719F" w14:paraId="3A10DA82" w14:textId="77777777" w:rsidTr="004F63A5">
        <w:tc>
          <w:tcPr>
            <w:tcW w:w="2689" w:type="dxa"/>
          </w:tcPr>
          <w:p w14:paraId="2D30C163" w14:textId="77777777" w:rsidR="0084719F" w:rsidRDefault="0084719F" w:rsidP="004F63A5">
            <w:pPr>
              <w:jc w:val="center"/>
            </w:pPr>
            <w:r>
              <w:t xml:space="preserve">Maximum pressure </w:t>
            </w:r>
            <w:proofErr w:type="gramStart"/>
            <w:r>
              <w:t>drop</w:t>
            </w:r>
            <w:proofErr w:type="gramEnd"/>
          </w:p>
        </w:tc>
        <w:tc>
          <w:tcPr>
            <w:tcW w:w="2414" w:type="dxa"/>
          </w:tcPr>
          <w:p w14:paraId="4277CCE1" w14:textId="77777777" w:rsidR="0084719F" w:rsidRDefault="0084719F" w:rsidP="004F63A5">
            <w:pPr>
              <w:jc w:val="center"/>
            </w:pPr>
          </w:p>
        </w:tc>
        <w:tc>
          <w:tcPr>
            <w:tcW w:w="2694" w:type="dxa"/>
          </w:tcPr>
          <w:p w14:paraId="08FBAC62" w14:textId="77777777" w:rsidR="0084719F" w:rsidRDefault="0084719F" w:rsidP="004F63A5">
            <w:pPr>
              <w:jc w:val="center"/>
            </w:pPr>
          </w:p>
        </w:tc>
      </w:tr>
      <w:tr w:rsidR="0084719F" w14:paraId="0A082899" w14:textId="77777777" w:rsidTr="004F63A5">
        <w:tc>
          <w:tcPr>
            <w:tcW w:w="2689" w:type="dxa"/>
          </w:tcPr>
          <w:p w14:paraId="339B7BD4" w14:textId="77777777" w:rsidR="0084719F" w:rsidRDefault="0084719F" w:rsidP="004F63A5">
            <w:pPr>
              <w:jc w:val="center"/>
            </w:pPr>
            <w:r>
              <w:rPr>
                <w:rFonts w:ascii="Calibri" w:hAnsi="Calibri"/>
              </w:rPr>
              <w:t>Heater width</w:t>
            </w:r>
          </w:p>
        </w:tc>
        <w:tc>
          <w:tcPr>
            <w:tcW w:w="2414" w:type="dxa"/>
          </w:tcPr>
          <w:p w14:paraId="6EEA3C3E" w14:textId="77777777" w:rsidR="0084719F" w:rsidRDefault="0084719F" w:rsidP="004F63A5">
            <w:pPr>
              <w:jc w:val="center"/>
            </w:pPr>
          </w:p>
        </w:tc>
        <w:tc>
          <w:tcPr>
            <w:tcW w:w="2694" w:type="dxa"/>
          </w:tcPr>
          <w:p w14:paraId="2B161AA0" w14:textId="77777777" w:rsidR="0084719F" w:rsidRDefault="0084719F" w:rsidP="004F63A5">
            <w:pPr>
              <w:jc w:val="center"/>
            </w:pPr>
          </w:p>
        </w:tc>
      </w:tr>
      <w:tr w:rsidR="0084719F" w14:paraId="6154E5A6" w14:textId="77777777" w:rsidTr="004F63A5">
        <w:tc>
          <w:tcPr>
            <w:tcW w:w="2689" w:type="dxa"/>
          </w:tcPr>
          <w:p w14:paraId="760A1918" w14:textId="77777777" w:rsidR="0084719F" w:rsidRDefault="0084719F" w:rsidP="004F63A5">
            <w:pPr>
              <w:jc w:val="center"/>
            </w:pPr>
            <w:r>
              <w:rPr>
                <w:rFonts w:ascii="Calibri" w:hAnsi="Calibri"/>
              </w:rPr>
              <w:t>Heater height</w:t>
            </w:r>
          </w:p>
        </w:tc>
        <w:tc>
          <w:tcPr>
            <w:tcW w:w="2414" w:type="dxa"/>
          </w:tcPr>
          <w:p w14:paraId="7C71B1AA" w14:textId="77777777" w:rsidR="0084719F" w:rsidRDefault="0084719F" w:rsidP="004F63A5">
            <w:pPr>
              <w:jc w:val="center"/>
            </w:pPr>
          </w:p>
        </w:tc>
        <w:tc>
          <w:tcPr>
            <w:tcW w:w="2694" w:type="dxa"/>
          </w:tcPr>
          <w:p w14:paraId="30B9C204" w14:textId="77777777" w:rsidR="0084719F" w:rsidRDefault="0084719F" w:rsidP="004F63A5">
            <w:pPr>
              <w:jc w:val="center"/>
            </w:pPr>
          </w:p>
        </w:tc>
      </w:tr>
      <w:tr w:rsidR="0084719F" w14:paraId="74ED664A" w14:textId="77777777" w:rsidTr="004F63A5">
        <w:tc>
          <w:tcPr>
            <w:tcW w:w="2689" w:type="dxa"/>
          </w:tcPr>
          <w:p w14:paraId="10FAF51D" w14:textId="77777777" w:rsidR="0084719F" w:rsidRDefault="0084719F" w:rsidP="004F63A5">
            <w:pPr>
              <w:jc w:val="center"/>
            </w:pPr>
            <w:r>
              <w:rPr>
                <w:rFonts w:ascii="Calibri" w:hAnsi="Calibri"/>
              </w:rPr>
              <w:t>Heater number of tubes</w:t>
            </w:r>
          </w:p>
        </w:tc>
        <w:tc>
          <w:tcPr>
            <w:tcW w:w="2414" w:type="dxa"/>
          </w:tcPr>
          <w:p w14:paraId="069A0AEB" w14:textId="77777777" w:rsidR="0084719F" w:rsidRDefault="0084719F" w:rsidP="004F63A5">
            <w:pPr>
              <w:jc w:val="center"/>
            </w:pPr>
          </w:p>
        </w:tc>
        <w:tc>
          <w:tcPr>
            <w:tcW w:w="2694" w:type="dxa"/>
          </w:tcPr>
          <w:p w14:paraId="5EA18162" w14:textId="77777777" w:rsidR="0084719F" w:rsidRDefault="0084719F" w:rsidP="004F63A5">
            <w:pPr>
              <w:jc w:val="center"/>
            </w:pPr>
          </w:p>
        </w:tc>
      </w:tr>
      <w:tr w:rsidR="0084719F" w14:paraId="2BBAB937" w14:textId="77777777" w:rsidTr="004F63A5">
        <w:tc>
          <w:tcPr>
            <w:tcW w:w="2689" w:type="dxa"/>
          </w:tcPr>
          <w:p w14:paraId="527A0EFB" w14:textId="77777777" w:rsidR="0084719F" w:rsidRDefault="0084719F" w:rsidP="004F63A5">
            <w:pPr>
              <w:jc w:val="center"/>
            </w:pPr>
            <w:r>
              <w:rPr>
                <w:rFonts w:ascii="Calibri" w:hAnsi="Calibri"/>
              </w:rPr>
              <w:t>Heater length</w:t>
            </w:r>
          </w:p>
        </w:tc>
        <w:tc>
          <w:tcPr>
            <w:tcW w:w="2414" w:type="dxa"/>
          </w:tcPr>
          <w:p w14:paraId="2F9D94D1" w14:textId="77777777" w:rsidR="0084719F" w:rsidRDefault="0084719F" w:rsidP="004F63A5">
            <w:pPr>
              <w:jc w:val="center"/>
            </w:pPr>
          </w:p>
        </w:tc>
        <w:tc>
          <w:tcPr>
            <w:tcW w:w="2694" w:type="dxa"/>
          </w:tcPr>
          <w:p w14:paraId="4B62E367" w14:textId="77777777" w:rsidR="0084719F" w:rsidRDefault="0084719F" w:rsidP="004F63A5">
            <w:pPr>
              <w:jc w:val="center"/>
            </w:pPr>
          </w:p>
        </w:tc>
      </w:tr>
      <w:tr w:rsidR="0084719F" w14:paraId="6156BDE5" w14:textId="77777777" w:rsidTr="004F63A5">
        <w:tc>
          <w:tcPr>
            <w:tcW w:w="2689" w:type="dxa"/>
          </w:tcPr>
          <w:p w14:paraId="356041CE" w14:textId="77777777" w:rsidR="0084719F" w:rsidRDefault="0084719F" w:rsidP="004F63A5">
            <w:pPr>
              <w:jc w:val="center"/>
            </w:pPr>
            <w:r>
              <w:rPr>
                <w:rFonts w:ascii="Calibri" w:hAnsi="Calibri"/>
              </w:rPr>
              <w:t>Number of shield tubes</w:t>
            </w:r>
          </w:p>
        </w:tc>
        <w:tc>
          <w:tcPr>
            <w:tcW w:w="2414" w:type="dxa"/>
          </w:tcPr>
          <w:p w14:paraId="48C958F9" w14:textId="77777777" w:rsidR="0084719F" w:rsidRDefault="0084719F" w:rsidP="004F63A5">
            <w:pPr>
              <w:jc w:val="center"/>
            </w:pPr>
          </w:p>
        </w:tc>
        <w:tc>
          <w:tcPr>
            <w:tcW w:w="2694" w:type="dxa"/>
          </w:tcPr>
          <w:p w14:paraId="6F6719D4" w14:textId="77777777" w:rsidR="0084719F" w:rsidRDefault="0084719F" w:rsidP="004F63A5">
            <w:pPr>
              <w:jc w:val="center"/>
            </w:pPr>
          </w:p>
        </w:tc>
      </w:tr>
      <w:tr w:rsidR="0084719F" w14:paraId="66D74D36" w14:textId="77777777" w:rsidTr="004F63A5">
        <w:tc>
          <w:tcPr>
            <w:tcW w:w="2689" w:type="dxa"/>
          </w:tcPr>
          <w:p w14:paraId="57BFD8F9" w14:textId="77777777" w:rsidR="0084719F" w:rsidRDefault="0084719F" w:rsidP="004F63A5">
            <w:pPr>
              <w:jc w:val="center"/>
            </w:pPr>
            <w:r>
              <w:rPr>
                <w:rFonts w:ascii="Calibri" w:hAnsi="Calibri"/>
              </w:rPr>
              <w:t>Tube bank type</w:t>
            </w:r>
          </w:p>
        </w:tc>
        <w:tc>
          <w:tcPr>
            <w:tcW w:w="2414" w:type="dxa"/>
          </w:tcPr>
          <w:p w14:paraId="75F3C00A" w14:textId="77777777" w:rsidR="0084719F" w:rsidRDefault="0084719F" w:rsidP="004F63A5">
            <w:pPr>
              <w:jc w:val="center"/>
            </w:pPr>
          </w:p>
        </w:tc>
        <w:tc>
          <w:tcPr>
            <w:tcW w:w="2694" w:type="dxa"/>
          </w:tcPr>
          <w:p w14:paraId="231B3BF1" w14:textId="77777777" w:rsidR="0084719F" w:rsidRDefault="0084719F" w:rsidP="004F63A5">
            <w:pPr>
              <w:jc w:val="center"/>
            </w:pPr>
          </w:p>
        </w:tc>
      </w:tr>
      <w:tr w:rsidR="0084719F" w14:paraId="6BC95639" w14:textId="77777777" w:rsidTr="004F63A5">
        <w:tc>
          <w:tcPr>
            <w:tcW w:w="2689" w:type="dxa"/>
          </w:tcPr>
          <w:p w14:paraId="6CBA0773" w14:textId="77777777" w:rsidR="0084719F" w:rsidRDefault="0084719F" w:rsidP="004F63A5">
            <w:pPr>
              <w:jc w:val="center"/>
            </w:pPr>
            <w:r>
              <w:t>Physical characteristics of the pump</w:t>
            </w:r>
          </w:p>
        </w:tc>
        <w:tc>
          <w:tcPr>
            <w:tcW w:w="2414" w:type="dxa"/>
          </w:tcPr>
          <w:p w14:paraId="37BCCA21" w14:textId="77777777" w:rsidR="0084719F" w:rsidRDefault="0084719F" w:rsidP="004F63A5">
            <w:pPr>
              <w:jc w:val="center"/>
            </w:pPr>
          </w:p>
        </w:tc>
        <w:tc>
          <w:tcPr>
            <w:tcW w:w="2694" w:type="dxa"/>
          </w:tcPr>
          <w:p w14:paraId="60A3177F" w14:textId="77777777" w:rsidR="0084719F" w:rsidRDefault="0084719F" w:rsidP="004F63A5">
            <w:pPr>
              <w:jc w:val="center"/>
            </w:pPr>
          </w:p>
        </w:tc>
      </w:tr>
      <w:tr w:rsidR="0084719F" w14:paraId="4B699A0B" w14:textId="77777777" w:rsidTr="004F63A5">
        <w:tc>
          <w:tcPr>
            <w:tcW w:w="2689" w:type="dxa"/>
          </w:tcPr>
          <w:p w14:paraId="25FDC8E9" w14:textId="77777777" w:rsidR="0084719F" w:rsidRDefault="0084719F" w:rsidP="004F63A5">
            <w:pPr>
              <w:jc w:val="center"/>
            </w:pPr>
            <w:r>
              <w:t>Turbine efficiency</w:t>
            </w:r>
          </w:p>
        </w:tc>
        <w:tc>
          <w:tcPr>
            <w:tcW w:w="2414" w:type="dxa"/>
          </w:tcPr>
          <w:p w14:paraId="14116465" w14:textId="77777777" w:rsidR="0084719F" w:rsidRDefault="0084719F" w:rsidP="004F63A5">
            <w:pPr>
              <w:jc w:val="center"/>
            </w:pPr>
          </w:p>
        </w:tc>
        <w:tc>
          <w:tcPr>
            <w:tcW w:w="2694" w:type="dxa"/>
          </w:tcPr>
          <w:p w14:paraId="7A4530AF" w14:textId="77777777" w:rsidR="0084719F" w:rsidRDefault="0084719F" w:rsidP="004F63A5">
            <w:pPr>
              <w:jc w:val="center"/>
            </w:pPr>
          </w:p>
        </w:tc>
      </w:tr>
    </w:tbl>
    <w:p w14:paraId="2D476433" w14:textId="77777777" w:rsidR="0084719F" w:rsidRDefault="0084719F" w:rsidP="0084719F">
      <w:pPr>
        <w:pStyle w:val="NoSpacing"/>
      </w:pPr>
    </w:p>
    <w:p w14:paraId="52A4C027" w14:textId="77777777" w:rsidR="000F16EB" w:rsidRDefault="000F16EB" w:rsidP="000F16EB">
      <w:pPr>
        <w:pStyle w:val="Heading2"/>
      </w:pPr>
      <w:bookmarkStart w:id="637" w:name="_Toc525230010"/>
      <w:bookmarkStart w:id="638" w:name="_Toc7187537"/>
      <w:r>
        <w:t>Results</w:t>
      </w:r>
      <w:bookmarkEnd w:id="637"/>
      <w:bookmarkEnd w:id="638"/>
    </w:p>
    <w:p w14:paraId="156C7F33" w14:textId="77777777" w:rsidR="000F16EB" w:rsidRDefault="000F16EB" w:rsidP="000F16EB">
      <w:r>
        <w:t>The purpose of this chapter of the thesis was to develop a generic model that could be used to design and optimise a WHR system in any DHN. The model was kept simple enough that it could be operated by a non-technical user, which required the use of Microsoft Excel to automatically run iterative based calculations and interpret graphs and figures. The generic model was applied to the case study in the thesis, to determine the best WHR technology to use. Finally, MC simulations were used to test the accuracy of the model.</w:t>
      </w:r>
    </w:p>
    <w:p w14:paraId="7E5871A2" w14:textId="49937200" w:rsidR="000F16EB" w:rsidRDefault="00BE60A4" w:rsidP="000F16EB">
      <w:pPr>
        <w:pStyle w:val="Heading3"/>
      </w:pPr>
      <w:bookmarkStart w:id="639" w:name="_Toc7187538"/>
      <w:r>
        <w:t>Case Study Results</w:t>
      </w:r>
      <w:bookmarkEnd w:id="639"/>
    </w:p>
    <w:p w14:paraId="220C5734" w14:textId="0074BC67" w:rsidR="000F16EB" w:rsidRDefault="000F16EB" w:rsidP="000F16EB">
      <w:r>
        <w:t xml:space="preserve">When applying the WHR model to the case study, the purpose was to find the WHR technology that was the most economical, both in terms of the initial CAPEX and the lifetime OPEX and revenues. A secondary aim was to model the WH levels that would be available from the industrial source after the WHR. The initial CAPEX of each WHR technology was calculated, as shown in </w:t>
      </w:r>
      <w:r>
        <w:fldChar w:fldCharType="begin"/>
      </w:r>
      <w:r>
        <w:instrText xml:space="preserve"> REF _Ref525031559 \h </w:instrText>
      </w:r>
      <w:r>
        <w:fldChar w:fldCharType="separate"/>
      </w:r>
      <w:r w:rsidR="00CB7456">
        <w:t xml:space="preserve">Figure </w:t>
      </w:r>
      <w:r w:rsidR="00CB7456">
        <w:rPr>
          <w:noProof/>
        </w:rPr>
        <w:t>5</w:t>
      </w:r>
      <w:r w:rsidR="00CB7456">
        <w:t>.</w:t>
      </w:r>
      <w:r w:rsidR="00CB7456">
        <w:rPr>
          <w:noProof/>
        </w:rPr>
        <w:t>2</w:t>
      </w:r>
      <w:r>
        <w:fldChar w:fldCharType="end"/>
      </w:r>
      <w:r>
        <w:t>.</w:t>
      </w:r>
    </w:p>
    <w:p w14:paraId="4E7A2967" w14:textId="77777777" w:rsidR="000F16EB" w:rsidRDefault="000F16EB" w:rsidP="000F16EB">
      <w:pPr>
        <w:keepNext/>
        <w:jc w:val="center"/>
      </w:pPr>
      <w:r>
        <w:rPr>
          <w:noProof/>
        </w:rPr>
        <w:lastRenderedPageBreak/>
        <w:drawing>
          <wp:inline distT="0" distB="0" distL="0" distR="0" wp14:anchorId="5026A3D6" wp14:editId="756839B9">
            <wp:extent cx="3168000" cy="2617719"/>
            <wp:effectExtent l="19050" t="19050" r="13970" b="1143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otal costs - 1 year.jpg"/>
                    <pic:cNvPicPr/>
                  </pic:nvPicPr>
                  <pic:blipFill rotWithShape="1">
                    <a:blip r:embed="rId37" cstate="print">
                      <a:extLst>
                        <a:ext uri="{28A0092B-C50C-407E-A947-70E740481C1C}">
                          <a14:useLocalDpi xmlns:a14="http://schemas.microsoft.com/office/drawing/2010/main" val="0"/>
                        </a:ext>
                      </a:extLst>
                    </a:blip>
                    <a:srcRect l="7789" t="9096" r="11978" b="4263"/>
                    <a:stretch/>
                  </pic:blipFill>
                  <pic:spPr bwMode="auto">
                    <a:xfrm>
                      <a:off x="0" y="0"/>
                      <a:ext cx="3168000" cy="261771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F932125" w14:textId="3EE007A3" w:rsidR="000F16EB" w:rsidRDefault="000F16EB" w:rsidP="000F16EB">
      <w:pPr>
        <w:pStyle w:val="Caption"/>
      </w:pPr>
      <w:bookmarkStart w:id="640" w:name="_Ref525031559"/>
      <w:bookmarkStart w:id="641" w:name="_Toc525230090"/>
      <w:bookmarkStart w:id="642" w:name="_Toc7187638"/>
      <w:r>
        <w:t xml:space="preserve">Figure </w:t>
      </w:r>
      <w:fldSimple w:instr=" STYLEREF 1 \s ">
        <w:r w:rsidR="00CB7456">
          <w:rPr>
            <w:noProof/>
          </w:rPr>
          <w:t>5</w:t>
        </w:r>
      </w:fldSimple>
      <w:r w:rsidR="007B29C3">
        <w:t>.</w:t>
      </w:r>
      <w:fldSimple w:instr=" SEQ Figure \* ARABIC \s 1 ">
        <w:r w:rsidR="00CB7456">
          <w:rPr>
            <w:noProof/>
          </w:rPr>
          <w:t>2</w:t>
        </w:r>
      </w:fldSimple>
      <w:bookmarkEnd w:id="640"/>
      <w:r>
        <w:rPr>
          <w:noProof/>
        </w:rPr>
        <w:t>:</w:t>
      </w:r>
      <w:r>
        <w:t xml:space="preserve"> Initial CAPEX of the different WHR technologies.</w:t>
      </w:r>
      <w:bookmarkEnd w:id="641"/>
      <w:bookmarkEnd w:id="642"/>
    </w:p>
    <w:p w14:paraId="0A6B6249" w14:textId="3EB99376" w:rsidR="000F16EB" w:rsidRDefault="000F16EB" w:rsidP="000F16EB">
      <w:r>
        <w:fldChar w:fldCharType="begin"/>
      </w:r>
      <w:r>
        <w:instrText xml:space="preserve"> REF _Ref525031559 \h </w:instrText>
      </w:r>
      <w:r>
        <w:fldChar w:fldCharType="separate"/>
      </w:r>
      <w:r w:rsidR="00CB7456">
        <w:t xml:space="preserve">Figure </w:t>
      </w:r>
      <w:r w:rsidR="00CB7456">
        <w:rPr>
          <w:noProof/>
        </w:rPr>
        <w:t>5</w:t>
      </w:r>
      <w:r w:rsidR="00CB7456">
        <w:t>.</w:t>
      </w:r>
      <w:r w:rsidR="00CB7456">
        <w:rPr>
          <w:noProof/>
        </w:rPr>
        <w:t>2</w:t>
      </w:r>
      <w:r>
        <w:fldChar w:fldCharType="end"/>
      </w:r>
      <w:r>
        <w:t xml:space="preserve"> would suggest that the best WHR technologies were the HEXs, particularly the HEX</w:t>
      </w:r>
      <w:r>
        <w:noBreakHyphen/>
        <w:t xml:space="preserve">P and the HEX-DP, as these options had the lowest CAPEX. In reality, the situation was more complex, requiring a consideration of the yearly OPEX and revenues. The total costs after one, three and ten years of operation are shown in </w:t>
      </w:r>
      <w:r>
        <w:fldChar w:fldCharType="begin"/>
      </w:r>
      <w:r>
        <w:instrText xml:space="preserve"> REF _Ref525041621 \h </w:instrText>
      </w:r>
      <w:r>
        <w:fldChar w:fldCharType="separate"/>
      </w:r>
      <w:r w:rsidR="00CB7456">
        <w:t xml:space="preserve">Figure </w:t>
      </w:r>
      <w:r w:rsidR="00CB7456">
        <w:rPr>
          <w:noProof/>
        </w:rPr>
        <w:t>5</w:t>
      </w:r>
      <w:r w:rsidR="00CB7456">
        <w:t>.</w:t>
      </w:r>
      <w:r w:rsidR="00CB7456">
        <w:rPr>
          <w:noProof/>
        </w:rPr>
        <w:t>3</w:t>
      </w:r>
      <w:r>
        <w:fldChar w:fldCharType="end"/>
      </w:r>
      <w:r>
        <w:t xml:space="preserve">, </w:t>
      </w:r>
      <w:r>
        <w:fldChar w:fldCharType="begin"/>
      </w:r>
      <w:r>
        <w:instrText xml:space="preserve"> REF _Ref525041949 \h </w:instrText>
      </w:r>
      <w:r>
        <w:fldChar w:fldCharType="separate"/>
      </w:r>
      <w:r w:rsidR="00CB7456">
        <w:t xml:space="preserve">Figure </w:t>
      </w:r>
      <w:r w:rsidR="00CB7456">
        <w:rPr>
          <w:noProof/>
        </w:rPr>
        <w:t>5</w:t>
      </w:r>
      <w:r w:rsidR="00CB7456">
        <w:t>.</w:t>
      </w:r>
      <w:r w:rsidR="00CB7456">
        <w:rPr>
          <w:noProof/>
        </w:rPr>
        <w:t>4</w:t>
      </w:r>
      <w:r>
        <w:fldChar w:fldCharType="end"/>
      </w:r>
      <w:r>
        <w:t xml:space="preserve"> and </w:t>
      </w:r>
      <w:r>
        <w:fldChar w:fldCharType="begin"/>
      </w:r>
      <w:r>
        <w:instrText xml:space="preserve"> REF _Ref525041623 \h </w:instrText>
      </w:r>
      <w:r>
        <w:fldChar w:fldCharType="separate"/>
      </w:r>
      <w:r w:rsidR="00CB7456">
        <w:t xml:space="preserve">Figure </w:t>
      </w:r>
      <w:r w:rsidR="00CB7456">
        <w:rPr>
          <w:noProof/>
        </w:rPr>
        <w:t>5</w:t>
      </w:r>
      <w:r w:rsidR="00CB7456">
        <w:t>.</w:t>
      </w:r>
      <w:r w:rsidR="00CB7456">
        <w:rPr>
          <w:noProof/>
        </w:rPr>
        <w:t>5</w:t>
      </w:r>
      <w:r>
        <w:fldChar w:fldCharType="end"/>
      </w:r>
      <w:r>
        <w:t>.</w:t>
      </w:r>
    </w:p>
    <w:p w14:paraId="54A635D4" w14:textId="77777777" w:rsidR="000F16EB" w:rsidRDefault="000F16EB" w:rsidP="000F16EB">
      <w:pPr>
        <w:keepNext/>
        <w:jc w:val="center"/>
      </w:pPr>
      <w:r>
        <w:rPr>
          <w:noProof/>
        </w:rPr>
        <w:drawing>
          <wp:inline distT="0" distB="0" distL="0" distR="0" wp14:anchorId="3A7B5BD4" wp14:editId="297EA3F7">
            <wp:extent cx="5040000" cy="2198468"/>
            <wp:effectExtent l="19050" t="19050" r="27305" b="1143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 year.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040000" cy="2198468"/>
                    </a:xfrm>
                    <a:prstGeom prst="rect">
                      <a:avLst/>
                    </a:prstGeom>
                    <a:ln>
                      <a:solidFill>
                        <a:schemeClr val="tx1"/>
                      </a:solidFill>
                    </a:ln>
                  </pic:spPr>
                </pic:pic>
              </a:graphicData>
            </a:graphic>
          </wp:inline>
        </w:drawing>
      </w:r>
    </w:p>
    <w:p w14:paraId="076BDF69" w14:textId="024EFE23" w:rsidR="000F16EB" w:rsidRDefault="000F16EB" w:rsidP="000F16EB">
      <w:pPr>
        <w:pStyle w:val="Caption"/>
      </w:pPr>
      <w:bookmarkStart w:id="643" w:name="_Ref525041621"/>
      <w:bookmarkStart w:id="644" w:name="_Toc525230091"/>
      <w:bookmarkStart w:id="645" w:name="_Toc7187639"/>
      <w:r>
        <w:t xml:space="preserve">Figure </w:t>
      </w:r>
      <w:fldSimple w:instr=" STYLEREF 1 \s ">
        <w:r w:rsidR="00CB7456">
          <w:rPr>
            <w:noProof/>
          </w:rPr>
          <w:t>5</w:t>
        </w:r>
      </w:fldSimple>
      <w:r w:rsidR="007B29C3">
        <w:t>.</w:t>
      </w:r>
      <w:fldSimple w:instr=" SEQ Figure \* ARABIC \s 1 ">
        <w:r w:rsidR="00CB7456">
          <w:rPr>
            <w:noProof/>
          </w:rPr>
          <w:t>3</w:t>
        </w:r>
      </w:fldSimple>
      <w:bookmarkEnd w:id="643"/>
      <w:r>
        <w:rPr>
          <w:noProof/>
        </w:rPr>
        <w:t>:</w:t>
      </w:r>
      <w:r>
        <w:t xml:space="preserve"> (a) Total costs of the different WHR technologies after one year of operation. (b) CAPEX and </w:t>
      </w:r>
      <w:r w:rsidR="009A3DED">
        <w:t>total</w:t>
      </w:r>
      <w:r>
        <w:t xml:space="preserve"> costs</w:t>
      </w:r>
      <w:r w:rsidR="009A3DED">
        <w:t xml:space="preserve"> (sum of the CAPEX, OPEX and profits)</w:t>
      </w:r>
      <w:r>
        <w:t xml:space="preserve"> of the different WHR technologies after one year of operation</w:t>
      </w:r>
      <w:r w:rsidR="009A3DED">
        <w:t>, note, negative total costs show that revenue is being generated</w:t>
      </w:r>
      <w:r>
        <w:t>.</w:t>
      </w:r>
      <w:bookmarkEnd w:id="644"/>
      <w:bookmarkEnd w:id="645"/>
    </w:p>
    <w:p w14:paraId="50666701" w14:textId="063CA32D" w:rsidR="000F16EB" w:rsidRPr="00226F18" w:rsidRDefault="000F16EB" w:rsidP="000F16EB">
      <w:r>
        <w:fldChar w:fldCharType="begin"/>
      </w:r>
      <w:r>
        <w:instrText xml:space="preserve"> REF _Ref525041621 \h </w:instrText>
      </w:r>
      <w:r>
        <w:fldChar w:fldCharType="separate"/>
      </w:r>
      <w:r w:rsidR="00CB7456">
        <w:t xml:space="preserve">Figure </w:t>
      </w:r>
      <w:r w:rsidR="00CB7456">
        <w:rPr>
          <w:noProof/>
        </w:rPr>
        <w:t>5</w:t>
      </w:r>
      <w:r w:rsidR="00CB7456">
        <w:t>.</w:t>
      </w:r>
      <w:r w:rsidR="00CB7456">
        <w:rPr>
          <w:noProof/>
        </w:rPr>
        <w:t>3</w:t>
      </w:r>
      <w:r>
        <w:fldChar w:fldCharType="end"/>
      </w:r>
      <w:r>
        <w:t xml:space="preserve"> shows that all WHR technologies generate a profit after a single year of operation, bar the traditional RC. It shows that the FH generates the most revenue on a yearly basis, due to the small fuel input that upgraded the quality and the quantity of the WH. The ORC generated more revenue on a yearly basis than any of the HEXs but, due to its higher CAPEX, after one year of operation did not perform as well on an economic scale. The reason for the high revenue generation from the ORC was due to the relative difference in the value of heat and electricity.</w:t>
      </w:r>
    </w:p>
    <w:p w14:paraId="038A837C" w14:textId="77777777" w:rsidR="000F16EB" w:rsidRDefault="000F16EB" w:rsidP="000F16EB">
      <w:pPr>
        <w:keepNext/>
        <w:jc w:val="center"/>
      </w:pPr>
      <w:r>
        <w:rPr>
          <w:noProof/>
        </w:rPr>
        <w:lastRenderedPageBreak/>
        <w:drawing>
          <wp:inline distT="0" distB="0" distL="0" distR="0" wp14:anchorId="7A650D4C" wp14:editId="11BC2342">
            <wp:extent cx="5040000" cy="2218756"/>
            <wp:effectExtent l="19050" t="19050" r="27305" b="1016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3 years.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040000" cy="2218756"/>
                    </a:xfrm>
                    <a:prstGeom prst="rect">
                      <a:avLst/>
                    </a:prstGeom>
                    <a:ln>
                      <a:solidFill>
                        <a:schemeClr val="tx1"/>
                      </a:solidFill>
                    </a:ln>
                  </pic:spPr>
                </pic:pic>
              </a:graphicData>
            </a:graphic>
          </wp:inline>
        </w:drawing>
      </w:r>
    </w:p>
    <w:p w14:paraId="73E2D1A8" w14:textId="1480D6FF" w:rsidR="000F16EB" w:rsidRDefault="000F16EB" w:rsidP="000F16EB">
      <w:pPr>
        <w:pStyle w:val="Caption"/>
      </w:pPr>
      <w:bookmarkStart w:id="646" w:name="_Ref525041949"/>
      <w:bookmarkStart w:id="647" w:name="_Ref525119669"/>
      <w:bookmarkStart w:id="648" w:name="_Toc525230092"/>
      <w:bookmarkStart w:id="649" w:name="_Toc7187640"/>
      <w:r>
        <w:t xml:space="preserve">Figure </w:t>
      </w:r>
      <w:fldSimple w:instr=" STYLEREF 1 \s ">
        <w:r w:rsidR="00CB7456">
          <w:rPr>
            <w:noProof/>
          </w:rPr>
          <w:t>5</w:t>
        </w:r>
      </w:fldSimple>
      <w:r w:rsidR="007B29C3">
        <w:t>.</w:t>
      </w:r>
      <w:fldSimple w:instr=" SEQ Figure \* ARABIC \s 1 ">
        <w:r w:rsidR="00CB7456">
          <w:rPr>
            <w:noProof/>
          </w:rPr>
          <w:t>4</w:t>
        </w:r>
      </w:fldSimple>
      <w:bookmarkEnd w:id="646"/>
      <w:r>
        <w:rPr>
          <w:noProof/>
        </w:rPr>
        <w:t>:</w:t>
      </w:r>
      <w:r>
        <w:t xml:space="preserve"> (a) Total costs of the different WHR technologies after three years of operation. (b) </w:t>
      </w:r>
      <w:bookmarkEnd w:id="647"/>
      <w:bookmarkEnd w:id="648"/>
      <w:r w:rsidR="009A3DED">
        <w:t>CAPEX and total costs (sum of the CAPEX, OPEX and profits) of the different WHR technologies after three years of operation, note, negative total costs show that revenue is being generated</w:t>
      </w:r>
      <w:bookmarkEnd w:id="649"/>
    </w:p>
    <w:p w14:paraId="5F922146" w14:textId="66854142" w:rsidR="000F16EB" w:rsidRPr="00226F18" w:rsidRDefault="000F16EB" w:rsidP="000F16EB">
      <w:r>
        <w:fldChar w:fldCharType="begin"/>
      </w:r>
      <w:r>
        <w:instrText xml:space="preserve"> REF _Ref525041949 \h </w:instrText>
      </w:r>
      <w:r>
        <w:fldChar w:fldCharType="separate"/>
      </w:r>
      <w:r w:rsidR="00CB7456">
        <w:t xml:space="preserve">Figure </w:t>
      </w:r>
      <w:r w:rsidR="00CB7456">
        <w:rPr>
          <w:noProof/>
        </w:rPr>
        <w:t>5</w:t>
      </w:r>
      <w:r w:rsidR="00CB7456">
        <w:t>.</w:t>
      </w:r>
      <w:r w:rsidR="00CB7456">
        <w:rPr>
          <w:noProof/>
        </w:rPr>
        <w:t>4</w:t>
      </w:r>
      <w:r>
        <w:fldChar w:fldCharType="end"/>
      </w:r>
      <w:r>
        <w:t xml:space="preserve"> shows that after three years of operation all the WHR technologies are profitable. Three years was an important time scale to consider, as many industrial sites would not make changes or upgrades to the site if the payback period was greater than three (or four) years </w:t>
      </w:r>
      <w:r w:rsidRPr="006C44B0">
        <w:fldChar w:fldCharType="begin" w:fldLock="1"/>
      </w:r>
      <w:r>
        <w:instrText>ADDIN CSL_CITATION {"citationItems":[{"id":"ITEM-1","itemData":{"author":[{"dropping-particle":"","family":"Awomewe","given":"Alaba Femi","non-dropping-particle":"","parse-names":false,"suffix":""},{"dropping-particle":"","family":"Ogundele","given":"Oludele Olawale","non-dropping-particle":"","parse-names":false,"suffix":""}],"id":"ITEM-1","issued":{"date-parts":[["2008"]]},"publisher":"Blekinge Institute of Technology","title":"The importance of the payback method in capital budgeting decision","type":"thesis"},"uris":["http://www.mendeley.com/documents/?uuid=1f036eb0-dc50-453a-a78c-82552f58b254"]},{"id":"ITEM-2","itemData":{"abstract":"District heating is based on a simple idea: the distribution of heat from one or more sources to a number of buildings via a network of pipes carrying steam or hot water. Complementing this simplicity is the complexity of the sociotech- nical processes which lead to the initiation (or not) of a network and shape its emerging configuration. The UK Government has recently signalled an interest in substantially in- creasing the deployment of district heating in the UK from the meagre 1–2% of heat demand it currently serves. This interest is driven by the potential of dis- trict heating to help achieve three key goals of energy policy: security of supply, tackling fuel poverty, and mitigating climate change. This dissertation explores the likely fortunes of district heating in the current UK context by employing (and adapting) a Technological Innovation Systems framework. A wide variety of factors are found to be important to successfully initiating schemes and dealing with the complex coordination problems asso- ciated with their growth. There are several reasons to be optimistic about the near-term prospects for district heating, though a number of issues remain to be overcome. One of these is the fact that local authorities occupy a crucial position, but their engagement is frequently described as “patchy”. While this may in part be attributed to an information deficit, this dissertation explores some of the structural issues of local governance that impede the ability of local authorities to play their full role. Options for dealing with these difficulties are discussed.","author":[{"dropping-particle":"","family":"Hawkey","given":"David John Christopher Hawkey","non-dropping-particle":"","parse-names":false,"suffix":""}],"id":"ITEM-2","issued":{"date-parts":[["2009"]]},"publisher":"University of Edinburgh","title":"Will “District Heating Come To Town”? Analysis Of Current Opportunities And Challenges In The UK","type":"thesis"},"uris":["http://www.mendeley.com/documents/?uuid=075d1379-dd7e-4f05-9aaa-9a41103a0b14"]}],"mendeley":{"formattedCitation":"(Awomewe and Ogundele, 2008; Hawkey, 2009)","plainTextFormattedCitation":"(Awomewe and Ogundele, 2008; Hawkey, 2009)","previouslyFormattedCitation":"(Awomewe and Ogundele, 2008; Hawkey, 2009)"},"properties":{"noteIndex":0},"schema":"https://github.com/citation-style-language/schema/raw/master/csl-citation.json"}</w:instrText>
      </w:r>
      <w:r w:rsidRPr="006C44B0">
        <w:fldChar w:fldCharType="separate"/>
      </w:r>
      <w:r w:rsidRPr="00F65DD7">
        <w:rPr>
          <w:noProof/>
        </w:rPr>
        <w:t>(Awomewe and Ogundele, 2008; Hawkey, 2009)</w:t>
      </w:r>
      <w:r w:rsidRPr="006C44B0">
        <w:fldChar w:fldCharType="end"/>
      </w:r>
      <w:r>
        <w:t>. Once again, the FH was shown to be the best WHR option from an economic viewpoint. The ORC was shown to be slightly better than the HEXs, as enough time had passed to pay off the higher CAPEX.</w:t>
      </w:r>
    </w:p>
    <w:p w14:paraId="04137564" w14:textId="77777777" w:rsidR="000F16EB" w:rsidRDefault="000F16EB" w:rsidP="000F16EB">
      <w:pPr>
        <w:keepNext/>
        <w:jc w:val="center"/>
      </w:pPr>
      <w:r>
        <w:rPr>
          <w:noProof/>
        </w:rPr>
        <w:drawing>
          <wp:inline distT="0" distB="0" distL="0" distR="0" wp14:anchorId="79A15E2F" wp14:editId="3EA72EA8">
            <wp:extent cx="5040000" cy="2200312"/>
            <wp:effectExtent l="19050" t="19050" r="27305" b="285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0 years.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040000" cy="2200312"/>
                    </a:xfrm>
                    <a:prstGeom prst="rect">
                      <a:avLst/>
                    </a:prstGeom>
                    <a:ln>
                      <a:solidFill>
                        <a:schemeClr val="tx1"/>
                      </a:solidFill>
                    </a:ln>
                  </pic:spPr>
                </pic:pic>
              </a:graphicData>
            </a:graphic>
          </wp:inline>
        </w:drawing>
      </w:r>
    </w:p>
    <w:p w14:paraId="798B3393" w14:textId="540177E6" w:rsidR="000F16EB" w:rsidRDefault="000F16EB" w:rsidP="000F16EB">
      <w:pPr>
        <w:pStyle w:val="Caption"/>
      </w:pPr>
      <w:bookmarkStart w:id="650" w:name="_Ref525041623"/>
      <w:bookmarkStart w:id="651" w:name="_Toc525230093"/>
      <w:bookmarkStart w:id="652" w:name="_Toc7187641"/>
      <w:r>
        <w:t xml:space="preserve">Figure </w:t>
      </w:r>
      <w:fldSimple w:instr=" STYLEREF 1 \s ">
        <w:r w:rsidR="00CB7456">
          <w:rPr>
            <w:noProof/>
          </w:rPr>
          <w:t>5</w:t>
        </w:r>
      </w:fldSimple>
      <w:r w:rsidR="007B29C3">
        <w:t>.</w:t>
      </w:r>
      <w:fldSimple w:instr=" SEQ Figure \* ARABIC \s 1 ">
        <w:r w:rsidR="00CB7456">
          <w:rPr>
            <w:noProof/>
          </w:rPr>
          <w:t>5</w:t>
        </w:r>
      </w:fldSimple>
      <w:bookmarkEnd w:id="650"/>
      <w:r>
        <w:rPr>
          <w:noProof/>
        </w:rPr>
        <w:t>:</w:t>
      </w:r>
      <w:r>
        <w:t xml:space="preserve"> (a) Total costs of the different WHR technologies after ten years of operation. (b) </w:t>
      </w:r>
      <w:bookmarkEnd w:id="651"/>
      <w:r w:rsidR="009A3DED">
        <w:t>CAPEX and total costs (sum of the CAPEX, OPEX and profits) of the different WHR technologies after 10 years of operation, note, negative total costs show that revenue is being generated</w:t>
      </w:r>
      <w:bookmarkEnd w:id="652"/>
    </w:p>
    <w:p w14:paraId="6C467BB8" w14:textId="7D324108" w:rsidR="000F16EB" w:rsidRDefault="000F16EB" w:rsidP="000F16EB">
      <w:r>
        <w:fldChar w:fldCharType="begin"/>
      </w:r>
      <w:r>
        <w:instrText xml:space="preserve"> REF _Ref525041623 \h </w:instrText>
      </w:r>
      <w:r>
        <w:fldChar w:fldCharType="separate"/>
      </w:r>
      <w:r w:rsidR="00CB7456">
        <w:t xml:space="preserve">Figure </w:t>
      </w:r>
      <w:r w:rsidR="00CB7456">
        <w:rPr>
          <w:noProof/>
        </w:rPr>
        <w:t>5</w:t>
      </w:r>
      <w:r w:rsidR="00CB7456">
        <w:t>.</w:t>
      </w:r>
      <w:r w:rsidR="00CB7456">
        <w:rPr>
          <w:noProof/>
        </w:rPr>
        <w:t>5</w:t>
      </w:r>
      <w:r>
        <w:fldChar w:fldCharType="end"/>
      </w:r>
      <w:r>
        <w:t xml:space="preserve"> confirms that, from an economic viewpoint, the best performing technologies were the FH followed by the ORC.</w:t>
      </w:r>
    </w:p>
    <w:p w14:paraId="670542A5" w14:textId="4AAD5FCF" w:rsidR="000F16EB" w:rsidRDefault="000F16EB" w:rsidP="000F16EB">
      <w:r>
        <w:t xml:space="preserve">If the FH is to be chosen as the WHR technology, it is important to note how much WH can be recovered from HJE using the FH. It is also important to note how the levels of recovered WH vary over a ‘standard’ week of operation, as shown in </w:t>
      </w:r>
      <w:r>
        <w:fldChar w:fldCharType="begin"/>
      </w:r>
      <w:r>
        <w:instrText xml:space="preserve"> REF _Ref525042825 \h </w:instrText>
      </w:r>
      <w:r>
        <w:fldChar w:fldCharType="separate"/>
      </w:r>
      <w:r w:rsidR="00CB7456">
        <w:t xml:space="preserve">Figure </w:t>
      </w:r>
      <w:r w:rsidR="00CB7456">
        <w:rPr>
          <w:noProof/>
        </w:rPr>
        <w:t>5</w:t>
      </w:r>
      <w:r w:rsidR="00CB7456">
        <w:t>.</w:t>
      </w:r>
      <w:r w:rsidR="00CB7456">
        <w:rPr>
          <w:noProof/>
        </w:rPr>
        <w:t>6</w:t>
      </w:r>
      <w:r>
        <w:fldChar w:fldCharType="end"/>
      </w:r>
      <w:r>
        <w:t>.</w:t>
      </w:r>
    </w:p>
    <w:p w14:paraId="4FDA9712" w14:textId="77777777" w:rsidR="000F16EB" w:rsidRDefault="000F16EB" w:rsidP="000F16EB">
      <w:pPr>
        <w:keepNext/>
        <w:jc w:val="center"/>
      </w:pPr>
      <w:r>
        <w:rPr>
          <w:noProof/>
        </w:rPr>
        <w:lastRenderedPageBreak/>
        <w:drawing>
          <wp:inline distT="0" distB="0" distL="0" distR="0" wp14:anchorId="2EB5A6FE" wp14:editId="09D42E73">
            <wp:extent cx="3168000" cy="2717141"/>
            <wp:effectExtent l="19050" t="19050" r="13970" b="2667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H variation.jpg"/>
                    <pic:cNvPicPr/>
                  </pic:nvPicPr>
                  <pic:blipFill rotWithShape="1">
                    <a:blip r:embed="rId41" cstate="print">
                      <a:extLst>
                        <a:ext uri="{28A0092B-C50C-407E-A947-70E740481C1C}">
                          <a14:useLocalDpi xmlns:a14="http://schemas.microsoft.com/office/drawing/2010/main" val="0"/>
                        </a:ext>
                      </a:extLst>
                    </a:blip>
                    <a:srcRect l="8452" t="5414" r="11162" b="4483"/>
                    <a:stretch/>
                  </pic:blipFill>
                  <pic:spPr bwMode="auto">
                    <a:xfrm>
                      <a:off x="0" y="0"/>
                      <a:ext cx="3168000" cy="271714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FE2734C" w14:textId="27458072" w:rsidR="000F16EB" w:rsidRDefault="000F16EB" w:rsidP="000F16EB">
      <w:pPr>
        <w:pStyle w:val="Caption"/>
      </w:pPr>
      <w:bookmarkStart w:id="653" w:name="_Ref525042825"/>
      <w:bookmarkStart w:id="654" w:name="_Toc525230094"/>
      <w:bookmarkStart w:id="655" w:name="_Toc7187642"/>
      <w:r>
        <w:t xml:space="preserve">Figure </w:t>
      </w:r>
      <w:fldSimple w:instr=" STYLEREF 1 \s ">
        <w:r w:rsidR="00CB7456">
          <w:rPr>
            <w:noProof/>
          </w:rPr>
          <w:t>5</w:t>
        </w:r>
      </w:fldSimple>
      <w:r w:rsidR="007B29C3">
        <w:t>.</w:t>
      </w:r>
      <w:fldSimple w:instr=" SEQ Figure \* ARABIC \s 1 ">
        <w:r w:rsidR="00CB7456">
          <w:rPr>
            <w:noProof/>
          </w:rPr>
          <w:t>6</w:t>
        </w:r>
      </w:fldSimple>
      <w:bookmarkEnd w:id="653"/>
      <w:r>
        <w:rPr>
          <w:noProof/>
        </w:rPr>
        <w:t>:</w:t>
      </w:r>
      <w:r>
        <w:t xml:space="preserve"> Levels of WH that is possible to recover using the FH as the WHR technology.</w:t>
      </w:r>
      <w:bookmarkEnd w:id="654"/>
      <w:bookmarkEnd w:id="655"/>
    </w:p>
    <w:p w14:paraId="7D6DD158" w14:textId="1E3F2B68" w:rsidR="000F16EB" w:rsidRDefault="000F16EB" w:rsidP="000F16EB">
      <w:r>
        <w:fldChar w:fldCharType="begin"/>
      </w:r>
      <w:r>
        <w:instrText xml:space="preserve"> REF _Ref525042825 \h </w:instrText>
      </w:r>
      <w:r>
        <w:fldChar w:fldCharType="separate"/>
      </w:r>
      <w:r w:rsidR="00CB7456">
        <w:t xml:space="preserve">Figure </w:t>
      </w:r>
      <w:r w:rsidR="00CB7456">
        <w:rPr>
          <w:noProof/>
        </w:rPr>
        <w:t>5</w:t>
      </w:r>
      <w:r w:rsidR="00CB7456">
        <w:t>.</w:t>
      </w:r>
      <w:r w:rsidR="00CB7456">
        <w:rPr>
          <w:noProof/>
        </w:rPr>
        <w:t>6</w:t>
      </w:r>
      <w:r>
        <w:fldChar w:fldCharType="end"/>
      </w:r>
      <w:r>
        <w:t xml:space="preserve"> shows that the levels of WH that could be recovered from the case study site using a FH varied from 0.228 – 3.29 MW. </w:t>
      </w:r>
    </w:p>
    <w:p w14:paraId="790519A5" w14:textId="6E3726E6" w:rsidR="000F16EB" w:rsidRDefault="00BE60A4" w:rsidP="000F16EB">
      <w:pPr>
        <w:pStyle w:val="Heading3"/>
      </w:pPr>
      <w:bookmarkStart w:id="656" w:name="_Toc7187539"/>
      <w:r>
        <w:t>Waste Heat Recovery Model Validation</w:t>
      </w:r>
      <w:bookmarkEnd w:id="656"/>
    </w:p>
    <w:p w14:paraId="4C79403B" w14:textId="77777777" w:rsidR="000F16EB" w:rsidRDefault="000F16EB" w:rsidP="000F16EB">
      <w:r>
        <w:t>In total, the WHR model had 54 assumptions that could potentially affect the accuracy of the results. Each of assumptions may be accurate and have no effect on the model’s accuracy, inaccurate and have a negative effect on the model’s accuracy, or inaccurate and have no effect on the model’s accuracy. To test the accuracy of the assumptions, a validation study was run for the model, both internally and externally. External validation came from the sources of the equations used in the work; every source was a reliable and well-established textbook, using reliable and well-established lists of equations. The reliability of the textbooks provided external validation to the WHR model. Additional external validation could have been provided by comparing the results of the model to primary WHR data or WHR models. No company was willing to provide primary WHR data to this thesis and, due to the novel nature of the model, no equivalent models were found that could be used as a comparison.</w:t>
      </w:r>
      <w:r w:rsidRPr="00A67A6C">
        <w:t xml:space="preserve"> </w:t>
      </w:r>
    </w:p>
    <w:p w14:paraId="62A1F9AA" w14:textId="77777777" w:rsidR="000F16EB" w:rsidRPr="004938EF" w:rsidRDefault="000F16EB" w:rsidP="000F16EB">
      <w:r>
        <w:t>Due to the limited nature of primary data made available for this thesis, using an equivalent WHR model would require more assumptions to be made than are already in the work. Therefore, additional external validation could not come from primary data or equivalent models.</w:t>
      </w:r>
    </w:p>
    <w:p w14:paraId="7AF3CD9D" w14:textId="77777777" w:rsidR="000F16EB" w:rsidRDefault="000F16EB" w:rsidP="000F16EB">
      <w:r>
        <w:t xml:space="preserve">The internal validation came from assessing the accuracy of the assumptions using MC simulations. MC simulations worked by running the model thousands of times varying the input and quantifying the spread in the output. If the output variation was sensitive to the input variation, the assumption was inaccurate. If the output variation was insensitive to the input variation, the assumption was accurate. Each assumption would need to be tested individually at first and then simultaneously in a global MC assessment. </w:t>
      </w:r>
    </w:p>
    <w:p w14:paraId="7623FE96" w14:textId="1ECD262E" w:rsidR="000F16EB" w:rsidRDefault="000F16EB" w:rsidP="000F16EB">
      <w:r>
        <w:lastRenderedPageBreak/>
        <w:t>The</w:t>
      </w:r>
      <w:r w:rsidR="0043230A">
        <w:t xml:space="preserve"> visual basic</w:t>
      </w:r>
      <w:r>
        <w:t xml:space="preserve"> </w:t>
      </w:r>
      <w:r w:rsidR="0043230A">
        <w:t>(</w:t>
      </w:r>
      <w:r>
        <w:t>VB</w:t>
      </w:r>
      <w:r w:rsidR="0043230A">
        <w:t>)</w:t>
      </w:r>
      <w:r>
        <w:t xml:space="preserve"> programme in Excel was used to run the MC simulations, as shown in Appendix </w:t>
      </w:r>
      <w:r w:rsidR="00B54829">
        <w:fldChar w:fldCharType="begin"/>
      </w:r>
      <w:r w:rsidR="00B54829">
        <w:instrText xml:space="preserve"> REF _Ref531344325 \n \h </w:instrText>
      </w:r>
      <w:r w:rsidR="00B54829">
        <w:fldChar w:fldCharType="separate"/>
      </w:r>
      <w:r w:rsidR="00CB7456">
        <w:t>13.12</w:t>
      </w:r>
      <w:r w:rsidR="00B54829">
        <w:fldChar w:fldCharType="end"/>
      </w:r>
      <w:r>
        <w:t>. A preliminary series of six assumptions were tested, to assess the VB code and the effect that the assumptions had on the accuracy of the model. The six assumptions were:</w:t>
      </w:r>
    </w:p>
    <w:p w14:paraId="5DEAB8C0" w14:textId="77777777" w:rsidR="000F16EB" w:rsidRDefault="000F16EB" w:rsidP="00202E44">
      <w:pPr>
        <w:pStyle w:val="ListParagraph"/>
        <w:numPr>
          <w:ilvl w:val="0"/>
          <w:numId w:val="21"/>
        </w:numPr>
      </w:pPr>
      <w:r>
        <w:t xml:space="preserve">The turbine inlet pressure. </w:t>
      </w:r>
    </w:p>
    <w:p w14:paraId="10BE8C1F" w14:textId="77777777" w:rsidR="000F16EB" w:rsidRDefault="000F16EB" w:rsidP="00202E44">
      <w:pPr>
        <w:pStyle w:val="ListParagraph"/>
        <w:numPr>
          <w:ilvl w:val="0"/>
          <w:numId w:val="21"/>
        </w:numPr>
      </w:pPr>
      <w:r>
        <w:t xml:space="preserve">The working fluid flowrate. </w:t>
      </w:r>
    </w:p>
    <w:p w14:paraId="79124A17" w14:textId="77777777" w:rsidR="000F16EB" w:rsidRDefault="000F16EB" w:rsidP="00202E44">
      <w:pPr>
        <w:pStyle w:val="ListParagraph"/>
        <w:numPr>
          <w:ilvl w:val="0"/>
          <w:numId w:val="21"/>
        </w:numPr>
      </w:pPr>
      <w:r>
        <w:t xml:space="preserve">The turbine outlet pressure. </w:t>
      </w:r>
    </w:p>
    <w:p w14:paraId="4DB14379" w14:textId="77777777" w:rsidR="000F16EB" w:rsidRDefault="000F16EB" w:rsidP="00202E44">
      <w:pPr>
        <w:pStyle w:val="ListParagraph"/>
        <w:numPr>
          <w:ilvl w:val="0"/>
          <w:numId w:val="21"/>
        </w:numPr>
      </w:pPr>
      <w:r>
        <w:t>The internal pipe diameter.</w:t>
      </w:r>
    </w:p>
    <w:p w14:paraId="2476612F" w14:textId="77777777" w:rsidR="000F16EB" w:rsidRDefault="000F16EB" w:rsidP="00202E44">
      <w:pPr>
        <w:pStyle w:val="ListParagraph"/>
        <w:numPr>
          <w:ilvl w:val="0"/>
          <w:numId w:val="21"/>
        </w:numPr>
      </w:pPr>
      <w:r>
        <w:t xml:space="preserve">The external pipe diameter. </w:t>
      </w:r>
    </w:p>
    <w:p w14:paraId="6C7B14F3" w14:textId="77777777" w:rsidR="000F16EB" w:rsidRDefault="000F16EB" w:rsidP="00202E44">
      <w:pPr>
        <w:pStyle w:val="ListParagraph"/>
        <w:numPr>
          <w:ilvl w:val="0"/>
          <w:numId w:val="21"/>
        </w:numPr>
      </w:pPr>
      <w:r>
        <w:t xml:space="preserve">The tube length. </w:t>
      </w:r>
    </w:p>
    <w:p w14:paraId="48DF960E" w14:textId="77777777" w:rsidR="000F16EB" w:rsidRDefault="000F16EB" w:rsidP="000F16EB">
      <w:r>
        <w:t xml:space="preserve">In the initial assessments, the MC simulations were run 1,000 times. It was noted that a sensitivity study into the number of simulations would be needed. </w:t>
      </w:r>
    </w:p>
    <w:p w14:paraId="448C6097" w14:textId="35995099" w:rsidR="000F16EB" w:rsidRDefault="000F16EB" w:rsidP="000F16EB">
      <w:r>
        <w:t xml:space="preserve">The input data for the MC simulations came from studying the variation of each assumption in real industrial sites </w:t>
      </w:r>
      <w:r>
        <w:fldChar w:fldCharType="begin" w:fldLock="1"/>
      </w:r>
      <w:r w:rsidR="00FF4B5D">
        <w:instrText>ADDIN CSL_CITATION {"citationItems":[{"id":"ITEM-1","itemData":{"DOI":"10.1016/0894-1777(88)90032-5","ISBN":"0894-1777","ISSN":"08941777","abstract":"Performance data are presented for a range of flat tube and louvered plate fin surfaces. The Stanton number curves demonstrate characteristics that are consistent with the notion that at high Reynolds number the fluid flow is predominantly parallel to the louvers but that as Reynolds number is reduced the flow direction becomes increasingly determined by the plate fins. This effect causes a flattening of the Stanton number curves as the effective heat transfer configuration changes from \"flat plate\" to \"duct flow.\" This flattening of the Stanton number curves with reducing Reynolds number is clearly demonstrated to be a genuine effect and not to result from the problems of experimental accuracy that arise at very low Reynolds number. The results of other work by Achaichia and Cowell, which uses numerical methods to describe flow through louver arrays, have been used to develop a very simple nondimensional correlating equation for Stanton number. An equation for friction factor has also been developed, but a dimensional form was found to be necessary for it to retain useful accuracy. © 1988.","author":[{"dropping-particle":"","family":"Achaichia","given":"A.","non-dropping-particle":"","parse-names":false,"suffix":""},{"dropping-particle":"","family":"Cowell","given":"T. A.","non-dropping-particle":"","parse-names":false,"suffix":""}],"container-title":"Experimental Thermal and Fluid Science","id":"ITEM-1","issue":"2","issued":{"date-parts":[["1988"]]},"page":"147-157","title":"Heat transfer and pressure drop characteristics of flat tube and louvered plate fin surfaces","type":"article-journal","volume":"1"},"uris":["http://www.mendeley.com/documents/?uuid=baab7525-254b-4d0c-8365-0456cf50c4fb"]},{"id":"ITEM-2","itemData":{"DOI":"10.1016/S0892-6875(97)00014-9","ISBN":"0892-6875","ISSN":"08926875","PMID":"25246403","abstract":"The metallurgical performance of a 2.8m ~ portable industrial scale flotation cell was measured when treating zinc cleaner feed at Hellyer concentrator in Tasmania, Australia. The cell was fitted in turn with four different impeller-stator systems and operated over a wide range of air flow rates and impeller speeds. Bubble size, gas holdup and superficial gas velocity were measured at each of 64 different operating conditions along with the metallurgical performance of the cell. When metallurgical performance was expressed in terms of a kinetic constant, it was found that neither bubble size nor gas holdup nor superficial gas velocity could be related to flotation rate individually; but when taken together, they determine the bubble surface area flux in the cell, which could be related to flotation rate extremely well. A linear relationship between flotation rate and bubble surface area flux was found for all four impellers investigated: the slope of the line was independent of the type of impeller used. The linear relationship was verified for different size fractions of the ore: the slope of the straight line was different for different size fractions, values being greater for the smaller size particles. The relationship was also independently confirmed at another zinc cleaner operation. This finding has potential practical application in flotation plant modelling, design and optimisation.","author":[{"dropping-particle":"","family":"Gorain","given":"B.K.","non-dropping-particle":"","parse-names":false,"suffix":""},{"dropping-particle":"","family":"Franzidis","given":"J.P.","non-dropping-particle":"","parse-names":false,"suffix":""},{"dropping-particle":"","family":"Manlapig","given":"E.V.","non-dropping-particle":"","parse-names":false,"suffix":""}],"container-title":"Minerals Engineering","id":"ITEM-2","issue":"4","issued":{"date-parts":[["1997"]]},"page":"367-379","title":"Studies on impeller type, impeller speed and air flow rate in an industrial scale flotation cell. Part 4: Effect of bubble surface area flux on flotation performance","type":"article-journal","volume":"10"},"uris":["http://www.mendeley.com/documents/?uuid=cd43eb38-8ec0-47c1-8438-cb1396ce96ec"]},{"id":"ITEM-3","itemData":{"DOI":"10.1016/S0140-7007(00)00070-0","ISBN":"0140-7007","ISSN":"01407007","abstract":"This paper reports experimental heat transfer coefficients and pressure drops measured during condensation inside a smooth tube when operating with pure HFC refrigerants (R134a, R125, R236ea, R32) and the nearly azeotropic HFC refrigerant blend R410A. Data taken when condensing HCFC-22 are also reported for reference. The experimental runs are carried out at a saturation temperature ranging between 30 and 50 °C, and mass velocities varying from 100 to 750 kg/(m2s), over the vapour quality range 0.15-0.85. The effects of vapour quality, mass velocity, saturation temperature and temperature difference between saturation and tube wall on the heat transfer coefficient are investigated by analyzing the experimental data. A predictive study of the condensation flow patterns occurring during the tests is also presented. Finally comparisons with predictions from the model by Kosky and Staub are reported for all the data sets.","author":[{"dropping-particle":"","family":"Cavallini","given":"A.","non-dropping-particle":"","parse-names":false,"suffix":""},{"dropping-particle":"","family":"Censi","given":"G.","non-dropping-particle":"","parse-names":false,"suffix":""},{"dropping-particle":"","family":"Col","given":"D.","non-dropping-particle":"Del","parse-names":false,"suffix":""},{"dropping-particle":"","family":"Doretti","given":"L.","non-dropping-particle":"","parse-names":false,"suffix":""},{"dropping-particle":"","family":"Longo","given":"G. A.","non-dropping-particle":"","parse-names":false,"suffix":""},{"dropping-particle":"","family":"Rossetto","given":"L.","non-dropping-particle":"","parse-names":false,"suffix":""}],"container-title":"International Journal of Refrigeration","id":"ITEM-3","issue":"1","issued":{"date-parts":[["2001"]]},"page":"73-87","title":"Experimental investigation on condensation heat transfer and pressure drop of new HFC refrigerants (R134a, R125, R32, R410A, R236ea) in a horizontal smooth tube","type":"article-journal","volume":"24"},"uris":["http://www.mendeley.com/documents/?uuid=91e07094-04fa-4abc-b1de-79d673a5d905"]},{"id":"ITEM-4","itemData":{"DOI":"10.1109/MCS.2004.1275429","ISSN":"0272-1708","abstract":"This article describes the DISS facility, followed by an explanation of the main control problem. The control schemes for one of the three operating modes, the once-through mode, are then discussed, including system models, feedforward blocks, and PI blocks. Finally, experimental results and conclusion are presented.","author":[{"dropping-particle":"","family":"Valenzuela","given":"L.","non-dropping-particle":"","parse-names":false,"suffix":""},{"dropping-particle":"","family":"Zarza","given":"E.","non-dropping-particle":"","parse-names":false,"suffix":""},{"dropping-particle":"","family":"Berenguel","given":"Manuel","non-dropping-particle":"","parse-names":false,"suffix":""},{"dropping-particle":"","family":"Camacho","given":"Eduardo F","non-dropping-particle":"","parse-names":false,"suffix":""}],"container-title":"IEEE Control Systems","id":"ITEM-4","issue":"2","issued":{"date-parts":[["2004"]]},"page":"15 - 29","title":"Direct steam generation in solar boilers","type":"article-journal","volume":"24"},"uris":["http://www.mendeley.com/documents/?uuid=e772057c-ef3b-4a4b-be26-b7308bd6dca6"]},{"id":"ITEM-5","itemData":{"author":[{"dropping-particle":"","family":"IGEM","given":"","non-dropping-particle":"","parse-names":false,"suffix":""}],"id":"ITEM-5","issued":{"date-parts":[["2008"]]},"publisher-place":"Kegworth, England","title":"Installation pipework on industrial and commercial premises","type":"report"},"uris":["http://www.mendeley.com/documents/?uuid=163ea56c-67fa-45e9-8802-c8c47a4a4bbe"]},{"id":"ITEM-6","itemData":{"ISBN":"9780977613106","abstract":"Handbook of Polyethylene Pipe","author":[{"dropping-particle":"","family":"PPI","given":"","non-dropping-particle":"","parse-names":false,"suffix":""}],"chapter-number":"6","container-title":"HANDBOOK OF POLYETHYLENE PIPE","edition":"2","id":"ITEM-6","issued":{"date-parts":[["2009"]]},"page":"155-264","publisher":"Plastic Pipe Institute","publisher-place":"Irving, America","title":"Design of PE Piping Systems","type":"chapter"},"uris":["http://www.mendeley.com/documents/?uuid=325e8b65-75e6-44b1-a00f-2442c9b891b3"]},{"id":"ITEM-7","itemData":{"DOI":"10.1016/j.enpol.2010.05.042","ISBN":"0301-4215","ISSN":"03014215","abstract":"This paper presents a spatial model of industrial heat loads and technical recovery potentials in the UK, by recourse to energetic and exergetic analysis methods. The aims were to categorise heat users into broad temperature bands; quantify heat usage and wastage at different temperatures; and to estimate the technical potential for heat recovery based on current technologies (whilst ignoring spatial and temporal constraints). The main data source was the UK National Allocation Plan for the EU Emissions Trading Scheme, supplemented by capacity/output and specific energy consumption data for certain heterogeneous sectors. Around 60% of industry has been covered in terms of energy use, and 90% of energy-intensive sectors. The total annual heat use for these sectors was estimated at 650 PJ, with technically feasible annual savings in the region 36-71 PJ. This is in agreement with the only extant estimates for heat recovery from industrial processes, which are 65 and 144 PJ, respectively. ?? 2010 Elsevier Ltd. All rights reserved.","author":[{"dropping-particle":"","family":"McKenna","given":"R. C.","non-dropping-particle":"","parse-names":false,"suffix":""},{"dropping-particle":"","family":"Norman","given":"J. B.","non-dropping-particle":"","parse-names":false,"suffix":""}],"container-title":"Energy Policy","id":"ITEM-7","issue":"10","issued":{"date-parts":[["2010"]]},"page":"5878-5891","publisher":"Elsevier","title":"Spatial modelling of industrial heat loads and recovery potentials in the UK","type":"article-journal","volume":"38"},"uris":["http://www.mendeley.com/documents/?uuid=e9014619-7afe-4dd6-956a-a4d0b225de4f"]},{"id":"ITEM-8","itemData":{"DOI":"10.1017/CBO9781107415324.004","ISBN":"9788578110796","ISSN":"1098-6596","PMID":"25246403","author":[{"dropping-particle":"","family":"Newcastle University","given":"","non-dropping-particle":"","parse-names":false,"suffix":""}],"id":"ITEM-8","issued":{"date-parts":[["2011"]]},"publisher-place":"Newcastle, England","title":"National sources of low grade heat available from the process industry","type":"report"},"uris":["http://www.mendeley.com/documents/?uuid=4c64f9ee-fb1f-4221-9d3d-a34315f66ca4"]},{"id":"ITEM-9","itemData":{"DOI":"10.1016/j.apenergy.2011.06.003","ISBN":"03062619","ISSN":"03062619","abstract":"Thermal energy loss in the process industry is a significant issue due to the high temperatures and multiple heat intensive processes involved. High-grade thermal energy is typically recovered within processes. However, lower grade heat is often rejected to the environment.The benefits of capturing and utilising low grade thermal energy are highly dependent on the qualities and properties of the heat in the waste streams. The temperature of the low grade heat stream is the most important parameter, as the effective use of the residual heat or the efficiency of energy recovery from the low grade heat sources will mainly depend on the temperature difference between the source and a suitable sink, e.g. another process or space heating/cooling. In general, the temperatures of these waste heat sources are too low to produce electricity and direct heat use will depend on whether potential user can be found.This paper presents past and current drivers for heat recovery studies. High and low grade heat sources are defined according to the viability of recovery within the processes. Firstly, high grade heat capture within the processes is reviewed. Then, the focus is on the potential for low grade heat capture outside of the original plant. The paper addresses the potential for low grade heat recovery with regard to new incentives and technological advances. Finally, different aspects which influence the decision making for low grade heat recovery in the process industry are discussed. It is concluded that organisational, financial and economic barriers might be overcome and benefits from a holistic vision could be gained with stronger governmental policy and regulation incentives. © 2011 Elsevier Ltd.","author":[{"dropping-particle":"","family":"Ammar","given":"Yasmine","non-dropping-particle":"","parse-names":false,"suffix":""},{"dropping-particle":"","family":"Joyce","given":"Sharon","non-dropping-particle":"","parse-names":false,"suffix":""},{"dropping-particle":"","family":"Norman","given":"Rosemary","non-dropping-particle":"","parse-names":false,"suffix":""},{"dropping-particle":"","family":"Wang","given":"Yaodong","non-dropping-particle":"","parse-names":false,"suffix":""},{"dropping-particle":"","family":"Roskilly","given":"Anthony P.","non-dropping-particle":"","parse-names":false,"suffix":""}],"container-title":"Applied Energy","id":"ITEM-9","issue":"1","issued":{"date-parts":[["2012"]]},"page":"3-20","publisher":"Elsevier Ltd","title":"Low grade thermal energy sources and uses from the process industry in the UK","type":"article-journal","volume":"89"},"uris":["http://www.mendeley.com/documents/?uuid=9c4c0cde-d9fa-4ffb-902a-a1074fd1b8be"]},{"id":"ITEM-10","itemData":{"author":[{"dropping-particle":"","family":"Tioga","given":"","non-dropping-particle":"","parse-names":false,"suffix":""}],"id":"ITEM-10","issued":{"date-parts":[["2013"]]},"publisher-place":"Philadelphia, America","title":"Pipe Dimensions and Weights","type":"report"},"uris":["http://www.mendeley.com/documents/?uuid=fb16cbf8-dcda-4f48-a6dc-4da6ed22cee3"]}],"mendeley":{"formattedCitation":"(Achaichia and Cowell, 1988; Gorain &lt;i&gt;et al.&lt;/i&gt;, 1997; Cavallini &lt;i&gt;et al.&lt;/i&gt;, 2001; Valenzuela &lt;i&gt;et al.&lt;/i&gt;, 2004; IGEM, 2008; PPI, 2009; McKenna and Norman, 2010; Newcastle University, 2011; Ammar &lt;i&gt;et al.&lt;/i&gt;, 2012; Tioga, 2013)","plainTextFormattedCitation":"(Achaichia and Cowell, 1988; Gorain et al., 1997; Cavallini et al., 2001; Valenzuela et al., 2004; IGEM, 2008; PPI, 2009; McKenna and Norman, 2010; Newcastle University, 2011; Ammar et al., 2012; Tioga, 2013)","previouslyFormattedCitation":"(Achaichia and Cowell, 1988; Gorain &lt;i&gt;et al.&lt;/i&gt;, 1997; Cavallini &lt;i&gt;et al.&lt;/i&gt;, 2001; Valenzuela &lt;i&gt;et al.&lt;/i&gt;, 2004; IGEM, 2008; PPI, 2009; McKenna and Norman, 2010; Newcastle University, 2011; Ammar &lt;i&gt;et al.&lt;/i&gt;, 2012; Tioga, 2013)"},"properties":{"noteIndex":0},"schema":"https://github.com/citation-style-language/schema/raw/master/csl-citation.json"}</w:instrText>
      </w:r>
      <w:r>
        <w:fldChar w:fldCharType="separate"/>
      </w:r>
      <w:r w:rsidR="005F544E" w:rsidRPr="005F544E">
        <w:rPr>
          <w:noProof/>
        </w:rPr>
        <w:t xml:space="preserve">(Achaichia and Cowell, 1988; Gorain </w:t>
      </w:r>
      <w:r w:rsidR="005F544E" w:rsidRPr="005F544E">
        <w:rPr>
          <w:i/>
          <w:noProof/>
        </w:rPr>
        <w:t>et al.</w:t>
      </w:r>
      <w:r w:rsidR="005F544E" w:rsidRPr="005F544E">
        <w:rPr>
          <w:noProof/>
        </w:rPr>
        <w:t xml:space="preserve">, 1997; Cavallini </w:t>
      </w:r>
      <w:r w:rsidR="005F544E" w:rsidRPr="005F544E">
        <w:rPr>
          <w:i/>
          <w:noProof/>
        </w:rPr>
        <w:t>et al.</w:t>
      </w:r>
      <w:r w:rsidR="005F544E" w:rsidRPr="005F544E">
        <w:rPr>
          <w:noProof/>
        </w:rPr>
        <w:t xml:space="preserve">, 2001; Valenzuela </w:t>
      </w:r>
      <w:r w:rsidR="005F544E" w:rsidRPr="005F544E">
        <w:rPr>
          <w:i/>
          <w:noProof/>
        </w:rPr>
        <w:t>et al.</w:t>
      </w:r>
      <w:r w:rsidR="005F544E" w:rsidRPr="005F544E">
        <w:rPr>
          <w:noProof/>
        </w:rPr>
        <w:t xml:space="preserve">, 2004; IGEM, 2008; PPI, 2009; McKenna and Norman, 2010; Newcastle University, 2011; Ammar </w:t>
      </w:r>
      <w:r w:rsidR="005F544E" w:rsidRPr="005F544E">
        <w:rPr>
          <w:i/>
          <w:noProof/>
        </w:rPr>
        <w:t>et al.</w:t>
      </w:r>
      <w:r w:rsidR="005F544E" w:rsidRPr="005F544E">
        <w:rPr>
          <w:noProof/>
        </w:rPr>
        <w:t>, 2012; Tioga, 2013)</w:t>
      </w:r>
      <w:r>
        <w:fldChar w:fldCharType="end"/>
      </w:r>
      <w:r>
        <w:t>. The data came from a series of papers as well as studies by The Institution of Gas Engineers and Managers (IGEM), The Plastic Pipe Institute (PPI) and Newcastle University.</w:t>
      </w:r>
      <w:r w:rsidRPr="00965104">
        <w:t xml:space="preserve"> </w:t>
      </w:r>
      <w:r>
        <w:t>The validation process used studies from outside of the UK to increase the sample size and the accuracy of the MC simulations. It was understood that variation may exist from country to country which may affect the accuracy of the simulations. The effects of the possible variations were mitigated by obtaining data from countries with similar environmental and social patterns to the UK and by normalising each data set to itself. Using data from outside of the UK allowed the MC simulations to be completed now, instead of waiting for the data to become available. As UK studies that investigate industrial variation in the parameters are found, the simulations can be updated.</w:t>
      </w:r>
    </w:p>
    <w:p w14:paraId="586261F6" w14:textId="77777777" w:rsidR="000F16EB" w:rsidRDefault="000F16EB" w:rsidP="000F16EB">
      <w:r>
        <w:t>Of the 6 initial MC simulations, 4 did not manage to run for the entire 1,000 cycles. The reason for these failures were that the majority of the modelling processes required the automatic iteration or reading of graphs or tables in Excel, which was not possible in every case. If the input parameters were changed such that the iterations failed to converge, or the parameters of the table or graph were outside of the limits given in the textbook, the WHR model failed. If the model was being operated by a technical user with engineering experience, then it would be possible to identify the reason for the model failure and fix it. However, this level of experience would be beyond the abilities of a non-technical user. Therefore, the aim of keeping the WHR model simple enough that a non-technical user could operate it was not possible and should not be kept in future work.</w:t>
      </w:r>
    </w:p>
    <w:p w14:paraId="515503CA" w14:textId="57535793" w:rsidR="000F16EB" w:rsidRDefault="000F16EB" w:rsidP="000F16EB">
      <w:r>
        <w:t xml:space="preserve">The best solution would be to, similarly to in chapter </w:t>
      </w:r>
      <w:r w:rsidR="00B54829">
        <w:fldChar w:fldCharType="begin"/>
      </w:r>
      <w:r w:rsidR="00B54829">
        <w:instrText xml:space="preserve"> REF _Ref531344342 \n \h </w:instrText>
      </w:r>
      <w:r w:rsidR="00B54829">
        <w:fldChar w:fldCharType="separate"/>
      </w:r>
      <w:r w:rsidR="00CB7456">
        <w:t>4</w:t>
      </w:r>
      <w:r w:rsidR="00B54829">
        <w:fldChar w:fldCharType="end"/>
      </w:r>
      <w:r>
        <w:t xml:space="preserve">, ask the industrial source to model their own process. Therefore, the industrial source could identify the best WHR technologies, calculate the variation in the WH and the total costs and revenues of the process. Once again, it should be possible to convince the owner or operator of the industrial site that co-operating with the DH feasibility study is in their best interests. If not, typical values for the efficiencies and costs of the WHR equipment will have to be used. Using typical values will </w:t>
      </w:r>
      <w:r>
        <w:lastRenderedPageBreak/>
        <w:t>not allow for a comparison to be made between different WHR technologies or for accurate modelling, but it will be suitable for the feasibility study.</w:t>
      </w:r>
    </w:p>
    <w:p w14:paraId="457F4C07" w14:textId="1533539F" w:rsidR="000F16EB" w:rsidRDefault="000F16EB" w:rsidP="000F16EB">
      <w:r>
        <w:rPr>
          <w:noProof/>
        </w:rPr>
        <w:t>The Carbon Trust</w:t>
      </w:r>
      <w:r>
        <w:t xml:space="preserve"> state that the typical efficiency of WHR equipment varies from 55 – 65%</w:t>
      </w:r>
      <w:r w:rsidR="006B360F">
        <w:t xml:space="preserve"> </w:t>
      </w:r>
      <w:r w:rsidR="006B360F">
        <w:fldChar w:fldCharType="begin" w:fldLock="1"/>
      </w:r>
      <w:r w:rsidR="006B360F">
        <w:instrText>ADDIN CSL_CITATION {"citationItems":[{"id":"ITEM-1","itemData":{"abstract":"This guide is intended for anyone who has responsibility for the efficient and cost-effective operation of buildings, or those who use an industrial process where heat might be unnecessarily wasted. The application of heat recovery techniques can significantly reduce energy consumption, running costs and carbon emissions. These techniques can be applied in isolation, but would be better as part of an overall strategy to reduce energy cost and carbon.","author":[{"dropping-particle":"","family":"Carbon Trust","given":"","non-dropping-particle":"","parse-names":false,"suffix":""}],"id":"ITEM-1","issued":{"date-parts":[["2011"]]},"publisher-place":"London, England","title":"Heat recovery: A guide to key systems and applications","type":"report"},"uris":["http://www.mendeley.com/documents/?uuid=60a2ac18-607c-4132-a5b5-083ee1934127"]}],"mendeley":{"formattedCitation":"(Carbon Trust, 2011)","plainTextFormattedCitation":"(Carbon Trust, 2011)","previouslyFormattedCitation":"(Carbon Trust, 2011)"},"properties":{"noteIndex":0},"schema":"https://github.com/citation-style-language/schema/raw/master/csl-citation.json"}</w:instrText>
      </w:r>
      <w:r w:rsidR="006B360F">
        <w:fldChar w:fldCharType="separate"/>
      </w:r>
      <w:r w:rsidR="006B360F" w:rsidRPr="00E7695A">
        <w:rPr>
          <w:noProof/>
        </w:rPr>
        <w:t>(Carbon Trust, 2011)</w:t>
      </w:r>
      <w:r w:rsidR="006B360F">
        <w:fldChar w:fldCharType="end"/>
      </w:r>
      <w:r>
        <w:t xml:space="preserve">. Therefore, assuming a WHR efficiency of 60% in future modelling should be acceptable. If applied to the case study, the WH available for recovery would be as shown in </w:t>
      </w:r>
      <w:r>
        <w:fldChar w:fldCharType="begin"/>
      </w:r>
      <w:r>
        <w:instrText xml:space="preserve"> REF _Ref525116733 \h </w:instrText>
      </w:r>
      <w:r>
        <w:fldChar w:fldCharType="separate"/>
      </w:r>
      <w:r w:rsidR="00CB7456">
        <w:t xml:space="preserve">Figure </w:t>
      </w:r>
      <w:r w:rsidR="00CB7456">
        <w:rPr>
          <w:noProof/>
        </w:rPr>
        <w:t>5</w:t>
      </w:r>
      <w:r w:rsidR="00CB7456">
        <w:t>.</w:t>
      </w:r>
      <w:r w:rsidR="00CB7456">
        <w:rPr>
          <w:noProof/>
        </w:rPr>
        <w:t>7</w:t>
      </w:r>
      <w:r>
        <w:fldChar w:fldCharType="end"/>
      </w:r>
      <w:r>
        <w:t>. The average difference between the variation in the calculated and assumed levels of WH variation was 7%. The 7% variation is less than the industrial variation reported by Parsons Brinckerhoff, showing that the work done in this chapter supported an assumption of 60% efficient WHR</w:t>
      </w:r>
      <w:r w:rsidR="006B360F">
        <w:t xml:space="preserve"> </w:t>
      </w:r>
      <w:r w:rsidR="006B360F">
        <w:fldChar w:fldCharType="begin" w:fldLock="1"/>
      </w:r>
      <w:r w:rsidR="006B360F">
        <w:instrText>ADDIN CSL_CITATION {"citationItems":[{"id":"ITEM-1","itemData":{"author":[{"dropping-particle":"","family":"Parsons Brinckerhoff","given":"","non-dropping-particle":"","parse-names":false,"suffix":""}],"id":"ITEM-1","issue":"May","issued":{"date-parts":[["2011"]]},"publisher-place":"London, England","title":"A District Heating Utility for the Tees Valley: Study into the strategic use of waste heat and supply of private sector customers","type":"report"},"uris":["http://www.mendeley.com/documents/?uuid=5e08822c-bb7b-4846-8fd8-71bc94ccfc29"]}],"mendeley":{"formattedCitation":"(Parsons Brinckerhoff, 2011)","plainTextFormattedCitation":"(Parsons Brinckerhoff, 2011)","previouslyFormattedCitation":"(Parsons Brinckerhoff, 2011)"},"properties":{"noteIndex":0},"schema":"https://github.com/citation-style-language/schema/raw/master/csl-citation.json"}</w:instrText>
      </w:r>
      <w:r w:rsidR="006B360F">
        <w:fldChar w:fldCharType="separate"/>
      </w:r>
      <w:r w:rsidR="006B360F" w:rsidRPr="004862D5">
        <w:rPr>
          <w:noProof/>
        </w:rPr>
        <w:t>(Parsons Brinckerhoff, 2011)</w:t>
      </w:r>
      <w:r w:rsidR="006B360F">
        <w:fldChar w:fldCharType="end"/>
      </w:r>
      <w:r>
        <w:t>.</w:t>
      </w:r>
    </w:p>
    <w:p w14:paraId="3F9474BF" w14:textId="77777777" w:rsidR="000F16EB" w:rsidRDefault="000F16EB" w:rsidP="000F16EB">
      <w:pPr>
        <w:keepNext/>
        <w:jc w:val="center"/>
      </w:pPr>
      <w:r>
        <w:rPr>
          <w:noProof/>
        </w:rPr>
        <w:drawing>
          <wp:inline distT="0" distB="0" distL="0" distR="0" wp14:anchorId="2C06B2E4" wp14:editId="1809A8C0">
            <wp:extent cx="3168000" cy="2767547"/>
            <wp:effectExtent l="19050" t="19050" r="13970" b="1397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H variation assumed.jpg"/>
                    <pic:cNvPicPr/>
                  </pic:nvPicPr>
                  <pic:blipFill rotWithShape="1">
                    <a:blip r:embed="rId42" cstate="print">
                      <a:extLst>
                        <a:ext uri="{28A0092B-C50C-407E-A947-70E740481C1C}">
                          <a14:useLocalDpi xmlns:a14="http://schemas.microsoft.com/office/drawing/2010/main" val="0"/>
                        </a:ext>
                      </a:extLst>
                    </a:blip>
                    <a:srcRect l="8950" r="7203" b="4273"/>
                    <a:stretch/>
                  </pic:blipFill>
                  <pic:spPr bwMode="auto">
                    <a:xfrm>
                      <a:off x="0" y="0"/>
                      <a:ext cx="3168000" cy="276754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D4F92D0" w14:textId="6A879930" w:rsidR="000F16EB" w:rsidRDefault="000F16EB" w:rsidP="000F16EB">
      <w:pPr>
        <w:pStyle w:val="Caption"/>
      </w:pPr>
      <w:bookmarkStart w:id="657" w:name="_Ref525116733"/>
      <w:bookmarkStart w:id="658" w:name="_Toc525230095"/>
      <w:bookmarkStart w:id="659" w:name="_Toc7187643"/>
      <w:r>
        <w:t xml:space="preserve">Figure </w:t>
      </w:r>
      <w:fldSimple w:instr=" STYLEREF 1 \s ">
        <w:r w:rsidR="00CB7456">
          <w:rPr>
            <w:noProof/>
          </w:rPr>
          <w:t>5</w:t>
        </w:r>
      </w:fldSimple>
      <w:r w:rsidR="007B29C3">
        <w:t>.</w:t>
      </w:r>
      <w:fldSimple w:instr=" SEQ Figure \* ARABIC \s 1 ">
        <w:r w:rsidR="00CB7456">
          <w:rPr>
            <w:noProof/>
          </w:rPr>
          <w:t>7</w:t>
        </w:r>
      </w:fldSimple>
      <w:bookmarkEnd w:id="657"/>
      <w:r>
        <w:t>: Variation in the WH available at the case study site, the levels of WH that w</w:t>
      </w:r>
      <w:r w:rsidR="00BE60A4">
        <w:t>as</w:t>
      </w:r>
      <w:r>
        <w:t xml:space="preserve"> calculated to be recoverable in the case study, and the levels of WH that would be recoverable with an assumed efficiency of WHR of 60%.</w:t>
      </w:r>
      <w:bookmarkEnd w:id="658"/>
      <w:bookmarkEnd w:id="659"/>
    </w:p>
    <w:p w14:paraId="30BFFDB8" w14:textId="6A5133AE" w:rsidR="000F16EB" w:rsidRDefault="000F16EB" w:rsidP="000F16EB">
      <w:r>
        <w:t xml:space="preserve">Due to the wide variation in different WHR technologies and designs, no estimation of the costs of a typical WHR system were found. Therefore, no estimation of the costs of the WHR system could be made and the WHR costs could not be included in the feasibility study. Not being able to include the WHR costs in the feasibility study was acceptable, as any WHR costs would be paid for by the industrial site, not the network operator. Therefore, the only consideration was made to the WHR was the payback period experienced by the industrial site. As shown in </w:t>
      </w:r>
      <w:r>
        <w:fldChar w:fldCharType="begin"/>
      </w:r>
      <w:r>
        <w:instrText xml:space="preserve"> REF _Ref525041949 \h </w:instrText>
      </w:r>
      <w:r>
        <w:fldChar w:fldCharType="separate"/>
      </w:r>
      <w:r w:rsidR="00CB7456">
        <w:t xml:space="preserve">Figure </w:t>
      </w:r>
      <w:r w:rsidR="00CB7456">
        <w:rPr>
          <w:noProof/>
        </w:rPr>
        <w:t>5</w:t>
      </w:r>
      <w:r w:rsidR="00CB7456">
        <w:t>.</w:t>
      </w:r>
      <w:r w:rsidR="00CB7456">
        <w:rPr>
          <w:noProof/>
        </w:rPr>
        <w:t>4</w:t>
      </w:r>
      <w:r>
        <w:fldChar w:fldCharType="end"/>
      </w:r>
      <w:r>
        <w:t xml:space="preserve">, all of the WHR costs were paid back within three years, within the usual industrial guidelines </w:t>
      </w:r>
      <w:r w:rsidRPr="006C44B0">
        <w:fldChar w:fldCharType="begin" w:fldLock="1"/>
      </w:r>
      <w:r>
        <w:instrText>ADDIN CSL_CITATION {"citationItems":[{"id":"ITEM-1","itemData":{"author":[{"dropping-particle":"","family":"Awomewe","given":"Alaba Femi","non-dropping-particle":"","parse-names":false,"suffix":""},{"dropping-particle":"","family":"Ogundele","given":"Oludele Olawale","non-dropping-particle":"","parse-names":false,"suffix":""}],"id":"ITEM-1","issued":{"date-parts":[["2008"]]},"publisher":"Blekinge Institute of Technology","title":"The importance of the payback method in capital budgeting decision","type":"thesis"},"uris":["http://www.mendeley.com/documents/?uuid=1f036eb0-dc50-453a-a78c-82552f58b254"]}],"mendeley":{"formattedCitation":"(Awomewe and Ogundele, 2008)","plainTextFormattedCitation":"(Awomewe and Ogundele, 2008)","previouslyFormattedCitation":"(Awomewe and Ogundele, 2008)"},"properties":{"noteIndex":0},"schema":"https://github.com/citation-style-language/schema/raw/master/csl-citation.json"}</w:instrText>
      </w:r>
      <w:r w:rsidRPr="006C44B0">
        <w:fldChar w:fldCharType="separate"/>
      </w:r>
      <w:r w:rsidRPr="00E7695A">
        <w:rPr>
          <w:noProof/>
        </w:rPr>
        <w:t>(Awomewe and Ogundele, 2008)</w:t>
      </w:r>
      <w:r w:rsidRPr="006C44B0">
        <w:fldChar w:fldCharType="end"/>
      </w:r>
      <w:r>
        <w:t>. Therefore, the costs of a future WHR system could be assumed to be within the usual industrial payback period and could be ignored in the feasibility study of the network. Similarly, the environmental impacts of the future WHR systems could be ignored in the feasibility study of the network.</w:t>
      </w:r>
    </w:p>
    <w:p w14:paraId="48E7E306" w14:textId="77777777" w:rsidR="00CB7456" w:rsidRDefault="000F16EB">
      <w:pPr>
        <w:jc w:val="left"/>
        <w:rPr>
          <w:b/>
          <w:bCs/>
          <w:sz w:val="18"/>
          <w:szCs w:val="18"/>
        </w:rPr>
      </w:pPr>
      <w:r>
        <w:t xml:space="preserve">It may be useful to have an idea of what WHR technologies should be implemented at the industrial site even if a particular technology does not have to be chosen or modelled. </w:t>
      </w:r>
      <w:r w:rsidR="00756DC8">
        <w:fldChar w:fldCharType="begin"/>
      </w:r>
      <w:r w:rsidR="00756DC8">
        <w:instrText xml:space="preserve"> REF _Ref530578564 \h </w:instrText>
      </w:r>
      <w:r w:rsidR="00756DC8">
        <w:fldChar w:fldCharType="separate"/>
      </w:r>
      <w:r w:rsidR="00CB7456">
        <w:br w:type="page"/>
      </w:r>
    </w:p>
    <w:p w14:paraId="5075529C" w14:textId="23F71B92" w:rsidR="000F16EB" w:rsidRDefault="00CB7456" w:rsidP="000F16EB">
      <w:r>
        <w:lastRenderedPageBreak/>
        <w:t xml:space="preserve">Table </w:t>
      </w:r>
      <w:r>
        <w:rPr>
          <w:noProof/>
        </w:rPr>
        <w:t>2</w:t>
      </w:r>
      <w:r>
        <w:t>.</w:t>
      </w:r>
      <w:r>
        <w:rPr>
          <w:noProof/>
        </w:rPr>
        <w:t>1</w:t>
      </w:r>
      <w:r w:rsidR="00756DC8">
        <w:fldChar w:fldCharType="end"/>
      </w:r>
      <w:r w:rsidR="00756DC8">
        <w:t xml:space="preserve"> to </w:t>
      </w:r>
      <w:r w:rsidR="00756DC8">
        <w:fldChar w:fldCharType="begin"/>
      </w:r>
      <w:r w:rsidR="00756DC8">
        <w:instrText xml:space="preserve"> REF _Ref529870335 \h </w:instrText>
      </w:r>
      <w:r w:rsidR="00756DC8">
        <w:fldChar w:fldCharType="separate"/>
      </w:r>
      <w:r>
        <w:t xml:space="preserve">Table </w:t>
      </w:r>
      <w:r>
        <w:rPr>
          <w:noProof/>
        </w:rPr>
        <w:t>2</w:t>
      </w:r>
      <w:r>
        <w:t>.</w:t>
      </w:r>
      <w:r>
        <w:rPr>
          <w:noProof/>
        </w:rPr>
        <w:t>3</w:t>
      </w:r>
      <w:r w:rsidR="00756DC8">
        <w:fldChar w:fldCharType="end"/>
      </w:r>
      <w:r w:rsidR="000F16EB">
        <w:t xml:space="preserve"> to could be used to show what temperatures of WH will be available at the industrial site and consequently what WHR equipment is likely to be used at the site. The tables could be read by a non-technical user, who will have to ask the industrial site operator for a list of the processes that occur and match them to the tables.</w:t>
      </w:r>
    </w:p>
    <w:p w14:paraId="3FEF118C" w14:textId="77777777" w:rsidR="000F16EB" w:rsidRDefault="000F16EB" w:rsidP="000F16EB">
      <w:pPr>
        <w:pStyle w:val="Heading2"/>
      </w:pPr>
      <w:bookmarkStart w:id="660" w:name="_Toc525230013"/>
      <w:bookmarkStart w:id="661" w:name="_Toc7187540"/>
      <w:r>
        <w:t>Conclusion</w:t>
      </w:r>
      <w:bookmarkEnd w:id="660"/>
      <w:bookmarkEnd w:id="661"/>
    </w:p>
    <w:p w14:paraId="518110C2" w14:textId="77777777" w:rsidR="000F16EB" w:rsidRDefault="000F16EB" w:rsidP="000F16EB">
      <w:r>
        <w:t>A simple, generic model for WHR was generated that quantified the WH variation in the DH feasibility model as well as the CAPEX, OPEX, and revenues associated with the WHR. Seven different WHR options were modelled and compared: HEX-DPs, HEX-STs, HEX-FTs, HEX-Ps, FHs, ORCs, and RCs. The accuracy of the model was assessed using MC simulations. The model was applied to the case study to choose the optimum WHR technology, quantify the WH levels, and compare the total costs of the different technologies.</w:t>
      </w:r>
    </w:p>
    <w:p w14:paraId="5F6CC7B4" w14:textId="77777777" w:rsidR="000F16EB" w:rsidRDefault="000F16EB" w:rsidP="000F16EB">
      <w:r>
        <w:t xml:space="preserve">The different WHR models were generated using equations from a number of different text books, requiring 65 inputs, which was more than a non-technical user to be capable of making. Of the 65 inputs, 58 were predetermined, split into a narrow range, or drawn into a relationship with another parameter. In total, the non-technical user would have to choose 7 continuous variables and 17 discrete variables. The process of reducing the number of inputs from 65 to 24 required 54 assumptions to be made, which needed assessment using MC simulations. Before the detailed MC assessments could be completed, an initial six simulations were run, to test the MC methodology. Four of the six simulations did not manage to run to competition. The failure was due to </w:t>
      </w:r>
      <w:bookmarkStart w:id="662" w:name="_Hlk525148181"/>
      <w:r>
        <w:t xml:space="preserve">the iterative based solution in Excel diverging instead of converging, or the parameters of the graphs and tables that Excel tried to read automatically being outside of the allowable range. </w:t>
      </w:r>
      <w:bookmarkEnd w:id="662"/>
      <w:r>
        <w:t xml:space="preserve">A technical user would be able to identify the cause of the problem and fix the model, but a non-technical user would not. Therefore, the aim of building a WHR model that a non-technical user could operate was shown to not be possible. </w:t>
      </w:r>
    </w:p>
    <w:p w14:paraId="6B362D70" w14:textId="77777777" w:rsidR="000F16EB" w:rsidRDefault="000F16EB" w:rsidP="000F16EB">
      <w:r>
        <w:t>Instead, the user would be advised to use a typical WHR efficiency of 60%. It was shown that no standard CAPEX, OPEX, and revenues of the WHR equipment could be found in the literature. Instead, it was advised that the non-technical user considered the costs of the WHR process to belong to the industrial process. Therefore, the techno-economic assessments of the DHN would not include the infrastructure and technology needed for the WHR.</w:t>
      </w:r>
    </w:p>
    <w:p w14:paraId="187A14DB" w14:textId="77777777" w:rsidR="000F16EB" w:rsidRDefault="000F16EB" w:rsidP="000F16EB">
      <w:r>
        <w:t xml:space="preserve">The model was run for the case study, to determine the best choice of WHR. It was found that all seven WHR technologies were profitable over a three-year timescale. The best performing WHR technology was found to be </w:t>
      </w:r>
      <w:bookmarkStart w:id="663" w:name="_Hlk525148434"/>
      <w:r>
        <w:t>the FH, followed the ORC</w:t>
      </w:r>
      <w:bookmarkEnd w:id="663"/>
      <w:r>
        <w:t xml:space="preserve">. After the WHR had been completed, the WH levels varied </w:t>
      </w:r>
      <w:bookmarkStart w:id="664" w:name="_Hlk525148475"/>
      <w:r>
        <w:t>from 0.228 – 3.29 MW.</w:t>
      </w:r>
    </w:p>
    <w:bookmarkEnd w:id="664"/>
    <w:p w14:paraId="1E7ED014" w14:textId="77777777" w:rsidR="000F16EB" w:rsidRPr="00B96BB1" w:rsidRDefault="000F16EB" w:rsidP="000F16EB">
      <w:r>
        <w:t xml:space="preserve">The new WHR technique of simply assuming the WH levels post WHR was compared to the case study results. It was shown that the calculated and assumed levels of WH variation differed by 7%, which is acceptable for the purposes of a feasibility assessment. The choice to not consider the costs of the WHR equipment in the feasibility assessment was supported as all of the case study WHR options reached economic payback with three years. </w:t>
      </w:r>
    </w:p>
    <w:p w14:paraId="525313B2" w14:textId="06A032A9" w:rsidR="000F16EB" w:rsidRDefault="000F16EB">
      <w:pPr>
        <w:jc w:val="left"/>
      </w:pPr>
      <w:r>
        <w:br w:type="page"/>
      </w:r>
    </w:p>
    <w:p w14:paraId="4A22BA6B" w14:textId="77777777" w:rsidR="000F16EB" w:rsidRDefault="000F16EB" w:rsidP="000F16EB">
      <w:pPr>
        <w:pStyle w:val="Heading1"/>
      </w:pPr>
      <w:bookmarkStart w:id="665" w:name="_Toc525230014"/>
      <w:bookmarkStart w:id="666" w:name="_Ref531344568"/>
      <w:bookmarkStart w:id="667" w:name="_Ref531345103"/>
      <w:bookmarkStart w:id="668" w:name="_Toc7187541"/>
      <w:r>
        <w:lastRenderedPageBreak/>
        <w:t>Heat Demand Modelling</w:t>
      </w:r>
      <w:bookmarkEnd w:id="665"/>
      <w:bookmarkEnd w:id="666"/>
      <w:bookmarkEnd w:id="667"/>
      <w:bookmarkEnd w:id="668"/>
    </w:p>
    <w:p w14:paraId="31567263" w14:textId="77777777" w:rsidR="000F16EB" w:rsidRDefault="000F16EB" w:rsidP="000F16EB">
      <w:r>
        <w:t>HD modelling is used to quantify the hourly variation in the HD experienced by a DHN, allowing for techno-economic modelling and DH optimisation processes to be completed. To meet the overall aim of this thesis, the HD model was left simple enough that a non</w:t>
      </w:r>
      <w:r>
        <w:noBreakHyphen/>
        <w:t>technical user could operate it. The simple nature of the model came from using techniques based on HDD and archetype modelling, requiring a number of assumptions, each of which had the potential to negatively affect the accuracy of the work. The effects of each assumption were assessed using MC simulations. A secondary aim of the thesis was to keep the model generic enough that it could applied to any DHN, including ones in both urban and rural locations. To test the applicability of the model in different locations, urban and rural case studies were used. The results of the case studies were assessed to see if modifications needed to be made to the model from case to case.</w:t>
      </w:r>
    </w:p>
    <w:p w14:paraId="5C6F1FCC" w14:textId="77777777" w:rsidR="000F16EB" w:rsidRDefault="000F16EB" w:rsidP="000F16EB">
      <w:pPr>
        <w:pStyle w:val="Heading2"/>
      </w:pPr>
      <w:bookmarkStart w:id="669" w:name="_Toc525230015"/>
      <w:bookmarkStart w:id="670" w:name="_Toc7187542"/>
      <w:r>
        <w:t>Methodology</w:t>
      </w:r>
      <w:bookmarkEnd w:id="669"/>
      <w:bookmarkEnd w:id="670"/>
    </w:p>
    <w:p w14:paraId="2E23BB2A" w14:textId="4EB296AA" w:rsidR="000F16EB" w:rsidRDefault="000F16EB" w:rsidP="000F16EB">
      <w:r>
        <w:t xml:space="preserve">The basis of the methodology was an industrial based archetype model produced by Arup </w:t>
      </w:r>
      <w:r>
        <w:fldChar w:fldCharType="begin" w:fldLock="1"/>
      </w:r>
      <w:r w:rsidR="002A6A73">
        <w:instrText>ADDIN CSL_CITATION {"citationItems":[{"id":"ITEM-1","itemData":{"author":[{"dropping-particle":"","family":"Arup","given":"","non-dropping-particle":"","parse-names":false,"suffix":""}],"id":"ITEM-1","issued":{"date-parts":[["2007"]]},"number":"3","publisher":"Arup","publisher-place":"Manchester, England","title":"Level 2 Heat Networks Tool","type":"article"},"uris":["http://www.mendeley.com/documents/?uuid=ee9320d4-ff33-4d9c-8b4c-fc0a59398f04"]}],"mendeley":{"formattedCitation":"(Arup, 2007)","plainTextFormattedCitation":"(Arup, 2007)","previouslyFormattedCitation":"(Arup, 2007)"},"properties":{"noteIndex":0},"schema":"https://github.com/citation-style-language/schema/raw/master/csl-citation.json"}</w:instrText>
      </w:r>
      <w:r>
        <w:fldChar w:fldCharType="separate"/>
      </w:r>
      <w:r w:rsidR="002A6A73" w:rsidRPr="002A6A73">
        <w:rPr>
          <w:noProof/>
        </w:rPr>
        <w:t>(Arup, 2007)</w:t>
      </w:r>
      <w:r>
        <w:fldChar w:fldCharType="end"/>
      </w:r>
      <w:r>
        <w:t>. The industrial model used HDD and regression-based archetype techniques to generate curves of hourly HD variation for seven different building archetypes. The hourly curves showed the variation in HD per unit area of floor (MW/m</w:t>
      </w:r>
      <w:r>
        <w:rPr>
          <w:vertAlign w:val="superscript"/>
        </w:rPr>
        <w:t>2</w:t>
      </w:r>
      <w:r>
        <w:t xml:space="preserve">). For each archetype, 12 curves were generated (1 for each month) by scaling a reference HD profile by a temperature dependent factor. The seven archetype categories were retail, commercial, food and drink, hotels, both residential and non-residential institutions, and assembly and leisure. The HDD values were calculated using hourly variations in local temperature across a year of recording, available from weather stations across the UK, as shown in Equation </w:t>
      </w:r>
      <w:r>
        <w:fldChar w:fldCharType="begin"/>
      </w:r>
      <w:r>
        <w:instrText xml:space="preserve"> REF _Ref531102424 \h </w:instrText>
      </w:r>
      <w:r>
        <w:fldChar w:fldCharType="separate"/>
      </w:r>
      <w:r w:rsidR="00CB7456">
        <w:rPr>
          <w:noProof/>
        </w:rPr>
        <w:t>6</w:t>
      </w:r>
      <w:r w:rsidR="00CB7456">
        <w:t>.</w:t>
      </w:r>
      <w:r w:rsidR="00CB7456">
        <w:rPr>
          <w:noProof/>
        </w:rPr>
        <w:t>1</w:t>
      </w:r>
      <w:r>
        <w:fldChar w:fldCharType="end"/>
      </w:r>
      <w:r>
        <w:t xml:space="preserve"> and Equation </w:t>
      </w:r>
      <w:r>
        <w:fldChar w:fldCharType="begin"/>
      </w:r>
      <w:r>
        <w:instrText xml:space="preserve"> REF _Ref531102542 \h </w:instrText>
      </w:r>
      <w:r>
        <w:fldChar w:fldCharType="separate"/>
      </w:r>
      <w:r w:rsidR="00CB7456">
        <w:rPr>
          <w:noProof/>
        </w:rPr>
        <w:t>6</w:t>
      </w:r>
      <w:r w:rsidR="00CB7456">
        <w:t>.</w:t>
      </w:r>
      <w:r w:rsidR="00CB7456">
        <w:rPr>
          <w:noProof/>
        </w:rPr>
        <w:t>2</w:t>
      </w:r>
      <w:r>
        <w:fldChar w:fldCharType="end"/>
      </w:r>
      <w: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5"/>
        <w:gridCol w:w="543"/>
      </w:tblGrid>
      <w:tr w:rsidR="000F16EB" w14:paraId="4D6D8F66" w14:textId="77777777" w:rsidTr="00A7521D">
        <w:tc>
          <w:tcPr>
            <w:tcW w:w="7655" w:type="dxa"/>
            <w:hideMark/>
          </w:tcPr>
          <w:p w14:paraId="2BCFFCDF" w14:textId="77777777" w:rsidR="000F16EB" w:rsidRDefault="00C73E04" w:rsidP="00A7521D">
            <w:pPr>
              <w:keepNext/>
            </w:pPr>
            <m:oMathPara>
              <m:oMathParaPr>
                <m:jc m:val="left"/>
              </m:oMathParaPr>
              <m:oMath>
                <m:sSub>
                  <m:sSubPr>
                    <m:ctrlPr>
                      <w:rPr>
                        <w:rFonts w:ascii="Cambria Math" w:hAnsi="Cambria Math"/>
                        <w:i/>
                      </w:rPr>
                    </m:ctrlPr>
                  </m:sSubPr>
                  <m:e>
                    <m:r>
                      <w:rPr>
                        <w:rFonts w:ascii="Cambria Math" w:hAnsi="Cambria Math"/>
                      </w:rPr>
                      <m:t>T</m:t>
                    </m:r>
                  </m:e>
                  <m:sub>
                    <m:r>
                      <w:rPr>
                        <w:rFonts w:ascii="Cambria Math" w:hAnsi="Cambria Math"/>
                      </w:rPr>
                      <m:t>dd</m:t>
                    </m:r>
                  </m:sub>
                </m:sSub>
                <m:r>
                  <w:rPr>
                    <w:rFonts w:ascii="Cambria Math" w:hAnsi="Cambria Math"/>
                  </w:rPr>
                  <m:t>=</m:t>
                </m:r>
                <m:f>
                  <m:fPr>
                    <m:ctrlPr>
                      <w:rPr>
                        <w:rFonts w:ascii="Cambria Math" w:hAnsi="Cambria Math"/>
                        <w:i/>
                      </w:rPr>
                    </m:ctrlPr>
                  </m:fPr>
                  <m:num>
                    <m:nary>
                      <m:naryPr>
                        <m:chr m:val="∑"/>
                        <m:limLoc m:val="undOvr"/>
                        <m:ctrlPr>
                          <w:rPr>
                            <w:rFonts w:ascii="Cambria Math" w:hAnsi="Cambria Math"/>
                            <w:i/>
                          </w:rPr>
                        </m:ctrlPr>
                      </m:naryPr>
                      <m:sub>
                        <m:r>
                          <w:rPr>
                            <w:rFonts w:ascii="Cambria Math" w:hAnsi="Cambria Math"/>
                          </w:rPr>
                          <m:t>t=0</m:t>
                        </m:r>
                      </m:sub>
                      <m:sup>
                        <m:sSub>
                          <m:sSubPr>
                            <m:ctrlPr>
                              <w:rPr>
                                <w:rFonts w:ascii="Cambria Math" w:hAnsi="Cambria Math"/>
                                <w:i/>
                              </w:rPr>
                            </m:ctrlPr>
                          </m:sSubPr>
                          <m:e>
                            <m:r>
                              <w:rPr>
                                <w:rFonts w:ascii="Cambria Math" w:hAnsi="Cambria Math"/>
                              </w:rPr>
                              <m:t>t</m:t>
                            </m:r>
                          </m:e>
                          <m:sub>
                            <m:r>
                              <w:rPr>
                                <w:rFonts w:ascii="Cambria Math" w:hAnsi="Cambria Math"/>
                              </w:rPr>
                              <m:t>max</m:t>
                            </m:r>
                          </m:sub>
                        </m:sSub>
                      </m:sup>
                      <m:e>
                        <m:sSub>
                          <m:sSubPr>
                            <m:ctrlPr>
                              <w:rPr>
                                <w:rFonts w:ascii="Cambria Math" w:hAnsi="Cambria Math"/>
                                <w:i/>
                              </w:rPr>
                            </m:ctrlPr>
                          </m:sSubPr>
                          <m:e>
                            <m:r>
                              <w:rPr>
                                <w:rFonts w:ascii="Cambria Math" w:hAnsi="Cambria Math"/>
                              </w:rPr>
                              <m:t>y</m:t>
                            </m:r>
                          </m:e>
                          <m:sub>
                            <m:r>
                              <w:rPr>
                                <w:rFonts w:ascii="Cambria Math" w:hAnsi="Cambria Math"/>
                              </w:rPr>
                              <m:t>t</m:t>
                            </m:r>
                          </m:sub>
                        </m:sSub>
                      </m:e>
                    </m:nary>
                  </m:num>
                  <m:den>
                    <m:sSub>
                      <m:sSubPr>
                        <m:ctrlPr>
                          <w:rPr>
                            <w:rFonts w:ascii="Cambria Math" w:hAnsi="Cambria Math"/>
                            <w:i/>
                          </w:rPr>
                        </m:ctrlPr>
                      </m:sSubPr>
                      <m:e>
                        <m:r>
                          <w:rPr>
                            <w:rFonts w:ascii="Cambria Math" w:hAnsi="Cambria Math"/>
                          </w:rPr>
                          <m:t>t</m:t>
                        </m:r>
                      </m:e>
                      <m:sub>
                        <m:r>
                          <w:rPr>
                            <w:rFonts w:ascii="Cambria Math" w:hAnsi="Cambria Math"/>
                          </w:rPr>
                          <m:t>max</m:t>
                        </m:r>
                      </m:sub>
                    </m:sSub>
                  </m:den>
                </m:f>
              </m:oMath>
            </m:oMathPara>
          </w:p>
        </w:tc>
        <w:bookmarkStart w:id="671" w:name="_Ref531102424"/>
        <w:tc>
          <w:tcPr>
            <w:tcW w:w="543" w:type="dxa"/>
            <w:vAlign w:val="center"/>
            <w:hideMark/>
          </w:tcPr>
          <w:p w14:paraId="6524BCD8" w14:textId="4AD58BE2" w:rsidR="000F16EB" w:rsidRPr="000C6BA1" w:rsidRDefault="000F16EB" w:rsidP="00A7521D">
            <w:pPr>
              <w:pStyle w:val="Caption"/>
              <w:jc w:val="right"/>
              <w:rPr>
                <w:b w:val="0"/>
              </w:rPr>
            </w:pPr>
            <w:r>
              <w:fldChar w:fldCharType="begin"/>
            </w:r>
            <w:r>
              <w:instrText xml:space="preserve"> STYLEREF 1 \s </w:instrText>
            </w:r>
            <w:r>
              <w:fldChar w:fldCharType="separate"/>
            </w:r>
            <w:r w:rsidR="00CB7456">
              <w:rPr>
                <w:noProof/>
              </w:rPr>
              <w:t>6</w:t>
            </w:r>
            <w:r>
              <w:fldChar w:fldCharType="end"/>
            </w:r>
            <w:r>
              <w:t>.</w:t>
            </w:r>
            <w:r>
              <w:rPr>
                <w:noProof/>
              </w:rPr>
              <w:fldChar w:fldCharType="begin"/>
            </w:r>
            <w:r>
              <w:rPr>
                <w:noProof/>
              </w:rPr>
              <w:instrText xml:space="preserve"> SEQ Equation \* ARABIC \s 1 </w:instrText>
            </w:r>
            <w:r>
              <w:rPr>
                <w:noProof/>
              </w:rPr>
              <w:fldChar w:fldCharType="separate"/>
            </w:r>
            <w:r w:rsidR="00CB7456">
              <w:rPr>
                <w:noProof/>
              </w:rPr>
              <w:t>1</w:t>
            </w:r>
            <w:r>
              <w:rPr>
                <w:noProof/>
              </w:rPr>
              <w:fldChar w:fldCharType="end"/>
            </w:r>
            <w:bookmarkEnd w:id="671"/>
          </w:p>
        </w:tc>
      </w:tr>
    </w:tbl>
    <w:p w14:paraId="7F23093A" w14:textId="77777777" w:rsidR="000F16EB" w:rsidRDefault="000F16EB" w:rsidP="003650C8">
      <w:pPr>
        <w:pStyle w:val="NoSpacing"/>
      </w:pPr>
    </w:p>
    <w:p w14:paraId="7E25F9B7" w14:textId="77777777" w:rsidR="000F16EB" w:rsidRDefault="00C73E04" w:rsidP="000F16EB">
      <w:pPr>
        <w:pStyle w:val="NoSpacing"/>
      </w:pPr>
      <m:oMath>
        <m:sSub>
          <m:sSubPr>
            <m:ctrlPr>
              <w:rPr>
                <w:rFonts w:ascii="Cambria Math" w:hAnsi="Cambria Math"/>
                <w:i/>
              </w:rPr>
            </m:ctrlPr>
          </m:sSubPr>
          <m:e>
            <m:r>
              <w:rPr>
                <w:rFonts w:ascii="Cambria Math" w:hAnsi="Cambria Math"/>
              </w:rPr>
              <m:t>T</m:t>
            </m:r>
          </m:e>
          <m:sub>
            <m:r>
              <w:rPr>
                <w:rFonts w:ascii="Cambria Math" w:hAnsi="Cambria Math"/>
              </w:rPr>
              <m:t>dd</m:t>
            </m:r>
          </m:sub>
        </m:sSub>
      </m:oMath>
      <w:r w:rsidR="000F16EB">
        <w:t xml:space="preserve"> was the monthly degree day val</w:t>
      </w:r>
      <w:proofErr w:type="spellStart"/>
      <w:r w:rsidR="000F16EB">
        <w:t>ue</w:t>
      </w:r>
      <w:proofErr w:type="spellEnd"/>
      <w:r w:rsidR="000F16EB">
        <w:t xml:space="preserve"> (°C/hr),</w:t>
      </w:r>
    </w:p>
    <w:bookmarkStart w:id="672" w:name="_Hlk526156206"/>
    <w:p w14:paraId="11E9E73B" w14:textId="77777777" w:rsidR="000F16EB" w:rsidRDefault="00C73E04" w:rsidP="000F16EB">
      <w:pPr>
        <w:pStyle w:val="NoSpacing"/>
      </w:pPr>
      <m:oMath>
        <m:sSub>
          <m:sSubPr>
            <m:ctrlPr>
              <w:rPr>
                <w:rFonts w:ascii="Cambria Math" w:hAnsi="Cambria Math"/>
                <w:i/>
              </w:rPr>
            </m:ctrlPr>
          </m:sSubPr>
          <m:e>
            <m:r>
              <w:rPr>
                <w:rFonts w:ascii="Cambria Math" w:hAnsi="Cambria Math"/>
              </w:rPr>
              <m:t>t</m:t>
            </m:r>
          </m:e>
          <m:sub>
            <m:r>
              <w:rPr>
                <w:rFonts w:ascii="Cambria Math" w:hAnsi="Cambria Math"/>
              </w:rPr>
              <m:t>max</m:t>
            </m:r>
          </m:sub>
        </m:sSub>
      </m:oMath>
      <w:r w:rsidR="000F16EB">
        <w:t xml:space="preserve"> </w:t>
      </w:r>
      <w:bookmarkEnd w:id="672"/>
      <w:r w:rsidR="000F16EB">
        <w:t>was the number of hours in the month (hr),</w:t>
      </w:r>
    </w:p>
    <w:bookmarkStart w:id="673" w:name="_Hlk526156316"/>
    <w:p w14:paraId="55587EC0" w14:textId="77777777" w:rsidR="000F16EB" w:rsidRDefault="00C73E04" w:rsidP="000F16EB">
      <m:oMath>
        <m:sSub>
          <m:sSubPr>
            <m:ctrlPr>
              <w:rPr>
                <w:rFonts w:ascii="Cambria Math" w:hAnsi="Cambria Math"/>
                <w:i/>
              </w:rPr>
            </m:ctrlPr>
          </m:sSubPr>
          <m:e>
            <m:r>
              <w:rPr>
                <w:rFonts w:ascii="Cambria Math" w:hAnsi="Cambria Math"/>
              </w:rPr>
              <m:t>y</m:t>
            </m:r>
          </m:e>
          <m:sub>
            <m:r>
              <w:rPr>
                <w:rFonts w:ascii="Cambria Math" w:hAnsi="Cambria Math"/>
              </w:rPr>
              <m:t>t</m:t>
            </m:r>
          </m:sub>
        </m:sSub>
      </m:oMath>
      <w:bookmarkEnd w:id="673"/>
      <w:r w:rsidR="000F16EB">
        <w:t xml:space="preserve"> was a calculation parameter (°C).</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5"/>
        <w:gridCol w:w="543"/>
      </w:tblGrid>
      <w:tr w:rsidR="000F16EB" w14:paraId="3D3D8914" w14:textId="77777777" w:rsidTr="00A7521D">
        <w:tc>
          <w:tcPr>
            <w:tcW w:w="7655" w:type="dxa"/>
            <w:hideMark/>
          </w:tcPr>
          <w:p w14:paraId="3F036E0E" w14:textId="77777777" w:rsidR="000F16EB" w:rsidRDefault="00C73E04" w:rsidP="00A7521D">
            <w:pPr>
              <w:keepNext/>
            </w:pPr>
            <m:oMathPara>
              <m:oMathParaPr>
                <m:jc m:val="left"/>
              </m:oMathParaPr>
              <m:oMath>
                <m:sSub>
                  <m:sSubPr>
                    <m:ctrlPr>
                      <w:rPr>
                        <w:rFonts w:ascii="Cambria Math" w:hAnsi="Cambria Math"/>
                        <w:i/>
                      </w:rPr>
                    </m:ctrlPr>
                  </m:sSubPr>
                  <m:e>
                    <m:r>
                      <w:rPr>
                        <w:rFonts w:ascii="Cambria Math" w:hAnsi="Cambria Math"/>
                      </w:rPr>
                      <m:t>y</m:t>
                    </m:r>
                  </m:e>
                  <m:sub>
                    <m:r>
                      <w:rPr>
                        <w:rFonts w:ascii="Cambria Math" w:hAnsi="Cambria Math"/>
                      </w:rPr>
                      <m:t>t</m:t>
                    </m:r>
                  </m:sub>
                </m:sSub>
                <m:r>
                  <w:rPr>
                    <w:rFonts w:ascii="Cambria Math" w:hAnsi="Cambria Math"/>
                  </w:rPr>
                  <m:t>=</m:t>
                </m:r>
                <m:d>
                  <m:dPr>
                    <m:begChr m:val="{"/>
                    <m:endChr m:val=""/>
                    <m:ctrlPr>
                      <w:rPr>
                        <w:rFonts w:ascii="Cambria Math" w:hAnsi="Cambria Math"/>
                        <w:i/>
                      </w:rPr>
                    </m:ctrlPr>
                  </m:dPr>
                  <m:e>
                    <m:eqArr>
                      <m:eqArrPr>
                        <m:ctrlPr>
                          <w:rPr>
                            <w:rFonts w:ascii="Cambria Math" w:hAnsi="Cambria Math"/>
                            <w:i/>
                          </w:rPr>
                        </m:ctrlPr>
                      </m:eqArrPr>
                      <m:e>
                        <m:sSub>
                          <m:sSubPr>
                            <m:ctrlPr>
                              <w:rPr>
                                <w:rFonts w:ascii="Cambria Math" w:hAnsi="Cambria Math"/>
                                <w:i/>
                              </w:rPr>
                            </m:ctrlPr>
                          </m:sSubPr>
                          <m:e>
                            <m:r>
                              <w:rPr>
                                <w:rFonts w:ascii="Cambria Math" w:hAnsi="Cambria Math"/>
                              </w:rPr>
                              <m:t>T</m:t>
                            </m:r>
                          </m:e>
                          <m:sub>
                            <m:r>
                              <w:rPr>
                                <w:rFonts w:ascii="Cambria Math" w:hAnsi="Cambria Math"/>
                              </w:rPr>
                              <m:t>ref</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t</m:t>
                            </m:r>
                          </m:sub>
                        </m:sSub>
                        <m:r>
                          <w:rPr>
                            <w:rFonts w:ascii="Cambria Math" w:hAnsi="Cambria Math"/>
                          </w:rPr>
                          <m:t>,</m:t>
                        </m:r>
                        <m:r>
                          <m:rPr>
                            <m:nor/>
                          </m:rPr>
                          <w:rPr>
                            <w:rFonts w:ascii="Cambria Math" w:hAnsi="Cambria Math"/>
                          </w:rPr>
                          <m:t xml:space="preserve"> if </m:t>
                        </m:r>
                        <m:sSub>
                          <m:sSubPr>
                            <m:ctrlPr>
                              <w:rPr>
                                <w:rFonts w:ascii="Cambria Math" w:hAnsi="Cambria Math"/>
                                <w:i/>
                              </w:rPr>
                            </m:ctrlPr>
                          </m:sSubPr>
                          <m:e>
                            <m:r>
                              <w:rPr>
                                <w:rFonts w:ascii="Cambria Math" w:hAnsi="Cambria Math"/>
                              </w:rPr>
                              <m:t>T</m:t>
                            </m:r>
                          </m:e>
                          <m:sub>
                            <m:r>
                              <w:rPr>
                                <w:rFonts w:ascii="Cambria Math" w:hAnsi="Cambria Math"/>
                              </w:rPr>
                              <m:t>ref</m:t>
                            </m:r>
                          </m:sub>
                        </m:sSub>
                        <m:r>
                          <w:rPr>
                            <w:rFonts w:ascii="Cambria Math" w:hAnsi="Cambria Math"/>
                          </w:rPr>
                          <m:t>&gt;</m:t>
                        </m:r>
                        <m:sSub>
                          <m:sSubPr>
                            <m:ctrlPr>
                              <w:rPr>
                                <w:rFonts w:ascii="Cambria Math" w:hAnsi="Cambria Math"/>
                                <w:i/>
                              </w:rPr>
                            </m:ctrlPr>
                          </m:sSubPr>
                          <m:e>
                            <m:r>
                              <w:rPr>
                                <w:rFonts w:ascii="Cambria Math" w:hAnsi="Cambria Math"/>
                              </w:rPr>
                              <m:t>T</m:t>
                            </m:r>
                          </m:e>
                          <m:sub>
                            <m:r>
                              <w:rPr>
                                <w:rFonts w:ascii="Cambria Math" w:hAnsi="Cambria Math"/>
                              </w:rPr>
                              <m:t>t</m:t>
                            </m:r>
                          </m:sub>
                        </m:sSub>
                      </m:e>
                      <m:e>
                        <m:r>
                          <w:rPr>
                            <w:rFonts w:ascii="Cambria Math" w:hAnsi="Cambria Math"/>
                          </w:rPr>
                          <m:t xml:space="preserve">              0,</m:t>
                        </m:r>
                        <m:r>
                          <m:rPr>
                            <m:nor/>
                          </m:rPr>
                          <w:rPr>
                            <w:rFonts w:ascii="Cambria Math" w:hAnsi="Cambria Math"/>
                          </w:rPr>
                          <m:t xml:space="preserve"> if </m:t>
                        </m:r>
                        <m:sSub>
                          <m:sSubPr>
                            <m:ctrlPr>
                              <w:rPr>
                                <w:rFonts w:ascii="Cambria Math" w:hAnsi="Cambria Math"/>
                                <w:i/>
                              </w:rPr>
                            </m:ctrlPr>
                          </m:sSubPr>
                          <m:e>
                            <m:r>
                              <w:rPr>
                                <w:rFonts w:ascii="Cambria Math" w:hAnsi="Cambria Math"/>
                              </w:rPr>
                              <m:t>T</m:t>
                            </m:r>
                          </m:e>
                          <m:sub>
                            <m:r>
                              <w:rPr>
                                <w:rFonts w:ascii="Cambria Math" w:hAnsi="Cambria Math"/>
                              </w:rPr>
                              <m:t>ref</m:t>
                            </m:r>
                          </m:sub>
                        </m:sSub>
                        <m:r>
                          <w:rPr>
                            <w:rFonts w:ascii="Cambria Math" w:hAnsi="Cambria Math"/>
                          </w:rPr>
                          <m:t>&lt;</m:t>
                        </m:r>
                        <m:sSub>
                          <m:sSubPr>
                            <m:ctrlPr>
                              <w:rPr>
                                <w:rFonts w:ascii="Cambria Math" w:hAnsi="Cambria Math"/>
                                <w:i/>
                              </w:rPr>
                            </m:ctrlPr>
                          </m:sSubPr>
                          <m:e>
                            <m:r>
                              <w:rPr>
                                <w:rFonts w:ascii="Cambria Math" w:hAnsi="Cambria Math"/>
                              </w:rPr>
                              <m:t>T</m:t>
                            </m:r>
                          </m:e>
                          <m:sub>
                            <m:r>
                              <w:rPr>
                                <w:rFonts w:ascii="Cambria Math" w:hAnsi="Cambria Math"/>
                              </w:rPr>
                              <m:t>t</m:t>
                            </m:r>
                          </m:sub>
                        </m:sSub>
                      </m:e>
                    </m:eqArr>
                  </m:e>
                </m:d>
              </m:oMath>
            </m:oMathPara>
          </w:p>
        </w:tc>
        <w:bookmarkStart w:id="674" w:name="_Ref531102542"/>
        <w:tc>
          <w:tcPr>
            <w:tcW w:w="543" w:type="dxa"/>
            <w:vAlign w:val="center"/>
            <w:hideMark/>
          </w:tcPr>
          <w:p w14:paraId="01A1F4EB" w14:textId="4FC10DA0" w:rsidR="000F16EB" w:rsidRPr="000C6BA1" w:rsidRDefault="000F16EB" w:rsidP="00A7521D">
            <w:pPr>
              <w:pStyle w:val="Caption"/>
              <w:jc w:val="right"/>
              <w:rPr>
                <w:b w:val="0"/>
              </w:rPr>
            </w:pPr>
            <w:r>
              <w:fldChar w:fldCharType="begin"/>
            </w:r>
            <w:r>
              <w:instrText xml:space="preserve"> STYLEREF 1 \s </w:instrText>
            </w:r>
            <w:r>
              <w:fldChar w:fldCharType="separate"/>
            </w:r>
            <w:r w:rsidR="00CB7456">
              <w:rPr>
                <w:noProof/>
              </w:rPr>
              <w:t>6</w:t>
            </w:r>
            <w:r>
              <w:fldChar w:fldCharType="end"/>
            </w:r>
            <w:r>
              <w:t>.</w:t>
            </w:r>
            <w:r>
              <w:rPr>
                <w:noProof/>
              </w:rPr>
              <w:fldChar w:fldCharType="begin"/>
            </w:r>
            <w:r>
              <w:rPr>
                <w:noProof/>
              </w:rPr>
              <w:instrText xml:space="preserve"> SEQ Equation \* ARABIC \s 1 </w:instrText>
            </w:r>
            <w:r>
              <w:rPr>
                <w:noProof/>
              </w:rPr>
              <w:fldChar w:fldCharType="separate"/>
            </w:r>
            <w:r w:rsidR="00CB7456">
              <w:rPr>
                <w:noProof/>
              </w:rPr>
              <w:t>2</w:t>
            </w:r>
            <w:r>
              <w:rPr>
                <w:noProof/>
              </w:rPr>
              <w:fldChar w:fldCharType="end"/>
            </w:r>
            <w:bookmarkEnd w:id="674"/>
          </w:p>
        </w:tc>
      </w:tr>
    </w:tbl>
    <w:p w14:paraId="7CC09676" w14:textId="77777777" w:rsidR="000F16EB" w:rsidRPr="00EB29C0" w:rsidRDefault="000F16EB" w:rsidP="003650C8">
      <w:pPr>
        <w:pStyle w:val="NoSpacing"/>
      </w:pPr>
    </w:p>
    <w:p w14:paraId="03591C24" w14:textId="77777777" w:rsidR="000F16EB" w:rsidRDefault="00C73E04" w:rsidP="000F16EB">
      <w:pPr>
        <w:pStyle w:val="NoSpacing"/>
      </w:pPr>
      <m:oMath>
        <m:sSub>
          <m:sSubPr>
            <m:ctrlPr>
              <w:rPr>
                <w:rFonts w:ascii="Cambria Math" w:hAnsi="Cambria Math"/>
                <w:i/>
              </w:rPr>
            </m:ctrlPr>
          </m:sSubPr>
          <m:e>
            <m:r>
              <w:rPr>
                <w:rFonts w:ascii="Cambria Math" w:hAnsi="Cambria Math"/>
              </w:rPr>
              <m:t>T</m:t>
            </m:r>
          </m:e>
          <m:sub>
            <m:r>
              <w:rPr>
                <w:rFonts w:ascii="Cambria Math" w:hAnsi="Cambria Math"/>
              </w:rPr>
              <m:t>r</m:t>
            </m:r>
            <w:bookmarkStart w:id="675" w:name="_Hlk526156337"/>
            <m:r>
              <w:rPr>
                <w:rFonts w:ascii="Cambria Math" w:hAnsi="Cambria Math"/>
              </w:rPr>
              <m:t>ef</m:t>
            </m:r>
            <w:bookmarkEnd w:id="675"/>
          </m:sub>
        </m:sSub>
      </m:oMath>
      <w:r w:rsidR="000F16EB">
        <w:t xml:space="preserve"> was the reference temperature at time, </w:t>
      </w:r>
      <w:r w:rsidR="000F16EB">
        <w:rPr>
          <w:i/>
        </w:rPr>
        <w:t xml:space="preserve">t </w:t>
      </w:r>
      <w:r w:rsidR="000F16EB">
        <w:t>(°C),</w:t>
      </w:r>
    </w:p>
    <w:p w14:paraId="0C993A84" w14:textId="77777777" w:rsidR="000F16EB" w:rsidRDefault="00C73E04" w:rsidP="000F16EB">
      <w:pPr>
        <w:ind w:left="720" w:hanging="720"/>
      </w:pPr>
      <m:oMath>
        <m:sSub>
          <m:sSubPr>
            <m:ctrlPr>
              <w:rPr>
                <w:rFonts w:ascii="Cambria Math" w:hAnsi="Cambria Math"/>
                <w:i/>
              </w:rPr>
            </m:ctrlPr>
          </m:sSubPr>
          <m:e>
            <m:r>
              <w:rPr>
                <w:rFonts w:ascii="Cambria Math" w:hAnsi="Cambria Math"/>
              </w:rPr>
              <m:t>T</m:t>
            </m:r>
          </m:e>
          <m:sub>
            <m:r>
              <w:rPr>
                <w:rFonts w:ascii="Cambria Math" w:hAnsi="Cambria Math"/>
              </w:rPr>
              <m:t>t</m:t>
            </m:r>
          </m:sub>
        </m:sSub>
      </m:oMath>
      <w:r w:rsidR="000F16EB">
        <w:t xml:space="preserve"> was the external temperature at time, </w:t>
      </w:r>
      <w:r w:rsidR="000F16EB">
        <w:rPr>
          <w:i/>
        </w:rPr>
        <w:t xml:space="preserve">t </w:t>
      </w:r>
      <w:r w:rsidR="000F16EB">
        <w:t>(°C).</w:t>
      </w:r>
    </w:p>
    <w:p w14:paraId="6D669E96" w14:textId="698E8C92" w:rsidR="000F16EB" w:rsidRDefault="000F16EB" w:rsidP="000F16EB">
      <w:r>
        <w:t xml:space="preserve">The monthly degree day values were used to calculate a monthly temperature dependent factor (TDF), as shown in Equation </w:t>
      </w:r>
      <w:r>
        <w:fldChar w:fldCharType="begin"/>
      </w:r>
      <w:r>
        <w:instrText xml:space="preserve"> REF _Ref531102598 \h </w:instrText>
      </w:r>
      <w:r>
        <w:fldChar w:fldCharType="separate"/>
      </w:r>
      <w:r w:rsidR="00CB7456">
        <w:rPr>
          <w:noProof/>
        </w:rPr>
        <w:t>6</w:t>
      </w:r>
      <w:r w:rsidR="00CB7456">
        <w:t>.</w:t>
      </w:r>
      <w:r w:rsidR="00CB7456">
        <w:rPr>
          <w:noProof/>
        </w:rPr>
        <w:t>3</w:t>
      </w:r>
      <w:r>
        <w:fldChar w:fldCharType="end"/>
      </w:r>
      <w: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5"/>
        <w:gridCol w:w="543"/>
      </w:tblGrid>
      <w:tr w:rsidR="000F16EB" w14:paraId="449C8D0E" w14:textId="77777777" w:rsidTr="00A7521D">
        <w:tc>
          <w:tcPr>
            <w:tcW w:w="7655" w:type="dxa"/>
            <w:hideMark/>
          </w:tcPr>
          <w:p w14:paraId="14DEC905" w14:textId="77777777" w:rsidR="000F16EB" w:rsidRDefault="00C73E04" w:rsidP="00A7521D">
            <w:pPr>
              <w:keepNext/>
            </w:pPr>
            <m:oMathPara>
              <m:oMathParaPr>
                <m:jc m:val="left"/>
              </m:oMathParaPr>
              <m:oMath>
                <m:sSub>
                  <m:sSubPr>
                    <m:ctrlPr>
                      <w:rPr>
                        <w:rFonts w:ascii="Cambria Math" w:hAnsi="Cambria Math"/>
                        <w:i/>
                      </w:rPr>
                    </m:ctrlPr>
                  </m:sSubPr>
                  <m:e>
                    <m:r>
                      <m:rPr>
                        <m:nor/>
                      </m:rPr>
                      <w:rPr>
                        <w:rFonts w:ascii="Cambria Math" w:hAnsi="Cambria Math"/>
                      </w:rPr>
                      <m:t>TDF</m:t>
                    </m:r>
                  </m:e>
                  <m:sub>
                    <m:r>
                      <w:rPr>
                        <w:rFonts w:ascii="Cambria Math" w:hAnsi="Cambria Math"/>
                      </w:rPr>
                      <m:t>mon</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T</m:t>
                        </m:r>
                      </m:e>
                      <m:sub>
                        <m:r>
                          <w:rPr>
                            <w:rFonts w:ascii="Cambria Math" w:hAnsi="Cambria Math"/>
                          </w:rPr>
                          <m:t>dd</m:t>
                        </m:r>
                      </m:sub>
                    </m:sSub>
                  </m:num>
                  <m:den>
                    <m:sSub>
                      <m:sSubPr>
                        <m:ctrlPr>
                          <w:rPr>
                            <w:rFonts w:ascii="Cambria Math" w:hAnsi="Cambria Math"/>
                            <w:i/>
                          </w:rPr>
                        </m:ctrlPr>
                      </m:sSubPr>
                      <m:e>
                        <m:r>
                          <w:rPr>
                            <w:rFonts w:ascii="Cambria Math" w:hAnsi="Cambria Math"/>
                          </w:rPr>
                          <m:t>T</m:t>
                        </m:r>
                      </m:e>
                      <m:sub>
                        <m:r>
                          <w:rPr>
                            <w:rFonts w:ascii="Cambria Math" w:hAnsi="Cambria Math"/>
                          </w:rPr>
                          <m:t>dd,max</m:t>
                        </m:r>
                      </m:sub>
                    </m:sSub>
                  </m:den>
                </m:f>
              </m:oMath>
            </m:oMathPara>
          </w:p>
        </w:tc>
        <w:bookmarkStart w:id="676" w:name="_Ref531102598"/>
        <w:tc>
          <w:tcPr>
            <w:tcW w:w="543" w:type="dxa"/>
            <w:vAlign w:val="center"/>
            <w:hideMark/>
          </w:tcPr>
          <w:p w14:paraId="41D28747" w14:textId="45FC6782" w:rsidR="000F16EB" w:rsidRPr="000C6BA1" w:rsidRDefault="000F16EB" w:rsidP="00A7521D">
            <w:pPr>
              <w:pStyle w:val="Caption"/>
              <w:jc w:val="right"/>
              <w:rPr>
                <w:b w:val="0"/>
              </w:rPr>
            </w:pPr>
            <w:r>
              <w:fldChar w:fldCharType="begin"/>
            </w:r>
            <w:r>
              <w:instrText xml:space="preserve"> STYLEREF 1 \s </w:instrText>
            </w:r>
            <w:r>
              <w:fldChar w:fldCharType="separate"/>
            </w:r>
            <w:r w:rsidR="00CB7456">
              <w:rPr>
                <w:noProof/>
              </w:rPr>
              <w:t>6</w:t>
            </w:r>
            <w:r>
              <w:fldChar w:fldCharType="end"/>
            </w:r>
            <w:r>
              <w:t>.</w:t>
            </w:r>
            <w:r>
              <w:rPr>
                <w:noProof/>
              </w:rPr>
              <w:fldChar w:fldCharType="begin"/>
            </w:r>
            <w:r>
              <w:rPr>
                <w:noProof/>
              </w:rPr>
              <w:instrText xml:space="preserve"> SEQ Equation \* ARABIC \s 1 </w:instrText>
            </w:r>
            <w:r>
              <w:rPr>
                <w:noProof/>
              </w:rPr>
              <w:fldChar w:fldCharType="separate"/>
            </w:r>
            <w:r w:rsidR="00CB7456">
              <w:rPr>
                <w:noProof/>
              </w:rPr>
              <w:t>3</w:t>
            </w:r>
            <w:r>
              <w:rPr>
                <w:noProof/>
              </w:rPr>
              <w:fldChar w:fldCharType="end"/>
            </w:r>
            <w:bookmarkEnd w:id="676"/>
          </w:p>
        </w:tc>
      </w:tr>
    </w:tbl>
    <w:p w14:paraId="44DC18E5" w14:textId="77777777" w:rsidR="000F16EB" w:rsidRDefault="000F16EB" w:rsidP="003650C8">
      <w:pPr>
        <w:pStyle w:val="NoSpacing"/>
      </w:pPr>
    </w:p>
    <w:p w14:paraId="4AB3D59E" w14:textId="77777777" w:rsidR="000F16EB" w:rsidRPr="00F77733" w:rsidRDefault="00C73E04" w:rsidP="000F16EB">
      <w:pPr>
        <w:pStyle w:val="NoSpacing"/>
      </w:pPr>
      <m:oMath>
        <m:sSub>
          <m:sSubPr>
            <m:ctrlPr>
              <w:rPr>
                <w:rFonts w:ascii="Cambria Math" w:hAnsi="Cambria Math"/>
                <w:i/>
              </w:rPr>
            </m:ctrlPr>
          </m:sSubPr>
          <m:e>
            <w:bookmarkStart w:id="677" w:name="_Hlk526156427"/>
            <m:r>
              <m:rPr>
                <m:nor/>
              </m:rPr>
              <w:rPr>
                <w:rFonts w:ascii="Cambria Math" w:hAnsi="Cambria Math"/>
              </w:rPr>
              <m:t>TDF</m:t>
            </m:r>
            <w:bookmarkEnd w:id="677"/>
          </m:e>
          <m:sub>
            <w:bookmarkStart w:id="678" w:name="_Hlk526156517"/>
            <m:r>
              <w:rPr>
                <w:rFonts w:ascii="Cambria Math" w:hAnsi="Cambria Math"/>
              </w:rPr>
              <m:t>mon</m:t>
            </m:r>
            <w:bookmarkEnd w:id="678"/>
          </m:sub>
        </m:sSub>
      </m:oMath>
      <w:r w:rsidR="000F16EB">
        <w:t xml:space="preserve"> was the monthly temperature dependent factor for month, </w:t>
      </w:r>
      <w:r w:rsidR="000F16EB">
        <w:rPr>
          <w:i/>
        </w:rPr>
        <w:t>m</w:t>
      </w:r>
      <w:r w:rsidR="000F16EB">
        <w:t>,</w:t>
      </w:r>
    </w:p>
    <w:p w14:paraId="7016F2BA" w14:textId="77777777" w:rsidR="000F16EB" w:rsidRDefault="00C73E04" w:rsidP="000F16EB">
      <m:oMath>
        <m:sSub>
          <m:sSubPr>
            <m:ctrlPr>
              <w:rPr>
                <w:rFonts w:ascii="Cambria Math" w:hAnsi="Cambria Math"/>
                <w:i/>
              </w:rPr>
            </m:ctrlPr>
          </m:sSubPr>
          <m:e>
            <m:r>
              <w:rPr>
                <w:rFonts w:ascii="Cambria Math" w:hAnsi="Cambria Math"/>
              </w:rPr>
              <m:t>T</m:t>
            </m:r>
          </m:e>
          <m:sub>
            <m:r>
              <w:rPr>
                <w:rFonts w:ascii="Cambria Math" w:hAnsi="Cambria Math"/>
              </w:rPr>
              <m:t>dd,max</m:t>
            </m:r>
          </m:sub>
        </m:sSub>
      </m:oMath>
      <w:r w:rsidR="000F16EB">
        <w:t xml:space="preserve"> was the maximum monthly degree day value (°C/hour).</w:t>
      </w:r>
    </w:p>
    <w:p w14:paraId="3B6AABBA" w14:textId="4AFBD32C" w:rsidR="000F16EB" w:rsidRDefault="000F16EB" w:rsidP="000F16EB">
      <w:r>
        <w:lastRenderedPageBreak/>
        <w:t xml:space="preserve">For each archetype, the shapes of the curves and the ratios of HD from hour to hour were the same for each of the twelve months. The TDF was used to change the HD curves into separate curves for each month, as shown in Equation </w:t>
      </w:r>
      <w:r>
        <w:fldChar w:fldCharType="begin"/>
      </w:r>
      <w:r>
        <w:instrText xml:space="preserve"> REF _Ref531102662 \h </w:instrText>
      </w:r>
      <w:r>
        <w:fldChar w:fldCharType="separate"/>
      </w:r>
      <w:r w:rsidR="00CB7456">
        <w:rPr>
          <w:noProof/>
        </w:rPr>
        <w:t>6</w:t>
      </w:r>
      <w:r w:rsidR="00CB7456">
        <w:t>.</w:t>
      </w:r>
      <w:r w:rsidR="00CB7456">
        <w:rPr>
          <w:noProof/>
        </w:rPr>
        <w:t>4</w:t>
      </w:r>
      <w:r>
        <w:fldChar w:fldCharType="end"/>
      </w:r>
      <w: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5"/>
        <w:gridCol w:w="543"/>
      </w:tblGrid>
      <w:tr w:rsidR="000F16EB" w14:paraId="351B0EF1" w14:textId="77777777" w:rsidTr="00A7521D">
        <w:tc>
          <w:tcPr>
            <w:tcW w:w="7655" w:type="dxa"/>
            <w:hideMark/>
          </w:tcPr>
          <w:p w14:paraId="064AD69D" w14:textId="77777777" w:rsidR="000F16EB" w:rsidRDefault="00C73E04" w:rsidP="00A7521D">
            <w:pPr>
              <w:keepNext/>
            </w:pPr>
            <m:oMathPara>
              <m:oMathParaPr>
                <m:jc m:val="left"/>
              </m:oMathParaPr>
              <m:oMath>
                <m:sSub>
                  <m:sSubPr>
                    <m:ctrlPr>
                      <w:rPr>
                        <w:rFonts w:ascii="Cambria Math" w:hAnsi="Cambria Math"/>
                        <w:i/>
                      </w:rPr>
                    </m:ctrlPr>
                  </m:sSubPr>
                  <m:e>
                    <m:r>
                      <w:rPr>
                        <w:rFonts w:ascii="Cambria Math" w:hAnsi="Cambria Math"/>
                      </w:rPr>
                      <m:t>P</m:t>
                    </m:r>
                  </m:e>
                  <m:sub>
                    <m:r>
                      <w:rPr>
                        <w:rFonts w:ascii="Cambria Math" w:hAnsi="Cambria Math"/>
                      </w:rPr>
                      <m:t>A,mon,t</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A,ref,t</m:t>
                    </m:r>
                  </m:sub>
                </m:sSub>
                <m:sSub>
                  <m:sSubPr>
                    <m:ctrlPr>
                      <w:rPr>
                        <w:rFonts w:ascii="Cambria Math" w:hAnsi="Cambria Math"/>
                        <w:i/>
                      </w:rPr>
                    </m:ctrlPr>
                  </m:sSubPr>
                  <m:e>
                    <m:r>
                      <m:rPr>
                        <m:nor/>
                      </m:rPr>
                      <w:rPr>
                        <w:rFonts w:ascii="Cambria Math" w:hAnsi="Cambria Math"/>
                      </w:rPr>
                      <m:t>TDF</m:t>
                    </m:r>
                  </m:e>
                  <m:sub>
                    <m:r>
                      <w:rPr>
                        <w:rFonts w:ascii="Cambria Math" w:hAnsi="Cambria Math"/>
                      </w:rPr>
                      <m:t>mon</m:t>
                    </m:r>
                  </m:sub>
                </m:sSub>
              </m:oMath>
            </m:oMathPara>
          </w:p>
        </w:tc>
        <w:bookmarkStart w:id="679" w:name="_Ref531102662"/>
        <w:tc>
          <w:tcPr>
            <w:tcW w:w="543" w:type="dxa"/>
            <w:vAlign w:val="center"/>
            <w:hideMark/>
          </w:tcPr>
          <w:p w14:paraId="001808ED" w14:textId="2458B05F" w:rsidR="000F16EB" w:rsidRPr="000C6BA1" w:rsidRDefault="000F16EB" w:rsidP="00A7521D">
            <w:pPr>
              <w:pStyle w:val="Caption"/>
              <w:jc w:val="right"/>
              <w:rPr>
                <w:b w:val="0"/>
              </w:rPr>
            </w:pPr>
            <w:r>
              <w:fldChar w:fldCharType="begin"/>
            </w:r>
            <w:r>
              <w:instrText xml:space="preserve"> STYLEREF 1 \s </w:instrText>
            </w:r>
            <w:r>
              <w:fldChar w:fldCharType="separate"/>
            </w:r>
            <w:r w:rsidR="00CB7456">
              <w:rPr>
                <w:noProof/>
              </w:rPr>
              <w:t>6</w:t>
            </w:r>
            <w:r>
              <w:fldChar w:fldCharType="end"/>
            </w:r>
            <w:r>
              <w:t>.</w:t>
            </w:r>
            <w:r>
              <w:rPr>
                <w:noProof/>
              </w:rPr>
              <w:fldChar w:fldCharType="begin"/>
            </w:r>
            <w:r>
              <w:rPr>
                <w:noProof/>
              </w:rPr>
              <w:instrText xml:space="preserve"> SEQ Equation \* ARABIC \s 1 </w:instrText>
            </w:r>
            <w:r>
              <w:rPr>
                <w:noProof/>
              </w:rPr>
              <w:fldChar w:fldCharType="separate"/>
            </w:r>
            <w:r w:rsidR="00CB7456">
              <w:rPr>
                <w:noProof/>
              </w:rPr>
              <w:t>4</w:t>
            </w:r>
            <w:r>
              <w:rPr>
                <w:noProof/>
              </w:rPr>
              <w:fldChar w:fldCharType="end"/>
            </w:r>
            <w:bookmarkEnd w:id="679"/>
          </w:p>
        </w:tc>
      </w:tr>
    </w:tbl>
    <w:p w14:paraId="6A18F8C9" w14:textId="77777777" w:rsidR="000F16EB" w:rsidRDefault="000F16EB" w:rsidP="003650C8">
      <w:pPr>
        <w:pStyle w:val="NoSpacing"/>
      </w:pPr>
    </w:p>
    <w:p w14:paraId="5B0D1833" w14:textId="77777777" w:rsidR="000F16EB" w:rsidRDefault="00C73E04" w:rsidP="000F16EB">
      <w:pPr>
        <w:pStyle w:val="NoSpacing"/>
      </w:pPr>
      <m:oMath>
        <m:sSub>
          <m:sSubPr>
            <m:ctrlPr>
              <w:rPr>
                <w:rFonts w:ascii="Cambria Math" w:hAnsi="Cambria Math"/>
                <w:i/>
              </w:rPr>
            </m:ctrlPr>
          </m:sSubPr>
          <m:e>
            <m:r>
              <w:rPr>
                <w:rFonts w:ascii="Cambria Math" w:hAnsi="Cambria Math"/>
              </w:rPr>
              <m:t>P</m:t>
            </m:r>
          </m:e>
          <m:sub>
            <m:r>
              <w:rPr>
                <w:rFonts w:ascii="Cambria Math" w:hAnsi="Cambria Math"/>
              </w:rPr>
              <m:t>A,mon,t</m:t>
            </m:r>
          </m:sub>
        </m:sSub>
      </m:oMath>
      <w:r w:rsidR="000F16EB">
        <w:t xml:space="preserve"> was the HD for hour, </w:t>
      </w:r>
      <w:r w:rsidR="000F16EB">
        <w:rPr>
          <w:i/>
        </w:rPr>
        <w:t>t</w:t>
      </w:r>
      <w:r w:rsidR="000F16EB">
        <w:t xml:space="preserve">, and month, </w:t>
      </w:r>
      <w:r w:rsidR="000F16EB">
        <w:rPr>
          <w:i/>
        </w:rPr>
        <w:t>m</w:t>
      </w:r>
      <w:r w:rsidR="000F16EB">
        <w:t>, (MW/m</w:t>
      </w:r>
      <w:r w:rsidR="000F16EB">
        <w:rPr>
          <w:vertAlign w:val="superscript"/>
        </w:rPr>
        <w:t>2</w:t>
      </w:r>
      <w:r w:rsidR="000F16EB">
        <w:t>),</w:t>
      </w:r>
    </w:p>
    <w:p w14:paraId="20664CEC" w14:textId="77777777" w:rsidR="000F16EB" w:rsidRDefault="00C73E04" w:rsidP="000F16EB">
      <w:pPr>
        <w:ind w:left="720" w:hanging="720"/>
      </w:pPr>
      <m:oMath>
        <m:sSub>
          <m:sSubPr>
            <m:ctrlPr>
              <w:rPr>
                <w:rFonts w:ascii="Cambria Math" w:hAnsi="Cambria Math"/>
                <w:i/>
              </w:rPr>
            </m:ctrlPr>
          </m:sSubPr>
          <m:e>
            <m:r>
              <w:rPr>
                <w:rFonts w:ascii="Cambria Math" w:hAnsi="Cambria Math"/>
              </w:rPr>
              <m:t>P</m:t>
            </m:r>
          </m:e>
          <m:sub>
            <m:r>
              <w:rPr>
                <w:rFonts w:ascii="Cambria Math" w:hAnsi="Cambria Math"/>
              </w:rPr>
              <m:t>A,ref,t</m:t>
            </m:r>
          </m:sub>
        </m:sSub>
      </m:oMath>
      <w:r w:rsidR="000F16EB">
        <w:t xml:space="preserve"> was the reference HD for hour, </w:t>
      </w:r>
      <w:r w:rsidR="000F16EB">
        <w:rPr>
          <w:i/>
        </w:rPr>
        <w:t>t</w:t>
      </w:r>
      <w:r w:rsidR="000F16EB">
        <w:t>, (MW/m</w:t>
      </w:r>
      <w:r w:rsidR="000F16EB">
        <w:rPr>
          <w:vertAlign w:val="superscript"/>
        </w:rPr>
        <w:t>2</w:t>
      </w:r>
      <w:r w:rsidR="000F16EB">
        <w:t>).</w:t>
      </w:r>
    </w:p>
    <w:p w14:paraId="0FA1BEE5" w14:textId="77777777" w:rsidR="000F16EB" w:rsidRDefault="000F16EB" w:rsidP="000F16EB">
      <w:r>
        <w:t>The output of the industrial model were curves of hourly HD per unit area of total floor space for each archetype building type and for each of the 12 months. The aim of this chapter was to generate curves of hourly thermal load, representing every building within a set area, for each of the four heating seasons. As a result, significant adaption had to be made to the industrial model.</w:t>
      </w:r>
    </w:p>
    <w:p w14:paraId="4B2523C5" w14:textId="7D5B32FF" w:rsidR="000F16EB" w:rsidRDefault="000F16EB" w:rsidP="000F16EB">
      <w:r>
        <w:t xml:space="preserve">Hourly HD per unit area was converted into hourly HDs, as shown in Equation </w:t>
      </w:r>
      <w:r>
        <w:fldChar w:fldCharType="begin"/>
      </w:r>
      <w:r>
        <w:instrText xml:space="preserve"> REF _Ref531102705 \h </w:instrText>
      </w:r>
      <w:r>
        <w:fldChar w:fldCharType="separate"/>
      </w:r>
      <w:r w:rsidR="00CB7456">
        <w:rPr>
          <w:noProof/>
        </w:rPr>
        <w:t>6</w:t>
      </w:r>
      <w:r w:rsidR="00CB7456">
        <w:t>.</w:t>
      </w:r>
      <w:r w:rsidR="00CB7456">
        <w:rPr>
          <w:noProof/>
        </w:rPr>
        <w:t>5</w:t>
      </w:r>
      <w:r>
        <w:fldChar w:fldCharType="end"/>
      </w:r>
      <w:r>
        <w:t>. The conversion was completed for every hour in the day across each of the 12 months and for each of the 7 building archetypes.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5"/>
        <w:gridCol w:w="543"/>
      </w:tblGrid>
      <w:tr w:rsidR="000F16EB" w14:paraId="5E09FCDD" w14:textId="77777777" w:rsidTr="00A7521D">
        <w:tc>
          <w:tcPr>
            <w:tcW w:w="7655" w:type="dxa"/>
            <w:hideMark/>
          </w:tcPr>
          <w:p w14:paraId="6ADA0877" w14:textId="77777777" w:rsidR="000F16EB" w:rsidRDefault="000F16EB" w:rsidP="00A7521D">
            <w:pPr>
              <w:keepNext/>
            </w:pPr>
            <m:oMathPara>
              <m:oMathParaPr>
                <m:jc m:val="left"/>
              </m:oMathParaPr>
              <m:oMath>
                <m:r>
                  <w:rPr>
                    <w:rFonts w:ascii="Cambria Math" w:hAnsi="Cambria Math"/>
                  </w:rPr>
                  <m:t>P=</m:t>
                </m:r>
                <m:sSub>
                  <m:sSubPr>
                    <m:ctrlPr>
                      <w:rPr>
                        <w:rFonts w:ascii="Cambria Math" w:hAnsi="Cambria Math"/>
                        <w:i/>
                      </w:rPr>
                    </m:ctrlPr>
                  </m:sSubPr>
                  <m:e>
                    <m:r>
                      <w:rPr>
                        <w:rFonts w:ascii="Cambria Math" w:hAnsi="Cambria Math"/>
                      </w:rPr>
                      <m:t>P</m:t>
                    </m:r>
                  </m:e>
                  <m:sub>
                    <m:r>
                      <w:rPr>
                        <w:rFonts w:ascii="Cambria Math" w:hAnsi="Cambria Math"/>
                      </w:rPr>
                      <m:t>A</m:t>
                    </m:r>
                  </m:sub>
                </m:sSub>
                <m:r>
                  <w:rPr>
                    <w:rFonts w:ascii="Cambria Math" w:hAnsi="Cambria Math"/>
                  </w:rPr>
                  <m:t>A</m:t>
                </m:r>
              </m:oMath>
            </m:oMathPara>
          </w:p>
        </w:tc>
        <w:bookmarkStart w:id="680" w:name="_Ref531102705"/>
        <w:tc>
          <w:tcPr>
            <w:tcW w:w="543" w:type="dxa"/>
            <w:vAlign w:val="center"/>
            <w:hideMark/>
          </w:tcPr>
          <w:p w14:paraId="4983BD82" w14:textId="08DB46A9" w:rsidR="000F16EB" w:rsidRPr="000C6BA1" w:rsidRDefault="000F16EB" w:rsidP="00A7521D">
            <w:pPr>
              <w:pStyle w:val="Caption"/>
              <w:jc w:val="right"/>
              <w:rPr>
                <w:b w:val="0"/>
              </w:rPr>
            </w:pPr>
            <w:r>
              <w:fldChar w:fldCharType="begin"/>
            </w:r>
            <w:r>
              <w:instrText xml:space="preserve"> STYLEREF 1 \s </w:instrText>
            </w:r>
            <w:r>
              <w:fldChar w:fldCharType="separate"/>
            </w:r>
            <w:r w:rsidR="00CB7456">
              <w:rPr>
                <w:noProof/>
              </w:rPr>
              <w:t>6</w:t>
            </w:r>
            <w:r>
              <w:fldChar w:fldCharType="end"/>
            </w:r>
            <w:r>
              <w:t>.</w:t>
            </w:r>
            <w:r>
              <w:rPr>
                <w:noProof/>
              </w:rPr>
              <w:fldChar w:fldCharType="begin"/>
            </w:r>
            <w:r>
              <w:rPr>
                <w:noProof/>
              </w:rPr>
              <w:instrText xml:space="preserve"> SEQ Equation \* ARABIC \s 1 </w:instrText>
            </w:r>
            <w:r>
              <w:rPr>
                <w:noProof/>
              </w:rPr>
              <w:fldChar w:fldCharType="separate"/>
            </w:r>
            <w:r w:rsidR="00CB7456">
              <w:rPr>
                <w:noProof/>
              </w:rPr>
              <w:t>5</w:t>
            </w:r>
            <w:r>
              <w:rPr>
                <w:noProof/>
              </w:rPr>
              <w:fldChar w:fldCharType="end"/>
            </w:r>
            <w:bookmarkEnd w:id="680"/>
          </w:p>
        </w:tc>
      </w:tr>
    </w:tbl>
    <w:p w14:paraId="4036A5EB" w14:textId="77777777" w:rsidR="000F16EB" w:rsidRDefault="000F16EB" w:rsidP="003650C8">
      <w:pPr>
        <w:pStyle w:val="NoSpacing"/>
      </w:pPr>
    </w:p>
    <w:p w14:paraId="0B87F6F9" w14:textId="77777777" w:rsidR="000F16EB" w:rsidRDefault="000F16EB" w:rsidP="000F16EB">
      <w:pPr>
        <w:pStyle w:val="NoSpacing"/>
      </w:pPr>
      <m:oMath>
        <m:r>
          <w:rPr>
            <w:rFonts w:ascii="Cambria Math" w:hAnsi="Cambria Math"/>
          </w:rPr>
          <m:t>P</m:t>
        </m:r>
      </m:oMath>
      <w:r>
        <w:t xml:space="preserve"> was the hourly HD (MW),</w:t>
      </w:r>
    </w:p>
    <w:p w14:paraId="7A1A76AF" w14:textId="77777777" w:rsidR="000F16EB" w:rsidRDefault="00C73E04" w:rsidP="000F16EB">
      <w:pPr>
        <w:pStyle w:val="NoSpacing"/>
      </w:pPr>
      <m:oMath>
        <m:sSub>
          <m:sSubPr>
            <m:ctrlPr>
              <w:rPr>
                <w:rFonts w:ascii="Cambria Math" w:hAnsi="Cambria Math"/>
                <w:i/>
              </w:rPr>
            </m:ctrlPr>
          </m:sSubPr>
          <m:e>
            <m:r>
              <w:rPr>
                <w:rFonts w:ascii="Cambria Math" w:hAnsi="Cambria Math"/>
              </w:rPr>
              <m:t>P</m:t>
            </m:r>
          </m:e>
          <m:sub>
            <m:r>
              <w:rPr>
                <w:rFonts w:ascii="Cambria Math" w:hAnsi="Cambria Math"/>
              </w:rPr>
              <m:t>A</m:t>
            </m:r>
          </m:sub>
        </m:sSub>
      </m:oMath>
      <w:r w:rsidR="000F16EB">
        <w:t xml:space="preserve"> was the hourly HD per unit area (MW/m</w:t>
      </w:r>
      <w:r w:rsidR="000F16EB">
        <w:rPr>
          <w:vertAlign w:val="superscript"/>
        </w:rPr>
        <w:t>2</w:t>
      </w:r>
      <w:r w:rsidR="000F16EB">
        <w:t>),</w:t>
      </w:r>
    </w:p>
    <w:p w14:paraId="64481BAC" w14:textId="77777777" w:rsidR="000F16EB" w:rsidRDefault="000F16EB" w:rsidP="000F16EB">
      <w:bookmarkStart w:id="681" w:name="_Hlk526156852"/>
      <m:oMath>
        <m:r>
          <w:rPr>
            <w:rFonts w:ascii="Cambria Math" w:hAnsi="Cambria Math"/>
          </w:rPr>
          <m:t>A</m:t>
        </m:r>
      </m:oMath>
      <w:bookmarkEnd w:id="681"/>
      <w:r>
        <w:t xml:space="preserve"> was the total building f</w:t>
      </w:r>
      <w:proofErr w:type="spellStart"/>
      <w:r>
        <w:t>loor</w:t>
      </w:r>
      <w:proofErr w:type="spellEnd"/>
      <w:r>
        <w:t xml:space="preserve"> area (m</w:t>
      </w:r>
      <w:r>
        <w:rPr>
          <w:vertAlign w:val="superscript"/>
        </w:rPr>
        <w:t>2</w:t>
      </w:r>
      <w:r>
        <w:t>).</w:t>
      </w:r>
    </w:p>
    <w:p w14:paraId="3D5A7851" w14:textId="3B087B85" w:rsidR="000F16EB" w:rsidRDefault="000F16EB" w:rsidP="000F16EB">
      <w:r>
        <w:t xml:space="preserve">The HD variations for each of the twelve-monthly curves had to be converted into HD variations for the four heating seasons (as an average between the dates), as shown in </w:t>
      </w:r>
      <w:r>
        <w:fldChar w:fldCharType="begin"/>
      </w:r>
      <w:r>
        <w:instrText xml:space="preserve"> REF _Ref525747768 \h </w:instrText>
      </w:r>
      <w:r>
        <w:fldChar w:fldCharType="separate"/>
      </w:r>
      <w:r w:rsidR="00CB7456">
        <w:t xml:space="preserve">Table </w:t>
      </w:r>
      <w:r w:rsidR="00CB7456">
        <w:rPr>
          <w:noProof/>
        </w:rPr>
        <w:t>6</w:t>
      </w:r>
      <w:r w:rsidR="00CB7456">
        <w:t>.</w:t>
      </w:r>
      <w:r w:rsidR="00CB7456">
        <w:rPr>
          <w:noProof/>
        </w:rPr>
        <w:t>1</w:t>
      </w:r>
      <w:r>
        <w:fldChar w:fldCharType="end"/>
      </w:r>
      <w:r>
        <w:t>.</w:t>
      </w:r>
    </w:p>
    <w:p w14:paraId="52C6854E" w14:textId="5902F7BD" w:rsidR="000F16EB" w:rsidRDefault="000F16EB" w:rsidP="000F16EB">
      <w:pPr>
        <w:pStyle w:val="Caption"/>
        <w:keepNext/>
      </w:pPr>
      <w:bookmarkStart w:id="682" w:name="_Ref525747768"/>
      <w:bookmarkStart w:id="683" w:name="_Toc7187693"/>
      <w:r>
        <w:t xml:space="preserve">Table </w:t>
      </w:r>
      <w:fldSimple w:instr=" STYLEREF 1 \s ">
        <w:r w:rsidR="00CB7456">
          <w:rPr>
            <w:noProof/>
          </w:rPr>
          <w:t>6</w:t>
        </w:r>
      </w:fldSimple>
      <w:r w:rsidR="009E1A67">
        <w:t>.</w:t>
      </w:r>
      <w:fldSimple w:instr=" SEQ Table \* ARABIC \s 1 ">
        <w:r w:rsidR="00CB7456">
          <w:rPr>
            <w:noProof/>
          </w:rPr>
          <w:t>1</w:t>
        </w:r>
      </w:fldSimple>
      <w:bookmarkEnd w:id="682"/>
      <w:r>
        <w:rPr>
          <w:noProof/>
        </w:rPr>
        <w:t>:</w:t>
      </w:r>
      <w:r>
        <w:t xml:space="preserve"> The four heating seasons in a year.</w:t>
      </w:r>
      <w:bookmarkEnd w:id="683"/>
    </w:p>
    <w:tbl>
      <w:tblPr>
        <w:tblStyle w:val="TableGrid"/>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0"/>
        <w:gridCol w:w="1733"/>
        <w:gridCol w:w="1687"/>
      </w:tblGrid>
      <w:tr w:rsidR="000F16EB" w14:paraId="412F559E" w14:textId="77777777" w:rsidTr="00A7521D">
        <w:trPr>
          <w:jc w:val="center"/>
        </w:trPr>
        <w:tc>
          <w:tcPr>
            <w:tcW w:w="1690" w:type="dxa"/>
            <w:tcBorders>
              <w:top w:val="single" w:sz="4" w:space="0" w:color="auto"/>
              <w:bottom w:val="single" w:sz="4" w:space="0" w:color="auto"/>
            </w:tcBorders>
          </w:tcPr>
          <w:p w14:paraId="24F4DEEC" w14:textId="77777777" w:rsidR="000F16EB" w:rsidRDefault="000F16EB" w:rsidP="00A7521D">
            <w:pPr>
              <w:jc w:val="center"/>
            </w:pPr>
            <w:r>
              <w:t>Heating season</w:t>
            </w:r>
          </w:p>
        </w:tc>
        <w:tc>
          <w:tcPr>
            <w:tcW w:w="1733" w:type="dxa"/>
            <w:tcBorders>
              <w:top w:val="single" w:sz="4" w:space="0" w:color="auto"/>
              <w:bottom w:val="single" w:sz="4" w:space="0" w:color="auto"/>
            </w:tcBorders>
          </w:tcPr>
          <w:p w14:paraId="6118D88D" w14:textId="77777777" w:rsidR="000F16EB" w:rsidRDefault="000F16EB" w:rsidP="00A7521D">
            <w:pPr>
              <w:jc w:val="center"/>
            </w:pPr>
            <w:r>
              <w:t>Start date</w:t>
            </w:r>
          </w:p>
        </w:tc>
        <w:tc>
          <w:tcPr>
            <w:tcW w:w="1687" w:type="dxa"/>
            <w:tcBorders>
              <w:top w:val="single" w:sz="4" w:space="0" w:color="auto"/>
              <w:bottom w:val="single" w:sz="4" w:space="0" w:color="auto"/>
            </w:tcBorders>
          </w:tcPr>
          <w:p w14:paraId="11388ABE" w14:textId="77777777" w:rsidR="000F16EB" w:rsidRDefault="000F16EB" w:rsidP="00A7521D">
            <w:pPr>
              <w:jc w:val="center"/>
            </w:pPr>
            <w:r>
              <w:t>End date</w:t>
            </w:r>
          </w:p>
        </w:tc>
      </w:tr>
      <w:tr w:rsidR="000F16EB" w14:paraId="6638D153" w14:textId="77777777" w:rsidTr="00A7521D">
        <w:trPr>
          <w:jc w:val="center"/>
        </w:trPr>
        <w:tc>
          <w:tcPr>
            <w:tcW w:w="1690" w:type="dxa"/>
            <w:tcBorders>
              <w:top w:val="single" w:sz="4" w:space="0" w:color="auto"/>
            </w:tcBorders>
          </w:tcPr>
          <w:p w14:paraId="4FF469E3" w14:textId="77777777" w:rsidR="000F16EB" w:rsidRDefault="000F16EB" w:rsidP="00A7521D">
            <w:pPr>
              <w:jc w:val="center"/>
            </w:pPr>
            <w:r>
              <w:t>1</w:t>
            </w:r>
          </w:p>
        </w:tc>
        <w:tc>
          <w:tcPr>
            <w:tcW w:w="1733" w:type="dxa"/>
            <w:tcBorders>
              <w:top w:val="single" w:sz="4" w:space="0" w:color="auto"/>
            </w:tcBorders>
          </w:tcPr>
          <w:p w14:paraId="6E8EFAFC" w14:textId="77777777" w:rsidR="000F16EB" w:rsidRDefault="000F16EB" w:rsidP="00A7521D">
            <w:pPr>
              <w:jc w:val="center"/>
            </w:pPr>
            <w:r>
              <w:t>20</w:t>
            </w:r>
            <w:r w:rsidRPr="00F77733">
              <w:rPr>
                <w:vertAlign w:val="superscript"/>
              </w:rPr>
              <w:t>th</w:t>
            </w:r>
            <w:r>
              <w:t xml:space="preserve"> March</w:t>
            </w:r>
          </w:p>
        </w:tc>
        <w:tc>
          <w:tcPr>
            <w:tcW w:w="1687" w:type="dxa"/>
            <w:tcBorders>
              <w:top w:val="single" w:sz="4" w:space="0" w:color="auto"/>
            </w:tcBorders>
          </w:tcPr>
          <w:p w14:paraId="7E3F875C" w14:textId="77777777" w:rsidR="000F16EB" w:rsidRDefault="000F16EB" w:rsidP="00A7521D">
            <w:pPr>
              <w:jc w:val="center"/>
            </w:pPr>
            <w:r>
              <w:t>20</w:t>
            </w:r>
            <w:r w:rsidRPr="00F77733">
              <w:rPr>
                <w:vertAlign w:val="superscript"/>
              </w:rPr>
              <w:t>th</w:t>
            </w:r>
            <w:r>
              <w:t xml:space="preserve"> June</w:t>
            </w:r>
          </w:p>
        </w:tc>
      </w:tr>
      <w:tr w:rsidR="000F16EB" w14:paraId="35ED914A" w14:textId="77777777" w:rsidTr="00A7521D">
        <w:trPr>
          <w:jc w:val="center"/>
        </w:trPr>
        <w:tc>
          <w:tcPr>
            <w:tcW w:w="1690" w:type="dxa"/>
          </w:tcPr>
          <w:p w14:paraId="2CC35590" w14:textId="77777777" w:rsidR="000F16EB" w:rsidRDefault="000F16EB" w:rsidP="00A7521D">
            <w:pPr>
              <w:jc w:val="center"/>
            </w:pPr>
            <w:r>
              <w:t>2</w:t>
            </w:r>
          </w:p>
        </w:tc>
        <w:tc>
          <w:tcPr>
            <w:tcW w:w="1733" w:type="dxa"/>
          </w:tcPr>
          <w:p w14:paraId="5CB64B2E" w14:textId="77777777" w:rsidR="000F16EB" w:rsidRDefault="000F16EB" w:rsidP="00A7521D">
            <w:pPr>
              <w:jc w:val="center"/>
            </w:pPr>
            <w:r>
              <w:t>21</w:t>
            </w:r>
            <w:r w:rsidRPr="00F77733">
              <w:rPr>
                <w:vertAlign w:val="superscript"/>
              </w:rPr>
              <w:t>st</w:t>
            </w:r>
            <w:r>
              <w:t xml:space="preserve"> June</w:t>
            </w:r>
          </w:p>
        </w:tc>
        <w:tc>
          <w:tcPr>
            <w:tcW w:w="1687" w:type="dxa"/>
          </w:tcPr>
          <w:p w14:paraId="586F03B1" w14:textId="77777777" w:rsidR="000F16EB" w:rsidRDefault="000F16EB" w:rsidP="00A7521D">
            <w:pPr>
              <w:jc w:val="center"/>
            </w:pPr>
            <w:r>
              <w:t>21</w:t>
            </w:r>
            <w:r w:rsidRPr="00F77733">
              <w:rPr>
                <w:vertAlign w:val="superscript"/>
              </w:rPr>
              <w:t>st</w:t>
            </w:r>
            <w:r>
              <w:t xml:space="preserve"> September</w:t>
            </w:r>
          </w:p>
        </w:tc>
      </w:tr>
      <w:tr w:rsidR="000F16EB" w14:paraId="11ED6AB0" w14:textId="77777777" w:rsidTr="00A7521D">
        <w:trPr>
          <w:jc w:val="center"/>
        </w:trPr>
        <w:tc>
          <w:tcPr>
            <w:tcW w:w="1690" w:type="dxa"/>
          </w:tcPr>
          <w:p w14:paraId="75EBA49D" w14:textId="77777777" w:rsidR="000F16EB" w:rsidRDefault="000F16EB" w:rsidP="00A7521D">
            <w:pPr>
              <w:jc w:val="center"/>
            </w:pPr>
            <w:r>
              <w:t>3</w:t>
            </w:r>
          </w:p>
        </w:tc>
        <w:tc>
          <w:tcPr>
            <w:tcW w:w="1733" w:type="dxa"/>
          </w:tcPr>
          <w:p w14:paraId="6C1707FB" w14:textId="77777777" w:rsidR="000F16EB" w:rsidRDefault="000F16EB" w:rsidP="00A7521D">
            <w:pPr>
              <w:jc w:val="center"/>
            </w:pPr>
            <w:r>
              <w:t>22</w:t>
            </w:r>
            <w:r w:rsidRPr="00F77733">
              <w:rPr>
                <w:vertAlign w:val="superscript"/>
              </w:rPr>
              <w:t>nd</w:t>
            </w:r>
            <w:r>
              <w:t xml:space="preserve"> September</w:t>
            </w:r>
          </w:p>
        </w:tc>
        <w:tc>
          <w:tcPr>
            <w:tcW w:w="1687" w:type="dxa"/>
          </w:tcPr>
          <w:p w14:paraId="4A9A0638" w14:textId="77777777" w:rsidR="000F16EB" w:rsidRDefault="000F16EB" w:rsidP="00A7521D">
            <w:pPr>
              <w:jc w:val="center"/>
            </w:pPr>
            <w:r>
              <w:t>21</w:t>
            </w:r>
            <w:r w:rsidRPr="00F77733">
              <w:rPr>
                <w:vertAlign w:val="superscript"/>
              </w:rPr>
              <w:t>st</w:t>
            </w:r>
            <w:r>
              <w:t xml:space="preserve"> December</w:t>
            </w:r>
          </w:p>
        </w:tc>
      </w:tr>
      <w:tr w:rsidR="000F16EB" w14:paraId="4A7FB6B0" w14:textId="77777777" w:rsidTr="00A7521D">
        <w:trPr>
          <w:jc w:val="center"/>
        </w:trPr>
        <w:tc>
          <w:tcPr>
            <w:tcW w:w="1690" w:type="dxa"/>
          </w:tcPr>
          <w:p w14:paraId="5C229B55" w14:textId="77777777" w:rsidR="000F16EB" w:rsidRDefault="000F16EB" w:rsidP="00A7521D">
            <w:pPr>
              <w:jc w:val="center"/>
            </w:pPr>
            <w:r>
              <w:t>4</w:t>
            </w:r>
          </w:p>
        </w:tc>
        <w:tc>
          <w:tcPr>
            <w:tcW w:w="1733" w:type="dxa"/>
          </w:tcPr>
          <w:p w14:paraId="36ADEAF7" w14:textId="77777777" w:rsidR="000F16EB" w:rsidRDefault="000F16EB" w:rsidP="00A7521D">
            <w:pPr>
              <w:jc w:val="center"/>
            </w:pPr>
            <w:r>
              <w:t>22</w:t>
            </w:r>
            <w:r w:rsidRPr="00F77733">
              <w:rPr>
                <w:vertAlign w:val="superscript"/>
              </w:rPr>
              <w:t>nd</w:t>
            </w:r>
            <w:r>
              <w:t xml:space="preserve"> December</w:t>
            </w:r>
          </w:p>
        </w:tc>
        <w:tc>
          <w:tcPr>
            <w:tcW w:w="1687" w:type="dxa"/>
          </w:tcPr>
          <w:p w14:paraId="491BCC76" w14:textId="77777777" w:rsidR="000F16EB" w:rsidRDefault="000F16EB" w:rsidP="00A7521D">
            <w:pPr>
              <w:jc w:val="center"/>
            </w:pPr>
            <w:r>
              <w:t>19</w:t>
            </w:r>
            <w:r w:rsidRPr="00F77733">
              <w:rPr>
                <w:vertAlign w:val="superscript"/>
              </w:rPr>
              <w:t>th</w:t>
            </w:r>
            <w:r>
              <w:t xml:space="preserve"> March</w:t>
            </w:r>
          </w:p>
        </w:tc>
      </w:tr>
    </w:tbl>
    <w:p w14:paraId="20906664" w14:textId="77777777" w:rsidR="000F16EB" w:rsidRDefault="000F16EB" w:rsidP="003650C8">
      <w:pPr>
        <w:pStyle w:val="NoSpacing"/>
      </w:pPr>
    </w:p>
    <w:p w14:paraId="5EB4C5BF" w14:textId="410DC5FB" w:rsidR="000F16EB" w:rsidRDefault="000F16EB" w:rsidP="000F16EB">
      <w:r>
        <w:t xml:space="preserve">The aim of the HD modelling was to calculate the overall HD experienced by a DHN. Therefore, a boundary area was drawn including all potential DH customers and centred around the potential heat source. This area was split into nodes, then </w:t>
      </w:r>
      <w:proofErr w:type="spellStart"/>
      <w:r>
        <w:t>subnodes</w:t>
      </w:r>
      <w:proofErr w:type="spellEnd"/>
      <w:r>
        <w:t xml:space="preserve"> and finally squares of 100 m</w:t>
      </w:r>
      <w:r>
        <w:rPr>
          <w:vertAlign w:val="superscript"/>
        </w:rPr>
        <w:t>2</w:t>
      </w:r>
      <w:r>
        <w:t xml:space="preserve">, as shown in </w:t>
      </w:r>
      <w:r>
        <w:fldChar w:fldCharType="begin"/>
      </w:r>
      <w:r>
        <w:instrText xml:space="preserve"> REF _Ref525663721 \h </w:instrText>
      </w:r>
      <w:r>
        <w:fldChar w:fldCharType="separate"/>
      </w:r>
      <w:r w:rsidR="00CB7456">
        <w:t xml:space="preserve">Figure </w:t>
      </w:r>
      <w:r w:rsidR="00CB7456">
        <w:rPr>
          <w:noProof/>
        </w:rPr>
        <w:t>6</w:t>
      </w:r>
      <w:r w:rsidR="00CB7456">
        <w:t>.</w:t>
      </w:r>
      <w:r w:rsidR="00CB7456">
        <w:rPr>
          <w:noProof/>
        </w:rPr>
        <w:t>1</w:t>
      </w:r>
      <w:r>
        <w:fldChar w:fldCharType="end"/>
      </w:r>
      <w:r>
        <w:t xml:space="preserve">. Pipelines connected the centre of each square to the centre of each </w:t>
      </w:r>
      <w:proofErr w:type="spellStart"/>
      <w:r>
        <w:t>subnode</w:t>
      </w:r>
      <w:proofErr w:type="spellEnd"/>
      <w:r>
        <w:t>, then to the centre of each node, and finally to the heat source. It was assumed that the pipes travelled in the shortest possible straight-line distance from point to point. Every building in each square was assumed to be located in the centre of the square therefore, no pipes were needed to connect the buildings to the centres of the squares.</w:t>
      </w:r>
    </w:p>
    <w:p w14:paraId="58130BCC" w14:textId="77777777" w:rsidR="000F16EB" w:rsidRDefault="000F16EB" w:rsidP="000F16EB">
      <w:pPr>
        <w:keepNext/>
        <w:jc w:val="center"/>
      </w:pPr>
      <w:r>
        <w:rPr>
          <w:noProof/>
        </w:rPr>
        <w:lastRenderedPageBreak/>
        <w:drawing>
          <wp:inline distT="0" distB="0" distL="0" distR="0" wp14:anchorId="1FBD8AAF" wp14:editId="457E2F0B">
            <wp:extent cx="3168000" cy="2556328"/>
            <wp:effectExtent l="19050" t="19050" r="13970" b="158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Node - subnode.png"/>
                    <pic:cNvPicPr/>
                  </pic:nvPicPr>
                  <pic:blipFill rotWithShape="1">
                    <a:blip r:embed="rId43">
                      <a:extLst>
                        <a:ext uri="{28A0092B-C50C-407E-A947-70E740481C1C}">
                          <a14:useLocalDpi xmlns:a14="http://schemas.microsoft.com/office/drawing/2010/main" val="0"/>
                        </a:ext>
                      </a:extLst>
                    </a:blip>
                    <a:srcRect l="-1362" t="-2103" r="1081" b="-2036"/>
                    <a:stretch/>
                  </pic:blipFill>
                  <pic:spPr bwMode="auto">
                    <a:xfrm>
                      <a:off x="0" y="0"/>
                      <a:ext cx="3168000" cy="2556328"/>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DB88206" w14:textId="6261F027" w:rsidR="000F16EB" w:rsidRDefault="000F16EB" w:rsidP="000F16EB">
      <w:pPr>
        <w:pStyle w:val="Caption"/>
      </w:pPr>
      <w:bookmarkStart w:id="684" w:name="_Ref525663721"/>
      <w:bookmarkStart w:id="685" w:name="_Toc525230096"/>
      <w:bookmarkStart w:id="686" w:name="_Toc7187644"/>
      <w:r>
        <w:t xml:space="preserve">Figure </w:t>
      </w:r>
      <w:fldSimple w:instr=" STYLEREF 1 \s ">
        <w:r w:rsidR="00CB7456">
          <w:rPr>
            <w:noProof/>
          </w:rPr>
          <w:t>6</w:t>
        </w:r>
      </w:fldSimple>
      <w:r w:rsidR="007B29C3">
        <w:t>.</w:t>
      </w:r>
      <w:fldSimple w:instr=" SEQ Figure \* ARABIC \s 1 ">
        <w:r w:rsidR="00CB7456">
          <w:rPr>
            <w:noProof/>
          </w:rPr>
          <w:t>1</w:t>
        </w:r>
      </w:fldSimple>
      <w:bookmarkEnd w:id="684"/>
      <w:r>
        <w:rPr>
          <w:noProof/>
        </w:rPr>
        <w:t>:</w:t>
      </w:r>
      <w:r>
        <w:t xml:space="preserve"> The node-, </w:t>
      </w:r>
      <w:proofErr w:type="spellStart"/>
      <w:r>
        <w:t>subnode</w:t>
      </w:r>
      <w:proofErr w:type="spellEnd"/>
      <w:r>
        <w:t>-, square-structure used in the model.</w:t>
      </w:r>
      <w:bookmarkEnd w:id="685"/>
      <w:bookmarkEnd w:id="686"/>
    </w:p>
    <w:p w14:paraId="5A61161E" w14:textId="45D40733" w:rsidR="000F16EB" w:rsidRDefault="000F16EB" w:rsidP="000F16EB">
      <w:r>
        <w:t xml:space="preserve">Every building in each archetype category was assumed to be of the same, predetermined size. The total floor area of the sum of all buildings of a category in a square was calculated as shown in Equation </w:t>
      </w:r>
      <w:r>
        <w:fldChar w:fldCharType="begin"/>
      </w:r>
      <w:r>
        <w:instrText xml:space="preserve"> REF _Ref531102755 \h </w:instrText>
      </w:r>
      <w:r>
        <w:fldChar w:fldCharType="separate"/>
      </w:r>
      <w:r w:rsidR="00CB7456">
        <w:rPr>
          <w:noProof/>
        </w:rPr>
        <w:t>6</w:t>
      </w:r>
      <w:r w:rsidR="00CB7456">
        <w:t>.</w:t>
      </w:r>
      <w:r w:rsidR="00CB7456">
        <w:rPr>
          <w:noProof/>
        </w:rPr>
        <w:t>6</w:t>
      </w:r>
      <w:r>
        <w:fldChar w:fldCharType="end"/>
      </w:r>
      <w: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5"/>
        <w:gridCol w:w="543"/>
      </w:tblGrid>
      <w:tr w:rsidR="000F16EB" w14:paraId="5CDB5584" w14:textId="77777777" w:rsidTr="00A7521D">
        <w:tc>
          <w:tcPr>
            <w:tcW w:w="7655" w:type="dxa"/>
            <w:hideMark/>
          </w:tcPr>
          <w:p w14:paraId="599A5324" w14:textId="77777777" w:rsidR="000F16EB" w:rsidRDefault="00C73E04" w:rsidP="00A7521D">
            <w:pPr>
              <w:keepNext/>
            </w:pPr>
            <m:oMathPara>
              <m:oMathParaPr>
                <m:jc m:val="left"/>
              </m:oMathParaPr>
              <m:oMath>
                <m:sSub>
                  <m:sSubPr>
                    <m:ctrlPr>
                      <w:rPr>
                        <w:rFonts w:ascii="Cambria Math" w:hAnsi="Cambria Math"/>
                        <w:i/>
                      </w:rPr>
                    </m:ctrlPr>
                  </m:sSubPr>
                  <m:e>
                    <m:r>
                      <w:rPr>
                        <w:rFonts w:ascii="Cambria Math" w:hAnsi="Cambria Math"/>
                      </w:rPr>
                      <m:t>A</m:t>
                    </m:r>
                  </m:e>
                  <m:sub>
                    <m:r>
                      <w:rPr>
                        <w:rFonts w:ascii="Cambria Math" w:hAnsi="Cambria Math"/>
                      </w:rPr>
                      <m:t>s,b</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As,i,b</m:t>
                    </m:r>
                  </m:sub>
                </m:sSub>
                <m:sSub>
                  <m:sSubPr>
                    <m:ctrlPr>
                      <w:rPr>
                        <w:rFonts w:ascii="Cambria Math" w:hAnsi="Cambria Math"/>
                        <w:i/>
                      </w:rPr>
                    </m:ctrlPr>
                  </m:sSubPr>
                  <m:e>
                    <m:r>
                      <w:rPr>
                        <w:rFonts w:ascii="Cambria Math" w:hAnsi="Cambria Math"/>
                      </w:rPr>
                      <m:t>N</m:t>
                    </m:r>
                  </m:e>
                  <m:sub>
                    <m:r>
                      <w:rPr>
                        <w:rFonts w:ascii="Cambria Math" w:hAnsi="Cambria Math"/>
                      </w:rPr>
                      <m:t>b</m:t>
                    </m:r>
                  </m:sub>
                </m:sSub>
              </m:oMath>
            </m:oMathPara>
          </w:p>
        </w:tc>
        <w:bookmarkStart w:id="687" w:name="_Ref531102755"/>
        <w:tc>
          <w:tcPr>
            <w:tcW w:w="543" w:type="dxa"/>
            <w:vAlign w:val="center"/>
            <w:hideMark/>
          </w:tcPr>
          <w:p w14:paraId="1074688B" w14:textId="75496264" w:rsidR="000F16EB" w:rsidRPr="000C6BA1" w:rsidRDefault="000F16EB" w:rsidP="00A7521D">
            <w:pPr>
              <w:pStyle w:val="Caption"/>
              <w:jc w:val="right"/>
              <w:rPr>
                <w:b w:val="0"/>
              </w:rPr>
            </w:pPr>
            <w:r>
              <w:fldChar w:fldCharType="begin"/>
            </w:r>
            <w:r>
              <w:instrText xml:space="preserve"> STYLEREF 1 \s </w:instrText>
            </w:r>
            <w:r>
              <w:fldChar w:fldCharType="separate"/>
            </w:r>
            <w:r w:rsidR="00CB7456">
              <w:rPr>
                <w:noProof/>
              </w:rPr>
              <w:t>6</w:t>
            </w:r>
            <w:r>
              <w:fldChar w:fldCharType="end"/>
            </w:r>
            <w:r>
              <w:t>.</w:t>
            </w:r>
            <w:r>
              <w:rPr>
                <w:noProof/>
              </w:rPr>
              <w:fldChar w:fldCharType="begin"/>
            </w:r>
            <w:r>
              <w:rPr>
                <w:noProof/>
              </w:rPr>
              <w:instrText xml:space="preserve"> SEQ Equation \* ARABIC \s 1 </w:instrText>
            </w:r>
            <w:r>
              <w:rPr>
                <w:noProof/>
              </w:rPr>
              <w:fldChar w:fldCharType="separate"/>
            </w:r>
            <w:r w:rsidR="00CB7456">
              <w:rPr>
                <w:noProof/>
              </w:rPr>
              <w:t>6</w:t>
            </w:r>
            <w:r>
              <w:rPr>
                <w:noProof/>
              </w:rPr>
              <w:fldChar w:fldCharType="end"/>
            </w:r>
            <w:bookmarkEnd w:id="687"/>
          </w:p>
        </w:tc>
      </w:tr>
    </w:tbl>
    <w:p w14:paraId="656C8B8F" w14:textId="77777777" w:rsidR="000F16EB" w:rsidRDefault="000F16EB" w:rsidP="003650C8">
      <w:pPr>
        <w:pStyle w:val="NoSpacing"/>
      </w:pPr>
    </w:p>
    <w:p w14:paraId="1032C84A" w14:textId="77777777" w:rsidR="000F16EB" w:rsidRDefault="00C73E04" w:rsidP="000F16EB">
      <w:pPr>
        <w:pStyle w:val="NoSpacing"/>
      </w:pPr>
      <m:oMath>
        <m:sSub>
          <m:sSubPr>
            <m:ctrlPr>
              <w:rPr>
                <w:rFonts w:ascii="Cambria Math" w:hAnsi="Cambria Math"/>
                <w:i/>
              </w:rPr>
            </m:ctrlPr>
          </m:sSubPr>
          <m:e>
            <m:r>
              <w:rPr>
                <w:rFonts w:ascii="Cambria Math" w:hAnsi="Cambria Math"/>
              </w:rPr>
              <m:t>A</m:t>
            </m:r>
          </m:e>
          <m:sub>
            <m:r>
              <w:rPr>
                <w:rFonts w:ascii="Cambria Math" w:hAnsi="Cambria Math"/>
              </w:rPr>
              <m:t>s,b</m:t>
            </m:r>
          </m:sub>
        </m:sSub>
      </m:oMath>
      <w:r w:rsidR="000F16EB">
        <w:t xml:space="preserve"> was the total floor area of all buildings of category, </w:t>
      </w:r>
      <w:r w:rsidR="000F16EB">
        <w:rPr>
          <w:i/>
        </w:rPr>
        <w:t>b</w:t>
      </w:r>
      <w:r w:rsidR="000F16EB">
        <w:t>, in a square (m</w:t>
      </w:r>
      <w:r w:rsidR="000F16EB">
        <w:rPr>
          <w:vertAlign w:val="superscript"/>
        </w:rPr>
        <w:t>2</w:t>
      </w:r>
      <w:r w:rsidR="000F16EB">
        <w:t>),</w:t>
      </w:r>
    </w:p>
    <w:p w14:paraId="073A8279" w14:textId="77777777" w:rsidR="000F16EB" w:rsidRDefault="00C73E04" w:rsidP="000F16EB">
      <w:pPr>
        <w:pStyle w:val="NoSpacing"/>
      </w:pPr>
      <m:oMath>
        <m:sSub>
          <m:sSubPr>
            <m:ctrlPr>
              <w:rPr>
                <w:rFonts w:ascii="Cambria Math" w:hAnsi="Cambria Math"/>
                <w:i/>
              </w:rPr>
            </m:ctrlPr>
          </m:sSubPr>
          <m:e>
            <m:r>
              <w:rPr>
                <w:rFonts w:ascii="Cambria Math" w:hAnsi="Cambria Math"/>
              </w:rPr>
              <m:t>A</m:t>
            </m:r>
          </m:e>
          <m:sub>
            <w:bookmarkStart w:id="688" w:name="_Hlk526157064"/>
            <m:r>
              <w:rPr>
                <w:rFonts w:ascii="Cambria Math" w:hAnsi="Cambria Math"/>
              </w:rPr>
              <m:t>As</m:t>
            </m:r>
            <w:bookmarkEnd w:id="688"/>
            <m:r>
              <w:rPr>
                <w:rFonts w:ascii="Cambria Math" w:hAnsi="Cambria Math"/>
              </w:rPr>
              <m:t>,i,b</m:t>
            </m:r>
          </m:sub>
        </m:sSub>
      </m:oMath>
      <w:r w:rsidR="000F16EB">
        <w:t xml:space="preserve"> was the assumed floor area of each individual building of category, </w:t>
      </w:r>
      <w:r w:rsidR="000F16EB">
        <w:rPr>
          <w:i/>
        </w:rPr>
        <w:t>b</w:t>
      </w:r>
      <w:r w:rsidR="000F16EB">
        <w:t xml:space="preserve"> (m</w:t>
      </w:r>
      <w:r w:rsidR="000F16EB">
        <w:rPr>
          <w:vertAlign w:val="superscript"/>
        </w:rPr>
        <w:t>2</w:t>
      </w:r>
      <w:r w:rsidR="000F16EB">
        <w:t>),</w:t>
      </w:r>
    </w:p>
    <w:p w14:paraId="6AAC0949" w14:textId="77777777" w:rsidR="000F16EB" w:rsidRDefault="00C73E04" w:rsidP="000F16EB">
      <m:oMath>
        <m:sSub>
          <m:sSubPr>
            <m:ctrlPr>
              <w:rPr>
                <w:rFonts w:ascii="Cambria Math" w:hAnsi="Cambria Math"/>
                <w:i/>
              </w:rPr>
            </m:ctrlPr>
          </m:sSubPr>
          <m:e>
            <m:r>
              <w:rPr>
                <w:rFonts w:ascii="Cambria Math" w:hAnsi="Cambria Math"/>
              </w:rPr>
              <m:t>N</m:t>
            </m:r>
          </m:e>
          <m:sub>
            <m:r>
              <w:rPr>
                <w:rFonts w:ascii="Cambria Math" w:hAnsi="Cambria Math"/>
              </w:rPr>
              <m:t>b</m:t>
            </m:r>
          </m:sub>
        </m:sSub>
      </m:oMath>
      <w:r w:rsidR="000F16EB">
        <w:t xml:space="preserve"> was the number of buildings of category, </w:t>
      </w:r>
      <w:r w:rsidR="000F16EB">
        <w:rPr>
          <w:i/>
        </w:rPr>
        <w:t>b</w:t>
      </w:r>
      <w:r w:rsidR="000F16EB">
        <w:t>, in a square.</w:t>
      </w:r>
    </w:p>
    <w:p w14:paraId="64ED3199" w14:textId="34979CF7" w:rsidR="000F16EB" w:rsidRDefault="000F16EB" w:rsidP="000F16EB">
      <w:r>
        <w:t>Using</w:t>
      </w:r>
      <w:r w:rsidRPr="004C0735">
        <w:t xml:space="preserve"> </w:t>
      </w:r>
      <w:r>
        <w:t xml:space="preserve">Equation </w:t>
      </w:r>
      <w:r>
        <w:fldChar w:fldCharType="begin"/>
      </w:r>
      <w:r>
        <w:instrText xml:space="preserve"> REF _Ref531102755 \h </w:instrText>
      </w:r>
      <w:r>
        <w:fldChar w:fldCharType="separate"/>
      </w:r>
      <w:r w:rsidR="00CB7456">
        <w:rPr>
          <w:noProof/>
        </w:rPr>
        <w:t>6</w:t>
      </w:r>
      <w:r w:rsidR="00CB7456">
        <w:t>.</w:t>
      </w:r>
      <w:r w:rsidR="00CB7456">
        <w:rPr>
          <w:noProof/>
        </w:rPr>
        <w:t>6</w:t>
      </w:r>
      <w:r>
        <w:fldChar w:fldCharType="end"/>
      </w:r>
      <w:r>
        <w:t xml:space="preserve">, the total HD of the sum of all buildings of each archetype category in each square could be calculated, as shown in Equation </w:t>
      </w:r>
      <w:r>
        <w:fldChar w:fldCharType="begin"/>
      </w:r>
      <w:r>
        <w:instrText xml:space="preserve"> REF _Ref531102810 \h </w:instrText>
      </w:r>
      <w:r>
        <w:fldChar w:fldCharType="separate"/>
      </w:r>
      <w:r w:rsidR="00CB7456">
        <w:rPr>
          <w:noProof/>
        </w:rPr>
        <w:t>6</w:t>
      </w:r>
      <w:r w:rsidR="00CB7456">
        <w:t>.</w:t>
      </w:r>
      <w:r w:rsidR="00CB7456">
        <w:rPr>
          <w:noProof/>
        </w:rPr>
        <w:t>7</w:t>
      </w:r>
      <w:r>
        <w:fldChar w:fldCharType="end"/>
      </w:r>
      <w: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5"/>
        <w:gridCol w:w="543"/>
      </w:tblGrid>
      <w:tr w:rsidR="000F16EB" w14:paraId="5EDD9536" w14:textId="77777777" w:rsidTr="00A7521D">
        <w:tc>
          <w:tcPr>
            <w:tcW w:w="7655" w:type="dxa"/>
            <w:hideMark/>
          </w:tcPr>
          <w:p w14:paraId="7A94B2FD" w14:textId="77777777" w:rsidR="000F16EB" w:rsidRDefault="00C73E04" w:rsidP="00A7521D">
            <w:pPr>
              <w:keepNext/>
            </w:pPr>
            <m:oMathPara>
              <m:oMathParaPr>
                <m:jc m:val="left"/>
              </m:oMathParaPr>
              <m:oMath>
                <m:sSub>
                  <m:sSubPr>
                    <m:ctrlPr>
                      <w:rPr>
                        <w:rFonts w:ascii="Cambria Math" w:hAnsi="Cambria Math"/>
                        <w:i/>
                      </w:rPr>
                    </m:ctrlPr>
                  </m:sSubPr>
                  <m:e>
                    <m:r>
                      <w:rPr>
                        <w:rFonts w:ascii="Cambria Math" w:hAnsi="Cambria Math"/>
                      </w:rPr>
                      <m:t>P</m:t>
                    </m:r>
                  </m:e>
                  <m:sub>
                    <m:r>
                      <w:rPr>
                        <w:rFonts w:ascii="Cambria Math" w:hAnsi="Cambria Math"/>
                      </w:rPr>
                      <m:t>q,b</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s,b</m:t>
                    </m:r>
                  </m:sub>
                </m:sSub>
                <m:sSub>
                  <m:sSubPr>
                    <m:ctrlPr>
                      <w:rPr>
                        <w:rFonts w:ascii="Cambria Math" w:hAnsi="Cambria Math"/>
                        <w:i/>
                      </w:rPr>
                    </m:ctrlPr>
                  </m:sSubPr>
                  <m:e>
                    <m:r>
                      <w:rPr>
                        <w:rFonts w:ascii="Cambria Math" w:hAnsi="Cambria Math"/>
                      </w:rPr>
                      <m:t>P</m:t>
                    </m:r>
                  </m:e>
                  <m:sub>
                    <m:r>
                      <w:rPr>
                        <w:rFonts w:ascii="Cambria Math" w:hAnsi="Cambria Math"/>
                      </w:rPr>
                      <m:t>A,b</m:t>
                    </m:r>
                  </m:sub>
                </m:sSub>
              </m:oMath>
            </m:oMathPara>
          </w:p>
        </w:tc>
        <w:bookmarkStart w:id="689" w:name="_Ref531102810"/>
        <w:tc>
          <w:tcPr>
            <w:tcW w:w="543" w:type="dxa"/>
            <w:vAlign w:val="center"/>
            <w:hideMark/>
          </w:tcPr>
          <w:p w14:paraId="35A39024" w14:textId="5FD8BC3E" w:rsidR="000F16EB" w:rsidRPr="000C6BA1" w:rsidRDefault="000F16EB" w:rsidP="00A7521D">
            <w:pPr>
              <w:pStyle w:val="Caption"/>
              <w:jc w:val="right"/>
              <w:rPr>
                <w:b w:val="0"/>
              </w:rPr>
            </w:pPr>
            <w:r>
              <w:fldChar w:fldCharType="begin"/>
            </w:r>
            <w:r>
              <w:instrText xml:space="preserve"> STYLEREF 1 \s </w:instrText>
            </w:r>
            <w:r>
              <w:fldChar w:fldCharType="separate"/>
            </w:r>
            <w:r w:rsidR="00CB7456">
              <w:rPr>
                <w:noProof/>
              </w:rPr>
              <w:t>6</w:t>
            </w:r>
            <w:r>
              <w:fldChar w:fldCharType="end"/>
            </w:r>
            <w:r>
              <w:t>.</w:t>
            </w:r>
            <w:r>
              <w:rPr>
                <w:noProof/>
              </w:rPr>
              <w:fldChar w:fldCharType="begin"/>
            </w:r>
            <w:r>
              <w:rPr>
                <w:noProof/>
              </w:rPr>
              <w:instrText xml:space="preserve"> SEQ Equation \* ARABIC \s 1 </w:instrText>
            </w:r>
            <w:r>
              <w:rPr>
                <w:noProof/>
              </w:rPr>
              <w:fldChar w:fldCharType="separate"/>
            </w:r>
            <w:r w:rsidR="00CB7456">
              <w:rPr>
                <w:noProof/>
              </w:rPr>
              <w:t>7</w:t>
            </w:r>
            <w:r>
              <w:rPr>
                <w:noProof/>
              </w:rPr>
              <w:fldChar w:fldCharType="end"/>
            </w:r>
            <w:bookmarkEnd w:id="689"/>
          </w:p>
        </w:tc>
      </w:tr>
    </w:tbl>
    <w:p w14:paraId="75B2142D" w14:textId="77777777" w:rsidR="000F16EB" w:rsidRDefault="000F16EB" w:rsidP="003650C8">
      <w:pPr>
        <w:pStyle w:val="NoSpacing"/>
      </w:pPr>
    </w:p>
    <w:p w14:paraId="4BBD0133" w14:textId="77777777" w:rsidR="000F16EB" w:rsidRDefault="00C73E04" w:rsidP="000F16EB">
      <w:pPr>
        <w:pStyle w:val="NoSpacing"/>
      </w:pPr>
      <m:oMath>
        <m:sSub>
          <m:sSubPr>
            <m:ctrlPr>
              <w:rPr>
                <w:rFonts w:ascii="Cambria Math" w:hAnsi="Cambria Math"/>
                <w:i/>
              </w:rPr>
            </m:ctrlPr>
          </m:sSubPr>
          <m:e>
            <m:r>
              <w:rPr>
                <w:rFonts w:ascii="Cambria Math" w:hAnsi="Cambria Math"/>
              </w:rPr>
              <m:t>P</m:t>
            </m:r>
          </m:e>
          <m:sub>
            <m:r>
              <w:rPr>
                <w:rFonts w:ascii="Cambria Math" w:hAnsi="Cambria Math"/>
              </w:rPr>
              <m:t>q,b</m:t>
            </m:r>
          </m:sub>
        </m:sSub>
      </m:oMath>
      <w:r w:rsidR="000F16EB">
        <w:t xml:space="preserve"> was the total HD of all buildings of category, </w:t>
      </w:r>
      <w:r w:rsidR="000F16EB">
        <w:rPr>
          <w:i/>
        </w:rPr>
        <w:t>b,</w:t>
      </w:r>
      <w:r w:rsidR="000F16EB">
        <w:t xml:space="preserve"> in square, </w:t>
      </w:r>
      <w:r w:rsidR="000F16EB">
        <w:rPr>
          <w:i/>
        </w:rPr>
        <w:t>q</w:t>
      </w:r>
      <w:r w:rsidR="000F16EB">
        <w:t xml:space="preserve"> (MW),</w:t>
      </w:r>
    </w:p>
    <w:p w14:paraId="2CE3EF4C" w14:textId="77777777" w:rsidR="000F16EB" w:rsidRDefault="00C73E04" w:rsidP="000F16EB">
      <m:oMath>
        <m:sSub>
          <m:sSubPr>
            <m:ctrlPr>
              <w:rPr>
                <w:rFonts w:ascii="Cambria Math" w:hAnsi="Cambria Math"/>
                <w:i/>
              </w:rPr>
            </m:ctrlPr>
          </m:sSubPr>
          <m:e>
            <m:r>
              <w:rPr>
                <w:rFonts w:ascii="Cambria Math" w:hAnsi="Cambria Math"/>
              </w:rPr>
              <m:t>P</m:t>
            </m:r>
          </m:e>
          <m:sub>
            <m:r>
              <w:rPr>
                <w:rFonts w:ascii="Cambria Math" w:hAnsi="Cambria Math"/>
              </w:rPr>
              <m:t>A,b</m:t>
            </m:r>
          </m:sub>
        </m:sSub>
      </m:oMath>
      <w:r w:rsidR="000F16EB">
        <w:t xml:space="preserve"> was the individual HD of each individual building of category, </w:t>
      </w:r>
      <w:r w:rsidR="000F16EB">
        <w:rPr>
          <w:i/>
        </w:rPr>
        <w:t>b</w:t>
      </w:r>
      <w:r w:rsidR="000F16EB">
        <w:t xml:space="preserve"> (MW/m</w:t>
      </w:r>
      <w:r w:rsidR="000F16EB">
        <w:rPr>
          <w:vertAlign w:val="superscript"/>
        </w:rPr>
        <w:t>2</w:t>
      </w:r>
      <w:r w:rsidR="000F16EB">
        <w:t>).</w:t>
      </w:r>
    </w:p>
    <w:p w14:paraId="3F60146C" w14:textId="203AB6D3" w:rsidR="000F16EB" w:rsidRDefault="000F16EB" w:rsidP="000F16EB">
      <w:r>
        <w:t xml:space="preserve">Finally, the total HD of </w:t>
      </w:r>
      <w:r>
        <w:rPr>
          <w:i/>
        </w:rPr>
        <w:t>ALL</w:t>
      </w:r>
      <w:r>
        <w:t xml:space="preserve"> buildings in a square could be calculated, as shown in Equation </w:t>
      </w:r>
      <w:r>
        <w:fldChar w:fldCharType="begin"/>
      </w:r>
      <w:r>
        <w:instrText xml:space="preserve"> REF _Ref531102859 \h </w:instrText>
      </w:r>
      <w:r>
        <w:fldChar w:fldCharType="separate"/>
      </w:r>
      <w:r w:rsidR="00CB7456">
        <w:rPr>
          <w:noProof/>
        </w:rPr>
        <w:t>6</w:t>
      </w:r>
      <w:r w:rsidR="00CB7456">
        <w:t>.</w:t>
      </w:r>
      <w:r w:rsidR="00CB7456">
        <w:rPr>
          <w:noProof/>
        </w:rPr>
        <w:t>8</w:t>
      </w:r>
      <w:r>
        <w:fldChar w:fldCharType="end"/>
      </w:r>
      <w: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5"/>
        <w:gridCol w:w="543"/>
      </w:tblGrid>
      <w:tr w:rsidR="000F16EB" w14:paraId="417D0098" w14:textId="77777777" w:rsidTr="00A7521D">
        <w:tc>
          <w:tcPr>
            <w:tcW w:w="7655" w:type="dxa"/>
            <w:hideMark/>
          </w:tcPr>
          <w:p w14:paraId="63FC3698" w14:textId="77777777" w:rsidR="000F16EB" w:rsidRDefault="00C73E04" w:rsidP="00A7521D">
            <w:pPr>
              <w:keepNext/>
            </w:pPr>
            <m:oMathPara>
              <m:oMathParaPr>
                <m:jc m:val="left"/>
              </m:oMathParaPr>
              <m:oMath>
                <m:sSub>
                  <m:sSubPr>
                    <m:ctrlPr>
                      <w:rPr>
                        <w:rFonts w:ascii="Cambria Math" w:hAnsi="Cambria Math"/>
                        <w:i/>
                      </w:rPr>
                    </m:ctrlPr>
                  </m:sSubPr>
                  <m:e>
                    <m:r>
                      <w:rPr>
                        <w:rFonts w:ascii="Cambria Math" w:hAnsi="Cambria Math"/>
                      </w:rPr>
                      <m:t>P</m:t>
                    </m:r>
                  </m:e>
                  <m:sub>
                    <m:r>
                      <w:rPr>
                        <w:rFonts w:ascii="Cambria Math" w:hAnsi="Cambria Math"/>
                      </w:rPr>
                      <m:t>q</m:t>
                    </m:r>
                  </m:sub>
                </m:sSub>
                <m:r>
                  <w:rPr>
                    <w:rFonts w:ascii="Cambria Math" w:hAnsi="Cambria Math"/>
                  </w:rPr>
                  <m:t>=</m:t>
                </m:r>
                <m:nary>
                  <m:naryPr>
                    <m:chr m:val="∑"/>
                    <m:limLoc m:val="undOvr"/>
                    <m:ctrlPr>
                      <w:rPr>
                        <w:rFonts w:ascii="Cambria Math" w:hAnsi="Cambria Math"/>
                        <w:i/>
                      </w:rPr>
                    </m:ctrlPr>
                  </m:naryPr>
                  <m:sub>
                    <m:r>
                      <w:rPr>
                        <w:rFonts w:ascii="Cambria Math" w:hAnsi="Cambria Math"/>
                      </w:rPr>
                      <m:t>b=1</m:t>
                    </m:r>
                  </m:sub>
                  <m:sup>
                    <m:r>
                      <w:rPr>
                        <w:rFonts w:ascii="Cambria Math" w:hAnsi="Cambria Math"/>
                      </w:rPr>
                      <m:t>7</m:t>
                    </m:r>
                  </m:sup>
                  <m:e>
                    <m:sSub>
                      <m:sSubPr>
                        <m:ctrlPr>
                          <w:rPr>
                            <w:rFonts w:ascii="Cambria Math" w:hAnsi="Cambria Math"/>
                            <w:i/>
                          </w:rPr>
                        </m:ctrlPr>
                      </m:sSubPr>
                      <m:e>
                        <m:r>
                          <w:rPr>
                            <w:rFonts w:ascii="Cambria Math" w:hAnsi="Cambria Math"/>
                          </w:rPr>
                          <m:t>P</m:t>
                        </m:r>
                      </m:e>
                      <m:sub>
                        <m:r>
                          <w:rPr>
                            <w:rFonts w:ascii="Cambria Math" w:hAnsi="Cambria Math"/>
                          </w:rPr>
                          <m:t>q,b</m:t>
                        </m:r>
                      </m:sub>
                    </m:sSub>
                  </m:e>
                </m:nary>
              </m:oMath>
            </m:oMathPara>
          </w:p>
        </w:tc>
        <w:bookmarkStart w:id="690" w:name="_Ref531102859"/>
        <w:tc>
          <w:tcPr>
            <w:tcW w:w="543" w:type="dxa"/>
            <w:vAlign w:val="center"/>
            <w:hideMark/>
          </w:tcPr>
          <w:p w14:paraId="5DC74A5F" w14:textId="06BD390D" w:rsidR="000F16EB" w:rsidRPr="000C6BA1" w:rsidRDefault="000F16EB" w:rsidP="00A7521D">
            <w:pPr>
              <w:pStyle w:val="Caption"/>
              <w:jc w:val="right"/>
              <w:rPr>
                <w:b w:val="0"/>
              </w:rPr>
            </w:pPr>
            <w:r>
              <w:fldChar w:fldCharType="begin"/>
            </w:r>
            <w:r>
              <w:instrText xml:space="preserve"> STYLEREF 1 \s </w:instrText>
            </w:r>
            <w:r>
              <w:fldChar w:fldCharType="separate"/>
            </w:r>
            <w:r w:rsidR="00CB7456">
              <w:rPr>
                <w:noProof/>
              </w:rPr>
              <w:t>6</w:t>
            </w:r>
            <w:r>
              <w:fldChar w:fldCharType="end"/>
            </w:r>
            <w:r>
              <w:t>.</w:t>
            </w:r>
            <w:r>
              <w:rPr>
                <w:noProof/>
              </w:rPr>
              <w:fldChar w:fldCharType="begin"/>
            </w:r>
            <w:r>
              <w:rPr>
                <w:noProof/>
              </w:rPr>
              <w:instrText xml:space="preserve"> SEQ Equation \* ARABIC \s 1 </w:instrText>
            </w:r>
            <w:r>
              <w:rPr>
                <w:noProof/>
              </w:rPr>
              <w:fldChar w:fldCharType="separate"/>
            </w:r>
            <w:r w:rsidR="00CB7456">
              <w:rPr>
                <w:noProof/>
              </w:rPr>
              <w:t>8</w:t>
            </w:r>
            <w:r>
              <w:rPr>
                <w:noProof/>
              </w:rPr>
              <w:fldChar w:fldCharType="end"/>
            </w:r>
            <w:bookmarkEnd w:id="690"/>
          </w:p>
        </w:tc>
      </w:tr>
    </w:tbl>
    <w:p w14:paraId="738C9823" w14:textId="77777777" w:rsidR="000F16EB" w:rsidRDefault="000F16EB" w:rsidP="003650C8">
      <w:pPr>
        <w:pStyle w:val="NoSpacing"/>
      </w:pPr>
    </w:p>
    <w:p w14:paraId="73B57D82" w14:textId="77777777" w:rsidR="000F16EB" w:rsidRDefault="00C73E04" w:rsidP="000F16EB">
      <m:oMath>
        <m:sSub>
          <m:sSubPr>
            <m:ctrlPr>
              <w:rPr>
                <w:rFonts w:ascii="Cambria Math" w:hAnsi="Cambria Math"/>
                <w:i/>
              </w:rPr>
            </m:ctrlPr>
          </m:sSubPr>
          <m:e>
            <m:r>
              <w:rPr>
                <w:rFonts w:ascii="Cambria Math" w:hAnsi="Cambria Math"/>
              </w:rPr>
              <m:t>P</m:t>
            </m:r>
          </m:e>
          <m:sub>
            <m:r>
              <w:rPr>
                <w:rFonts w:ascii="Cambria Math" w:hAnsi="Cambria Math"/>
              </w:rPr>
              <m:t>q</m:t>
            </m:r>
          </m:sub>
        </m:sSub>
      </m:oMath>
      <w:r w:rsidR="000F16EB">
        <w:t xml:space="preserve"> was the total HD of all buildings in square, </w:t>
      </w:r>
      <w:r w:rsidR="000F16EB">
        <w:rPr>
          <w:i/>
        </w:rPr>
        <w:t>q</w:t>
      </w:r>
      <w:r w:rsidR="000F16EB">
        <w:t xml:space="preserve">, which was the sum of the HDs of the buildings of categories, </w:t>
      </w:r>
      <w:r w:rsidR="000F16EB">
        <w:rPr>
          <w:i/>
        </w:rPr>
        <w:t>b</w:t>
      </w:r>
      <w:r w:rsidR="000F16EB">
        <w:t xml:space="preserve"> to </w:t>
      </w:r>
      <w:r w:rsidR="000F16EB">
        <w:rPr>
          <w:i/>
        </w:rPr>
        <w:t>7</w:t>
      </w:r>
      <w:r w:rsidR="000F16EB">
        <w:t>, in that square [MW].</w:t>
      </w:r>
    </w:p>
    <w:p w14:paraId="149CDBBD" w14:textId="58E8B287" w:rsidR="000F16EB" w:rsidRDefault="000F16EB" w:rsidP="000F16EB">
      <w:r>
        <w:t xml:space="preserve">In rural, and some urban, DHNs the distances between the heat source and sink are over 1 km </w:t>
      </w:r>
      <w:r>
        <w:fldChar w:fldCharType="begin" w:fldLock="1"/>
      </w:r>
      <w:r w:rsidR="00FF4B5D">
        <w:instrText>ADDIN CSL_CITATION {"citationItems":[{"id":"ITEM-1","itemData":{"DOI":"100018816","author":[{"dropping-particle":"","family":"Finney","given":"Karen N.","non-dropping-particle":"","parse-names":false,"suffix":""},{"dropping-particle":"","family":"Swithenbank","given":"Jim","non-dropping-particle":"","parse-names":false,"suffix":""},{"dropping-particle":"","family":"Sharifi","given":"Vida N.","non-dropping-particle":"","parse-names":false,"suffix":""}],"id":"ITEM-1","issued":{"date-parts":[["2011"]]},"number-of-pages":"10","publisher-place":"London, England","title":"Sheffield Heat Mapping and Feasibility Study of Decentralised Energy: Identification and Impacts of the Potential Expansion of Sheffield’s Existing City-Wide District Energy Network using GIS Heat Mapping","type":"report"},"uris":["http://www.mendeley.com/documents/?uuid=223c385f-dae1-4c96-b073-decc1d850d35"]}],"mendeley":{"formattedCitation":"(Finney &lt;i&gt;et al.&lt;/i&gt;, 2011)","plainTextFormattedCitation":"(Finney et al., 2011)","previouslyFormattedCitation":"(Finney &lt;i&gt;et al.&lt;/i&gt;, 2011)"},"properties":{"noteIndex":0},"schema":"https://github.com/citation-style-language/schema/raw/master/csl-citation.json"}</w:instrText>
      </w:r>
      <w:r>
        <w:fldChar w:fldCharType="separate"/>
      </w:r>
      <w:r w:rsidR="005F544E" w:rsidRPr="005F544E">
        <w:rPr>
          <w:noProof/>
        </w:rPr>
        <w:t xml:space="preserve">(Finney </w:t>
      </w:r>
      <w:r w:rsidR="005F544E" w:rsidRPr="005F544E">
        <w:rPr>
          <w:i/>
          <w:noProof/>
        </w:rPr>
        <w:t>et al.</w:t>
      </w:r>
      <w:r w:rsidR="005F544E" w:rsidRPr="005F544E">
        <w:rPr>
          <w:noProof/>
        </w:rPr>
        <w:t>, 2011)</w:t>
      </w:r>
      <w:r>
        <w:fldChar w:fldCharType="end"/>
      </w:r>
      <w:r>
        <w:t xml:space="preserve">. The long pipe lengths meant that the effects of time delays and heat losses experienced by the water in the pipes in the case studies were significant and were included in the model. Time delays were included by assuming a water velocity of 2 m/s in the pipes </w:t>
      </w:r>
      <w:r>
        <w:fldChar w:fldCharType="begin" w:fldLock="1"/>
      </w:r>
      <w:r w:rsidR="002A6A73">
        <w:instrText>ADDIN CSL_CITATION {"citationItems":[{"id":"ITEM-1","itemData":{"abstract":"The purpose of the guidelines is to provide recommendations for the design of the different elements in a district heating system in order to enable low temperature district heating supply aiming at a supply temperature of 50°C at the consumer. The target group is engineers and planners as well as operators of district heating networks. The guidelines for low temperature district heating are based on a number of demonstration projects carried out in different locations in Denmark in the period 2008-2013. Low temperature district heating has been demonstrated for both, new low energy buildings and existing buildings; mainly in dwellings and in low heat density areas. Based on the lessons learned recommendation are made for the design of the district heating systems, consumer units and requirements for the single elements. The project group would like to thank all the people that have contributed to the guideline by asking questions about the low temperature district heating concept at international occasions as the: - 13th International Symposium on District Heating and Cooling in Copenhagen, September 2012 - IEA DHC Annex TS1 Meeting in Finland, September 2013 - DHC+ Conference in Brussels, November 2013. Also, thanks to those of you that did take your time to comment on the draft version of the guideline","author":[{"dropping-particle":"","family":"Olsen","given":"Peter Kaarup","non-dropping-particle":"","parse-names":false,"suffix":""}],"container-title":"EUDP 2010-II: Full-Scale Demonstration of Low-Temperature District Heating in Existing Buildings","id":"ITEM-1","issue":"April","issued":{"date-parts":[["2014"]]},"number-of-pages":"1-43","publisher-place":"Copenhagen, Denmark","title":"Guidelines for Low-Temperature District Heating","type":"report"},"uris":["http://www.mendeley.com/documents/?uuid=eb794920-7f1e-47d9-a473-39412c6b74e7"]}],"mendeley":{"formattedCitation":"(Olsen, 2014)","plainTextFormattedCitation":"(Olsen, 2014)","previouslyFormattedCitation":"(Olsen, 2014)"},"properties":{"noteIndex":0},"schema":"https://github.com/citation-style-language/schema/raw/master/csl-citation.json"}</w:instrText>
      </w:r>
      <w:r>
        <w:fldChar w:fldCharType="separate"/>
      </w:r>
      <w:r w:rsidR="002A6A73" w:rsidRPr="002A6A73">
        <w:rPr>
          <w:noProof/>
        </w:rPr>
        <w:t>(Olsen, 2014)</w:t>
      </w:r>
      <w:r>
        <w:fldChar w:fldCharType="end"/>
      </w:r>
      <w:r>
        <w:t xml:space="preserve">. The time taken for the water to travel down a pipe was calculated as shown in Equation </w:t>
      </w:r>
      <w:r>
        <w:fldChar w:fldCharType="begin"/>
      </w:r>
      <w:r>
        <w:instrText xml:space="preserve"> REF _Ref531102905 \h </w:instrText>
      </w:r>
      <w:r>
        <w:fldChar w:fldCharType="separate"/>
      </w:r>
      <w:r w:rsidR="00CB7456">
        <w:rPr>
          <w:noProof/>
        </w:rPr>
        <w:t>6</w:t>
      </w:r>
      <w:r w:rsidR="00CB7456">
        <w:t>.</w:t>
      </w:r>
      <w:r w:rsidR="00CB7456">
        <w:rPr>
          <w:noProof/>
        </w:rPr>
        <w:t>9</w:t>
      </w:r>
      <w:r>
        <w:fldChar w:fldCharType="end"/>
      </w:r>
      <w: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5"/>
        <w:gridCol w:w="543"/>
      </w:tblGrid>
      <w:tr w:rsidR="000F16EB" w14:paraId="2E0FB41F" w14:textId="77777777" w:rsidTr="00A7521D">
        <w:tc>
          <w:tcPr>
            <w:tcW w:w="7655" w:type="dxa"/>
            <w:hideMark/>
          </w:tcPr>
          <w:p w14:paraId="60A6B0B5" w14:textId="77777777" w:rsidR="000F16EB" w:rsidRDefault="000F16EB" w:rsidP="00A7521D">
            <w:pPr>
              <w:keepNext/>
            </w:pPr>
            <m:oMathPara>
              <m:oMathParaPr>
                <m:jc m:val="left"/>
              </m:oMathParaPr>
              <m:oMath>
                <m:r>
                  <w:rPr>
                    <w:rFonts w:ascii="Cambria Math" w:hAnsi="Cambria Math"/>
                  </w:rPr>
                  <w:lastRenderedPageBreak/>
                  <m:t>t=</m:t>
                </m:r>
                <m:f>
                  <m:fPr>
                    <m:ctrlPr>
                      <w:rPr>
                        <w:rFonts w:ascii="Cambria Math" w:hAnsi="Cambria Math"/>
                        <w:i/>
                      </w:rPr>
                    </m:ctrlPr>
                  </m:fPr>
                  <m:num>
                    <w:bookmarkStart w:id="691" w:name="_Hlk526157227"/>
                    <m:r>
                      <w:rPr>
                        <w:rFonts w:ascii="Cambria Math" w:hAnsi="Cambria Math"/>
                      </w:rPr>
                      <m:t>L</m:t>
                    </m:r>
                    <w:bookmarkEnd w:id="691"/>
                  </m:num>
                  <m:den>
                    <m:r>
                      <w:rPr>
                        <w:rFonts w:ascii="Cambria Math" w:hAnsi="Cambria Math"/>
                      </w:rPr>
                      <m:t>v</m:t>
                    </m:r>
                  </m:den>
                </m:f>
              </m:oMath>
            </m:oMathPara>
          </w:p>
        </w:tc>
        <w:bookmarkStart w:id="692" w:name="_Ref531102905"/>
        <w:tc>
          <w:tcPr>
            <w:tcW w:w="543" w:type="dxa"/>
            <w:vAlign w:val="center"/>
            <w:hideMark/>
          </w:tcPr>
          <w:p w14:paraId="75D601CB" w14:textId="39F60187" w:rsidR="000F16EB" w:rsidRPr="000C6BA1" w:rsidRDefault="000F16EB" w:rsidP="00A7521D">
            <w:pPr>
              <w:pStyle w:val="Caption"/>
              <w:jc w:val="right"/>
              <w:rPr>
                <w:b w:val="0"/>
              </w:rPr>
            </w:pPr>
            <w:r>
              <w:fldChar w:fldCharType="begin"/>
            </w:r>
            <w:r>
              <w:instrText xml:space="preserve"> STYLEREF 1 \s </w:instrText>
            </w:r>
            <w:r>
              <w:fldChar w:fldCharType="separate"/>
            </w:r>
            <w:r w:rsidR="00CB7456">
              <w:rPr>
                <w:noProof/>
              </w:rPr>
              <w:t>6</w:t>
            </w:r>
            <w:r>
              <w:fldChar w:fldCharType="end"/>
            </w:r>
            <w:r>
              <w:t>.</w:t>
            </w:r>
            <w:r>
              <w:rPr>
                <w:noProof/>
              </w:rPr>
              <w:fldChar w:fldCharType="begin"/>
            </w:r>
            <w:r>
              <w:rPr>
                <w:noProof/>
              </w:rPr>
              <w:instrText xml:space="preserve"> SEQ Equation \* ARABIC \s 1 </w:instrText>
            </w:r>
            <w:r>
              <w:rPr>
                <w:noProof/>
              </w:rPr>
              <w:fldChar w:fldCharType="separate"/>
            </w:r>
            <w:r w:rsidR="00CB7456">
              <w:rPr>
                <w:noProof/>
              </w:rPr>
              <w:t>9</w:t>
            </w:r>
            <w:r>
              <w:rPr>
                <w:noProof/>
              </w:rPr>
              <w:fldChar w:fldCharType="end"/>
            </w:r>
            <w:bookmarkEnd w:id="692"/>
          </w:p>
        </w:tc>
      </w:tr>
    </w:tbl>
    <w:p w14:paraId="2B7DC7FA" w14:textId="77777777" w:rsidR="000F16EB" w:rsidRDefault="000F16EB" w:rsidP="003650C8">
      <w:pPr>
        <w:pStyle w:val="NoSpacing"/>
      </w:pPr>
    </w:p>
    <w:p w14:paraId="136D9CF0" w14:textId="77777777" w:rsidR="000F16EB" w:rsidRDefault="000F16EB" w:rsidP="000F16EB">
      <w:pPr>
        <w:pStyle w:val="NoSpacing"/>
      </w:pPr>
      <m:oMath>
        <m:r>
          <w:rPr>
            <w:rFonts w:ascii="Cambria Math" w:hAnsi="Cambria Math"/>
          </w:rPr>
          <m:t>t</m:t>
        </m:r>
      </m:oMath>
      <w:r>
        <w:t xml:space="preserve"> was the time taken for water to travel down a length of pipe (s),</w:t>
      </w:r>
    </w:p>
    <w:p w14:paraId="6F2A51DE" w14:textId="77777777" w:rsidR="000F16EB" w:rsidRDefault="000F16EB" w:rsidP="000F16EB">
      <w:pPr>
        <w:pStyle w:val="NoSpacing"/>
      </w:pPr>
      <m:oMath>
        <m:r>
          <w:rPr>
            <w:rFonts w:ascii="Cambria Math" w:hAnsi="Cambria Math"/>
          </w:rPr>
          <m:t>L</m:t>
        </m:r>
      </m:oMath>
      <w:r>
        <w:t xml:space="preserve"> was the length of the pipe (m),</w:t>
      </w:r>
    </w:p>
    <w:p w14:paraId="459391B5" w14:textId="77777777" w:rsidR="000F16EB" w:rsidRPr="00497DBC" w:rsidRDefault="000F16EB" w:rsidP="000F16EB">
      <w:bookmarkStart w:id="693" w:name="_Hlk526157244"/>
      <m:oMath>
        <m:r>
          <w:rPr>
            <w:rFonts w:ascii="Cambria Math" w:hAnsi="Cambria Math"/>
          </w:rPr>
          <m:t>v</m:t>
        </m:r>
      </m:oMath>
      <w:bookmarkEnd w:id="693"/>
      <w:r>
        <w:t xml:space="preserve"> was the velocity of the water in the pipe (m/s).</w:t>
      </w:r>
    </w:p>
    <w:p w14:paraId="4949A17F" w14:textId="01C1551F" w:rsidR="000F16EB" w:rsidRDefault="000F16EB" w:rsidP="000F16EB">
      <w:r>
        <w:t xml:space="preserve">The heat losses in the pipe were calculated as shown in </w:t>
      </w:r>
      <w:r>
        <w:fldChar w:fldCharType="begin"/>
      </w:r>
      <w:r>
        <w:instrText xml:space="preserve"> REF _Ref531102954 \h </w:instrText>
      </w:r>
      <w:r>
        <w:fldChar w:fldCharType="separate"/>
      </w:r>
      <w:r w:rsidR="00CB7456">
        <w:rPr>
          <w:noProof/>
        </w:rPr>
        <w:t>6</w:t>
      </w:r>
      <w:r w:rsidR="00CB7456">
        <w:t>.</w:t>
      </w:r>
      <w:r w:rsidR="00CB7456">
        <w:rPr>
          <w:noProof/>
        </w:rPr>
        <w:t>10</w:t>
      </w:r>
      <w:r>
        <w:fldChar w:fldCharType="end"/>
      </w:r>
      <w: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5"/>
        <w:gridCol w:w="543"/>
      </w:tblGrid>
      <w:tr w:rsidR="000F16EB" w14:paraId="5DC6EEC7" w14:textId="77777777" w:rsidTr="00A7521D">
        <w:tc>
          <w:tcPr>
            <w:tcW w:w="7655" w:type="dxa"/>
            <w:hideMark/>
          </w:tcPr>
          <w:p w14:paraId="28C56FB0" w14:textId="77777777" w:rsidR="000F16EB" w:rsidRDefault="00C73E04" w:rsidP="00A7521D">
            <w:pPr>
              <w:keepNext/>
            </w:pPr>
            <m:oMathPara>
              <m:oMathParaPr>
                <m:jc m:val="left"/>
              </m:oMathParaPr>
              <m:oMath>
                <m:sSub>
                  <m:sSubPr>
                    <m:ctrlPr>
                      <w:rPr>
                        <w:rFonts w:ascii="Cambria Math" w:hAnsi="Cambria Math"/>
                        <w:i/>
                      </w:rPr>
                    </m:ctrlPr>
                  </m:sSubPr>
                  <m:e>
                    <m:r>
                      <w:rPr>
                        <w:rFonts w:ascii="Cambria Math" w:hAnsi="Cambria Math"/>
                      </w:rPr>
                      <m:t>P</m:t>
                    </m:r>
                  </m:e>
                  <m:sub>
                    <m:r>
                      <w:rPr>
                        <w:rFonts w:ascii="Cambria Math" w:hAnsi="Cambria Math"/>
                      </w:rPr>
                      <m:t>L</m:t>
                    </m:r>
                  </m:sub>
                </m:sSub>
                <m:r>
                  <w:rPr>
                    <w:rFonts w:ascii="Cambria Math" w:hAnsi="Cambria Math"/>
                  </w:rPr>
                  <m:t>=</m:t>
                </m:r>
                <m:f>
                  <m:fPr>
                    <m:ctrlPr>
                      <w:rPr>
                        <w:rFonts w:ascii="Cambria Math" w:hAnsi="Cambria Math"/>
                        <w:i/>
                      </w:rPr>
                    </m:ctrlPr>
                  </m:fPr>
                  <m:num>
                    <m:r>
                      <w:rPr>
                        <w:rFonts w:ascii="Cambria Math" w:hAnsi="Cambria Math"/>
                      </w:rPr>
                      <m:t>2πkL(</m:t>
                    </m:r>
                    <m:sSub>
                      <m:sSubPr>
                        <m:ctrlPr>
                          <w:rPr>
                            <w:rFonts w:ascii="Cambria Math" w:hAnsi="Cambria Math"/>
                            <w:i/>
                          </w:rPr>
                        </m:ctrlPr>
                      </m:sSubPr>
                      <m:e>
                        <m:r>
                          <w:rPr>
                            <w:rFonts w:ascii="Cambria Math" w:hAnsi="Cambria Math"/>
                          </w:rPr>
                          <m:t>T</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o</m:t>
                        </m:r>
                      </m:sub>
                    </m:sSub>
                    <m:r>
                      <w:rPr>
                        <w:rFonts w:ascii="Cambria Math" w:hAnsi="Cambria Math"/>
                      </w:rPr>
                      <m:t>)</m:t>
                    </m:r>
                  </m:num>
                  <m:den>
                    <m:r>
                      <w:rPr>
                        <w:rFonts w:ascii="Cambria Math" w:hAnsi="Cambria Math"/>
                      </w:rPr>
                      <m:t>ln</m:t>
                    </m:r>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D</m:t>
                                </m:r>
                              </m:e>
                              <m:sub>
                                <m:r>
                                  <w:rPr>
                                    <w:rFonts w:ascii="Cambria Math" w:hAnsi="Cambria Math"/>
                                  </w:rPr>
                                  <m:t>o</m:t>
                                </m:r>
                              </m:sub>
                            </m:sSub>
                          </m:num>
                          <m:den>
                            <m:sSub>
                              <m:sSubPr>
                                <m:ctrlPr>
                                  <w:rPr>
                                    <w:rFonts w:ascii="Cambria Math" w:hAnsi="Cambria Math"/>
                                    <w:i/>
                                  </w:rPr>
                                </m:ctrlPr>
                              </m:sSubPr>
                              <m:e>
                                <m:r>
                                  <w:rPr>
                                    <w:rFonts w:ascii="Cambria Math" w:hAnsi="Cambria Math"/>
                                  </w:rPr>
                                  <m:t>D</m:t>
                                </m:r>
                              </m:e>
                              <m:sub>
                                <m:r>
                                  <w:rPr>
                                    <w:rFonts w:ascii="Cambria Math" w:hAnsi="Cambria Math"/>
                                  </w:rPr>
                                  <m:t>i</m:t>
                                </m:r>
                              </m:sub>
                            </m:sSub>
                          </m:den>
                        </m:f>
                      </m:e>
                    </m:d>
                  </m:den>
                </m:f>
              </m:oMath>
            </m:oMathPara>
          </w:p>
        </w:tc>
        <w:bookmarkStart w:id="694" w:name="_Ref531102954"/>
        <w:tc>
          <w:tcPr>
            <w:tcW w:w="543" w:type="dxa"/>
            <w:vAlign w:val="center"/>
            <w:hideMark/>
          </w:tcPr>
          <w:p w14:paraId="395A71A7" w14:textId="1520393F" w:rsidR="000F16EB" w:rsidRPr="000C6BA1" w:rsidRDefault="000F16EB" w:rsidP="00A7521D">
            <w:pPr>
              <w:pStyle w:val="Caption"/>
              <w:jc w:val="right"/>
              <w:rPr>
                <w:b w:val="0"/>
              </w:rPr>
            </w:pPr>
            <w:r>
              <w:fldChar w:fldCharType="begin"/>
            </w:r>
            <w:r>
              <w:instrText xml:space="preserve"> STYLEREF 1 \s </w:instrText>
            </w:r>
            <w:r>
              <w:fldChar w:fldCharType="separate"/>
            </w:r>
            <w:r w:rsidR="00CB7456">
              <w:rPr>
                <w:noProof/>
              </w:rPr>
              <w:t>6</w:t>
            </w:r>
            <w:r>
              <w:fldChar w:fldCharType="end"/>
            </w:r>
            <w:r>
              <w:t>.</w:t>
            </w:r>
            <w:r>
              <w:rPr>
                <w:noProof/>
              </w:rPr>
              <w:fldChar w:fldCharType="begin"/>
            </w:r>
            <w:r>
              <w:rPr>
                <w:noProof/>
              </w:rPr>
              <w:instrText xml:space="preserve"> SEQ Equation \* ARABIC \s 1 </w:instrText>
            </w:r>
            <w:r>
              <w:rPr>
                <w:noProof/>
              </w:rPr>
              <w:fldChar w:fldCharType="separate"/>
            </w:r>
            <w:r w:rsidR="00CB7456">
              <w:rPr>
                <w:noProof/>
              </w:rPr>
              <w:t>10</w:t>
            </w:r>
            <w:r>
              <w:rPr>
                <w:noProof/>
              </w:rPr>
              <w:fldChar w:fldCharType="end"/>
            </w:r>
            <w:bookmarkEnd w:id="694"/>
          </w:p>
        </w:tc>
      </w:tr>
    </w:tbl>
    <w:p w14:paraId="33C343B3" w14:textId="77777777" w:rsidR="000F16EB" w:rsidRDefault="000F16EB" w:rsidP="003650C8">
      <w:pPr>
        <w:pStyle w:val="NoSpacing"/>
      </w:pPr>
    </w:p>
    <w:bookmarkStart w:id="695" w:name="_Hlk526157312"/>
    <w:p w14:paraId="65090A15" w14:textId="77777777" w:rsidR="000F16EB" w:rsidRDefault="00C73E04" w:rsidP="000F16EB">
      <w:pPr>
        <w:pStyle w:val="NoSpacing"/>
      </w:pPr>
      <m:oMath>
        <m:sSub>
          <m:sSubPr>
            <m:ctrlPr>
              <w:rPr>
                <w:rFonts w:ascii="Cambria Math" w:hAnsi="Cambria Math"/>
                <w:i/>
              </w:rPr>
            </m:ctrlPr>
          </m:sSubPr>
          <m:e>
            <m:r>
              <w:rPr>
                <w:rFonts w:ascii="Cambria Math" w:hAnsi="Cambria Math"/>
              </w:rPr>
              <m:t>P</m:t>
            </m:r>
          </m:e>
          <m:sub>
            <m:r>
              <w:rPr>
                <w:rFonts w:ascii="Cambria Math" w:hAnsi="Cambria Math"/>
              </w:rPr>
              <m:t>L</m:t>
            </m:r>
          </m:sub>
        </m:sSub>
      </m:oMath>
      <w:bookmarkEnd w:id="695"/>
      <w:r w:rsidR="000F16EB">
        <w:t xml:space="preserve"> was the heat loss in a length of pipe (MW),</w:t>
      </w:r>
    </w:p>
    <w:p w14:paraId="26D4C297" w14:textId="77777777" w:rsidR="000F16EB" w:rsidRDefault="000F16EB" w:rsidP="000F16EB">
      <w:pPr>
        <w:pStyle w:val="NoSpacing"/>
      </w:pPr>
      <w:bookmarkStart w:id="696" w:name="_Hlk526157332"/>
      <m:oMath>
        <m:r>
          <w:rPr>
            <w:rFonts w:ascii="Cambria Math" w:hAnsi="Cambria Math"/>
          </w:rPr>
          <m:t>k</m:t>
        </m:r>
      </m:oMath>
      <w:bookmarkEnd w:id="696"/>
      <w:r>
        <w:t xml:space="preserve"> was the thermal conductivity of the pipe wall (W/[m</w:t>
      </w:r>
      <w:bookmarkStart w:id="697" w:name="_Hlk526157348"/>
      <w:r>
        <w:t>°C]),</w:t>
      </w:r>
      <w:bookmarkEnd w:id="697"/>
    </w:p>
    <w:p w14:paraId="4B39D11A" w14:textId="77777777" w:rsidR="000F16EB" w:rsidRDefault="00C73E04" w:rsidP="000F16EB">
      <w:pPr>
        <w:pStyle w:val="NoSpacing"/>
      </w:pPr>
      <m:oMath>
        <m:sSub>
          <m:sSubPr>
            <m:ctrlPr>
              <w:rPr>
                <w:rFonts w:ascii="Cambria Math" w:hAnsi="Cambria Math"/>
                <w:i/>
              </w:rPr>
            </m:ctrlPr>
          </m:sSubPr>
          <m:e>
            <m:r>
              <w:rPr>
                <w:rFonts w:ascii="Cambria Math" w:hAnsi="Cambria Math"/>
              </w:rPr>
              <m:t>T</m:t>
            </m:r>
          </m:e>
          <m:sub>
            <m:r>
              <w:rPr>
                <w:rFonts w:ascii="Cambria Math" w:hAnsi="Cambria Math"/>
              </w:rPr>
              <m:t>i</m:t>
            </m:r>
          </m:sub>
        </m:sSub>
      </m:oMath>
      <w:r w:rsidR="000F16EB">
        <w:t xml:space="preserve"> was the internal pipe temperature (°C),</w:t>
      </w:r>
    </w:p>
    <w:p w14:paraId="0417BFC5" w14:textId="77777777" w:rsidR="000F16EB" w:rsidRDefault="00C73E04" w:rsidP="000F16EB">
      <w:pPr>
        <w:pStyle w:val="NoSpacing"/>
      </w:pPr>
      <m:oMath>
        <m:sSub>
          <m:sSubPr>
            <m:ctrlPr>
              <w:rPr>
                <w:rFonts w:ascii="Cambria Math" w:hAnsi="Cambria Math"/>
                <w:i/>
              </w:rPr>
            </m:ctrlPr>
          </m:sSubPr>
          <m:e>
            <m:r>
              <w:rPr>
                <w:rFonts w:ascii="Cambria Math" w:hAnsi="Cambria Math"/>
              </w:rPr>
              <m:t>T</m:t>
            </m:r>
          </m:e>
          <m:sub>
            <m:r>
              <w:rPr>
                <w:rFonts w:ascii="Cambria Math" w:hAnsi="Cambria Math"/>
              </w:rPr>
              <m:t>o</m:t>
            </m:r>
          </m:sub>
        </m:sSub>
      </m:oMath>
      <w:r w:rsidR="000F16EB">
        <w:t xml:space="preserve"> was the external pipe temperature (°C),</w:t>
      </w:r>
    </w:p>
    <w:p w14:paraId="1E249C92" w14:textId="77777777" w:rsidR="000F16EB" w:rsidRDefault="00C73E04" w:rsidP="000F16EB">
      <w:pPr>
        <w:pStyle w:val="NoSpacing"/>
      </w:pPr>
      <m:oMath>
        <m:sSub>
          <m:sSubPr>
            <m:ctrlPr>
              <w:rPr>
                <w:rFonts w:ascii="Cambria Math" w:hAnsi="Cambria Math"/>
                <w:i/>
              </w:rPr>
            </m:ctrlPr>
          </m:sSubPr>
          <m:e>
            <m:r>
              <w:rPr>
                <w:rFonts w:ascii="Cambria Math" w:hAnsi="Cambria Math"/>
              </w:rPr>
              <m:t>D</m:t>
            </m:r>
          </m:e>
          <m:sub>
            <m:r>
              <w:rPr>
                <w:rFonts w:ascii="Cambria Math" w:hAnsi="Cambria Math"/>
              </w:rPr>
              <m:t>i</m:t>
            </m:r>
          </m:sub>
        </m:sSub>
      </m:oMath>
      <w:r w:rsidR="000F16EB">
        <w:t xml:space="preserve"> was the internal pipe diameter (m),</w:t>
      </w:r>
    </w:p>
    <w:p w14:paraId="7D9742C2" w14:textId="77777777" w:rsidR="000F16EB" w:rsidRDefault="00C73E04" w:rsidP="000F16EB">
      <m:oMath>
        <m:sSub>
          <m:sSubPr>
            <m:ctrlPr>
              <w:rPr>
                <w:rFonts w:ascii="Cambria Math" w:hAnsi="Cambria Math"/>
                <w:i/>
              </w:rPr>
            </m:ctrlPr>
          </m:sSubPr>
          <m:e>
            <m:r>
              <w:rPr>
                <w:rFonts w:ascii="Cambria Math" w:hAnsi="Cambria Math"/>
              </w:rPr>
              <m:t>D</m:t>
            </m:r>
          </m:e>
          <m:sub>
            <m:r>
              <w:rPr>
                <w:rFonts w:ascii="Cambria Math" w:hAnsi="Cambria Math"/>
              </w:rPr>
              <m:t>o</m:t>
            </m:r>
          </m:sub>
        </m:sSub>
      </m:oMath>
      <w:r w:rsidR="000F16EB">
        <w:t xml:space="preserve"> was the external pipe diameter (m).</w:t>
      </w:r>
    </w:p>
    <w:p w14:paraId="2EE915BF" w14:textId="61BADFAB" w:rsidR="000F16EB" w:rsidRDefault="000F16EB" w:rsidP="000F16EB">
      <w:r>
        <w:t xml:space="preserve">The HD of each </w:t>
      </w:r>
      <w:proofErr w:type="spellStart"/>
      <w:r>
        <w:t>subnode</w:t>
      </w:r>
      <w:proofErr w:type="spellEnd"/>
      <w:r>
        <w:t xml:space="preserve">, node, and of the DHN as a whole were calculated, as shown in Equation </w:t>
      </w:r>
      <w:r>
        <w:fldChar w:fldCharType="begin"/>
      </w:r>
      <w:r>
        <w:instrText xml:space="preserve"> REF _Ref531103013 \h </w:instrText>
      </w:r>
      <w:r>
        <w:fldChar w:fldCharType="separate"/>
      </w:r>
      <w:r w:rsidR="00CB7456">
        <w:rPr>
          <w:noProof/>
        </w:rPr>
        <w:t>6</w:t>
      </w:r>
      <w:r w:rsidR="00CB7456">
        <w:t>.</w:t>
      </w:r>
      <w:r w:rsidR="00CB7456">
        <w:rPr>
          <w:noProof/>
        </w:rPr>
        <w:t>11</w:t>
      </w:r>
      <w:r>
        <w:fldChar w:fldCharType="end"/>
      </w:r>
      <w:r>
        <w:t xml:space="preserve">, Equation </w:t>
      </w:r>
      <w:r>
        <w:fldChar w:fldCharType="begin"/>
      </w:r>
      <w:r>
        <w:instrText xml:space="preserve"> REF _Ref531103073 \h </w:instrText>
      </w:r>
      <w:r>
        <w:fldChar w:fldCharType="separate"/>
      </w:r>
      <w:r w:rsidR="00CB7456">
        <w:rPr>
          <w:noProof/>
        </w:rPr>
        <w:t>6</w:t>
      </w:r>
      <w:r w:rsidR="00CB7456">
        <w:t>.</w:t>
      </w:r>
      <w:r w:rsidR="00CB7456">
        <w:rPr>
          <w:noProof/>
        </w:rPr>
        <w:t>12</w:t>
      </w:r>
      <w:r>
        <w:fldChar w:fldCharType="end"/>
      </w:r>
      <w:r>
        <w:t xml:space="preserve">, and Equation </w:t>
      </w:r>
      <w:r>
        <w:fldChar w:fldCharType="begin"/>
      </w:r>
      <w:r>
        <w:instrText xml:space="preserve"> REF _Ref531103113 \h </w:instrText>
      </w:r>
      <w:r>
        <w:fldChar w:fldCharType="separate"/>
      </w:r>
      <w:r w:rsidR="00CB7456">
        <w:rPr>
          <w:noProof/>
        </w:rPr>
        <w:t>6</w:t>
      </w:r>
      <w:r w:rsidR="00CB7456">
        <w:t>.</w:t>
      </w:r>
      <w:r w:rsidR="00CB7456">
        <w:rPr>
          <w:noProof/>
        </w:rPr>
        <w:t>13</w:t>
      </w:r>
      <w:r>
        <w:fldChar w:fldCharType="end"/>
      </w:r>
      <w: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5"/>
        <w:gridCol w:w="543"/>
      </w:tblGrid>
      <w:tr w:rsidR="000F16EB" w14:paraId="7D1E5388" w14:textId="77777777" w:rsidTr="00A7521D">
        <w:tc>
          <w:tcPr>
            <w:tcW w:w="7655" w:type="dxa"/>
            <w:hideMark/>
          </w:tcPr>
          <w:p w14:paraId="3EF4113C" w14:textId="77777777" w:rsidR="000F16EB" w:rsidRDefault="00C73E04" w:rsidP="00A7521D">
            <w:pPr>
              <w:keepNext/>
            </w:pPr>
            <m:oMathPara>
              <m:oMathParaPr>
                <m:jc m:val="left"/>
              </m:oMathParaPr>
              <m:oMath>
                <m:sSub>
                  <m:sSubPr>
                    <m:ctrlPr>
                      <w:rPr>
                        <w:rFonts w:ascii="Cambria Math" w:hAnsi="Cambria Math"/>
                        <w:i/>
                      </w:rPr>
                    </m:ctrlPr>
                  </m:sSubPr>
                  <m:e>
                    <m:r>
                      <w:rPr>
                        <w:rFonts w:ascii="Cambria Math" w:hAnsi="Cambria Math"/>
                      </w:rPr>
                      <m:t>P</m:t>
                    </m:r>
                  </m:e>
                  <m:sub>
                    <m:r>
                      <w:rPr>
                        <w:rFonts w:ascii="Cambria Math" w:hAnsi="Cambria Math"/>
                      </w:rPr>
                      <m:t>r</m:t>
                    </m:r>
                  </m:sub>
                </m:sSub>
                <m:r>
                  <w:rPr>
                    <w:rFonts w:ascii="Cambria Math" w:hAnsi="Cambria Math"/>
                  </w:rPr>
                  <m:t>=</m:t>
                </m:r>
                <m:nary>
                  <m:naryPr>
                    <m:chr m:val="∑"/>
                    <m:limLoc m:val="undOvr"/>
                    <m:ctrlPr>
                      <w:rPr>
                        <w:rFonts w:ascii="Cambria Math" w:hAnsi="Cambria Math"/>
                        <w:i/>
                      </w:rPr>
                    </m:ctrlPr>
                  </m:naryPr>
                  <m:sub>
                    <m:r>
                      <w:rPr>
                        <w:rFonts w:ascii="Cambria Math" w:hAnsi="Cambria Math"/>
                      </w:rPr>
                      <m:t>q=1</m:t>
                    </m:r>
                  </m:sub>
                  <m:sup>
                    <m:r>
                      <w:rPr>
                        <w:rFonts w:ascii="Cambria Math" w:hAnsi="Cambria Math"/>
                      </w:rPr>
                      <m:t>N</m:t>
                    </m:r>
                  </m:sup>
                  <m:e>
                    <m:d>
                      <m:dPr>
                        <m:ctrlPr>
                          <w:rPr>
                            <w:rFonts w:ascii="Cambria Math" w:hAnsi="Cambria Math"/>
                            <w:i/>
                          </w:rPr>
                        </m:ctrlPr>
                      </m:dPr>
                      <m:e>
                        <m:sSub>
                          <m:sSubPr>
                            <m:ctrlPr>
                              <w:rPr>
                                <w:rFonts w:ascii="Cambria Math" w:hAnsi="Cambria Math"/>
                                <w:i/>
                              </w:rPr>
                            </m:ctrlPr>
                          </m:sSubPr>
                          <m:e>
                            <m:r>
                              <w:rPr>
                                <w:rFonts w:ascii="Cambria Math" w:hAnsi="Cambria Math"/>
                              </w:rPr>
                              <m:t>P</m:t>
                            </m:r>
                          </m:e>
                          <m:sub>
                            <m:r>
                              <w:rPr>
                                <w:rFonts w:ascii="Cambria Math" w:hAnsi="Cambria Math"/>
                              </w:rPr>
                              <m:t>q</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L,q</m:t>
                            </m:r>
                          </m:sub>
                        </m:sSub>
                      </m:e>
                    </m:d>
                  </m:e>
                </m:nary>
              </m:oMath>
            </m:oMathPara>
          </w:p>
        </w:tc>
        <w:bookmarkStart w:id="698" w:name="_Ref531103013"/>
        <w:tc>
          <w:tcPr>
            <w:tcW w:w="543" w:type="dxa"/>
            <w:vAlign w:val="center"/>
            <w:hideMark/>
          </w:tcPr>
          <w:p w14:paraId="34460443" w14:textId="0673397B" w:rsidR="000F16EB" w:rsidRPr="000C6BA1" w:rsidRDefault="000F16EB" w:rsidP="00A7521D">
            <w:pPr>
              <w:pStyle w:val="Caption"/>
              <w:jc w:val="right"/>
              <w:rPr>
                <w:b w:val="0"/>
              </w:rPr>
            </w:pPr>
            <w:r>
              <w:fldChar w:fldCharType="begin"/>
            </w:r>
            <w:r>
              <w:instrText xml:space="preserve"> STYLEREF 1 \s </w:instrText>
            </w:r>
            <w:r>
              <w:fldChar w:fldCharType="separate"/>
            </w:r>
            <w:r w:rsidR="00CB7456">
              <w:rPr>
                <w:noProof/>
              </w:rPr>
              <w:t>6</w:t>
            </w:r>
            <w:r>
              <w:fldChar w:fldCharType="end"/>
            </w:r>
            <w:r>
              <w:t>.</w:t>
            </w:r>
            <w:r>
              <w:rPr>
                <w:noProof/>
              </w:rPr>
              <w:fldChar w:fldCharType="begin"/>
            </w:r>
            <w:r>
              <w:rPr>
                <w:noProof/>
              </w:rPr>
              <w:instrText xml:space="preserve"> SEQ Equation \* ARABIC \s 1 </w:instrText>
            </w:r>
            <w:r>
              <w:rPr>
                <w:noProof/>
              </w:rPr>
              <w:fldChar w:fldCharType="separate"/>
            </w:r>
            <w:r w:rsidR="00CB7456">
              <w:rPr>
                <w:noProof/>
              </w:rPr>
              <w:t>11</w:t>
            </w:r>
            <w:r>
              <w:rPr>
                <w:noProof/>
              </w:rPr>
              <w:fldChar w:fldCharType="end"/>
            </w:r>
            <w:bookmarkEnd w:id="698"/>
          </w:p>
        </w:tc>
      </w:tr>
    </w:tbl>
    <w:p w14:paraId="0F777667" w14:textId="77777777" w:rsidR="000F16EB" w:rsidRDefault="000F16EB" w:rsidP="003650C8">
      <w:pPr>
        <w:pStyle w:val="NoSpacing"/>
      </w:pPr>
    </w:p>
    <w:p w14:paraId="750619C4" w14:textId="77777777" w:rsidR="000F16EB" w:rsidRDefault="00C73E04" w:rsidP="000F16EB">
      <w:pPr>
        <w:pStyle w:val="NoSpacing"/>
      </w:pPr>
      <m:oMath>
        <m:sSub>
          <m:sSubPr>
            <m:ctrlPr>
              <w:rPr>
                <w:rFonts w:ascii="Cambria Math" w:hAnsi="Cambria Math"/>
                <w:i/>
              </w:rPr>
            </m:ctrlPr>
          </m:sSubPr>
          <m:e>
            <m:r>
              <w:rPr>
                <w:rFonts w:ascii="Cambria Math" w:hAnsi="Cambria Math"/>
              </w:rPr>
              <m:t>P</m:t>
            </m:r>
          </m:e>
          <m:sub>
            <m:r>
              <w:rPr>
                <w:rFonts w:ascii="Cambria Math" w:hAnsi="Cambria Math"/>
              </w:rPr>
              <m:t>r</m:t>
            </m:r>
          </m:sub>
        </m:sSub>
      </m:oMath>
      <w:r w:rsidR="000F16EB">
        <w:t xml:space="preserve"> was the HD of subnode, </w:t>
      </w:r>
      <w:r w:rsidR="000F16EB">
        <w:rPr>
          <w:i/>
        </w:rPr>
        <w:t xml:space="preserve">r, </w:t>
      </w:r>
      <w:r w:rsidR="000F16EB">
        <w:t xml:space="preserve">which is the sum of the HDs of the squares, </w:t>
      </w:r>
      <w:r w:rsidR="000F16EB">
        <w:rPr>
          <w:i/>
        </w:rPr>
        <w:t xml:space="preserve">1 </w:t>
      </w:r>
      <w:r w:rsidR="000F16EB">
        <w:t xml:space="preserve">to </w:t>
      </w:r>
      <w:r w:rsidR="000F16EB">
        <w:rPr>
          <w:i/>
        </w:rPr>
        <w:t>N</w:t>
      </w:r>
      <w:r w:rsidR="000F16EB">
        <w:t xml:space="preserve"> (MW),</w:t>
      </w:r>
    </w:p>
    <w:p w14:paraId="061777EE" w14:textId="77777777" w:rsidR="000F16EB" w:rsidRDefault="00C73E04" w:rsidP="000F16EB">
      <w:pPr>
        <w:pStyle w:val="NoSpacing"/>
      </w:pPr>
      <m:oMath>
        <m:sSub>
          <m:sSubPr>
            <m:ctrlPr>
              <w:rPr>
                <w:rFonts w:ascii="Cambria Math" w:hAnsi="Cambria Math"/>
                <w:i/>
              </w:rPr>
            </m:ctrlPr>
          </m:sSubPr>
          <m:e>
            <m:r>
              <w:rPr>
                <w:rFonts w:ascii="Cambria Math" w:hAnsi="Cambria Math"/>
              </w:rPr>
              <m:t>P</m:t>
            </m:r>
          </m:e>
          <m:sub>
            <m:r>
              <w:rPr>
                <w:rFonts w:ascii="Cambria Math" w:hAnsi="Cambria Math"/>
              </w:rPr>
              <m:t>q</m:t>
            </m:r>
          </m:sub>
        </m:sSub>
      </m:oMath>
      <w:r w:rsidR="000F16EB">
        <w:t xml:space="preserve"> was the HD of square, </w:t>
      </w:r>
      <w:r w:rsidR="000F16EB">
        <w:rPr>
          <w:i/>
        </w:rPr>
        <w:t>q</w:t>
      </w:r>
      <w:r w:rsidR="000F16EB">
        <w:t xml:space="preserve"> (MW),</w:t>
      </w:r>
    </w:p>
    <w:p w14:paraId="4D60A586" w14:textId="77777777" w:rsidR="000F16EB" w:rsidRDefault="00C73E04" w:rsidP="000F16EB">
      <m:oMath>
        <m:sSub>
          <m:sSubPr>
            <m:ctrlPr>
              <w:rPr>
                <w:rFonts w:ascii="Cambria Math" w:hAnsi="Cambria Math"/>
                <w:i/>
              </w:rPr>
            </m:ctrlPr>
          </m:sSubPr>
          <m:e>
            <m:r>
              <w:rPr>
                <w:rFonts w:ascii="Cambria Math" w:hAnsi="Cambria Math"/>
              </w:rPr>
              <m:t>P</m:t>
            </m:r>
          </m:e>
          <m:sub>
            <m:r>
              <w:rPr>
                <w:rFonts w:ascii="Cambria Math" w:hAnsi="Cambria Math"/>
              </w:rPr>
              <m:t>L,q</m:t>
            </m:r>
          </m:sub>
        </m:sSub>
      </m:oMath>
      <w:r w:rsidR="000F16EB">
        <w:t xml:space="preserve"> was the heat loss experienced in the pipes in square, </w:t>
      </w:r>
      <w:r w:rsidR="000F16EB">
        <w:rPr>
          <w:i/>
        </w:rPr>
        <w:t>q</w:t>
      </w:r>
      <w:r w:rsidR="000F16EB">
        <w:t xml:space="preserve"> (MW).</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5"/>
        <w:gridCol w:w="543"/>
      </w:tblGrid>
      <w:tr w:rsidR="000F16EB" w14:paraId="48705A5A" w14:textId="77777777" w:rsidTr="00A7521D">
        <w:tc>
          <w:tcPr>
            <w:tcW w:w="7655" w:type="dxa"/>
            <w:hideMark/>
          </w:tcPr>
          <w:p w14:paraId="0FBAEB23" w14:textId="77777777" w:rsidR="000F16EB" w:rsidRDefault="00C73E04" w:rsidP="00A7521D">
            <w:pPr>
              <w:keepNext/>
            </w:pPr>
            <m:oMathPara>
              <m:oMathParaPr>
                <m:jc m:val="left"/>
              </m:oMathParaPr>
              <m:oMath>
                <m:sSub>
                  <m:sSubPr>
                    <m:ctrlPr>
                      <w:rPr>
                        <w:rFonts w:ascii="Cambria Math" w:hAnsi="Cambria Math"/>
                        <w:i/>
                      </w:rPr>
                    </m:ctrlPr>
                  </m:sSubPr>
                  <m:e>
                    <m:r>
                      <w:rPr>
                        <w:rFonts w:ascii="Cambria Math" w:hAnsi="Cambria Math"/>
                      </w:rPr>
                      <m:t>P</m:t>
                    </m:r>
                  </m:e>
                  <m:sub>
                    <m:r>
                      <w:rPr>
                        <w:rFonts w:ascii="Cambria Math" w:hAnsi="Cambria Math"/>
                      </w:rPr>
                      <m:t>Node,i</m:t>
                    </m:r>
                  </m:sub>
                </m:sSub>
                <m:r>
                  <w:rPr>
                    <w:rFonts w:ascii="Cambria Math" w:hAnsi="Cambria Math"/>
                  </w:rPr>
                  <m:t>=</m:t>
                </m:r>
                <m:nary>
                  <m:naryPr>
                    <m:chr m:val="∑"/>
                    <m:limLoc m:val="undOvr"/>
                    <m:ctrlPr>
                      <w:rPr>
                        <w:rFonts w:ascii="Cambria Math" w:hAnsi="Cambria Math"/>
                        <w:i/>
                      </w:rPr>
                    </m:ctrlPr>
                  </m:naryPr>
                  <m:sub>
                    <m:r>
                      <w:rPr>
                        <w:rFonts w:ascii="Cambria Math" w:hAnsi="Cambria Math"/>
                      </w:rPr>
                      <m:t>r=1</m:t>
                    </m:r>
                  </m:sub>
                  <m:sup>
                    <m:r>
                      <w:rPr>
                        <w:rFonts w:ascii="Cambria Math" w:hAnsi="Cambria Math"/>
                      </w:rPr>
                      <m:t>N</m:t>
                    </m:r>
                  </m:sup>
                  <m:e>
                    <m:d>
                      <m:dPr>
                        <m:ctrlPr>
                          <w:rPr>
                            <w:rFonts w:ascii="Cambria Math" w:hAnsi="Cambria Math"/>
                            <w:i/>
                          </w:rPr>
                        </m:ctrlPr>
                      </m:dPr>
                      <m:e>
                        <m:sSub>
                          <m:sSubPr>
                            <m:ctrlPr>
                              <w:rPr>
                                <w:rFonts w:ascii="Cambria Math" w:hAnsi="Cambria Math"/>
                                <w:i/>
                              </w:rPr>
                            </m:ctrlPr>
                          </m:sSubPr>
                          <m:e>
                            <m:r>
                              <w:rPr>
                                <w:rFonts w:ascii="Cambria Math" w:hAnsi="Cambria Math"/>
                              </w:rPr>
                              <m:t>P</m:t>
                            </m:r>
                          </m:e>
                          <m:sub>
                            <m:r>
                              <w:rPr>
                                <w:rFonts w:ascii="Cambria Math" w:hAnsi="Cambria Math"/>
                              </w:rPr>
                              <m:t>r</m:t>
                            </m:r>
                          </m:sub>
                        </m:sSub>
                        <m:sSub>
                          <m:sSubPr>
                            <m:ctrlPr>
                              <w:rPr>
                                <w:rFonts w:ascii="Cambria Math" w:hAnsi="Cambria Math"/>
                                <w:i/>
                              </w:rPr>
                            </m:ctrlPr>
                          </m:sSubPr>
                          <m:e>
                            <m:r>
                              <w:rPr>
                                <w:rFonts w:ascii="Cambria Math" w:hAnsi="Cambria Math"/>
                              </w:rPr>
                              <m:t>+P</m:t>
                            </m:r>
                          </m:e>
                          <m:sub>
                            <m:r>
                              <w:rPr>
                                <w:rFonts w:ascii="Cambria Math" w:hAnsi="Cambria Math"/>
                              </w:rPr>
                              <m:t>L,r</m:t>
                            </m:r>
                          </m:sub>
                        </m:sSub>
                      </m:e>
                    </m:d>
                  </m:e>
                </m:nary>
              </m:oMath>
            </m:oMathPara>
          </w:p>
        </w:tc>
        <w:bookmarkStart w:id="699" w:name="_Ref531103073"/>
        <w:tc>
          <w:tcPr>
            <w:tcW w:w="543" w:type="dxa"/>
            <w:vAlign w:val="center"/>
            <w:hideMark/>
          </w:tcPr>
          <w:p w14:paraId="10DB4EF2" w14:textId="701782D3" w:rsidR="000F16EB" w:rsidRPr="000C6BA1" w:rsidRDefault="000F16EB" w:rsidP="00A7521D">
            <w:pPr>
              <w:pStyle w:val="Caption"/>
              <w:jc w:val="right"/>
              <w:rPr>
                <w:b w:val="0"/>
              </w:rPr>
            </w:pPr>
            <w:r>
              <w:fldChar w:fldCharType="begin"/>
            </w:r>
            <w:r>
              <w:instrText xml:space="preserve"> STYLEREF 1 \s </w:instrText>
            </w:r>
            <w:r>
              <w:fldChar w:fldCharType="separate"/>
            </w:r>
            <w:r w:rsidR="00CB7456">
              <w:rPr>
                <w:noProof/>
              </w:rPr>
              <w:t>6</w:t>
            </w:r>
            <w:r>
              <w:fldChar w:fldCharType="end"/>
            </w:r>
            <w:r>
              <w:t>.</w:t>
            </w:r>
            <w:r>
              <w:rPr>
                <w:noProof/>
              </w:rPr>
              <w:fldChar w:fldCharType="begin"/>
            </w:r>
            <w:r>
              <w:rPr>
                <w:noProof/>
              </w:rPr>
              <w:instrText xml:space="preserve"> SEQ Equation \* ARABIC \s 1 </w:instrText>
            </w:r>
            <w:r>
              <w:rPr>
                <w:noProof/>
              </w:rPr>
              <w:fldChar w:fldCharType="separate"/>
            </w:r>
            <w:r w:rsidR="00CB7456">
              <w:rPr>
                <w:noProof/>
              </w:rPr>
              <w:t>12</w:t>
            </w:r>
            <w:r>
              <w:rPr>
                <w:noProof/>
              </w:rPr>
              <w:fldChar w:fldCharType="end"/>
            </w:r>
            <w:bookmarkEnd w:id="699"/>
          </w:p>
        </w:tc>
      </w:tr>
    </w:tbl>
    <w:p w14:paraId="194710A1" w14:textId="77777777" w:rsidR="000F16EB" w:rsidRPr="00F117F7" w:rsidRDefault="000F16EB" w:rsidP="003650C8">
      <w:pPr>
        <w:pStyle w:val="NoSpacing"/>
      </w:pPr>
    </w:p>
    <w:p w14:paraId="5655B379" w14:textId="77777777" w:rsidR="000F16EB" w:rsidRDefault="00C73E04" w:rsidP="000F16EB">
      <w:pPr>
        <w:pStyle w:val="NoSpacing"/>
      </w:pPr>
      <m:oMath>
        <m:sSub>
          <m:sSubPr>
            <m:ctrlPr>
              <w:rPr>
                <w:rFonts w:ascii="Cambria Math" w:hAnsi="Cambria Math"/>
                <w:i/>
              </w:rPr>
            </m:ctrlPr>
          </m:sSubPr>
          <m:e>
            <m:r>
              <w:rPr>
                <w:rFonts w:ascii="Cambria Math" w:hAnsi="Cambria Math"/>
              </w:rPr>
              <m:t>P</m:t>
            </m:r>
          </m:e>
          <m:sub>
            <m:r>
              <w:rPr>
                <w:rFonts w:ascii="Cambria Math" w:hAnsi="Cambria Math"/>
              </w:rPr>
              <m:t>n</m:t>
            </m:r>
          </m:sub>
        </m:sSub>
      </m:oMath>
      <w:r w:rsidR="000F16EB">
        <w:t xml:space="preserve"> was the HD of node, </w:t>
      </w:r>
      <w:r w:rsidR="000F16EB">
        <w:rPr>
          <w:i/>
        </w:rPr>
        <w:t xml:space="preserve">n, </w:t>
      </w:r>
      <w:r w:rsidR="000F16EB">
        <w:t xml:space="preserve">which is the sum of the HDs of the </w:t>
      </w:r>
      <w:proofErr w:type="spellStart"/>
      <w:r w:rsidR="000F16EB">
        <w:t>subnodes</w:t>
      </w:r>
      <w:proofErr w:type="spellEnd"/>
      <w:r w:rsidR="000F16EB">
        <w:t xml:space="preserve">, </w:t>
      </w:r>
      <w:r w:rsidR="000F16EB">
        <w:rPr>
          <w:i/>
        </w:rPr>
        <w:t xml:space="preserve">1 </w:t>
      </w:r>
      <w:r w:rsidR="000F16EB">
        <w:t xml:space="preserve">to </w:t>
      </w:r>
      <w:r w:rsidR="000F16EB">
        <w:rPr>
          <w:i/>
        </w:rPr>
        <w:t>N</w:t>
      </w:r>
      <w:r w:rsidR="000F16EB">
        <w:t xml:space="preserve"> (MW),</w:t>
      </w:r>
    </w:p>
    <w:p w14:paraId="30D311A2" w14:textId="77777777" w:rsidR="000F16EB" w:rsidRDefault="00C73E04" w:rsidP="000F16EB">
      <m:oMath>
        <m:sSub>
          <m:sSubPr>
            <m:ctrlPr>
              <w:rPr>
                <w:rFonts w:ascii="Cambria Math" w:hAnsi="Cambria Math"/>
                <w:i/>
              </w:rPr>
            </m:ctrlPr>
          </m:sSubPr>
          <m:e>
            <m:r>
              <w:rPr>
                <w:rFonts w:ascii="Cambria Math" w:hAnsi="Cambria Math"/>
              </w:rPr>
              <m:t>P</m:t>
            </m:r>
          </m:e>
          <m:sub>
            <m:r>
              <w:rPr>
                <w:rFonts w:ascii="Cambria Math" w:hAnsi="Cambria Math"/>
              </w:rPr>
              <m:t>L,r</m:t>
            </m:r>
          </m:sub>
        </m:sSub>
      </m:oMath>
      <w:r w:rsidR="000F16EB">
        <w:t xml:space="preserve"> was the heat loss experienced in the pipes in subnode, </w:t>
      </w:r>
      <w:r w:rsidR="000F16EB">
        <w:rPr>
          <w:i/>
        </w:rPr>
        <w:t>r</w:t>
      </w:r>
      <w:r w:rsidR="000F16EB">
        <w:t xml:space="preserve"> (MW).</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5"/>
        <w:gridCol w:w="543"/>
      </w:tblGrid>
      <w:tr w:rsidR="000F16EB" w14:paraId="0FA5B1BC" w14:textId="77777777" w:rsidTr="00A7521D">
        <w:tc>
          <w:tcPr>
            <w:tcW w:w="7655" w:type="dxa"/>
            <w:hideMark/>
          </w:tcPr>
          <w:p w14:paraId="2C58442D" w14:textId="77777777" w:rsidR="000F16EB" w:rsidRDefault="00C73E04" w:rsidP="00A7521D">
            <w:pPr>
              <w:keepNext/>
            </w:pPr>
            <m:oMathPara>
              <m:oMathParaPr>
                <m:jc m:val="left"/>
              </m:oMathParaPr>
              <m:oMath>
                <m:sSub>
                  <m:sSubPr>
                    <m:ctrlPr>
                      <w:rPr>
                        <w:rFonts w:ascii="Cambria Math" w:hAnsi="Cambria Math"/>
                        <w:i/>
                      </w:rPr>
                    </m:ctrlPr>
                  </m:sSubPr>
                  <m:e>
                    <m:r>
                      <w:rPr>
                        <w:rFonts w:ascii="Cambria Math" w:hAnsi="Cambria Math"/>
                      </w:rPr>
                      <m:t>P</m:t>
                    </m:r>
                  </m:e>
                  <m:sub>
                    <m:r>
                      <w:rPr>
                        <w:rFonts w:ascii="Cambria Math" w:hAnsi="Cambria Math"/>
                      </w:rPr>
                      <m:t>source</m:t>
                    </m:r>
                  </m:sub>
                </m:sSub>
                <m:r>
                  <w:rPr>
                    <w:rFonts w:ascii="Cambria Math" w:hAnsi="Cambria Math"/>
                  </w:rPr>
                  <m:t>=</m:t>
                </m:r>
                <m:nary>
                  <m:naryPr>
                    <m:chr m:val="∑"/>
                    <m:limLoc m:val="undOvr"/>
                    <m:ctrlPr>
                      <w:rPr>
                        <w:rFonts w:ascii="Cambria Math" w:hAnsi="Cambria Math"/>
                        <w:i/>
                      </w:rPr>
                    </m:ctrlPr>
                  </m:naryPr>
                  <m:sub>
                    <m:r>
                      <w:rPr>
                        <w:rFonts w:ascii="Cambria Math" w:hAnsi="Cambria Math"/>
                      </w:rPr>
                      <m:t>n=1</m:t>
                    </m:r>
                  </m:sub>
                  <m:sup>
                    <m:r>
                      <w:rPr>
                        <w:rFonts w:ascii="Cambria Math" w:hAnsi="Cambria Math"/>
                      </w:rPr>
                      <m:t>N</m:t>
                    </m:r>
                  </m:sup>
                  <m:e>
                    <m:d>
                      <m:dPr>
                        <m:ctrlPr>
                          <w:rPr>
                            <w:rFonts w:ascii="Cambria Math" w:hAnsi="Cambria Math"/>
                            <w:i/>
                          </w:rPr>
                        </m:ctrlPr>
                      </m:dPr>
                      <m:e>
                        <m:sSub>
                          <m:sSubPr>
                            <m:ctrlPr>
                              <w:rPr>
                                <w:rFonts w:ascii="Cambria Math" w:hAnsi="Cambria Math"/>
                                <w:i/>
                              </w:rPr>
                            </m:ctrlPr>
                          </m:sSubPr>
                          <m:e>
                            <m:r>
                              <w:rPr>
                                <w:rFonts w:ascii="Cambria Math" w:hAnsi="Cambria Math"/>
                              </w:rPr>
                              <m:t>P</m:t>
                            </m:r>
                          </m:e>
                          <m:sub>
                            <m:r>
                              <w:rPr>
                                <w:rFonts w:ascii="Cambria Math" w:hAnsi="Cambria Math"/>
                              </w:rPr>
                              <m:t>n</m:t>
                            </m:r>
                          </m:sub>
                        </m:sSub>
                        <m:sSub>
                          <m:sSubPr>
                            <m:ctrlPr>
                              <w:rPr>
                                <w:rFonts w:ascii="Cambria Math" w:hAnsi="Cambria Math"/>
                                <w:i/>
                              </w:rPr>
                            </m:ctrlPr>
                          </m:sSubPr>
                          <m:e>
                            <m:r>
                              <w:rPr>
                                <w:rFonts w:ascii="Cambria Math" w:hAnsi="Cambria Math"/>
                              </w:rPr>
                              <m:t>+P</m:t>
                            </m:r>
                          </m:e>
                          <m:sub>
                            <m:r>
                              <w:rPr>
                                <w:rFonts w:ascii="Cambria Math" w:hAnsi="Cambria Math"/>
                              </w:rPr>
                              <m:t>L,n</m:t>
                            </m:r>
                          </m:sub>
                        </m:sSub>
                      </m:e>
                    </m:d>
                  </m:e>
                </m:nary>
              </m:oMath>
            </m:oMathPara>
          </w:p>
        </w:tc>
        <w:bookmarkStart w:id="700" w:name="_Ref531103113"/>
        <w:tc>
          <w:tcPr>
            <w:tcW w:w="543" w:type="dxa"/>
            <w:vAlign w:val="center"/>
            <w:hideMark/>
          </w:tcPr>
          <w:p w14:paraId="513C4165" w14:textId="1C6363E4" w:rsidR="000F16EB" w:rsidRPr="000C6BA1" w:rsidRDefault="000F16EB" w:rsidP="00A7521D">
            <w:pPr>
              <w:pStyle w:val="Caption"/>
              <w:jc w:val="right"/>
              <w:rPr>
                <w:b w:val="0"/>
              </w:rPr>
            </w:pPr>
            <w:r>
              <w:fldChar w:fldCharType="begin"/>
            </w:r>
            <w:r>
              <w:instrText xml:space="preserve"> STYLEREF 1 \s </w:instrText>
            </w:r>
            <w:r>
              <w:fldChar w:fldCharType="separate"/>
            </w:r>
            <w:r w:rsidR="00CB7456">
              <w:rPr>
                <w:noProof/>
              </w:rPr>
              <w:t>6</w:t>
            </w:r>
            <w:r>
              <w:fldChar w:fldCharType="end"/>
            </w:r>
            <w:r>
              <w:t>.</w:t>
            </w:r>
            <w:r>
              <w:rPr>
                <w:noProof/>
              </w:rPr>
              <w:fldChar w:fldCharType="begin"/>
            </w:r>
            <w:r>
              <w:rPr>
                <w:noProof/>
              </w:rPr>
              <w:instrText xml:space="preserve"> SEQ Equation \* ARABIC \s 1 </w:instrText>
            </w:r>
            <w:r>
              <w:rPr>
                <w:noProof/>
              </w:rPr>
              <w:fldChar w:fldCharType="separate"/>
            </w:r>
            <w:r w:rsidR="00CB7456">
              <w:rPr>
                <w:noProof/>
              </w:rPr>
              <w:t>13</w:t>
            </w:r>
            <w:r>
              <w:rPr>
                <w:noProof/>
              </w:rPr>
              <w:fldChar w:fldCharType="end"/>
            </w:r>
            <w:bookmarkEnd w:id="700"/>
          </w:p>
        </w:tc>
      </w:tr>
    </w:tbl>
    <w:p w14:paraId="62A03E4E" w14:textId="77777777" w:rsidR="000F16EB" w:rsidRPr="00F117F7" w:rsidRDefault="000F16EB" w:rsidP="003650C8">
      <w:pPr>
        <w:pStyle w:val="NoSpacing"/>
      </w:pPr>
    </w:p>
    <w:p w14:paraId="38831B57" w14:textId="77777777" w:rsidR="000F16EB" w:rsidRDefault="00C73E04" w:rsidP="000F16EB">
      <w:pPr>
        <w:pStyle w:val="NoSpacing"/>
      </w:pPr>
      <m:oMath>
        <m:sSub>
          <m:sSubPr>
            <m:ctrlPr>
              <w:rPr>
                <w:rFonts w:ascii="Cambria Math" w:hAnsi="Cambria Math"/>
                <w:i/>
              </w:rPr>
            </m:ctrlPr>
          </m:sSubPr>
          <m:e>
            <m:r>
              <w:rPr>
                <w:rFonts w:ascii="Cambria Math" w:hAnsi="Cambria Math"/>
              </w:rPr>
              <m:t>P</m:t>
            </m:r>
          </m:e>
          <m:sub>
            <m:r>
              <w:rPr>
                <w:rFonts w:ascii="Cambria Math" w:hAnsi="Cambria Math"/>
              </w:rPr>
              <m:t>source</m:t>
            </m:r>
          </m:sub>
        </m:sSub>
      </m:oMath>
      <w:r w:rsidR="000F16EB">
        <w:t xml:space="preserve"> was the overall HD of the DHN</w:t>
      </w:r>
      <w:r w:rsidR="000F16EB">
        <w:rPr>
          <w:i/>
        </w:rPr>
        <w:t xml:space="preserve">, </w:t>
      </w:r>
      <w:r w:rsidR="000F16EB">
        <w:t xml:space="preserve">which is the sum of the HDs of the nodes, </w:t>
      </w:r>
      <w:r w:rsidR="000F16EB">
        <w:rPr>
          <w:i/>
        </w:rPr>
        <w:t xml:space="preserve">1 </w:t>
      </w:r>
      <w:r w:rsidR="000F16EB">
        <w:t xml:space="preserve">to </w:t>
      </w:r>
      <w:r w:rsidR="000F16EB">
        <w:rPr>
          <w:i/>
        </w:rPr>
        <w:t>N</w:t>
      </w:r>
      <w:r w:rsidR="000F16EB">
        <w:t xml:space="preserve"> (MW),</w:t>
      </w:r>
    </w:p>
    <w:p w14:paraId="18BCACC1" w14:textId="77777777" w:rsidR="000F16EB" w:rsidRPr="00F117F7" w:rsidRDefault="00C73E04" w:rsidP="000F16EB">
      <m:oMath>
        <m:sSub>
          <m:sSubPr>
            <m:ctrlPr>
              <w:rPr>
                <w:rFonts w:ascii="Cambria Math" w:hAnsi="Cambria Math"/>
                <w:i/>
              </w:rPr>
            </m:ctrlPr>
          </m:sSubPr>
          <m:e>
            <m:r>
              <w:rPr>
                <w:rFonts w:ascii="Cambria Math" w:hAnsi="Cambria Math"/>
              </w:rPr>
              <m:t>P</m:t>
            </m:r>
          </m:e>
          <m:sub>
            <m:r>
              <w:rPr>
                <w:rFonts w:ascii="Cambria Math" w:hAnsi="Cambria Math"/>
              </w:rPr>
              <m:t>L,n</m:t>
            </m:r>
          </m:sub>
        </m:sSub>
      </m:oMath>
      <w:r w:rsidR="000F16EB">
        <w:t xml:space="preserve"> was the heat loss experienced in the pipes in node, </w:t>
      </w:r>
      <w:r w:rsidR="000F16EB">
        <w:rPr>
          <w:i/>
        </w:rPr>
        <w:t>n</w:t>
      </w:r>
      <w:r w:rsidR="000F16EB">
        <w:t xml:space="preserve"> (MW).</w:t>
      </w:r>
    </w:p>
    <w:p w14:paraId="193C1AEB" w14:textId="77777777" w:rsidR="000F16EB" w:rsidRDefault="000F16EB" w:rsidP="000F16EB">
      <w:r>
        <w:t xml:space="preserve">The node structure of the model made modification simple, particularly in terms of adding or removing nodes, </w:t>
      </w:r>
      <w:proofErr w:type="spellStart"/>
      <w:r>
        <w:t>subnodes</w:t>
      </w:r>
      <w:proofErr w:type="spellEnd"/>
      <w:r>
        <w:t xml:space="preserve">, or squares. One example of the possible removal of the model aspects was through the setting of a maximum allowable heat loss in the pipes. The maximum allowable heat loss was set as a percentage of the total HD experienced in a pipe. Any pipe with a heat loss greater than the allowable value was deleted, removing any downstream </w:t>
      </w:r>
      <w:proofErr w:type="spellStart"/>
      <w:r>
        <w:t>subnodes</w:t>
      </w:r>
      <w:proofErr w:type="spellEnd"/>
      <w:r>
        <w:t xml:space="preserve"> or squares. </w:t>
      </w:r>
    </w:p>
    <w:p w14:paraId="31E162B1" w14:textId="77777777" w:rsidR="000F16EB" w:rsidRDefault="000F16EB" w:rsidP="000F16EB">
      <w:r>
        <w:lastRenderedPageBreak/>
        <w:t xml:space="preserve">The model output was hourly curves of the HD variation experienced by the TE generating centre of the DHN, for each of the four heating seasons. The model process was quick to run and could be completed by a non-technical user as all it required as inputs were the number, type, and location of the buildings within the boundary area. The calculations and equations were hidden in locked Excel spreadsheets only allowing the user to input the data and see the results. Excel required minimal computing power to run, producing results instantaneously. </w:t>
      </w:r>
    </w:p>
    <w:p w14:paraId="2E93F86B" w14:textId="77777777" w:rsidR="000F16EB" w:rsidRDefault="000F16EB" w:rsidP="000F16EB">
      <w:r>
        <w:t xml:space="preserve">A disadvantage of the model was that a number of assumptions were necessary in order to keep the work simple. The assumptions included: </w:t>
      </w:r>
    </w:p>
    <w:p w14:paraId="7DADEBB9" w14:textId="77777777" w:rsidR="000F16EB" w:rsidRDefault="000F16EB" w:rsidP="00202E44">
      <w:pPr>
        <w:pStyle w:val="ListParagraph"/>
        <w:numPr>
          <w:ilvl w:val="0"/>
          <w:numId w:val="22"/>
        </w:numPr>
      </w:pPr>
      <w:r>
        <w:t>An assumption that each building in an archetype category was of the same, assumed size.</w:t>
      </w:r>
    </w:p>
    <w:p w14:paraId="143903A8" w14:textId="77777777" w:rsidR="000F16EB" w:rsidRDefault="000F16EB" w:rsidP="00202E44">
      <w:pPr>
        <w:pStyle w:val="ListParagraph"/>
        <w:numPr>
          <w:ilvl w:val="0"/>
          <w:numId w:val="22"/>
        </w:numPr>
      </w:pPr>
      <w:r>
        <w:t>An assumption that each building in an archetype category had the same hourly HD profile, as was described by the industrial source.</w:t>
      </w:r>
    </w:p>
    <w:p w14:paraId="6A4E09CA" w14:textId="77777777" w:rsidR="000F16EB" w:rsidRDefault="000F16EB" w:rsidP="00202E44">
      <w:pPr>
        <w:pStyle w:val="ListParagraph"/>
        <w:numPr>
          <w:ilvl w:val="0"/>
          <w:numId w:val="22"/>
        </w:numPr>
      </w:pPr>
      <w:r>
        <w:t xml:space="preserve">An assumption </w:t>
      </w:r>
      <w:r w:rsidRPr="00E6425E">
        <w:t>that the pipe route r</w:t>
      </w:r>
      <w:r>
        <w:t>a</w:t>
      </w:r>
      <w:r w:rsidRPr="00E6425E">
        <w:t>n in the shortest possible straight-line distance from the heat source to the customer</w:t>
      </w:r>
      <w:r>
        <w:t>,</w:t>
      </w:r>
      <w:r w:rsidRPr="00E6425E">
        <w:t xml:space="preserve"> via the centre</w:t>
      </w:r>
      <w:r>
        <w:t>s</w:t>
      </w:r>
      <w:r w:rsidRPr="00E6425E">
        <w:t xml:space="preserve"> of the node</w:t>
      </w:r>
      <w:r>
        <w:t>s</w:t>
      </w:r>
      <w:r w:rsidRPr="00E6425E">
        <w:t xml:space="preserve"> and the </w:t>
      </w:r>
      <w:proofErr w:type="spellStart"/>
      <w:r w:rsidRPr="00E6425E">
        <w:t>subnode</w:t>
      </w:r>
      <w:r>
        <w:t>s</w:t>
      </w:r>
      <w:proofErr w:type="spellEnd"/>
      <w:r w:rsidRPr="00E6425E">
        <w:t xml:space="preserve">. </w:t>
      </w:r>
    </w:p>
    <w:p w14:paraId="4EDA6858" w14:textId="6A86FBF3" w:rsidR="000F16EB" w:rsidRDefault="000F16EB" w:rsidP="000F16EB">
      <w:r>
        <w:t xml:space="preserve">The effect, if any, that the assumptions had on the accuracy of the work was assessed using MC simulations in the </w:t>
      </w:r>
      <w:proofErr w:type="spellStart"/>
      <w:r>
        <w:t>Goldsim</w:t>
      </w:r>
      <w:proofErr w:type="spellEnd"/>
      <w:r>
        <w:t xml:space="preserve"> software package </w:t>
      </w:r>
      <w:r>
        <w:fldChar w:fldCharType="begin" w:fldLock="1"/>
      </w:r>
      <w:r w:rsidR="002A6A73">
        <w:instrText>ADDIN CSL_CITATION {"citationItems":[{"id":"ITEM-1","itemData":{"URL":"http://www.goldsim.com/Web/Products/GoldSim/NutshellVideo/","accessed":{"date-parts":[["2018","9","14"]]},"author":[{"dropping-particle":"","family":"Goldsim","given":"","non-dropping-particle":"","parse-names":false,"suffix":""}],"id":"ITEM-1","issued":{"date-parts":[["2011"]]},"title":"Goldsim in a Nutshell","type":"webpage"},"uris":["http://www.mendeley.com/documents/?uuid=2a008e99-b1f1-4a0a-81b0-0132dd58eabf"]}],"mendeley":{"formattedCitation":"(Goldsim, 2011)","plainTextFormattedCitation":"(Goldsim, 2011)","previouslyFormattedCitation":"(Goldsim, 2011)"},"properties":{"noteIndex":0},"schema":"https://github.com/citation-style-language/schema/raw/master/csl-citation.json"}</w:instrText>
      </w:r>
      <w:r>
        <w:fldChar w:fldCharType="separate"/>
      </w:r>
      <w:r w:rsidR="002A6A73" w:rsidRPr="002A6A73">
        <w:rPr>
          <w:noProof/>
        </w:rPr>
        <w:t>(Goldsim, 2011)</w:t>
      </w:r>
      <w:r>
        <w:fldChar w:fldCharType="end"/>
      </w:r>
      <w:r>
        <w:t>.</w:t>
      </w:r>
    </w:p>
    <w:p w14:paraId="2BE1C944" w14:textId="77777777" w:rsidR="000F16EB" w:rsidRDefault="000F16EB" w:rsidP="000F16EB">
      <w:pPr>
        <w:pStyle w:val="Heading2"/>
      </w:pPr>
      <w:bookmarkStart w:id="701" w:name="_Toc525230016"/>
      <w:bookmarkStart w:id="702" w:name="_Toc7187543"/>
      <w:r>
        <w:t>Case Studies</w:t>
      </w:r>
      <w:bookmarkEnd w:id="701"/>
      <w:bookmarkEnd w:id="702"/>
    </w:p>
    <w:p w14:paraId="0FF3129E" w14:textId="675AB76D" w:rsidR="000F16EB" w:rsidRDefault="000F16EB" w:rsidP="000F16EB">
      <w:r>
        <w:t xml:space="preserve">One of the two primary goals of this chapter was to assess if the same HD modelling technique could be used in different types of population area, particularly comparing rural to urban areas. If the same technique produced drastically different results in different areas, the methodology would need to be improved to mitigate the differences. To investigate the applicability of using the same model in different areas, three case studies were investigated. The three case studies were a rural location, a heavily populated urban location, and a sparsely populated urban location. To allow for a more even comparison, the same weather data was used for all three case studies. The weather data came from a weather station in the Derbyshire Dales, located at </w:t>
      </w:r>
      <w:r w:rsidRPr="00AE2008">
        <w:t>53°15'41.0"N 1°44'03.5"W</w:t>
      </w:r>
      <w:r>
        <w:t xml:space="preserve"> </w:t>
      </w:r>
      <w:r>
        <w:fldChar w:fldCharType="begin" w:fldLock="1"/>
      </w:r>
      <w:r w:rsidR="002A6A73">
        <w:instrText>ADDIN CSL_CITATION {"citationItems":[{"id":"ITEM-1","itemData":{"author":[{"dropping-particle":"","family":"Met Office","given":"","non-dropping-particle":"","parse-names":false,"suffix":""}],"id":"ITEM-1","issued":{"date-parts":[["2015"]]},"publisher-place":"London, England","title":"Derbyshire Dales NNR Hourly Temperature Data","type":"report"},"uris":["http://www.mendeley.com/documents/?uuid=d2c9f3de-4a73-42fb-9977-f6f309ba2b1a"]}],"mendeley":{"formattedCitation":"(Met Office, 2015)","plainTextFormattedCitation":"(Met Office, 2015)","previouslyFormattedCitation":"(Met Office, 2015)"},"properties":{"noteIndex":0},"schema":"https://github.com/citation-style-language/schema/raw/master/csl-citation.json"}</w:instrText>
      </w:r>
      <w:r>
        <w:fldChar w:fldCharType="separate"/>
      </w:r>
      <w:r w:rsidR="002A6A73" w:rsidRPr="002A6A73">
        <w:rPr>
          <w:noProof/>
        </w:rPr>
        <w:t>(Met Office, 2015)</w:t>
      </w:r>
      <w:r>
        <w:fldChar w:fldCharType="end"/>
      </w:r>
      <w:r>
        <w:t>.</w:t>
      </w:r>
    </w:p>
    <w:p w14:paraId="7B1DF3DD" w14:textId="77777777" w:rsidR="000F16EB" w:rsidRDefault="000F16EB" w:rsidP="000F16EB">
      <w:pPr>
        <w:pStyle w:val="Heading3"/>
      </w:pPr>
      <w:bookmarkStart w:id="703" w:name="_Toc525230017"/>
      <w:bookmarkStart w:id="704" w:name="_Toc7187544"/>
      <w:r>
        <w:t>Case Study 1 – Darley Dale, England</w:t>
      </w:r>
      <w:bookmarkEnd w:id="703"/>
      <w:bookmarkEnd w:id="704"/>
    </w:p>
    <w:p w14:paraId="47215587" w14:textId="4623C580" w:rsidR="000F16EB" w:rsidRDefault="000F16EB" w:rsidP="000F16EB">
      <w:r>
        <w:t xml:space="preserve">The first case study investigated a rural area, where the heat source was located outside of the population area. In case study 1, the heat source came from HJE, as discussed in chapter </w:t>
      </w:r>
      <w:r w:rsidR="00756DC8">
        <w:fldChar w:fldCharType="begin"/>
      </w:r>
      <w:r w:rsidR="00756DC8">
        <w:instrText xml:space="preserve"> REF _Ref531344458 \n \h </w:instrText>
      </w:r>
      <w:r w:rsidR="00756DC8">
        <w:fldChar w:fldCharType="separate"/>
      </w:r>
      <w:r w:rsidR="00CB7456">
        <w:t>1.4</w:t>
      </w:r>
      <w:r w:rsidR="00756DC8">
        <w:fldChar w:fldCharType="end"/>
      </w:r>
      <w:r>
        <w:t xml:space="preserve">. HJE was located near to the following rural areas: Darley Dale, with a population of 5,400; Matlock, with a population of 9,400; </w:t>
      </w:r>
      <w:proofErr w:type="spellStart"/>
      <w:r>
        <w:t>Rowsley</w:t>
      </w:r>
      <w:proofErr w:type="spellEnd"/>
      <w:r>
        <w:t xml:space="preserve">, with a population of 500; Bakewell, with a population of 4,000; </w:t>
      </w:r>
      <w:proofErr w:type="spellStart"/>
      <w:r>
        <w:t>Youlgreave</w:t>
      </w:r>
      <w:proofErr w:type="spellEnd"/>
      <w:r>
        <w:t xml:space="preserve">, with a population of 1,000; and Cromford, with a population of 1,400 </w:t>
      </w:r>
      <w:r>
        <w:fldChar w:fldCharType="begin" w:fldLock="1"/>
      </w:r>
      <w:r w:rsidR="002A6A73">
        <w:instrText>ADDIN CSL_CITATION {"citationItems":[{"id":"ITEM-1","itemData":{"author":[{"dropping-particle":"","family":"ONS","given":"","non-dropping-particle":"","parse-names":false,"suffix":""}],"id":"ITEM-1","issued":{"date-parts":[["2014"]]},"publisher-place":"London, England","title":"Neighbourhood Statistics","type":"report"},"uris":["http://www.mendeley.com/documents/?uuid=ade8cb79-8939-4e25-a5cc-0742653098a7"]}],"mendeley":{"formattedCitation":"(ONS, 2014)","plainTextFormattedCitation":"(ONS, 2014)","previouslyFormattedCitation":"(ONS, 2014)"},"properties":{"noteIndex":0},"schema":"https://github.com/citation-style-language/schema/raw/master/csl-citation.json"}</w:instrText>
      </w:r>
      <w:r>
        <w:fldChar w:fldCharType="separate"/>
      </w:r>
      <w:r w:rsidR="002A6A73" w:rsidRPr="002A6A73">
        <w:rPr>
          <w:noProof/>
        </w:rPr>
        <w:t>(ONS, 2014)</w:t>
      </w:r>
      <w:r>
        <w:fldChar w:fldCharType="end"/>
      </w:r>
      <w:r>
        <w:t>.</w:t>
      </w:r>
    </w:p>
    <w:p w14:paraId="64DAF9C7" w14:textId="77777777" w:rsidR="000F16EB" w:rsidRDefault="000F16EB" w:rsidP="000F16EB">
      <w:pPr>
        <w:pStyle w:val="Heading3"/>
      </w:pPr>
      <w:bookmarkStart w:id="705" w:name="_Toc525230018"/>
      <w:bookmarkStart w:id="706" w:name="_Toc7187545"/>
      <w:r>
        <w:t>Case Study 2 – Sheffield, England</w:t>
      </w:r>
      <w:bookmarkEnd w:id="705"/>
      <w:bookmarkEnd w:id="706"/>
    </w:p>
    <w:p w14:paraId="3FAD2A0C" w14:textId="0F44BA60" w:rsidR="000F16EB" w:rsidRDefault="000F16EB" w:rsidP="000F16EB">
      <w:r>
        <w:t xml:space="preserve">The second case study investigated a heavily populated urban area. In case study 2, the heat source came from Veolia Sheffield. Veolia operate a MSW based </w:t>
      </w:r>
      <w:proofErr w:type="spellStart"/>
      <w:r>
        <w:t>WtE</w:t>
      </w:r>
      <w:proofErr w:type="spellEnd"/>
      <w:r>
        <w:t xml:space="preserve"> CHP plant, capable of producing up to 19 MW of electricity and 60 MW of heat, combusting 225,000 tonnes of waste per annum </w:t>
      </w:r>
      <w:r>
        <w:fldChar w:fldCharType="begin" w:fldLock="1"/>
      </w:r>
      <w:r w:rsidR="002A6A73">
        <w:instrText>ADDIN CSL_CITATION {"citationItems":[{"id":"ITEM-1","itemData":{"author":[{"dropping-particle":"","family":"Veolia","given":"","non-dropping-particle":"","parse-names":false,"suffix":""}],"id":"ITEM-1","issued":{"date-parts":[["2014"]]},"publisher-place":"Sheffield, England","title":"Sheffield energy recovery facility","type":"report"},"uris":["http://www.mendeley.com/documents/?uuid=499c4282-c332-4bd9-a385-432591fcf878"]}],"mendeley":{"formattedCitation":"(Veolia, 2014)","plainTextFormattedCitation":"(Veolia, 2014)","previouslyFormattedCitation":"(Veolia, 2014)"},"properties":{"noteIndex":0},"schema":"https://github.com/citation-style-language/schema/raw/master/csl-citation.json"}</w:instrText>
      </w:r>
      <w:r>
        <w:fldChar w:fldCharType="separate"/>
      </w:r>
      <w:r w:rsidR="002A6A73" w:rsidRPr="002A6A73">
        <w:rPr>
          <w:noProof/>
        </w:rPr>
        <w:t>(Veolia, 2014)</w:t>
      </w:r>
      <w:r>
        <w:fldChar w:fldCharType="end"/>
      </w:r>
      <w:r>
        <w:t xml:space="preserve">. Sheffield is a major UK city with a population of 530,000 </w:t>
      </w:r>
      <w:r>
        <w:fldChar w:fldCharType="begin" w:fldLock="1"/>
      </w:r>
      <w:r w:rsidR="002A6A73">
        <w:instrText>ADDIN CSL_CITATION {"citationItems":[{"id":"ITEM-1","itemData":{"author":[{"dropping-particle":"","family":"ONS","given":"","non-dropping-particle":"","parse-names":false,"suffix":""}],"id":"ITEM-1","issued":{"date-parts":[["2009"]]},"publisher-place":"London, England","title":"Population estimate for UK, England and Wales, Scotland and Northern Ireland","type":"report"},"uris":["http://www.mendeley.com/documents/?uuid=5ef3bf18-0410-494b-9297-a74eca9674d9"]}],"mendeley":{"formattedCitation":"(ONS, 2009)","plainTextFormattedCitation":"(ONS, 2009)","previouslyFormattedCitation":"(ONS, 2009)"},"properties":{"noteIndex":0},"schema":"https://github.com/citation-style-language/schema/raw/master/csl-citation.json"}</w:instrText>
      </w:r>
      <w:r>
        <w:fldChar w:fldCharType="separate"/>
      </w:r>
      <w:r w:rsidR="002A6A73" w:rsidRPr="002A6A73">
        <w:rPr>
          <w:noProof/>
        </w:rPr>
        <w:t>(ONS, 2009)</w:t>
      </w:r>
      <w:r>
        <w:fldChar w:fldCharType="end"/>
      </w:r>
      <w:r>
        <w:t>.</w:t>
      </w:r>
    </w:p>
    <w:p w14:paraId="7132F7A2" w14:textId="77777777" w:rsidR="000F16EB" w:rsidRDefault="000F16EB" w:rsidP="000F16EB">
      <w:pPr>
        <w:pStyle w:val="Heading3"/>
      </w:pPr>
      <w:bookmarkStart w:id="707" w:name="_Toc525230019"/>
      <w:bookmarkStart w:id="708" w:name="_Toc7187546"/>
      <w:r>
        <w:lastRenderedPageBreak/>
        <w:t xml:space="preserve">Case Study 3 – </w:t>
      </w:r>
      <w:proofErr w:type="spellStart"/>
      <w:r>
        <w:t>Hayange</w:t>
      </w:r>
      <w:proofErr w:type="spellEnd"/>
      <w:r>
        <w:t>, France</w:t>
      </w:r>
      <w:bookmarkEnd w:id="707"/>
      <w:bookmarkEnd w:id="708"/>
    </w:p>
    <w:p w14:paraId="4B52E38F" w14:textId="7A487DF2" w:rsidR="000F16EB" w:rsidRDefault="000F16EB" w:rsidP="000F16EB">
      <w:r>
        <w:t xml:space="preserve">The third case study investigated a sparsely populated urban area. In case study 3, the heat source came from a British Steel plant located in </w:t>
      </w:r>
      <w:proofErr w:type="spellStart"/>
      <w:r>
        <w:t>Hayange</w:t>
      </w:r>
      <w:proofErr w:type="spellEnd"/>
      <w:r>
        <w:t xml:space="preserve">, France. The plant manufactured steel rail sections, special profiles, and wire rod, employing over 400 people </w:t>
      </w:r>
      <w:r>
        <w:fldChar w:fldCharType="begin" w:fldLock="1"/>
      </w:r>
      <w:r w:rsidR="002A6A73">
        <w:instrText>ADDIN CSL_CITATION {"citationItems":[{"id":"ITEM-1","itemData":{"URL":"http://britishsteel.co.uk/who-we-are/sites-locations/manufacturing/","accessed":{"date-parts":[["2018","9","14"]]},"author":[{"dropping-particle":"","family":"British Steel","given":"","non-dropping-particle":"","parse-names":false,"suffix":""}],"id":"ITEM-1","issued":{"date-parts":[["2017"]]},"title":"Manufacturing","type":"webpage"},"uris":["http://www.mendeley.com/documents/?uuid=ff6ef5a0-dcdc-4cd3-beaa-2c4eedfeb5b7"]}],"mendeley":{"formattedCitation":"(British Steel, 2017)","plainTextFormattedCitation":"(British Steel, 2017)","previouslyFormattedCitation":"(British Steel, 2017)"},"properties":{"noteIndex":0},"schema":"https://github.com/citation-style-language/schema/raw/master/csl-citation.json"}</w:instrText>
      </w:r>
      <w:r>
        <w:fldChar w:fldCharType="separate"/>
      </w:r>
      <w:r w:rsidR="002A6A73" w:rsidRPr="002A6A73">
        <w:rPr>
          <w:noProof/>
        </w:rPr>
        <w:t>(British Steel, 2017)</w:t>
      </w:r>
      <w:r>
        <w:fldChar w:fldCharType="end"/>
      </w:r>
      <w:r>
        <w:t xml:space="preserve">. </w:t>
      </w:r>
      <w:proofErr w:type="spellStart"/>
      <w:r>
        <w:t>Hayange</w:t>
      </w:r>
      <w:proofErr w:type="spellEnd"/>
      <w:r>
        <w:t xml:space="preserve"> is a small urban area in France with a population of 15,000 </w:t>
      </w:r>
      <w:r>
        <w:fldChar w:fldCharType="begin" w:fldLock="1"/>
      </w:r>
      <w:r w:rsidR="002A6A73">
        <w:instrText>ADDIN CSL_CITATION {"citationItems":[{"id":"ITEM-1","itemData":{"URL":"http://www.ville-hayange.fr/","accessed":{"date-parts":[["2018","9","14"]]},"author":[{"dropping-particle":"","family":"Hayange","given":"","non-dropping-particle":"","parse-names":false,"suffix":""}],"id":"ITEM-1","issued":{"date-parts":[["2017"]]},"title":"Site officiel de la ville de Hayange","type":"webpage"},"uris":["http://www.mendeley.com/documents/?uuid=ea314c7e-171c-400c-88fa-a67cf2c64ba4"]}],"mendeley":{"formattedCitation":"(Hayange, 2017)","plainTextFormattedCitation":"(Hayange, 2017)","previouslyFormattedCitation":"(Hayange, 2017)"},"properties":{"noteIndex":0},"schema":"https://github.com/citation-style-language/schema/raw/master/csl-citation.json"}</w:instrText>
      </w:r>
      <w:r>
        <w:fldChar w:fldCharType="separate"/>
      </w:r>
      <w:r w:rsidR="002A6A73" w:rsidRPr="002A6A73">
        <w:rPr>
          <w:noProof/>
        </w:rPr>
        <w:t>(Hayange, 2017)</w:t>
      </w:r>
      <w:r>
        <w:fldChar w:fldCharType="end"/>
      </w:r>
      <w:r>
        <w:t>.</w:t>
      </w:r>
    </w:p>
    <w:p w14:paraId="45F0B965" w14:textId="77777777" w:rsidR="000F16EB" w:rsidRDefault="000F16EB" w:rsidP="000F16EB">
      <w:pPr>
        <w:pStyle w:val="Heading2"/>
      </w:pPr>
      <w:bookmarkStart w:id="709" w:name="_Toc525230020"/>
      <w:bookmarkStart w:id="710" w:name="_Toc7187547"/>
      <w:r>
        <w:t>Results and Discussion</w:t>
      </w:r>
      <w:bookmarkEnd w:id="709"/>
      <w:bookmarkEnd w:id="710"/>
    </w:p>
    <w:p w14:paraId="3F05265E" w14:textId="77777777" w:rsidR="000F16EB" w:rsidRDefault="000F16EB" w:rsidP="000F16EB">
      <w:r>
        <w:t>The primary goals of this chapter were to see if the same modelling technique could be used in different population areas and to test the accuracy of the model using MC simulations.</w:t>
      </w:r>
    </w:p>
    <w:p w14:paraId="439DB359" w14:textId="77777777" w:rsidR="000F16EB" w:rsidRDefault="000F16EB" w:rsidP="000F16EB">
      <w:pPr>
        <w:pStyle w:val="Heading3"/>
      </w:pPr>
      <w:bookmarkStart w:id="711" w:name="_Toc525230021"/>
      <w:bookmarkStart w:id="712" w:name="_Toc7187548"/>
      <w:r>
        <w:t>Assessing the Model in Different Population Areas</w:t>
      </w:r>
      <w:bookmarkEnd w:id="711"/>
      <w:bookmarkEnd w:id="712"/>
    </w:p>
    <w:p w14:paraId="13F636F3" w14:textId="19E38BAC" w:rsidR="000F16EB" w:rsidRDefault="000F16EB" w:rsidP="000F16EB">
      <w:r>
        <w:t xml:space="preserve">The same modelling process was completed for the three case study areas, comparing the results to see if the same technique could be used in areas with different populations and different population densities. If the different case studies produced drastically different results, the modelling technique might need to be varied from area to area. The curves of HD variation for each of the case study DHNs are shown in </w:t>
      </w:r>
      <w:r>
        <w:fldChar w:fldCharType="begin"/>
      </w:r>
      <w:r>
        <w:instrText xml:space="preserve"> REF _Ref523325447 \h </w:instrText>
      </w:r>
      <w:r>
        <w:fldChar w:fldCharType="separate"/>
      </w:r>
      <w:r w:rsidR="00CB7456">
        <w:t xml:space="preserve">Figure </w:t>
      </w:r>
      <w:r w:rsidR="00CB7456">
        <w:rPr>
          <w:noProof/>
        </w:rPr>
        <w:t>6</w:t>
      </w:r>
      <w:r w:rsidR="00CB7456">
        <w:t>.</w:t>
      </w:r>
      <w:r w:rsidR="00CB7456">
        <w:rPr>
          <w:noProof/>
        </w:rPr>
        <w:t>2</w:t>
      </w:r>
      <w:r>
        <w:fldChar w:fldCharType="end"/>
      </w:r>
      <w:r>
        <w:t>.</w:t>
      </w:r>
    </w:p>
    <w:p w14:paraId="67A6C50B" w14:textId="34E4617B" w:rsidR="000F16EB" w:rsidRDefault="000F16EB" w:rsidP="000F16EB">
      <w:r>
        <w:t xml:space="preserve">The maximum allowable heat loss in case study 1 was set as 40%, to match the local heat supply calculated in chapter </w:t>
      </w:r>
      <w:r w:rsidR="00756DC8">
        <w:fldChar w:fldCharType="begin"/>
      </w:r>
      <w:r w:rsidR="00756DC8">
        <w:instrText xml:space="preserve"> REF _Ref531344477 \n \h </w:instrText>
      </w:r>
      <w:r w:rsidR="00756DC8">
        <w:fldChar w:fldCharType="separate"/>
      </w:r>
      <w:r w:rsidR="00CB7456">
        <w:t>5</w:t>
      </w:r>
      <w:r w:rsidR="00756DC8">
        <w:fldChar w:fldCharType="end"/>
      </w:r>
      <w:r>
        <w:t xml:space="preserve">. Losses of 40% sound prohibitively high but, according to DECC, heat losses can be as high as 43% </w:t>
      </w:r>
      <w:r>
        <w:fldChar w:fldCharType="begin" w:fldLock="1"/>
      </w:r>
      <w:r w:rsidR="002A6A73">
        <w:instrText>ADDIN CSL_CITATION {"citationItems":[{"id":"ITEM-1","itemData":{"author":[{"dropping-particle":"","family":"DECC","given":"","non-dropping-particle":"","parse-names":false,"suffix":""}],"id":"ITEM-1","issued":{"date-parts":[["2015"]]},"publisher-place":"London, England","title":"Assessment of the Costs, Performance, and Characteristics of UK Heat Networks","type":"report"},"uris":["http://www.mendeley.com/documents/?uuid=fa96b1e4-69b1-4e0e-ba67-0101ca328647"]}],"mendeley":{"formattedCitation":"(DECC, 2015a)","plainTextFormattedCitation":"(DECC, 2015a)","previouslyFormattedCitation":"(DECC, 2015a)"},"properties":{"noteIndex":0},"schema":"https://github.com/citation-style-language/schema/raw/master/csl-citation.json"}</w:instrText>
      </w:r>
      <w:r>
        <w:fldChar w:fldCharType="separate"/>
      </w:r>
      <w:r w:rsidR="002A6A73" w:rsidRPr="002A6A73">
        <w:rPr>
          <w:noProof/>
        </w:rPr>
        <w:t>(DECC, 2015a)</w:t>
      </w:r>
      <w:r>
        <w:fldChar w:fldCharType="end"/>
      </w:r>
      <w:r>
        <w:t xml:space="preserve">. The maximum allowable heat losses in case studies 2 and 3 were set to match the maximum yearly HD in case study 1 as closely as possible. Changing the maximum allowable heat loss changed the number of pipes and therefore the number of </w:t>
      </w:r>
      <w:proofErr w:type="spellStart"/>
      <w:r>
        <w:t>subnodes</w:t>
      </w:r>
      <w:proofErr w:type="spellEnd"/>
      <w:r>
        <w:t xml:space="preserve"> and squares that were included in the model. Changing the number of squares included in the model changed the total </w:t>
      </w:r>
      <w:r w:rsidR="000C7935">
        <w:t>HD</w:t>
      </w:r>
      <w:r>
        <w:t xml:space="preserve"> of each model. The matching process was unavoidably imprecise, resulting in case study 2 having a higher maximum HD than case studies 1 and 3. The variation in the maximum allowable HD was acceptable as shape of the curves was more important than the maximum HD. </w:t>
      </w:r>
    </w:p>
    <w:p w14:paraId="03E21CC1" w14:textId="77777777" w:rsidR="000F16EB" w:rsidRDefault="000F16EB" w:rsidP="000F16EB">
      <w:pPr>
        <w:keepNext/>
        <w:jc w:val="center"/>
      </w:pPr>
      <w:r>
        <w:rPr>
          <w:noProof/>
        </w:rPr>
        <w:lastRenderedPageBreak/>
        <w:drawing>
          <wp:inline distT="0" distB="0" distL="0" distR="0" wp14:anchorId="14DFA02D" wp14:editId="62109664">
            <wp:extent cx="3168000" cy="8025786"/>
            <wp:effectExtent l="19050" t="19050" r="13970" b="133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e 8-2.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168000" cy="8025786"/>
                    </a:xfrm>
                    <a:prstGeom prst="rect">
                      <a:avLst/>
                    </a:prstGeom>
                    <a:ln>
                      <a:solidFill>
                        <a:schemeClr val="tx1"/>
                      </a:solidFill>
                    </a:ln>
                  </pic:spPr>
                </pic:pic>
              </a:graphicData>
            </a:graphic>
          </wp:inline>
        </w:drawing>
      </w:r>
    </w:p>
    <w:p w14:paraId="1475BEDB" w14:textId="61C2FDD3" w:rsidR="000F16EB" w:rsidRDefault="000F16EB" w:rsidP="000F16EB">
      <w:pPr>
        <w:pStyle w:val="Caption"/>
      </w:pPr>
      <w:bookmarkStart w:id="713" w:name="_Ref523325447"/>
      <w:bookmarkStart w:id="714" w:name="_Toc525230097"/>
      <w:bookmarkStart w:id="715" w:name="_Toc7187645"/>
      <w:r>
        <w:t xml:space="preserve">Figure </w:t>
      </w:r>
      <w:fldSimple w:instr=" STYLEREF 1 \s ">
        <w:r w:rsidR="00CB7456">
          <w:rPr>
            <w:noProof/>
          </w:rPr>
          <w:t>6</w:t>
        </w:r>
      </w:fldSimple>
      <w:r w:rsidR="007B29C3">
        <w:t>.</w:t>
      </w:r>
      <w:fldSimple w:instr=" SEQ Figure \* ARABIC \s 1 ">
        <w:r w:rsidR="00CB7456">
          <w:rPr>
            <w:noProof/>
          </w:rPr>
          <w:t>2</w:t>
        </w:r>
      </w:fldSimple>
      <w:bookmarkEnd w:id="713"/>
      <w:r>
        <w:t xml:space="preserve">: </w:t>
      </w:r>
      <w:r w:rsidRPr="00356CBA">
        <w:t>(</w:t>
      </w:r>
      <w:r>
        <w:t>a</w:t>
      </w:r>
      <w:r w:rsidRPr="00356CBA">
        <w:t xml:space="preserve">) </w:t>
      </w:r>
      <w:r>
        <w:t xml:space="preserve">The hourly HD profiles generated using case study 1: Darley Dale, England, with a maximum allowable heat loss in the pipes of 40%. </w:t>
      </w:r>
      <w:r w:rsidRPr="00356CBA">
        <w:t>(</w:t>
      </w:r>
      <w:r>
        <w:t>b</w:t>
      </w:r>
      <w:r w:rsidRPr="00356CBA">
        <w:t>)</w:t>
      </w:r>
      <w:r>
        <w:t xml:space="preserve"> The hourly HD profiles generated using case study 2: Sheffield, England, with a maximum allowable heat loss in the pipes of 7%.</w:t>
      </w:r>
      <w:r w:rsidRPr="00356CBA">
        <w:t xml:space="preserve"> (</w:t>
      </w:r>
      <w:r>
        <w:t>c</w:t>
      </w:r>
      <w:r w:rsidRPr="00356CBA">
        <w:t>)</w:t>
      </w:r>
      <w:r>
        <w:t xml:space="preserve"> The hourly HD profiles generated using case study 3: </w:t>
      </w:r>
      <w:proofErr w:type="spellStart"/>
      <w:r>
        <w:t>Hayange</w:t>
      </w:r>
      <w:proofErr w:type="spellEnd"/>
      <w:r>
        <w:t>, France, with a maximum allowable heat loss in the pipes of 45%.</w:t>
      </w:r>
      <w:bookmarkStart w:id="716" w:name="_Ref523326267"/>
      <w:bookmarkEnd w:id="714"/>
      <w:bookmarkEnd w:id="715"/>
    </w:p>
    <w:p w14:paraId="04278784" w14:textId="7A464422" w:rsidR="000F16EB" w:rsidRDefault="000F16EB" w:rsidP="000F16EB">
      <w:r>
        <w:lastRenderedPageBreak/>
        <w:fldChar w:fldCharType="begin"/>
      </w:r>
      <w:r>
        <w:instrText xml:space="preserve"> REF _Ref523325447 \h </w:instrText>
      </w:r>
      <w:r>
        <w:fldChar w:fldCharType="separate"/>
      </w:r>
      <w:r w:rsidR="00CB7456">
        <w:t xml:space="preserve">Figure </w:t>
      </w:r>
      <w:r w:rsidR="00CB7456">
        <w:rPr>
          <w:noProof/>
        </w:rPr>
        <w:t>6</w:t>
      </w:r>
      <w:r w:rsidR="00CB7456">
        <w:t>.</w:t>
      </w:r>
      <w:r w:rsidR="00CB7456">
        <w:rPr>
          <w:noProof/>
        </w:rPr>
        <w:t>2</w:t>
      </w:r>
      <w:r>
        <w:fldChar w:fldCharType="end"/>
      </w:r>
      <w:r>
        <w:t xml:space="preserve"> shows the HD profiles for the three different case studies, showing significantly differently shaped curves. The reason for the differently shaped curves was that the areas in the different case studies had different proportions of buildings. </w:t>
      </w:r>
      <w:r>
        <w:fldChar w:fldCharType="begin"/>
      </w:r>
      <w:r>
        <w:instrText xml:space="preserve"> REF _Ref523325447 \h </w:instrText>
      </w:r>
      <w:r>
        <w:fldChar w:fldCharType="separate"/>
      </w:r>
      <w:r w:rsidR="00CB7456">
        <w:t xml:space="preserve">Figure </w:t>
      </w:r>
      <w:r w:rsidR="00CB7456">
        <w:rPr>
          <w:noProof/>
        </w:rPr>
        <w:t>6</w:t>
      </w:r>
      <w:r w:rsidR="00CB7456">
        <w:t>.</w:t>
      </w:r>
      <w:r w:rsidR="00CB7456">
        <w:rPr>
          <w:noProof/>
        </w:rPr>
        <w:t>2</w:t>
      </w:r>
      <w:r>
        <w:fldChar w:fldCharType="end"/>
      </w:r>
      <w:r>
        <w:t xml:space="preserve">a and </w:t>
      </w:r>
      <w:r>
        <w:fldChar w:fldCharType="begin"/>
      </w:r>
      <w:r>
        <w:instrText xml:space="preserve"> REF _Ref523325447 \h </w:instrText>
      </w:r>
      <w:r>
        <w:fldChar w:fldCharType="separate"/>
      </w:r>
      <w:r w:rsidR="00CB7456">
        <w:t xml:space="preserve">Figure </w:t>
      </w:r>
      <w:r w:rsidR="00CB7456">
        <w:rPr>
          <w:noProof/>
        </w:rPr>
        <w:t>6</w:t>
      </w:r>
      <w:r w:rsidR="00CB7456">
        <w:t>.</w:t>
      </w:r>
      <w:r w:rsidR="00CB7456">
        <w:rPr>
          <w:noProof/>
        </w:rPr>
        <w:t>2</w:t>
      </w:r>
      <w:r>
        <w:fldChar w:fldCharType="end"/>
      </w:r>
      <w:r>
        <w:t xml:space="preserve">c </w:t>
      </w:r>
      <w:proofErr w:type="gramStart"/>
      <w:r>
        <w:t>represent</w:t>
      </w:r>
      <w:proofErr w:type="gramEnd"/>
      <w:r>
        <w:t xml:space="preserve"> the rural case study, case study 1, and the urban case with a small population, case study 3 density, respectively. The curves produced for case studies 1 and 3 had maxima in the morning and the evening, and minima during the day and at night. The shapes of the curves produced closely matched the heating profile of a domestic building, showing that the buildings were occupied, and the heating was used, in the morning and the evening. </w:t>
      </w:r>
    </w:p>
    <w:p w14:paraId="7B869004" w14:textId="0FDAE15D" w:rsidR="000F16EB" w:rsidRDefault="000F16EB" w:rsidP="000F16EB">
      <w:r>
        <w:fldChar w:fldCharType="begin"/>
      </w:r>
      <w:r>
        <w:instrText xml:space="preserve"> REF _Ref525663825 \h </w:instrText>
      </w:r>
      <w:r>
        <w:fldChar w:fldCharType="separate"/>
      </w:r>
      <w:r w:rsidR="00CB7456">
        <w:t xml:space="preserve">Table </w:t>
      </w:r>
      <w:r w:rsidR="00CB7456">
        <w:rPr>
          <w:noProof/>
        </w:rPr>
        <w:t>6</w:t>
      </w:r>
      <w:r w:rsidR="00CB7456">
        <w:t>.</w:t>
      </w:r>
      <w:r w:rsidR="00CB7456">
        <w:rPr>
          <w:noProof/>
        </w:rPr>
        <w:t>2</w:t>
      </w:r>
      <w:r>
        <w:fldChar w:fldCharType="end"/>
      </w:r>
      <w:r>
        <w:t xml:space="preserve"> proves that case studies 1 and 3 were mainly comprised of small domestic buildings. A DHN with a large proportion of small domestic customers may require a different investment strategy when compared to a network with a larger proportion of commercial customers. Domestic customers require as much, and sometimes more, support and information when compared to commercial customers, generating less profit per unit sale of heat </w:t>
      </w:r>
      <w:r>
        <w:fldChar w:fldCharType="begin" w:fldLock="1"/>
      </w:r>
      <w:r w:rsidR="002A6A73">
        <w:instrText>ADDIN CSL_CITATION {"citationItems":[{"id":"ITEM-1","itemData":{"DOI":"10.1016/j.apenergy.2009.05.007","ISBN":"0306-2619","ISSN":"03062619","PMID":"320","abstract":"District heating companies' efficiency of providing district heating to small houses in Finland and Sweden is studied. The method used is Data Envelopment Analysis (DEA). The results indicate that Finnish companies, overall, are more efficient when offering district heat to small house customers. In Finland, price increases demand and impacts district heating company efficiency the most. The lower price level in Finland, compared to Sweden, might be a reflection of competition between different heating goods. In Sweden, network size and company size (large companies are more efficient in providing small houses with heat than small ones) drive the efficiency of small house district heating. © 2009 Elsevier Ltd. All rights reserved.","author":[{"dropping-particle":"","family":"Lygnerud","given":"Kristina","non-dropping-particle":"","parse-names":false,"suffix":""},{"dropping-particle":"","family":"Peltola-Ojala","given":"Päivi","non-dropping-particle":"","parse-names":false,"suffix":""}],"container-title":"Applied Energy","id":"ITEM-1","issue":"1","issued":{"date-parts":[["2010"]]},"page":"185-190","publisher":"Elsevier Ltd","title":"Factors impacting district heating companies' decision to provide small house customers with heat","type":"article-journal","volume":"87"},"uris":["http://www.mendeley.com/documents/?uuid=d784da46-84e1-4de5-b728-480d07dbb969"]}],"mendeley":{"formattedCitation":"(Lygnerud and Peltola-Ojala, 2010)","plainTextFormattedCitation":"(Lygnerud and Peltola-Ojala, 2010)","previouslyFormattedCitation":"(Lygnerud and Peltola-Ojala, 2010)"},"properties":{"noteIndex":0},"schema":"https://github.com/citation-style-language/schema/raw/master/csl-citation.json"}</w:instrText>
      </w:r>
      <w:r>
        <w:fldChar w:fldCharType="separate"/>
      </w:r>
      <w:r w:rsidR="002A6A73" w:rsidRPr="002A6A73">
        <w:rPr>
          <w:noProof/>
        </w:rPr>
        <w:t>(Lygnerud and Peltola-Ojala, 2010)</w:t>
      </w:r>
      <w:r>
        <w:fldChar w:fldCharType="end"/>
      </w:r>
      <w:r>
        <w:t xml:space="preserve">. A DHN with larger numbers of small domestic customers, such as case studies 1 and 3, may struggle to make a viable business case and require more financial help and incentives. </w:t>
      </w:r>
    </w:p>
    <w:p w14:paraId="744FEB14" w14:textId="5A038778" w:rsidR="000F16EB" w:rsidRDefault="000F16EB" w:rsidP="000F16EB">
      <w:pPr>
        <w:pStyle w:val="Caption"/>
      </w:pPr>
      <w:bookmarkStart w:id="717" w:name="_Ref525663825"/>
      <w:bookmarkStart w:id="718" w:name="_Toc525230139"/>
      <w:bookmarkStart w:id="719" w:name="_Toc7187694"/>
      <w:r>
        <w:t xml:space="preserve">Table </w:t>
      </w:r>
      <w:fldSimple w:instr=" STYLEREF 1 \s ">
        <w:r w:rsidR="00CB7456">
          <w:rPr>
            <w:noProof/>
          </w:rPr>
          <w:t>6</w:t>
        </w:r>
      </w:fldSimple>
      <w:r w:rsidR="009E1A67">
        <w:t>.</w:t>
      </w:r>
      <w:fldSimple w:instr=" SEQ Table \* ARABIC \s 1 ">
        <w:r w:rsidR="00CB7456">
          <w:rPr>
            <w:noProof/>
          </w:rPr>
          <w:t>2</w:t>
        </w:r>
      </w:fldSimple>
      <w:bookmarkEnd w:id="717"/>
      <w:r>
        <w:rPr>
          <w:noProof/>
        </w:rPr>
        <w:t>:</w:t>
      </w:r>
      <w:r>
        <w:t xml:space="preserve"> Buildings used in each case study model.</w:t>
      </w:r>
      <w:bookmarkEnd w:id="718"/>
      <w:bookmarkEnd w:id="719"/>
    </w:p>
    <w:tbl>
      <w:tblPr>
        <w:tblStyle w:val="TableGrid"/>
        <w:tblW w:w="6804" w:type="dxa"/>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6"/>
        <w:gridCol w:w="1413"/>
        <w:gridCol w:w="1418"/>
        <w:gridCol w:w="1417"/>
      </w:tblGrid>
      <w:tr w:rsidR="000F16EB" w14:paraId="1AF9B363" w14:textId="77777777" w:rsidTr="00A7521D">
        <w:trPr>
          <w:jc w:val="center"/>
        </w:trPr>
        <w:tc>
          <w:tcPr>
            <w:tcW w:w="2556" w:type="dxa"/>
            <w:vMerge w:val="restart"/>
          </w:tcPr>
          <w:p w14:paraId="38FA4166" w14:textId="77777777" w:rsidR="000F16EB" w:rsidRDefault="000F16EB" w:rsidP="00A7521D">
            <w:pPr>
              <w:jc w:val="center"/>
            </w:pPr>
            <w:r>
              <w:t>Building type</w:t>
            </w:r>
          </w:p>
        </w:tc>
        <w:tc>
          <w:tcPr>
            <w:tcW w:w="4248" w:type="dxa"/>
            <w:gridSpan w:val="3"/>
            <w:tcBorders>
              <w:bottom w:val="single" w:sz="4" w:space="0" w:color="auto"/>
            </w:tcBorders>
          </w:tcPr>
          <w:p w14:paraId="73ABA584" w14:textId="09967EC2" w:rsidR="000F16EB" w:rsidRDefault="000F16EB" w:rsidP="00A7521D">
            <w:pPr>
              <w:jc w:val="center"/>
            </w:pPr>
            <w:r>
              <w:t>Quantity</w:t>
            </w:r>
            <w:r w:rsidR="00F52A05">
              <w:t xml:space="preserve"> (number of buildings)</w:t>
            </w:r>
          </w:p>
        </w:tc>
      </w:tr>
      <w:tr w:rsidR="000F16EB" w14:paraId="5EC221C2" w14:textId="77777777" w:rsidTr="00A7521D">
        <w:trPr>
          <w:jc w:val="center"/>
        </w:trPr>
        <w:tc>
          <w:tcPr>
            <w:tcW w:w="2556" w:type="dxa"/>
            <w:vMerge/>
            <w:tcBorders>
              <w:bottom w:val="single" w:sz="4" w:space="0" w:color="auto"/>
            </w:tcBorders>
          </w:tcPr>
          <w:p w14:paraId="7863AF4F" w14:textId="77777777" w:rsidR="000F16EB" w:rsidRDefault="000F16EB" w:rsidP="00A7521D">
            <w:pPr>
              <w:jc w:val="center"/>
            </w:pPr>
          </w:p>
        </w:tc>
        <w:tc>
          <w:tcPr>
            <w:tcW w:w="1413" w:type="dxa"/>
            <w:tcBorders>
              <w:top w:val="single" w:sz="4" w:space="0" w:color="auto"/>
              <w:bottom w:val="single" w:sz="4" w:space="0" w:color="auto"/>
            </w:tcBorders>
          </w:tcPr>
          <w:p w14:paraId="23495B71" w14:textId="77777777" w:rsidR="000F16EB" w:rsidRDefault="000F16EB" w:rsidP="00A7521D">
            <w:pPr>
              <w:jc w:val="center"/>
            </w:pPr>
            <w:r>
              <w:t>Case study 1: Darley Dale</w:t>
            </w:r>
          </w:p>
        </w:tc>
        <w:tc>
          <w:tcPr>
            <w:tcW w:w="1418" w:type="dxa"/>
            <w:tcBorders>
              <w:top w:val="single" w:sz="4" w:space="0" w:color="auto"/>
              <w:bottom w:val="single" w:sz="4" w:space="0" w:color="auto"/>
            </w:tcBorders>
          </w:tcPr>
          <w:p w14:paraId="5045CDB3" w14:textId="77777777" w:rsidR="000F16EB" w:rsidRDefault="000F16EB" w:rsidP="00A7521D">
            <w:pPr>
              <w:jc w:val="center"/>
            </w:pPr>
            <w:r>
              <w:t>Case study 2: Sheffield</w:t>
            </w:r>
          </w:p>
        </w:tc>
        <w:tc>
          <w:tcPr>
            <w:tcW w:w="1417" w:type="dxa"/>
            <w:tcBorders>
              <w:top w:val="single" w:sz="4" w:space="0" w:color="auto"/>
              <w:bottom w:val="single" w:sz="4" w:space="0" w:color="auto"/>
            </w:tcBorders>
          </w:tcPr>
          <w:p w14:paraId="20F12917" w14:textId="77777777" w:rsidR="000F16EB" w:rsidRDefault="000F16EB" w:rsidP="00A7521D">
            <w:pPr>
              <w:jc w:val="center"/>
            </w:pPr>
            <w:r>
              <w:t xml:space="preserve">Case study 3: </w:t>
            </w:r>
            <w:proofErr w:type="spellStart"/>
            <w:r>
              <w:t>Hayange</w:t>
            </w:r>
            <w:proofErr w:type="spellEnd"/>
          </w:p>
        </w:tc>
      </w:tr>
      <w:tr w:rsidR="000F16EB" w14:paraId="12F66192" w14:textId="77777777" w:rsidTr="00A7521D">
        <w:trPr>
          <w:jc w:val="center"/>
        </w:trPr>
        <w:tc>
          <w:tcPr>
            <w:tcW w:w="2556" w:type="dxa"/>
            <w:tcBorders>
              <w:top w:val="single" w:sz="4" w:space="0" w:color="auto"/>
              <w:bottom w:val="nil"/>
            </w:tcBorders>
          </w:tcPr>
          <w:p w14:paraId="5895F77A" w14:textId="77777777" w:rsidR="000F16EB" w:rsidRDefault="000F16EB" w:rsidP="00A7521D">
            <w:pPr>
              <w:jc w:val="center"/>
            </w:pPr>
            <w:r>
              <w:t>House (detached)</w:t>
            </w:r>
          </w:p>
        </w:tc>
        <w:tc>
          <w:tcPr>
            <w:tcW w:w="1413" w:type="dxa"/>
            <w:tcBorders>
              <w:top w:val="single" w:sz="4" w:space="0" w:color="auto"/>
              <w:bottom w:val="nil"/>
            </w:tcBorders>
          </w:tcPr>
          <w:p w14:paraId="0C43E1A9" w14:textId="77777777" w:rsidR="000F16EB" w:rsidRDefault="000F16EB" w:rsidP="00A7521D">
            <w:pPr>
              <w:jc w:val="center"/>
            </w:pPr>
            <w:r>
              <w:t>340</w:t>
            </w:r>
          </w:p>
        </w:tc>
        <w:tc>
          <w:tcPr>
            <w:tcW w:w="1418" w:type="dxa"/>
            <w:tcBorders>
              <w:top w:val="single" w:sz="4" w:space="0" w:color="auto"/>
              <w:bottom w:val="nil"/>
            </w:tcBorders>
          </w:tcPr>
          <w:p w14:paraId="2334B7CF" w14:textId="77777777" w:rsidR="000F16EB" w:rsidRDefault="000F16EB" w:rsidP="00A7521D">
            <w:pPr>
              <w:jc w:val="center"/>
            </w:pPr>
            <w:r>
              <w:t>2</w:t>
            </w:r>
          </w:p>
        </w:tc>
        <w:tc>
          <w:tcPr>
            <w:tcW w:w="1417" w:type="dxa"/>
            <w:tcBorders>
              <w:top w:val="single" w:sz="4" w:space="0" w:color="auto"/>
              <w:bottom w:val="nil"/>
            </w:tcBorders>
          </w:tcPr>
          <w:p w14:paraId="387C4881" w14:textId="77777777" w:rsidR="000F16EB" w:rsidRDefault="000F16EB" w:rsidP="00A7521D">
            <w:pPr>
              <w:jc w:val="center"/>
            </w:pPr>
            <w:r>
              <w:t>54</w:t>
            </w:r>
          </w:p>
        </w:tc>
      </w:tr>
      <w:tr w:rsidR="000F16EB" w14:paraId="775A4F13" w14:textId="77777777" w:rsidTr="00A7521D">
        <w:trPr>
          <w:jc w:val="center"/>
        </w:trPr>
        <w:tc>
          <w:tcPr>
            <w:tcW w:w="2556" w:type="dxa"/>
            <w:tcBorders>
              <w:top w:val="nil"/>
            </w:tcBorders>
          </w:tcPr>
          <w:p w14:paraId="1109D650" w14:textId="77777777" w:rsidR="000F16EB" w:rsidRDefault="000F16EB" w:rsidP="00A7521D">
            <w:pPr>
              <w:jc w:val="center"/>
            </w:pPr>
            <w:r>
              <w:t>House (semi-detached)</w:t>
            </w:r>
          </w:p>
        </w:tc>
        <w:tc>
          <w:tcPr>
            <w:tcW w:w="1413" w:type="dxa"/>
            <w:tcBorders>
              <w:top w:val="nil"/>
            </w:tcBorders>
          </w:tcPr>
          <w:p w14:paraId="416F7E59" w14:textId="77777777" w:rsidR="000F16EB" w:rsidRDefault="000F16EB" w:rsidP="00A7521D">
            <w:pPr>
              <w:jc w:val="center"/>
            </w:pPr>
            <w:r>
              <w:t>344</w:t>
            </w:r>
          </w:p>
        </w:tc>
        <w:tc>
          <w:tcPr>
            <w:tcW w:w="1418" w:type="dxa"/>
            <w:tcBorders>
              <w:top w:val="nil"/>
            </w:tcBorders>
          </w:tcPr>
          <w:p w14:paraId="6D4EFA84" w14:textId="77777777" w:rsidR="000F16EB" w:rsidRDefault="000F16EB" w:rsidP="00A7521D">
            <w:pPr>
              <w:jc w:val="center"/>
            </w:pPr>
            <w:r>
              <w:t>-</w:t>
            </w:r>
          </w:p>
        </w:tc>
        <w:tc>
          <w:tcPr>
            <w:tcW w:w="1417" w:type="dxa"/>
            <w:tcBorders>
              <w:top w:val="nil"/>
            </w:tcBorders>
          </w:tcPr>
          <w:p w14:paraId="09ED8029" w14:textId="77777777" w:rsidR="000F16EB" w:rsidRDefault="000F16EB" w:rsidP="00A7521D">
            <w:pPr>
              <w:jc w:val="center"/>
            </w:pPr>
            <w:r>
              <w:t>8</w:t>
            </w:r>
          </w:p>
        </w:tc>
      </w:tr>
      <w:tr w:rsidR="000F16EB" w14:paraId="5987C109" w14:textId="77777777" w:rsidTr="00A7521D">
        <w:trPr>
          <w:jc w:val="center"/>
        </w:trPr>
        <w:tc>
          <w:tcPr>
            <w:tcW w:w="2556" w:type="dxa"/>
          </w:tcPr>
          <w:p w14:paraId="5E989638" w14:textId="77777777" w:rsidR="000F16EB" w:rsidRDefault="000F16EB" w:rsidP="00A7521D">
            <w:pPr>
              <w:jc w:val="center"/>
            </w:pPr>
            <w:r>
              <w:t>House (terraced)</w:t>
            </w:r>
          </w:p>
        </w:tc>
        <w:tc>
          <w:tcPr>
            <w:tcW w:w="1413" w:type="dxa"/>
          </w:tcPr>
          <w:p w14:paraId="1EC7C82C" w14:textId="77777777" w:rsidR="000F16EB" w:rsidRDefault="000F16EB" w:rsidP="00A7521D">
            <w:pPr>
              <w:jc w:val="center"/>
            </w:pPr>
            <w:r>
              <w:t>227</w:t>
            </w:r>
          </w:p>
        </w:tc>
        <w:tc>
          <w:tcPr>
            <w:tcW w:w="1418" w:type="dxa"/>
          </w:tcPr>
          <w:p w14:paraId="7157140D" w14:textId="77777777" w:rsidR="000F16EB" w:rsidRDefault="000F16EB" w:rsidP="00A7521D">
            <w:pPr>
              <w:jc w:val="center"/>
            </w:pPr>
            <w:r>
              <w:t>15</w:t>
            </w:r>
          </w:p>
        </w:tc>
        <w:tc>
          <w:tcPr>
            <w:tcW w:w="1417" w:type="dxa"/>
          </w:tcPr>
          <w:p w14:paraId="34A92F49" w14:textId="77777777" w:rsidR="000F16EB" w:rsidRDefault="000F16EB" w:rsidP="00A7521D">
            <w:pPr>
              <w:jc w:val="center"/>
            </w:pPr>
            <w:r>
              <w:t>100</w:t>
            </w:r>
          </w:p>
        </w:tc>
      </w:tr>
      <w:tr w:rsidR="000F16EB" w14:paraId="703CA88A" w14:textId="77777777" w:rsidTr="00A7521D">
        <w:trPr>
          <w:jc w:val="center"/>
        </w:trPr>
        <w:tc>
          <w:tcPr>
            <w:tcW w:w="2556" w:type="dxa"/>
          </w:tcPr>
          <w:p w14:paraId="480554FB" w14:textId="77777777" w:rsidR="000F16EB" w:rsidRDefault="000F16EB" w:rsidP="00A7521D">
            <w:pPr>
              <w:jc w:val="center"/>
            </w:pPr>
            <w:r>
              <w:t>Block of flats</w:t>
            </w:r>
          </w:p>
        </w:tc>
        <w:tc>
          <w:tcPr>
            <w:tcW w:w="1413" w:type="dxa"/>
          </w:tcPr>
          <w:p w14:paraId="0F99EB71" w14:textId="77777777" w:rsidR="000F16EB" w:rsidRDefault="000F16EB" w:rsidP="00A7521D">
            <w:pPr>
              <w:jc w:val="center"/>
            </w:pPr>
            <w:r>
              <w:t>4</w:t>
            </w:r>
          </w:p>
        </w:tc>
        <w:tc>
          <w:tcPr>
            <w:tcW w:w="1418" w:type="dxa"/>
          </w:tcPr>
          <w:p w14:paraId="1EEA01C1" w14:textId="77777777" w:rsidR="000F16EB" w:rsidRDefault="000F16EB" w:rsidP="00A7521D">
            <w:pPr>
              <w:jc w:val="center"/>
            </w:pPr>
            <w:r>
              <w:t>1</w:t>
            </w:r>
          </w:p>
        </w:tc>
        <w:tc>
          <w:tcPr>
            <w:tcW w:w="1417" w:type="dxa"/>
          </w:tcPr>
          <w:p w14:paraId="12520954" w14:textId="77777777" w:rsidR="000F16EB" w:rsidRDefault="000F16EB" w:rsidP="00A7521D">
            <w:pPr>
              <w:jc w:val="center"/>
            </w:pPr>
            <w:r>
              <w:t>2</w:t>
            </w:r>
          </w:p>
        </w:tc>
      </w:tr>
      <w:tr w:rsidR="000F16EB" w14:paraId="60964D87" w14:textId="77777777" w:rsidTr="00A7521D">
        <w:trPr>
          <w:jc w:val="center"/>
        </w:trPr>
        <w:tc>
          <w:tcPr>
            <w:tcW w:w="2556" w:type="dxa"/>
          </w:tcPr>
          <w:p w14:paraId="621AABD8" w14:textId="77777777" w:rsidR="000F16EB" w:rsidRDefault="000F16EB" w:rsidP="00A7521D">
            <w:pPr>
              <w:jc w:val="center"/>
            </w:pPr>
            <w:r>
              <w:t>Supermarket</w:t>
            </w:r>
          </w:p>
        </w:tc>
        <w:tc>
          <w:tcPr>
            <w:tcW w:w="1413" w:type="dxa"/>
          </w:tcPr>
          <w:p w14:paraId="343F6518" w14:textId="77777777" w:rsidR="000F16EB" w:rsidRDefault="000F16EB" w:rsidP="00A7521D">
            <w:pPr>
              <w:jc w:val="center"/>
            </w:pPr>
            <w:r>
              <w:t>3</w:t>
            </w:r>
          </w:p>
        </w:tc>
        <w:tc>
          <w:tcPr>
            <w:tcW w:w="1418" w:type="dxa"/>
          </w:tcPr>
          <w:p w14:paraId="7F162B92" w14:textId="77777777" w:rsidR="000F16EB" w:rsidRDefault="000F16EB" w:rsidP="00A7521D">
            <w:pPr>
              <w:jc w:val="center"/>
            </w:pPr>
            <w:r>
              <w:t>-</w:t>
            </w:r>
          </w:p>
        </w:tc>
        <w:tc>
          <w:tcPr>
            <w:tcW w:w="1417" w:type="dxa"/>
          </w:tcPr>
          <w:p w14:paraId="109288C9" w14:textId="77777777" w:rsidR="000F16EB" w:rsidRDefault="000F16EB" w:rsidP="00A7521D">
            <w:pPr>
              <w:jc w:val="center"/>
            </w:pPr>
            <w:r>
              <w:t>1</w:t>
            </w:r>
          </w:p>
        </w:tc>
      </w:tr>
      <w:tr w:rsidR="000F16EB" w14:paraId="73E6FEF6" w14:textId="77777777" w:rsidTr="00A7521D">
        <w:trPr>
          <w:jc w:val="center"/>
        </w:trPr>
        <w:tc>
          <w:tcPr>
            <w:tcW w:w="2556" w:type="dxa"/>
          </w:tcPr>
          <w:p w14:paraId="01290AF7" w14:textId="77777777" w:rsidR="000F16EB" w:rsidRDefault="000F16EB" w:rsidP="00A7521D">
            <w:pPr>
              <w:jc w:val="center"/>
            </w:pPr>
            <w:r>
              <w:t>Shops (miscellaneous)</w:t>
            </w:r>
          </w:p>
        </w:tc>
        <w:tc>
          <w:tcPr>
            <w:tcW w:w="1413" w:type="dxa"/>
          </w:tcPr>
          <w:p w14:paraId="1E964DD2" w14:textId="77777777" w:rsidR="000F16EB" w:rsidRDefault="000F16EB" w:rsidP="00A7521D">
            <w:pPr>
              <w:jc w:val="center"/>
            </w:pPr>
            <w:r>
              <w:t>69</w:t>
            </w:r>
          </w:p>
        </w:tc>
        <w:tc>
          <w:tcPr>
            <w:tcW w:w="1418" w:type="dxa"/>
          </w:tcPr>
          <w:p w14:paraId="07342B97" w14:textId="77777777" w:rsidR="000F16EB" w:rsidRDefault="000F16EB" w:rsidP="00A7521D">
            <w:pPr>
              <w:jc w:val="center"/>
            </w:pPr>
            <w:r>
              <w:t>-</w:t>
            </w:r>
          </w:p>
        </w:tc>
        <w:tc>
          <w:tcPr>
            <w:tcW w:w="1417" w:type="dxa"/>
          </w:tcPr>
          <w:p w14:paraId="7778E49B" w14:textId="77777777" w:rsidR="000F16EB" w:rsidRDefault="000F16EB" w:rsidP="00A7521D">
            <w:pPr>
              <w:jc w:val="center"/>
            </w:pPr>
            <w:r>
              <w:t>24</w:t>
            </w:r>
          </w:p>
        </w:tc>
      </w:tr>
      <w:tr w:rsidR="000F16EB" w14:paraId="3EF962D9" w14:textId="77777777" w:rsidTr="00A7521D">
        <w:trPr>
          <w:jc w:val="center"/>
        </w:trPr>
        <w:tc>
          <w:tcPr>
            <w:tcW w:w="2556" w:type="dxa"/>
          </w:tcPr>
          <w:p w14:paraId="7FD01421" w14:textId="77777777" w:rsidR="000F16EB" w:rsidRDefault="000F16EB" w:rsidP="00A7521D">
            <w:pPr>
              <w:jc w:val="center"/>
            </w:pPr>
            <w:r>
              <w:t>Office</w:t>
            </w:r>
          </w:p>
        </w:tc>
        <w:tc>
          <w:tcPr>
            <w:tcW w:w="1413" w:type="dxa"/>
          </w:tcPr>
          <w:p w14:paraId="6CA1446D" w14:textId="77777777" w:rsidR="000F16EB" w:rsidRDefault="000F16EB" w:rsidP="00A7521D">
            <w:pPr>
              <w:jc w:val="center"/>
            </w:pPr>
            <w:r>
              <w:t>5</w:t>
            </w:r>
          </w:p>
        </w:tc>
        <w:tc>
          <w:tcPr>
            <w:tcW w:w="1418" w:type="dxa"/>
          </w:tcPr>
          <w:p w14:paraId="01CAEEFB" w14:textId="77777777" w:rsidR="000F16EB" w:rsidRDefault="000F16EB" w:rsidP="00A7521D">
            <w:pPr>
              <w:jc w:val="center"/>
            </w:pPr>
            <w:r>
              <w:t>4</w:t>
            </w:r>
          </w:p>
        </w:tc>
        <w:tc>
          <w:tcPr>
            <w:tcW w:w="1417" w:type="dxa"/>
          </w:tcPr>
          <w:p w14:paraId="613EBD84" w14:textId="77777777" w:rsidR="000F16EB" w:rsidRDefault="000F16EB" w:rsidP="00A7521D">
            <w:pPr>
              <w:jc w:val="center"/>
            </w:pPr>
            <w:r>
              <w:t>7</w:t>
            </w:r>
          </w:p>
        </w:tc>
      </w:tr>
      <w:tr w:rsidR="000F16EB" w14:paraId="5B51595B" w14:textId="77777777" w:rsidTr="00A7521D">
        <w:trPr>
          <w:jc w:val="center"/>
        </w:trPr>
        <w:tc>
          <w:tcPr>
            <w:tcW w:w="2556" w:type="dxa"/>
          </w:tcPr>
          <w:p w14:paraId="0051ECE9" w14:textId="77777777" w:rsidR="000F16EB" w:rsidRDefault="000F16EB" w:rsidP="00A7521D">
            <w:pPr>
              <w:jc w:val="center"/>
            </w:pPr>
            <w:r>
              <w:t>Warehouse</w:t>
            </w:r>
          </w:p>
        </w:tc>
        <w:tc>
          <w:tcPr>
            <w:tcW w:w="1413" w:type="dxa"/>
          </w:tcPr>
          <w:p w14:paraId="61FA6475" w14:textId="77777777" w:rsidR="000F16EB" w:rsidRDefault="000F16EB" w:rsidP="00A7521D">
            <w:pPr>
              <w:jc w:val="center"/>
            </w:pPr>
            <w:r>
              <w:t>9</w:t>
            </w:r>
          </w:p>
        </w:tc>
        <w:tc>
          <w:tcPr>
            <w:tcW w:w="1418" w:type="dxa"/>
          </w:tcPr>
          <w:p w14:paraId="5DECD716" w14:textId="77777777" w:rsidR="000F16EB" w:rsidRDefault="000F16EB" w:rsidP="00A7521D">
            <w:pPr>
              <w:jc w:val="center"/>
            </w:pPr>
            <w:r>
              <w:t>58</w:t>
            </w:r>
          </w:p>
        </w:tc>
        <w:tc>
          <w:tcPr>
            <w:tcW w:w="1417" w:type="dxa"/>
          </w:tcPr>
          <w:p w14:paraId="62045582" w14:textId="77777777" w:rsidR="000F16EB" w:rsidRDefault="000F16EB" w:rsidP="00A7521D">
            <w:pPr>
              <w:jc w:val="center"/>
            </w:pPr>
            <w:r>
              <w:t>26</w:t>
            </w:r>
          </w:p>
        </w:tc>
      </w:tr>
      <w:tr w:rsidR="000F16EB" w14:paraId="4FF297D3" w14:textId="77777777" w:rsidTr="00A7521D">
        <w:trPr>
          <w:jc w:val="center"/>
        </w:trPr>
        <w:tc>
          <w:tcPr>
            <w:tcW w:w="2556" w:type="dxa"/>
          </w:tcPr>
          <w:p w14:paraId="5ADDDEEF" w14:textId="77777777" w:rsidR="000F16EB" w:rsidRDefault="000F16EB" w:rsidP="00A7521D">
            <w:pPr>
              <w:jc w:val="center"/>
            </w:pPr>
            <w:r>
              <w:t>Shopping centre</w:t>
            </w:r>
          </w:p>
        </w:tc>
        <w:tc>
          <w:tcPr>
            <w:tcW w:w="1413" w:type="dxa"/>
          </w:tcPr>
          <w:p w14:paraId="0CBE5FBA" w14:textId="77777777" w:rsidR="000F16EB" w:rsidRDefault="000F16EB" w:rsidP="00A7521D">
            <w:pPr>
              <w:jc w:val="center"/>
            </w:pPr>
            <w:r>
              <w:t>1</w:t>
            </w:r>
          </w:p>
        </w:tc>
        <w:tc>
          <w:tcPr>
            <w:tcW w:w="1418" w:type="dxa"/>
          </w:tcPr>
          <w:p w14:paraId="7E6B216F" w14:textId="77777777" w:rsidR="000F16EB" w:rsidRDefault="000F16EB" w:rsidP="00A7521D">
            <w:pPr>
              <w:jc w:val="center"/>
            </w:pPr>
            <w:r>
              <w:t>-</w:t>
            </w:r>
          </w:p>
        </w:tc>
        <w:tc>
          <w:tcPr>
            <w:tcW w:w="1417" w:type="dxa"/>
          </w:tcPr>
          <w:p w14:paraId="6EEE885F" w14:textId="77777777" w:rsidR="000F16EB" w:rsidRDefault="000F16EB" w:rsidP="00A7521D">
            <w:pPr>
              <w:jc w:val="center"/>
            </w:pPr>
            <w:r>
              <w:t>-</w:t>
            </w:r>
          </w:p>
        </w:tc>
      </w:tr>
      <w:tr w:rsidR="000F16EB" w14:paraId="5F42B9E2" w14:textId="77777777" w:rsidTr="00A7521D">
        <w:trPr>
          <w:jc w:val="center"/>
        </w:trPr>
        <w:tc>
          <w:tcPr>
            <w:tcW w:w="2556" w:type="dxa"/>
          </w:tcPr>
          <w:p w14:paraId="28B76879" w14:textId="77777777" w:rsidR="000F16EB" w:rsidRDefault="000F16EB" w:rsidP="00A7521D">
            <w:pPr>
              <w:jc w:val="center"/>
            </w:pPr>
            <w:r>
              <w:t>Church</w:t>
            </w:r>
          </w:p>
        </w:tc>
        <w:tc>
          <w:tcPr>
            <w:tcW w:w="1413" w:type="dxa"/>
          </w:tcPr>
          <w:p w14:paraId="1F2FB63D" w14:textId="77777777" w:rsidR="000F16EB" w:rsidRDefault="000F16EB" w:rsidP="00A7521D">
            <w:pPr>
              <w:jc w:val="center"/>
            </w:pPr>
            <w:r>
              <w:t>3</w:t>
            </w:r>
          </w:p>
        </w:tc>
        <w:tc>
          <w:tcPr>
            <w:tcW w:w="1418" w:type="dxa"/>
          </w:tcPr>
          <w:p w14:paraId="046EF231" w14:textId="77777777" w:rsidR="000F16EB" w:rsidRDefault="000F16EB" w:rsidP="00A7521D">
            <w:pPr>
              <w:jc w:val="center"/>
            </w:pPr>
            <w:r>
              <w:t>-</w:t>
            </w:r>
          </w:p>
        </w:tc>
        <w:tc>
          <w:tcPr>
            <w:tcW w:w="1417" w:type="dxa"/>
          </w:tcPr>
          <w:p w14:paraId="2F4E05D6" w14:textId="77777777" w:rsidR="000F16EB" w:rsidRDefault="000F16EB" w:rsidP="00A7521D">
            <w:pPr>
              <w:jc w:val="center"/>
            </w:pPr>
            <w:r>
              <w:t>1</w:t>
            </w:r>
          </w:p>
        </w:tc>
      </w:tr>
      <w:tr w:rsidR="000F16EB" w14:paraId="648699C7" w14:textId="77777777" w:rsidTr="00A7521D">
        <w:trPr>
          <w:jc w:val="center"/>
        </w:trPr>
        <w:tc>
          <w:tcPr>
            <w:tcW w:w="2556" w:type="dxa"/>
          </w:tcPr>
          <w:p w14:paraId="1DE1F675" w14:textId="77777777" w:rsidR="000F16EB" w:rsidRDefault="000F16EB" w:rsidP="00A7521D">
            <w:pPr>
              <w:jc w:val="center"/>
            </w:pPr>
            <w:r>
              <w:t>Medical centre</w:t>
            </w:r>
          </w:p>
        </w:tc>
        <w:tc>
          <w:tcPr>
            <w:tcW w:w="1413" w:type="dxa"/>
          </w:tcPr>
          <w:p w14:paraId="00B8BACD" w14:textId="77777777" w:rsidR="000F16EB" w:rsidRDefault="000F16EB" w:rsidP="00A7521D">
            <w:pPr>
              <w:jc w:val="center"/>
            </w:pPr>
            <w:r>
              <w:t>1</w:t>
            </w:r>
          </w:p>
        </w:tc>
        <w:tc>
          <w:tcPr>
            <w:tcW w:w="1418" w:type="dxa"/>
          </w:tcPr>
          <w:p w14:paraId="49E30B36" w14:textId="77777777" w:rsidR="000F16EB" w:rsidRDefault="000F16EB" w:rsidP="00A7521D">
            <w:pPr>
              <w:jc w:val="center"/>
            </w:pPr>
            <w:r>
              <w:t>-</w:t>
            </w:r>
          </w:p>
        </w:tc>
        <w:tc>
          <w:tcPr>
            <w:tcW w:w="1417" w:type="dxa"/>
          </w:tcPr>
          <w:p w14:paraId="2631EE10" w14:textId="77777777" w:rsidR="000F16EB" w:rsidRDefault="000F16EB" w:rsidP="00A7521D">
            <w:pPr>
              <w:jc w:val="center"/>
            </w:pPr>
            <w:r>
              <w:t>-</w:t>
            </w:r>
          </w:p>
        </w:tc>
      </w:tr>
      <w:tr w:rsidR="000F16EB" w14:paraId="05618B6B" w14:textId="77777777" w:rsidTr="00A7521D">
        <w:trPr>
          <w:jc w:val="center"/>
        </w:trPr>
        <w:tc>
          <w:tcPr>
            <w:tcW w:w="2556" w:type="dxa"/>
          </w:tcPr>
          <w:p w14:paraId="1AC64974" w14:textId="77777777" w:rsidR="000F16EB" w:rsidRDefault="000F16EB" w:rsidP="00A7521D">
            <w:pPr>
              <w:jc w:val="center"/>
            </w:pPr>
            <w:r>
              <w:t>Village hall</w:t>
            </w:r>
          </w:p>
        </w:tc>
        <w:tc>
          <w:tcPr>
            <w:tcW w:w="1413" w:type="dxa"/>
          </w:tcPr>
          <w:p w14:paraId="43FC98AB" w14:textId="77777777" w:rsidR="000F16EB" w:rsidRDefault="000F16EB" w:rsidP="00A7521D">
            <w:pPr>
              <w:jc w:val="center"/>
            </w:pPr>
            <w:r>
              <w:t>1</w:t>
            </w:r>
          </w:p>
        </w:tc>
        <w:tc>
          <w:tcPr>
            <w:tcW w:w="1418" w:type="dxa"/>
          </w:tcPr>
          <w:p w14:paraId="4C79B46F" w14:textId="77777777" w:rsidR="000F16EB" w:rsidRDefault="000F16EB" w:rsidP="00A7521D">
            <w:pPr>
              <w:jc w:val="center"/>
            </w:pPr>
            <w:r>
              <w:t>-</w:t>
            </w:r>
          </w:p>
        </w:tc>
        <w:tc>
          <w:tcPr>
            <w:tcW w:w="1417" w:type="dxa"/>
          </w:tcPr>
          <w:p w14:paraId="740BD7C5" w14:textId="77777777" w:rsidR="000F16EB" w:rsidRDefault="000F16EB" w:rsidP="00A7521D">
            <w:pPr>
              <w:jc w:val="center"/>
            </w:pPr>
            <w:r>
              <w:t>-</w:t>
            </w:r>
          </w:p>
        </w:tc>
      </w:tr>
      <w:tr w:rsidR="000F16EB" w14:paraId="491DA9C9" w14:textId="77777777" w:rsidTr="00A7521D">
        <w:trPr>
          <w:jc w:val="center"/>
        </w:trPr>
        <w:tc>
          <w:tcPr>
            <w:tcW w:w="2556" w:type="dxa"/>
          </w:tcPr>
          <w:p w14:paraId="0A2E3C40" w14:textId="77777777" w:rsidR="000F16EB" w:rsidRDefault="000F16EB" w:rsidP="00A7521D">
            <w:pPr>
              <w:jc w:val="center"/>
            </w:pPr>
            <w:r>
              <w:t>Manor house</w:t>
            </w:r>
          </w:p>
        </w:tc>
        <w:tc>
          <w:tcPr>
            <w:tcW w:w="1413" w:type="dxa"/>
          </w:tcPr>
          <w:p w14:paraId="2ACA1574" w14:textId="77777777" w:rsidR="000F16EB" w:rsidRDefault="000F16EB" w:rsidP="00A7521D">
            <w:pPr>
              <w:jc w:val="center"/>
            </w:pPr>
            <w:r>
              <w:t>1</w:t>
            </w:r>
          </w:p>
        </w:tc>
        <w:tc>
          <w:tcPr>
            <w:tcW w:w="1418" w:type="dxa"/>
          </w:tcPr>
          <w:p w14:paraId="25A5D171" w14:textId="77777777" w:rsidR="000F16EB" w:rsidRDefault="000F16EB" w:rsidP="00A7521D">
            <w:pPr>
              <w:jc w:val="center"/>
            </w:pPr>
            <w:r>
              <w:t>-</w:t>
            </w:r>
          </w:p>
        </w:tc>
        <w:tc>
          <w:tcPr>
            <w:tcW w:w="1417" w:type="dxa"/>
          </w:tcPr>
          <w:p w14:paraId="6560AEC5" w14:textId="77777777" w:rsidR="000F16EB" w:rsidRDefault="000F16EB" w:rsidP="00A7521D">
            <w:pPr>
              <w:jc w:val="center"/>
            </w:pPr>
            <w:r>
              <w:t>-</w:t>
            </w:r>
          </w:p>
        </w:tc>
      </w:tr>
      <w:tr w:rsidR="000F16EB" w14:paraId="28CEBCD7" w14:textId="77777777" w:rsidTr="00A7521D">
        <w:trPr>
          <w:jc w:val="center"/>
        </w:trPr>
        <w:tc>
          <w:tcPr>
            <w:tcW w:w="2556" w:type="dxa"/>
          </w:tcPr>
          <w:p w14:paraId="12076548" w14:textId="77777777" w:rsidR="000F16EB" w:rsidRDefault="000F16EB" w:rsidP="00A7521D">
            <w:pPr>
              <w:jc w:val="center"/>
            </w:pPr>
            <w:r>
              <w:t>School</w:t>
            </w:r>
          </w:p>
        </w:tc>
        <w:tc>
          <w:tcPr>
            <w:tcW w:w="1413" w:type="dxa"/>
          </w:tcPr>
          <w:p w14:paraId="40C525CA" w14:textId="77777777" w:rsidR="000F16EB" w:rsidRDefault="000F16EB" w:rsidP="00A7521D">
            <w:pPr>
              <w:jc w:val="center"/>
            </w:pPr>
            <w:r>
              <w:t>1</w:t>
            </w:r>
          </w:p>
        </w:tc>
        <w:tc>
          <w:tcPr>
            <w:tcW w:w="1418" w:type="dxa"/>
          </w:tcPr>
          <w:p w14:paraId="66479DC8" w14:textId="77777777" w:rsidR="000F16EB" w:rsidRDefault="000F16EB" w:rsidP="00A7521D">
            <w:pPr>
              <w:jc w:val="center"/>
            </w:pPr>
            <w:r>
              <w:t>-</w:t>
            </w:r>
          </w:p>
        </w:tc>
        <w:tc>
          <w:tcPr>
            <w:tcW w:w="1417" w:type="dxa"/>
          </w:tcPr>
          <w:p w14:paraId="647CF4F8" w14:textId="77777777" w:rsidR="000F16EB" w:rsidRDefault="000F16EB" w:rsidP="00A7521D">
            <w:pPr>
              <w:jc w:val="center"/>
            </w:pPr>
            <w:r>
              <w:t>-</w:t>
            </w:r>
          </w:p>
        </w:tc>
      </w:tr>
      <w:tr w:rsidR="000F16EB" w14:paraId="22E5DC2A" w14:textId="77777777" w:rsidTr="00A7521D">
        <w:trPr>
          <w:jc w:val="center"/>
        </w:trPr>
        <w:tc>
          <w:tcPr>
            <w:tcW w:w="2556" w:type="dxa"/>
          </w:tcPr>
          <w:p w14:paraId="1E2F496B" w14:textId="77777777" w:rsidR="000F16EB" w:rsidRDefault="000F16EB" w:rsidP="00A7521D">
            <w:pPr>
              <w:jc w:val="center"/>
            </w:pPr>
            <w:r>
              <w:t>Library</w:t>
            </w:r>
          </w:p>
        </w:tc>
        <w:tc>
          <w:tcPr>
            <w:tcW w:w="1413" w:type="dxa"/>
          </w:tcPr>
          <w:p w14:paraId="17204206" w14:textId="77777777" w:rsidR="000F16EB" w:rsidRDefault="000F16EB" w:rsidP="00A7521D">
            <w:pPr>
              <w:jc w:val="center"/>
            </w:pPr>
            <w:r>
              <w:t>1</w:t>
            </w:r>
          </w:p>
        </w:tc>
        <w:tc>
          <w:tcPr>
            <w:tcW w:w="1418" w:type="dxa"/>
          </w:tcPr>
          <w:p w14:paraId="4B91A3D7" w14:textId="77777777" w:rsidR="000F16EB" w:rsidRDefault="000F16EB" w:rsidP="00A7521D">
            <w:pPr>
              <w:jc w:val="center"/>
            </w:pPr>
            <w:r>
              <w:t>-</w:t>
            </w:r>
          </w:p>
        </w:tc>
        <w:tc>
          <w:tcPr>
            <w:tcW w:w="1417" w:type="dxa"/>
          </w:tcPr>
          <w:p w14:paraId="2D4749C5" w14:textId="77777777" w:rsidR="000F16EB" w:rsidRDefault="000F16EB" w:rsidP="00A7521D">
            <w:pPr>
              <w:jc w:val="center"/>
            </w:pPr>
            <w:r>
              <w:t>-</w:t>
            </w:r>
          </w:p>
        </w:tc>
      </w:tr>
      <w:tr w:rsidR="000F16EB" w14:paraId="0AAC0995" w14:textId="77777777" w:rsidTr="00A7521D">
        <w:trPr>
          <w:jc w:val="center"/>
        </w:trPr>
        <w:tc>
          <w:tcPr>
            <w:tcW w:w="2556" w:type="dxa"/>
          </w:tcPr>
          <w:p w14:paraId="673C09AD" w14:textId="77777777" w:rsidR="000F16EB" w:rsidRDefault="000F16EB" w:rsidP="00A7521D">
            <w:pPr>
              <w:jc w:val="center"/>
            </w:pPr>
            <w:r>
              <w:t>Pub</w:t>
            </w:r>
          </w:p>
        </w:tc>
        <w:tc>
          <w:tcPr>
            <w:tcW w:w="1413" w:type="dxa"/>
          </w:tcPr>
          <w:p w14:paraId="054C2A90" w14:textId="77777777" w:rsidR="000F16EB" w:rsidRDefault="000F16EB" w:rsidP="00A7521D">
            <w:pPr>
              <w:jc w:val="center"/>
            </w:pPr>
            <w:r>
              <w:t>1</w:t>
            </w:r>
          </w:p>
        </w:tc>
        <w:tc>
          <w:tcPr>
            <w:tcW w:w="1418" w:type="dxa"/>
          </w:tcPr>
          <w:p w14:paraId="56097B53" w14:textId="77777777" w:rsidR="000F16EB" w:rsidRDefault="000F16EB" w:rsidP="00A7521D">
            <w:pPr>
              <w:jc w:val="center"/>
            </w:pPr>
            <w:r>
              <w:t>-</w:t>
            </w:r>
          </w:p>
        </w:tc>
        <w:tc>
          <w:tcPr>
            <w:tcW w:w="1417" w:type="dxa"/>
          </w:tcPr>
          <w:p w14:paraId="44CD1504" w14:textId="77777777" w:rsidR="000F16EB" w:rsidRDefault="000F16EB" w:rsidP="00A7521D">
            <w:pPr>
              <w:jc w:val="center"/>
            </w:pPr>
            <w:r>
              <w:t>-</w:t>
            </w:r>
          </w:p>
        </w:tc>
      </w:tr>
      <w:tr w:rsidR="000F16EB" w14:paraId="026C72D2" w14:textId="77777777" w:rsidTr="00A7521D">
        <w:trPr>
          <w:jc w:val="center"/>
        </w:trPr>
        <w:tc>
          <w:tcPr>
            <w:tcW w:w="2556" w:type="dxa"/>
          </w:tcPr>
          <w:p w14:paraId="04F8456A" w14:textId="77777777" w:rsidR="000F16EB" w:rsidRDefault="000F16EB" w:rsidP="00A7521D">
            <w:pPr>
              <w:jc w:val="center"/>
            </w:pPr>
            <w:r>
              <w:t>Restaurant</w:t>
            </w:r>
          </w:p>
        </w:tc>
        <w:tc>
          <w:tcPr>
            <w:tcW w:w="1413" w:type="dxa"/>
          </w:tcPr>
          <w:p w14:paraId="438BB465" w14:textId="77777777" w:rsidR="000F16EB" w:rsidRDefault="000F16EB" w:rsidP="00A7521D">
            <w:pPr>
              <w:jc w:val="center"/>
            </w:pPr>
            <w:r>
              <w:t>-</w:t>
            </w:r>
          </w:p>
        </w:tc>
        <w:tc>
          <w:tcPr>
            <w:tcW w:w="1418" w:type="dxa"/>
          </w:tcPr>
          <w:p w14:paraId="61946C11" w14:textId="77777777" w:rsidR="000F16EB" w:rsidRDefault="000F16EB" w:rsidP="00A7521D">
            <w:pPr>
              <w:jc w:val="center"/>
            </w:pPr>
            <w:r>
              <w:t>-</w:t>
            </w:r>
          </w:p>
        </w:tc>
        <w:tc>
          <w:tcPr>
            <w:tcW w:w="1417" w:type="dxa"/>
          </w:tcPr>
          <w:p w14:paraId="1602BF2A" w14:textId="77777777" w:rsidR="000F16EB" w:rsidRDefault="000F16EB" w:rsidP="00A7521D">
            <w:pPr>
              <w:jc w:val="center"/>
            </w:pPr>
            <w:r>
              <w:t>2</w:t>
            </w:r>
          </w:p>
        </w:tc>
      </w:tr>
    </w:tbl>
    <w:p w14:paraId="157D9D7C" w14:textId="77777777" w:rsidR="000F16EB" w:rsidRPr="007E647B" w:rsidRDefault="000F16EB" w:rsidP="003650C8">
      <w:pPr>
        <w:pStyle w:val="NoSpacing"/>
      </w:pPr>
    </w:p>
    <w:bookmarkEnd w:id="716"/>
    <w:p w14:paraId="0F0F648F" w14:textId="24E40A92" w:rsidR="000F16EB" w:rsidRDefault="000F16EB" w:rsidP="000F16EB">
      <w:r>
        <w:t xml:space="preserve">The aim of this chapter was to see if the same modelling technique could be used in different areas of population density. Therefore, domestic buildings were included as potential DH customers. Case studies 1 and 3 showed that when using the model in areas with a small population density, large numbers of small domestic customers were included. The model, particularly in the collecting and inputting data stages, had to be modified, ensuring that small domestic customers were omitted. The customers were omitted as they cause the network to struggle to make a viable business case. Exceptions could be made for large </w:t>
      </w:r>
      <w:r>
        <w:lastRenderedPageBreak/>
        <w:t xml:space="preserve">domestic customers, such as blocks of flats, housing associations, and new build estates, that could act as anchor loads </w:t>
      </w:r>
      <w:r>
        <w:fldChar w:fldCharType="begin" w:fldLock="1"/>
      </w:r>
      <w:r w:rsidR="002A6A73">
        <w:instrText>ADDIN CSL_CITATION {"citationItems":[{"id":"ITEM-1","itemData":{"abstract":"District heating is based on a simple idea: the distribution of heat from one or more sources to a number of buildings via a network of pipes carrying steam or hot water. Complementing this simplicity is the complexity of the sociotech- nical processes which lead to the initiation (or not) of a network and shape its emerging configuration. The UK Government has recently signalled an interest in substantially in- creasing the deployment of district heating in the UK from the meagre 1–2% of heat demand it currently serves. This interest is driven by the potential of dis- trict heating to help achieve three key goals of energy policy: security of supply, tackling fuel poverty, and mitigating climate change. This dissertation explores the likely fortunes of district heating in the current UK context by employing (and adapting) a Technological Innovation Systems framework. A wide variety of factors are found to be important to successfully initiating schemes and dealing with the complex coordination problems asso- ciated with their growth. There are several reasons to be optimistic about the near-term prospects for district heating, though a number of issues remain to be overcome. One of these is the fact that local authorities occupy a crucial position, but their engagement is frequently described as “patchy”. While this may in part be attributed to an information deficit, this dissertation explores some of the structural issues of local governance that impede the ability of local authorities to play their full role. Options for dealing with these difficulties are discussed.","author":[{"dropping-particle":"","family":"Hawkey","given":"David John Christopher Hawkey","non-dropping-particle":"","parse-names":false,"suffix":""}],"id":"ITEM-1","issued":{"date-parts":[["2009"]]},"publisher":"University of Edinburgh","title":"Will “District Heating Come To Town”? Analysis Of Current Opportunities And Challenges In The UK","type":"thesis"},"uris":["http://www.mendeley.com/documents/?uuid=075d1379-dd7e-4f05-9aaa-9a41103a0b14"]}],"mendeley":{"formattedCitation":"(Hawkey, 2009)","plainTextFormattedCitation":"(Hawkey, 2009)","previouslyFormattedCitation":"(Hawkey, 2009)"},"properties":{"noteIndex":0},"schema":"https://github.com/citation-style-language/schema/raw/master/csl-citation.json"}</w:instrText>
      </w:r>
      <w:r>
        <w:fldChar w:fldCharType="separate"/>
      </w:r>
      <w:r w:rsidR="002A6A73" w:rsidRPr="002A6A73">
        <w:rPr>
          <w:noProof/>
        </w:rPr>
        <w:t>(Hawkey, 2009)</w:t>
      </w:r>
      <w:r>
        <w:fldChar w:fldCharType="end"/>
      </w:r>
      <w:r>
        <w:t>.</w:t>
      </w:r>
    </w:p>
    <w:p w14:paraId="5C918981" w14:textId="46597775" w:rsidR="000F16EB" w:rsidRDefault="000F16EB" w:rsidP="000F16EB">
      <w:r>
        <w:t xml:space="preserve">Case studies 1 and 3 required large allowable heat losses in the pipes in order to match the maximum HD of the heat supply. The maximum allowable heat losses in case studies 1 and 3 were 40% and 45% respectively. The high heat losses were due to the case study areas having zones of small HDs that were separated by large distances that needed large pipe lengths for connection, as shown in </w:t>
      </w:r>
      <w:r>
        <w:fldChar w:fldCharType="begin"/>
      </w:r>
      <w:r>
        <w:instrText xml:space="preserve"> REF _Ref523327337 \h </w:instrText>
      </w:r>
      <w:r>
        <w:fldChar w:fldCharType="separate"/>
      </w:r>
      <w:r w:rsidR="00CB7456">
        <w:t xml:space="preserve">Figure </w:t>
      </w:r>
      <w:r w:rsidR="00CB7456">
        <w:rPr>
          <w:noProof/>
        </w:rPr>
        <w:t>6</w:t>
      </w:r>
      <w:r w:rsidR="00CB7456">
        <w:t>.</w:t>
      </w:r>
      <w:r w:rsidR="00CB7456">
        <w:rPr>
          <w:noProof/>
        </w:rPr>
        <w:t>3</w:t>
      </w:r>
      <w:r>
        <w:fldChar w:fldCharType="end"/>
      </w:r>
      <w:r>
        <w:t>.</w:t>
      </w:r>
    </w:p>
    <w:p w14:paraId="5655059C" w14:textId="4D7DA903" w:rsidR="000F16EB" w:rsidRDefault="000F16EB" w:rsidP="000F16EB">
      <w:r>
        <w:fldChar w:fldCharType="begin"/>
      </w:r>
      <w:r>
        <w:instrText xml:space="preserve"> REF _Ref523325447 \h </w:instrText>
      </w:r>
      <w:r>
        <w:fldChar w:fldCharType="separate"/>
      </w:r>
      <w:r w:rsidR="00CB7456">
        <w:t xml:space="preserve">Figure </w:t>
      </w:r>
      <w:r w:rsidR="00CB7456">
        <w:rPr>
          <w:noProof/>
        </w:rPr>
        <w:t>6</w:t>
      </w:r>
      <w:r w:rsidR="00CB7456">
        <w:t>.</w:t>
      </w:r>
      <w:r w:rsidR="00CB7456">
        <w:rPr>
          <w:noProof/>
        </w:rPr>
        <w:t>2</w:t>
      </w:r>
      <w:r>
        <w:fldChar w:fldCharType="end"/>
      </w:r>
      <w:r>
        <w:t xml:space="preserve">b represents case study 2, the urban area with a large population density. </w:t>
      </w:r>
      <w:r>
        <w:fldChar w:fldCharType="begin"/>
      </w:r>
      <w:r>
        <w:instrText xml:space="preserve"> REF _Ref523325447 \h </w:instrText>
      </w:r>
      <w:r>
        <w:fldChar w:fldCharType="separate"/>
      </w:r>
      <w:r w:rsidR="00CB7456">
        <w:t xml:space="preserve">Figure </w:t>
      </w:r>
      <w:r w:rsidR="00CB7456">
        <w:rPr>
          <w:noProof/>
        </w:rPr>
        <w:t>6</w:t>
      </w:r>
      <w:r w:rsidR="00CB7456">
        <w:t>.</w:t>
      </w:r>
      <w:r w:rsidR="00CB7456">
        <w:rPr>
          <w:noProof/>
        </w:rPr>
        <w:t>2</w:t>
      </w:r>
      <w:r>
        <w:fldChar w:fldCharType="end"/>
      </w:r>
      <w:r>
        <w:t xml:space="preserve">b has a </w:t>
      </w:r>
      <w:proofErr w:type="gramStart"/>
      <w:r>
        <w:t>maxima</w:t>
      </w:r>
      <w:proofErr w:type="gramEnd"/>
      <w:r>
        <w:t xml:space="preserve"> during the middle of the day and a minima during the rest of the time, matching the heating profile of commercial buildings. </w:t>
      </w:r>
      <w:r>
        <w:fldChar w:fldCharType="begin"/>
      </w:r>
      <w:r>
        <w:instrText xml:space="preserve"> REF _Ref525663825 \h </w:instrText>
      </w:r>
      <w:r>
        <w:fldChar w:fldCharType="separate"/>
      </w:r>
      <w:r w:rsidR="00CB7456">
        <w:t xml:space="preserve">Table </w:t>
      </w:r>
      <w:r w:rsidR="00CB7456">
        <w:rPr>
          <w:noProof/>
        </w:rPr>
        <w:t>6</w:t>
      </w:r>
      <w:r w:rsidR="00CB7456">
        <w:t>.</w:t>
      </w:r>
      <w:r w:rsidR="00CB7456">
        <w:rPr>
          <w:noProof/>
        </w:rPr>
        <w:t>2</w:t>
      </w:r>
      <w:r>
        <w:fldChar w:fldCharType="end"/>
      </w:r>
      <w:r>
        <w:t xml:space="preserve"> proves that case study 2 was mainly comprised of commercial buildings. Case study 2 had a small maximum allowable heat loss in the pipes of 7%, as the urban area was comprised of zones of large HD, which were located next to the heat source, as shown in </w:t>
      </w:r>
      <w:r>
        <w:fldChar w:fldCharType="begin"/>
      </w:r>
      <w:r>
        <w:instrText xml:space="preserve"> REF _Ref523327337 \h </w:instrText>
      </w:r>
      <w:r>
        <w:fldChar w:fldCharType="separate"/>
      </w:r>
      <w:r w:rsidR="00CB7456">
        <w:t xml:space="preserve">Figure </w:t>
      </w:r>
      <w:r w:rsidR="00CB7456">
        <w:rPr>
          <w:noProof/>
        </w:rPr>
        <w:t>6</w:t>
      </w:r>
      <w:r w:rsidR="00CB7456">
        <w:t>.</w:t>
      </w:r>
      <w:r w:rsidR="00CB7456">
        <w:rPr>
          <w:noProof/>
        </w:rPr>
        <w:t>3</w:t>
      </w:r>
      <w:r>
        <w:fldChar w:fldCharType="end"/>
      </w:r>
      <w:r>
        <w:t>.</w:t>
      </w:r>
    </w:p>
    <w:p w14:paraId="16C51328" w14:textId="2E0CC813" w:rsidR="000F16EB" w:rsidRDefault="000F16EB" w:rsidP="000F16EB">
      <w:r>
        <w:t xml:space="preserve">Case study 2 was mainly comprised of a small number of large commercial buildings that could act as anchor loads. By contrast, case studies 1 and 3 were comprised of a large number of small domestic buildings. Urban DHNs are likely to be comprised of a number of </w:t>
      </w:r>
      <w:proofErr w:type="gramStart"/>
      <w:r>
        <w:t>anchor</w:t>
      </w:r>
      <w:proofErr w:type="gramEnd"/>
      <w:r>
        <w:t xml:space="preserve"> loads that are located near to the heat source. Rural areas are likely to be comprised of a large number of small heat loads, which are more dispersed. </w:t>
      </w:r>
      <w:r>
        <w:fldChar w:fldCharType="begin"/>
      </w:r>
      <w:r>
        <w:instrText xml:space="preserve"> REF _Ref523327337 \h </w:instrText>
      </w:r>
      <w:r>
        <w:fldChar w:fldCharType="separate"/>
      </w:r>
      <w:r w:rsidR="00CB7456">
        <w:t xml:space="preserve">Figure </w:t>
      </w:r>
      <w:r w:rsidR="00CB7456">
        <w:rPr>
          <w:noProof/>
        </w:rPr>
        <w:t>6</w:t>
      </w:r>
      <w:r w:rsidR="00CB7456">
        <w:t>.</w:t>
      </w:r>
      <w:r w:rsidR="00CB7456">
        <w:rPr>
          <w:noProof/>
        </w:rPr>
        <w:t>3</w:t>
      </w:r>
      <w:r>
        <w:fldChar w:fldCharType="end"/>
      </w:r>
      <w:r>
        <w:t xml:space="preserve"> shows the geographical spread of the heat loads in each case study.</w:t>
      </w:r>
    </w:p>
    <w:p w14:paraId="217CA513" w14:textId="2A4CBA96" w:rsidR="000F16EB" w:rsidRDefault="000F16EB" w:rsidP="000F16EB">
      <w:r>
        <w:fldChar w:fldCharType="begin"/>
      </w:r>
      <w:r>
        <w:instrText xml:space="preserve"> REF _Ref523327337 \h </w:instrText>
      </w:r>
      <w:r>
        <w:fldChar w:fldCharType="separate"/>
      </w:r>
      <w:r w:rsidR="00CB7456">
        <w:t xml:space="preserve">Figure </w:t>
      </w:r>
      <w:r w:rsidR="00CB7456">
        <w:rPr>
          <w:noProof/>
        </w:rPr>
        <w:t>6</w:t>
      </w:r>
      <w:r w:rsidR="00CB7456">
        <w:t>.</w:t>
      </w:r>
      <w:r w:rsidR="00CB7456">
        <w:rPr>
          <w:noProof/>
        </w:rPr>
        <w:t>3</w:t>
      </w:r>
      <w:r>
        <w:fldChar w:fldCharType="end"/>
      </w:r>
      <w:r>
        <w:t xml:space="preserve">b has a smaller scale than </w:t>
      </w:r>
      <w:r>
        <w:fldChar w:fldCharType="begin"/>
      </w:r>
      <w:r>
        <w:instrText xml:space="preserve"> REF _Ref523327337 \h </w:instrText>
      </w:r>
      <w:r>
        <w:fldChar w:fldCharType="separate"/>
      </w:r>
      <w:r w:rsidR="00CB7456">
        <w:t xml:space="preserve">Figure </w:t>
      </w:r>
      <w:r w:rsidR="00CB7456">
        <w:rPr>
          <w:noProof/>
        </w:rPr>
        <w:t>6</w:t>
      </w:r>
      <w:r w:rsidR="00CB7456">
        <w:t>.</w:t>
      </w:r>
      <w:r w:rsidR="00CB7456">
        <w:rPr>
          <w:noProof/>
        </w:rPr>
        <w:t>3</w:t>
      </w:r>
      <w:r>
        <w:fldChar w:fldCharType="end"/>
      </w:r>
      <w:r>
        <w:t xml:space="preserve">a or </w:t>
      </w:r>
      <w:r>
        <w:fldChar w:fldCharType="begin"/>
      </w:r>
      <w:r>
        <w:instrText xml:space="preserve"> REF _Ref523327337 \h </w:instrText>
      </w:r>
      <w:r>
        <w:fldChar w:fldCharType="separate"/>
      </w:r>
      <w:r w:rsidR="00CB7456">
        <w:t xml:space="preserve">Figure </w:t>
      </w:r>
      <w:r w:rsidR="00CB7456">
        <w:rPr>
          <w:noProof/>
        </w:rPr>
        <w:t>6</w:t>
      </w:r>
      <w:r w:rsidR="00CB7456">
        <w:t>.</w:t>
      </w:r>
      <w:r w:rsidR="00CB7456">
        <w:rPr>
          <w:noProof/>
        </w:rPr>
        <w:t>3</w:t>
      </w:r>
      <w:r>
        <w:fldChar w:fldCharType="end"/>
      </w:r>
      <w:r>
        <w:t xml:space="preserve">c, showing that the heat loads were located significantly closer to the heat source in case study 2 when compared to case studies 1 and 3. </w:t>
      </w:r>
      <w:r>
        <w:fldChar w:fldCharType="begin"/>
      </w:r>
      <w:r>
        <w:instrText xml:space="preserve"> REF _Ref523327337 \h </w:instrText>
      </w:r>
      <w:r>
        <w:fldChar w:fldCharType="separate"/>
      </w:r>
      <w:r w:rsidR="00CB7456">
        <w:t xml:space="preserve">Figure </w:t>
      </w:r>
      <w:r w:rsidR="00CB7456">
        <w:rPr>
          <w:noProof/>
        </w:rPr>
        <w:t>6</w:t>
      </w:r>
      <w:r w:rsidR="00CB7456">
        <w:t>.</w:t>
      </w:r>
      <w:r w:rsidR="00CB7456">
        <w:rPr>
          <w:noProof/>
        </w:rPr>
        <w:t>3</w:t>
      </w:r>
      <w:r>
        <w:fldChar w:fldCharType="end"/>
      </w:r>
      <w:r>
        <w:t xml:space="preserve">b also shows that the heat loads could be located in any direction from the heat source, as the source was surrounded by built-up zones. </w:t>
      </w:r>
      <w:r>
        <w:fldChar w:fldCharType="begin"/>
      </w:r>
      <w:r>
        <w:instrText xml:space="preserve"> REF _Ref523327337 \h </w:instrText>
      </w:r>
      <w:r>
        <w:fldChar w:fldCharType="separate"/>
      </w:r>
      <w:r w:rsidR="00CB7456">
        <w:t xml:space="preserve">Figure </w:t>
      </w:r>
      <w:r w:rsidR="00CB7456">
        <w:rPr>
          <w:noProof/>
        </w:rPr>
        <w:t>6</w:t>
      </w:r>
      <w:r w:rsidR="00CB7456">
        <w:t>.</w:t>
      </w:r>
      <w:r w:rsidR="00CB7456">
        <w:rPr>
          <w:noProof/>
        </w:rPr>
        <w:t>3</w:t>
      </w:r>
      <w:r>
        <w:fldChar w:fldCharType="end"/>
      </w:r>
      <w:r>
        <w:t xml:space="preserve">a and </w:t>
      </w:r>
      <w:r>
        <w:fldChar w:fldCharType="begin"/>
      </w:r>
      <w:r>
        <w:instrText xml:space="preserve"> REF _Ref523327337 \h </w:instrText>
      </w:r>
      <w:r>
        <w:fldChar w:fldCharType="separate"/>
      </w:r>
      <w:r w:rsidR="00CB7456">
        <w:t xml:space="preserve">Figure </w:t>
      </w:r>
      <w:r w:rsidR="00CB7456">
        <w:rPr>
          <w:noProof/>
        </w:rPr>
        <w:t>6</w:t>
      </w:r>
      <w:r w:rsidR="00CB7456">
        <w:t>.</w:t>
      </w:r>
      <w:r w:rsidR="00CB7456">
        <w:rPr>
          <w:noProof/>
        </w:rPr>
        <w:t>3</w:t>
      </w:r>
      <w:r>
        <w:fldChar w:fldCharType="end"/>
      </w:r>
      <w:r>
        <w:t>c show that the heat loads in case studies 1 and 3 were constrained to clusters of built-up zones surrounded by areas of green space.</w:t>
      </w:r>
    </w:p>
    <w:p w14:paraId="45D57E94" w14:textId="4047F5F3" w:rsidR="000F16EB" w:rsidRDefault="000F16EB" w:rsidP="000F16EB">
      <w:r>
        <w:t xml:space="preserve">The case studies with the smaller population densities, case studies 1 and 3, had total pipe lengths in the DHN of 22.0 and 32.8 km respectively. The case study with the large population density, case study 2, had a significantly shorter pipe length of 5.4 km. The pipe lengths between the more and less densely populated areas were different by a factor of approximately 4 – 6. The CAPEX of the pipe lengths and the heat losses in the pipes were both proportional to the pipe length </w:t>
      </w:r>
      <w:r>
        <w:fldChar w:fldCharType="begin" w:fldLock="1"/>
      </w:r>
      <w:r w:rsidR="002A6A73">
        <w:instrText>ADDIN CSL_CITATION {"citationItems":[{"id":"ITEM-1","itemData":{"author":[{"dropping-particle":"","family":"Raine","given":"Robert D.","non-dropping-particle":"","parse-names":false,"suffix":""}],"id":"ITEM-1","issue":"September","issued":{"date-parts":[["2016"]]},"publisher":"The University of Sheffield","title":"Sheffield's Low Carbon Heat Network and its Energy Storage Potential","type":"thesis"},"uris":["http://www.mendeley.com/documents/?uuid=0da79248-4750-47cc-88f3-dc5d70fc24ff"]}],"mendeley":{"formattedCitation":"(Raine, 2016)","plainTextFormattedCitation":"(Raine, 2016)","previouslyFormattedCitation":"(Raine, 2016)"},"properties":{"noteIndex":0},"schema":"https://github.com/citation-style-language/schema/raw/master/csl-citation.json"}</w:instrText>
      </w:r>
      <w:r>
        <w:fldChar w:fldCharType="separate"/>
      </w:r>
      <w:r w:rsidR="002A6A73" w:rsidRPr="002A6A73">
        <w:rPr>
          <w:noProof/>
        </w:rPr>
        <w:t>(Raine, 2016)</w:t>
      </w:r>
      <w:r>
        <w:fldChar w:fldCharType="end"/>
      </w:r>
      <w:r>
        <w:t>. Therefore, the CAPEX and heat losses of case study 2 were likely to be 4 – 6 times smaller than in case studies 1 or 3. The difference in the CAPEX is likely to become significant when techno-economic modelling work is done. Potentially, the difference in pipe lengths will require different business cases or financial incentives to be applied in areas of differing population density.</w:t>
      </w:r>
    </w:p>
    <w:p w14:paraId="2A65C1D8" w14:textId="77777777" w:rsidR="000F16EB" w:rsidRDefault="000F16EB" w:rsidP="000F16EB"/>
    <w:p w14:paraId="1CCA3949" w14:textId="77777777" w:rsidR="000F16EB" w:rsidRDefault="000F16EB" w:rsidP="000F16EB">
      <w:pPr>
        <w:keepNext/>
        <w:jc w:val="center"/>
      </w:pPr>
      <w:r>
        <w:rPr>
          <w:noProof/>
        </w:rPr>
        <w:lastRenderedPageBreak/>
        <w:drawing>
          <wp:inline distT="0" distB="0" distL="0" distR="0" wp14:anchorId="31667570" wp14:editId="42B40DDF">
            <wp:extent cx="3168000" cy="6918677"/>
            <wp:effectExtent l="19050" t="19050" r="13970" b="158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 8-3.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168000" cy="6918677"/>
                    </a:xfrm>
                    <a:prstGeom prst="rect">
                      <a:avLst/>
                    </a:prstGeom>
                    <a:ln>
                      <a:solidFill>
                        <a:schemeClr val="tx1"/>
                      </a:solidFill>
                    </a:ln>
                  </pic:spPr>
                </pic:pic>
              </a:graphicData>
            </a:graphic>
          </wp:inline>
        </w:drawing>
      </w:r>
    </w:p>
    <w:p w14:paraId="150479BE" w14:textId="113A8CCA" w:rsidR="000F16EB" w:rsidRDefault="000F16EB" w:rsidP="000F16EB">
      <w:pPr>
        <w:pStyle w:val="Caption"/>
      </w:pPr>
      <w:bookmarkStart w:id="720" w:name="_Ref523327337"/>
      <w:bookmarkStart w:id="721" w:name="_Toc525230098"/>
      <w:bookmarkStart w:id="722" w:name="_Toc7187646"/>
      <w:r>
        <w:t xml:space="preserve">Figure </w:t>
      </w:r>
      <w:fldSimple w:instr=" STYLEREF 1 \s ">
        <w:r w:rsidR="00CB7456">
          <w:rPr>
            <w:noProof/>
          </w:rPr>
          <w:t>6</w:t>
        </w:r>
      </w:fldSimple>
      <w:r w:rsidR="007B29C3">
        <w:t>.</w:t>
      </w:r>
      <w:fldSimple w:instr=" SEQ Figure \* ARABIC \s 1 ">
        <w:r w:rsidR="00CB7456">
          <w:rPr>
            <w:noProof/>
          </w:rPr>
          <w:t>3</w:t>
        </w:r>
      </w:fldSimple>
      <w:bookmarkEnd w:id="720"/>
      <w:r>
        <w:t xml:space="preserve">: The size and locations of the heat source (in red) and customers (in black), showing the clusters of heat customers (in black rings) in each case study area. </w:t>
      </w:r>
      <w:r w:rsidRPr="00D92389">
        <w:t>(</w:t>
      </w:r>
      <w:r>
        <w:t>a</w:t>
      </w:r>
      <w:r w:rsidRPr="00D92389">
        <w:t xml:space="preserve">) </w:t>
      </w:r>
      <w:r>
        <w:t xml:space="preserve">GIS map showing the heat source and customers in case study 1: Darley, England. </w:t>
      </w:r>
      <w:r w:rsidRPr="00D92389">
        <w:t>(</w:t>
      </w:r>
      <w:r>
        <w:t>b</w:t>
      </w:r>
      <w:r w:rsidRPr="00D92389">
        <w:t>)</w:t>
      </w:r>
      <w:r>
        <w:t xml:space="preserve"> GIS map showing the heat source and customers in case study 2: Sheffield, England. </w:t>
      </w:r>
      <w:r w:rsidRPr="00D92389">
        <w:t>(</w:t>
      </w:r>
      <w:r>
        <w:t>c</w:t>
      </w:r>
      <w:r w:rsidRPr="00D92389">
        <w:t>)</w:t>
      </w:r>
      <w:r>
        <w:t xml:space="preserve"> GIS map showing the heat source and customers in case study 3: </w:t>
      </w:r>
      <w:proofErr w:type="spellStart"/>
      <w:r>
        <w:t>Hayange</w:t>
      </w:r>
      <w:proofErr w:type="spellEnd"/>
      <w:r>
        <w:t xml:space="preserve">, France </w:t>
      </w:r>
      <w:r>
        <w:fldChar w:fldCharType="begin" w:fldLock="1"/>
      </w:r>
      <w:r w:rsidR="002A6A73">
        <w:instrText>ADDIN CSL_CITATION {"citationItems":[{"id":"ITEM-1","itemData":{"author":[{"dropping-particle":"","family":"GEOFABRIK","given":"","non-dropping-particle":"","parse-names":false,"suffix":""}],"id":"ITEM-1","issued":{"date-parts":[["2017"]]},"publisher":"GEOFABRIK","publisher-place":"Karlsruhe, Germany","title":"Open Street Map","type":"article"},"uris":["http://www.mendeley.com/documents/?uuid=65f85c94-cbf2-4744-8258-97666b93bc39"]}],"mendeley":{"formattedCitation":"(GEOFABRIK, 2017)","manualFormatting":"(GEOFABRIK, 2017)","plainTextFormattedCitation":"(GEOFABRIK, 2017)","previouslyFormattedCitation":"(GEOFABRIK, 2017)"},"properties":{"noteIndex":0},"schema":"https://github.com/citation-style-language/schema/raw/master/csl-citation.json"}</w:instrText>
      </w:r>
      <w:r>
        <w:fldChar w:fldCharType="separate"/>
      </w:r>
      <w:r w:rsidRPr="00E560EF">
        <w:rPr>
          <w:noProof/>
        </w:rPr>
        <w:t>(GEOFABRIK</w:t>
      </w:r>
      <w:r>
        <w:rPr>
          <w:noProof/>
        </w:rPr>
        <w:t>,</w:t>
      </w:r>
      <w:r w:rsidRPr="00E560EF">
        <w:rPr>
          <w:noProof/>
        </w:rPr>
        <w:t xml:space="preserve"> 2017)</w:t>
      </w:r>
      <w:r>
        <w:fldChar w:fldCharType="end"/>
      </w:r>
      <w:r>
        <w:t>.</w:t>
      </w:r>
      <w:bookmarkEnd w:id="721"/>
      <w:bookmarkEnd w:id="722"/>
    </w:p>
    <w:p w14:paraId="67BF27CB" w14:textId="77777777" w:rsidR="000F16EB" w:rsidRDefault="000F16EB" w:rsidP="000F16EB">
      <w:pPr>
        <w:pStyle w:val="Heading3"/>
      </w:pPr>
      <w:bookmarkStart w:id="723" w:name="_Toc525230022"/>
      <w:bookmarkStart w:id="724" w:name="_Toc7187549"/>
      <w:r>
        <w:t>Validating the Heat Demand Model</w:t>
      </w:r>
      <w:bookmarkEnd w:id="723"/>
      <w:bookmarkEnd w:id="724"/>
    </w:p>
    <w:p w14:paraId="2B66724F" w14:textId="77777777" w:rsidR="000F16EB" w:rsidRDefault="000F16EB" w:rsidP="000F16EB">
      <w:r>
        <w:t xml:space="preserve">As the model was kept simple enough that a non-technical user could operate it, several assumptions had to be made. Each of the assumptions introduced the possibility of error into the work. The extent of which was assesses using a validation study, both internally and </w:t>
      </w:r>
      <w:r>
        <w:lastRenderedPageBreak/>
        <w:t xml:space="preserve">externally. Internal validation came from MC simulations. External validation would normally come from comparing the results of the model to primary DHN data or equivalent, already validated, DH model. No DHN was found that was willing to provide primary network data to the thesis, meaning that external validation could not come from an existing DHN. As the HD model was novel, no equivalent models exist that could be used as a comparison. Due to the limited nature of primary data made available to the thesis, using an alternative DH model would require more assumptions to be made than are already present in the work. The new assumptions would introduce the potential for more error in the work, the accuracy of which would need further assessing. </w:t>
      </w:r>
    </w:p>
    <w:p w14:paraId="143C1931" w14:textId="54472FC9" w:rsidR="000F16EB" w:rsidRDefault="000F16EB" w:rsidP="000F16EB">
      <w:r>
        <w:t xml:space="preserve">The external validation for the model came from the confidence that the industrial source </w:t>
      </w:r>
      <w:r>
        <w:fldChar w:fldCharType="begin" w:fldLock="1"/>
      </w:r>
      <w:r w:rsidR="002A6A73">
        <w:instrText>ADDIN CSL_CITATION {"citationItems":[{"id":"ITEM-1","itemData":{"author":[{"dropping-particle":"","family":"Arup","given":"","non-dropping-particle":"","parse-names":false,"suffix":""}],"id":"ITEM-1","issued":{"date-parts":[["2017"]]},"publisher-place":"Manchester, England","title":"Macclesfield Town Centre Heat Network, Detailed Feasibility Study","type":"report"},"uris":["http://www.mendeley.com/documents/?uuid=ad6c4668-2172-467d-89ba-bc796e5bc531"]}],"mendeley":{"formattedCitation":"(Arup, 2017)","plainTextFormattedCitation":"(Arup, 2017)","previouslyFormattedCitation":"(Arup, 2017)"},"properties":{"noteIndex":0},"schema":"https://github.com/citation-style-language/schema/raw/master/csl-citation.json"}</w:instrText>
      </w:r>
      <w:r>
        <w:fldChar w:fldCharType="separate"/>
      </w:r>
      <w:r w:rsidR="002A6A73" w:rsidRPr="002A6A73">
        <w:rPr>
          <w:noProof/>
        </w:rPr>
        <w:t>(Arup, 2017)</w:t>
      </w:r>
      <w:r>
        <w:fldChar w:fldCharType="end"/>
      </w:r>
      <w:r>
        <w:t xml:space="preserve"> had in their model and the extensive experience they had using it. The industrial model was based on industrial experience and knowledge and was constantly updated as more data became available. The external validation was sufficient for industry and was therefore the approach used in this work as it tied the data back to genuine field data.</w:t>
      </w:r>
    </w:p>
    <w:p w14:paraId="609F3421" w14:textId="77777777" w:rsidR="000F16EB" w:rsidRDefault="000F16EB" w:rsidP="000F16EB">
      <w:r>
        <w:t xml:space="preserve">MC simulations were used to provide the internal validation for the model. The MC simulations worked by running the model thousands of times, varying the input and quantifying the spread in the output. The variation in the input was based on primary data, reflecting the variation that exists in the world. The assumptions that were assessed were: </w:t>
      </w:r>
    </w:p>
    <w:p w14:paraId="569FD331" w14:textId="77777777" w:rsidR="000F16EB" w:rsidRDefault="000F16EB" w:rsidP="00202E44">
      <w:pPr>
        <w:pStyle w:val="ListParagraph"/>
        <w:numPr>
          <w:ilvl w:val="0"/>
          <w:numId w:val="23"/>
        </w:numPr>
      </w:pPr>
      <w:r>
        <w:t>An assumption that each building in an archetype category was of the same size.</w:t>
      </w:r>
    </w:p>
    <w:p w14:paraId="4C75ECA5" w14:textId="77777777" w:rsidR="000F16EB" w:rsidRDefault="000F16EB" w:rsidP="00202E44">
      <w:pPr>
        <w:pStyle w:val="ListParagraph"/>
        <w:numPr>
          <w:ilvl w:val="0"/>
          <w:numId w:val="23"/>
        </w:numPr>
      </w:pPr>
      <w:r>
        <w:t>An assumption that each building in an archetype category had the same hourly HD profile.</w:t>
      </w:r>
    </w:p>
    <w:p w14:paraId="63045AB8" w14:textId="77777777" w:rsidR="000F16EB" w:rsidRDefault="000F16EB" w:rsidP="00202E44">
      <w:pPr>
        <w:pStyle w:val="ListParagraph"/>
        <w:numPr>
          <w:ilvl w:val="0"/>
          <w:numId w:val="23"/>
        </w:numPr>
      </w:pPr>
      <w:r>
        <w:t xml:space="preserve">An assumption </w:t>
      </w:r>
      <w:r w:rsidRPr="00E6425E">
        <w:t>that the pipe route r</w:t>
      </w:r>
      <w:r>
        <w:t>a</w:t>
      </w:r>
      <w:r w:rsidRPr="00E6425E">
        <w:t>n in the shortest possible straight-line distance.</w:t>
      </w:r>
    </w:p>
    <w:p w14:paraId="39192A72" w14:textId="77777777" w:rsidR="000F16EB" w:rsidRDefault="000F16EB" w:rsidP="000F16EB">
      <w:r>
        <w:t xml:space="preserve">It was expected that, across a network wide scale, the potential inaccuracies from the assumptions would not be significant, as the large sample size would cause the average to not be significantly affected. If the sample had a large variance in the data, the average would be significantly affected, causing the effect of the assumptions on the accuracy of the model to be significant. </w:t>
      </w:r>
    </w:p>
    <w:p w14:paraId="157E3CF2" w14:textId="3B879D83" w:rsidR="000F16EB" w:rsidRDefault="000F16EB" w:rsidP="000F16EB">
      <w:r>
        <w:t xml:space="preserve">The primary data used to validate assumptions (1) and (2) came from a series of studies into the variance in building size and HD variation </w:t>
      </w:r>
      <w:r>
        <w:fldChar w:fldCharType="begin" w:fldLock="1"/>
      </w:r>
      <w:r w:rsidR="00FF4B5D">
        <w:instrText>ADDIN CSL_CITATION {"citationItems":[{"id":"ITEM-1","itemData":{"author":[{"dropping-particle":"","family":"Burzynski","given":"R.","non-dropping-particle":"","parse-names":false,"suffix":""},{"dropping-particle":"","family":"Crane","given":"M.","non-dropping-particle":"","parse-names":false,"suffix":""},{"dropping-particle":"","family":"Yao","given":"R.","non-dropping-particle":"","parse-names":false,"suffix":""},{"dropping-particle":"","family":"Becerra","given":"V.","non-dropping-particle":"","parse-names":false,"suffix":""}],"container-title":"TSBE EngD Conference","id":"ITEM-1","issued":{"date-parts":[["2011"]]},"publisher":"University of Reading","publisher-place":"Reading, England","title":"Heat Demand Analysis Of Residential Development In London Connected To District Heating Scheme","type":"paper-conference"},"uris":["http://www.mendeley.com/documents/?uuid=95647972-4fd6-43bd-b66c-f7bd2dbf1b24"]},{"id":"ITEM-2","itemData":{"ISBN":"1179-6197","author":[{"dropping-particle":"","family":"BRANZ","given":"","non-dropping-particle":"","parse-names":false,"suffix":""}],"id":"ITEM-2","issued":{"date-parts":[["2014"]]},"publisher-place":"Porirua City, New Zealand","title":"Building energy end-use study","type":"report"},"uris":["http://www.mendeley.com/documents/?uuid=b3896607-bf97-429a-94db-c8510918b4ee"]},{"id":"ITEM-3","itemData":{"DOI":"10.1016/j.apenergy.2015.06.017","ISBN":"0306-2619","ISSN":"03062619","abstract":"Global uptake of solar PV has risen significantly over the past four years, motivated by increased economic feasibility and the desire for electricity self-sufficiency. However, significant uptake of solar PV could cause grid balancing issues. A system comprising Stirling engine combined heat and power, solar PV and battery storage (SECHP-PV-battery) may further improve self-sufficiency, satisfying both heat and electricity demand as well as mitigating potential negative grid effects. This paper presents the results of a simulation of 30 households with different energy demand profiles using this system, in order to determine: the degree of household electricity self-sufficiency achieved; resultant grid demand profiles; and the consumer economic costs and benefits. The results indicate that, even though PV and SECHP collectively produced 30% more electricity than the average demand of 3300. kWh/yr, households still had to import 28% of their electricity demand from the grid with a 6. kWh battery. This work shows that SECHP is much more effective in increasing self-sufficiency than PV, with the households consuming on average 49% of electricity generated (not including battery contribution), compared to 28% for PV. The addition of a 6. kWh battery to PV and SECHP improves the grid demand profile by 28% in terms of grid demand ramp-up requirement and 40% for ramp-downs. However, the variability of the grid demand profile is still greater than for the conventional system comprising a standard gas boiler and electricity from the grid. These moderate improvements must be weighed against the consumer cost: with current incentives, the system is only financially beneficial for households with high electricity demand (&lt;4300. kWh/yr). A capital grant of 24% of the installed cost of the whole micro-generation system is required to make the system financially viable for households with an average electricity demand (3300. kWh/yr).","author":[{"dropping-particle":"","family":"Balcombe","given":"Paul","non-dropping-particle":"","parse-names":false,"suffix":""},{"dropping-particle":"","family":"Rigby","given":"Dan","non-dropping-particle":"","parse-names":false,"suffix":""},{"dropping-particle":"","family":"Azapagic","given":"Adisa","non-dropping-particle":"","parse-names":false,"suffix":""}],"container-title":"Applied Energy","id":"ITEM-3","issued":{"date-parts":[["2015"]]},"page":"393-408","publisher":"Elsevier Ltd","title":"Energy self-sufficiency, grid demand variability and consumer costs: Integrating solar PV, Stirling engine CHP and battery storage","type":"article-journal","volume":"155"},"uris":["http://www.mendeley.com/documents/?uuid=86612a16-0897-47ec-b60e-a8d6003026bb"]},{"id":"ITEM-4","itemData":{"author":[{"dropping-particle":"","family":"BRE Trust","given":"","non-dropping-particle":"","parse-names":false,"suffix":""}],"id":"ITEM-4","issued":{"date-parts":[["2015"]]},"publisher-place":"Watford, England","title":"BRE FIRE CONFERENCE 2015","type":"report"},"uris":["http://www.mendeley.com/documents/?uuid=87b31c71-4d99-4a0c-a17c-bcae735e84c3"]},{"id":"ITEM-5","itemData":{"author":[{"dropping-particle":"","family":"EIA","given":"","non-dropping-particle":"","parse-names":false,"suffix":""}],"id":"ITEM-5","issued":{"date-parts":[["2016"]]},"publisher-place":"Washington, USA","title":"2012 Commercial Buildings Energy Consumption Survey: Energy Usage Summary","type":"report"},"uris":["http://www.mendeley.com/documents/?uuid=e0609b0a-c171-4324-929d-133bbc4f25f5"]},{"id":"ITEM-6","itemData":{"DOI":"10.3390/ijgi5120219","ISSN":"2220-9964","abstract":"The district heating (DH) demand of various systems has been simulated in several studies. Most studies focus on the temporal aspects rather than the spatial component. In this study, the DH demand for a medium-sized DH network in a city in southern Germany is simulated and analyzed in a spatially explicit approach. Initially, buildings are geo-located and attributes obtained from various sources including building type, ground area, and number of stories are merged. Thereafter, the annual primary energy demand for heating and domestic hot water is calculated for individual buildings. Subsequently, the energy demand is aggregated on the segment level of an existing DH network and the water flow is routed through the system. The simulation results show that the distribution losses are overall the highest at the end segments (given in percentage terms). However, centrally located pipes with a low throughflow are also simulated to have high losses. The spatial analyses are not only useful when addressing the current demand. Based on a scenario taking into account the refurbishment of buildings and a decentralization of energy production, the future demand was also addressed. Due to lower demand, the distribution losses given in percentage increase under such conditions.","author":[{"dropping-particle":"","family":"Törnros","given":"Tobias","non-dropping-particle":"","parse-names":false,"suffix":""},{"dropping-particle":"","family":"Resch","given":"Bernd","non-dropping-particle":"","parse-names":false,"suffix":""},{"dropping-particle":"","family":"Rupp","given":"Matthias","non-dropping-particle":"","parse-names":false,"suffix":""},{"dropping-particle":"","family":"Gündra","given":"Hartmut","non-dropping-particle":"","parse-names":false,"suffix":""}],"container-title":"ISPRS International Journal of Geo-Information","id":"ITEM-6","issue":"12","issued":{"date-parts":[["2016"]]},"page":"219","title":"Geospatial Analysis of the Building Heat Demand and Distribution Losses in a District Heating Network","type":"article-journal","volume":"5"},"uris":["http://www.mendeley.com/documents/?uuid=0e6190bf-dbc0-44cb-9eb8-83cee2b33b44"]}],"mendeley":{"formattedCitation":"(Burzynski &lt;i&gt;et al.&lt;/i&gt;, 2011; BRANZ, 2014; Balcombe &lt;i&gt;et al.&lt;/i&gt;, 2015; BRE Trust, 2015; EIA, 2016; Törnros &lt;i&gt;et al.&lt;/i&gt;, 2016)","plainTextFormattedCitation":"(Burzynski et al., 2011; BRANZ, 2014; Balcombe et al., 2015; BRE Trust, 2015; EIA, 2016; Törnros et al., 2016)","previouslyFormattedCitation":"(Burzynski &lt;i&gt;et al.&lt;/i&gt;, 2011; BRANZ, 2014; Balcombe &lt;i&gt;et al.&lt;/i&gt;, 2015; BRE Trust, 2015; EIA, 2016; Törnros &lt;i&gt;et al.&lt;/i&gt;, 2016)"},"properties":{"noteIndex":0},"schema":"https://github.com/citation-style-language/schema/raw/master/csl-citation.json"}</w:instrText>
      </w:r>
      <w:r>
        <w:fldChar w:fldCharType="separate"/>
      </w:r>
      <w:r w:rsidR="005F544E" w:rsidRPr="005F544E">
        <w:rPr>
          <w:noProof/>
        </w:rPr>
        <w:t xml:space="preserve">(Burzynski </w:t>
      </w:r>
      <w:r w:rsidR="005F544E" w:rsidRPr="005F544E">
        <w:rPr>
          <w:i/>
          <w:noProof/>
        </w:rPr>
        <w:t>et al.</w:t>
      </w:r>
      <w:r w:rsidR="005F544E" w:rsidRPr="005F544E">
        <w:rPr>
          <w:noProof/>
        </w:rPr>
        <w:t xml:space="preserve">, 2011; BRANZ, 2014; Balcombe </w:t>
      </w:r>
      <w:r w:rsidR="005F544E" w:rsidRPr="005F544E">
        <w:rPr>
          <w:i/>
          <w:noProof/>
        </w:rPr>
        <w:t>et al.</w:t>
      </w:r>
      <w:r w:rsidR="005F544E" w:rsidRPr="005F544E">
        <w:rPr>
          <w:noProof/>
        </w:rPr>
        <w:t xml:space="preserve">, 2015; BRE Trust, 2015; EIA, 2016; Törnros </w:t>
      </w:r>
      <w:r w:rsidR="005F544E" w:rsidRPr="005F544E">
        <w:rPr>
          <w:i/>
          <w:noProof/>
        </w:rPr>
        <w:t>et al.</w:t>
      </w:r>
      <w:r w:rsidR="005F544E" w:rsidRPr="005F544E">
        <w:rPr>
          <w:noProof/>
        </w:rPr>
        <w:t>, 2016)</w:t>
      </w:r>
      <w:r>
        <w:fldChar w:fldCharType="end"/>
      </w:r>
      <w:r>
        <w:t xml:space="preserve">. The studies came from the building research association of New Zealand (BRANZ) and the building research establishment trust (BRE TRUST) among other sources. The accuracy of assumption (3) was validated by comparing the length of an existing DHN to the shortest possible straight line distance </w:t>
      </w:r>
      <w:r>
        <w:fldChar w:fldCharType="begin" w:fldLock="1"/>
      </w:r>
      <w:r w:rsidR="00FF4B5D">
        <w:instrText>ADDIN CSL_CITATION {"citationItems":[{"id":"ITEM-1","itemData":{"DOI":"100018816","author":[{"dropping-particle":"","family":"Finney","given":"Karen N.","non-dropping-particle":"","parse-names":false,"suffix":""},{"dropping-particle":"","family":"Swithenbank","given":"Jim","non-dropping-particle":"","parse-names":false,"suffix":""},{"dropping-particle":"","family":"Sharifi","given":"Vida N.","non-dropping-particle":"","parse-names":false,"suffix":""}],"id":"ITEM-1","issued":{"date-parts":[["2011"]]},"number-of-pages":"10","publisher-place":"London, England","title":"Sheffield Heat Mapping and Feasibility Study of Decentralised Energy: Identification and Impacts of the Potential Expansion of Sheffield’s Existing City-Wide District Energy Network using GIS Heat Mapping","type":"report"},"uris":["http://www.mendeley.com/documents/?uuid=223c385f-dae1-4c96-b073-decc1d850d35"]}],"mendeley":{"formattedCitation":"(Finney &lt;i&gt;et al.&lt;/i&gt;, 2011)","plainTextFormattedCitation":"(Finney et al., 2011)","previouslyFormattedCitation":"(Finney &lt;i&gt;et al.&lt;/i&gt;, 2011)"},"properties":{"noteIndex":0},"schema":"https://github.com/citation-style-language/schema/raw/master/csl-citation.json"}</w:instrText>
      </w:r>
      <w:r>
        <w:fldChar w:fldCharType="separate"/>
      </w:r>
      <w:r w:rsidR="005F544E" w:rsidRPr="005F544E">
        <w:rPr>
          <w:noProof/>
        </w:rPr>
        <w:t xml:space="preserve">(Finney </w:t>
      </w:r>
      <w:r w:rsidR="005F544E" w:rsidRPr="005F544E">
        <w:rPr>
          <w:i/>
          <w:noProof/>
        </w:rPr>
        <w:t>et al.</w:t>
      </w:r>
      <w:r w:rsidR="005F544E" w:rsidRPr="005F544E">
        <w:rPr>
          <w:noProof/>
        </w:rPr>
        <w:t>, 2011)</w:t>
      </w:r>
      <w:r>
        <w:fldChar w:fldCharType="end"/>
      </w:r>
      <w:r>
        <w:t>. The validation process used studies from outside of the UK to increase the sample size and the accuracy of the MC simulations. It was understood that variation may exist from country to country, which may have affected the accuracy of the simulations. The effects of the possible variation were mitigated by obtaining data from countries with similar environmental and social patterns to the UK and by normalising each data set to itself. Using data from outside of the UK allowed the MC simulations to be completed now, instead of waiting for the data to become available. As UK studies that investigate building HD and size variation in the parameters are found, the simulations can be updated.</w:t>
      </w:r>
    </w:p>
    <w:p w14:paraId="26F4C81D" w14:textId="225AE232" w:rsidR="000F16EB" w:rsidRDefault="000F16EB" w:rsidP="000F16EB">
      <w:r>
        <w:lastRenderedPageBreak/>
        <w:t xml:space="preserve">The different datasets of the three assumptions were studied, finding the probability distributions to load into </w:t>
      </w:r>
      <w:proofErr w:type="spellStart"/>
      <w:r>
        <w:t>Goldsim</w:t>
      </w:r>
      <w:proofErr w:type="spellEnd"/>
      <w:r>
        <w:t xml:space="preserve">. The probability distributions were as shown in </w:t>
      </w:r>
      <w:r>
        <w:fldChar w:fldCharType="begin"/>
      </w:r>
      <w:r>
        <w:instrText xml:space="preserve"> REF _Ref525750900 \h </w:instrText>
      </w:r>
      <w:r>
        <w:fldChar w:fldCharType="separate"/>
      </w:r>
      <w:r w:rsidR="00CB7456">
        <w:t xml:space="preserve">Table </w:t>
      </w:r>
      <w:r w:rsidR="00CB7456">
        <w:rPr>
          <w:noProof/>
        </w:rPr>
        <w:t>6</w:t>
      </w:r>
      <w:r w:rsidR="00CB7456">
        <w:t>.</w:t>
      </w:r>
      <w:r w:rsidR="00CB7456">
        <w:rPr>
          <w:noProof/>
        </w:rPr>
        <w:t>3</w:t>
      </w:r>
      <w:r>
        <w:fldChar w:fldCharType="end"/>
      </w:r>
      <w:r>
        <w:t xml:space="preserve">. </w:t>
      </w:r>
    </w:p>
    <w:p w14:paraId="17ADBCDB" w14:textId="3E722C85" w:rsidR="000F16EB" w:rsidRDefault="000F16EB" w:rsidP="000F16EB">
      <w:pPr>
        <w:pStyle w:val="Caption"/>
        <w:keepNext/>
      </w:pPr>
      <w:bookmarkStart w:id="725" w:name="_Ref525750589"/>
      <w:bookmarkStart w:id="726" w:name="_Ref525750900"/>
      <w:bookmarkStart w:id="727" w:name="_Toc7187695"/>
      <w:r>
        <w:t xml:space="preserve">Table </w:t>
      </w:r>
      <w:fldSimple w:instr=" STYLEREF 1 \s ">
        <w:r w:rsidR="00CB7456">
          <w:rPr>
            <w:noProof/>
          </w:rPr>
          <w:t>6</w:t>
        </w:r>
      </w:fldSimple>
      <w:r w:rsidR="009E1A67">
        <w:t>.</w:t>
      </w:r>
      <w:fldSimple w:instr=" SEQ Table \* ARABIC \s 1 ">
        <w:r w:rsidR="00CB7456">
          <w:rPr>
            <w:noProof/>
          </w:rPr>
          <w:t>3</w:t>
        </w:r>
      </w:fldSimple>
      <w:bookmarkEnd w:id="725"/>
      <w:bookmarkEnd w:id="726"/>
      <w:r>
        <w:rPr>
          <w:noProof/>
        </w:rPr>
        <w:t>:</w:t>
      </w:r>
      <w:r>
        <w:t xml:space="preserve"> Probability distribution details for the </w:t>
      </w:r>
      <w:r w:rsidR="00A31668">
        <w:t>HD model</w:t>
      </w:r>
      <w:r>
        <w:t xml:space="preserve"> assumptions.</w:t>
      </w:r>
      <w:bookmarkEnd w:id="727"/>
    </w:p>
    <w:tbl>
      <w:tblPr>
        <w:tblStyle w:val="TableGrid"/>
        <w:tblW w:w="8391" w:type="dxa"/>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37"/>
        <w:gridCol w:w="1834"/>
        <w:gridCol w:w="1455"/>
        <w:gridCol w:w="377"/>
        <w:gridCol w:w="2021"/>
        <w:gridCol w:w="767"/>
      </w:tblGrid>
      <w:tr w:rsidR="000F16EB" w14:paraId="30979F8F" w14:textId="77777777" w:rsidTr="00A7521D">
        <w:trPr>
          <w:jc w:val="center"/>
        </w:trPr>
        <w:tc>
          <w:tcPr>
            <w:tcW w:w="1937" w:type="dxa"/>
            <w:tcBorders>
              <w:bottom w:val="single" w:sz="4" w:space="0" w:color="auto"/>
            </w:tcBorders>
          </w:tcPr>
          <w:p w14:paraId="7F32D97F" w14:textId="77777777" w:rsidR="000F16EB" w:rsidRDefault="000F16EB" w:rsidP="00A7521D">
            <w:pPr>
              <w:jc w:val="center"/>
            </w:pPr>
            <w:r>
              <w:t>Assumption</w:t>
            </w:r>
          </w:p>
        </w:tc>
        <w:tc>
          <w:tcPr>
            <w:tcW w:w="1834" w:type="dxa"/>
            <w:tcBorders>
              <w:bottom w:val="single" w:sz="4" w:space="0" w:color="auto"/>
            </w:tcBorders>
          </w:tcPr>
          <w:p w14:paraId="5CCEE953" w14:textId="77777777" w:rsidR="000F16EB" w:rsidRDefault="000F16EB" w:rsidP="00A7521D">
            <w:pPr>
              <w:jc w:val="center"/>
            </w:pPr>
            <w:r>
              <w:t>Distribution type</w:t>
            </w:r>
          </w:p>
        </w:tc>
        <w:tc>
          <w:tcPr>
            <w:tcW w:w="4620" w:type="dxa"/>
            <w:gridSpan w:val="4"/>
            <w:tcBorders>
              <w:bottom w:val="single" w:sz="4" w:space="0" w:color="auto"/>
            </w:tcBorders>
          </w:tcPr>
          <w:p w14:paraId="08DA0FAA" w14:textId="77777777" w:rsidR="000F16EB" w:rsidRDefault="000F16EB" w:rsidP="00A7521D">
            <w:pPr>
              <w:jc w:val="center"/>
            </w:pPr>
            <w:r>
              <w:t>Probability distribution details</w:t>
            </w:r>
          </w:p>
        </w:tc>
      </w:tr>
      <w:tr w:rsidR="000F16EB" w14:paraId="3AB83A51" w14:textId="77777777" w:rsidTr="00A7521D">
        <w:trPr>
          <w:jc w:val="center"/>
        </w:trPr>
        <w:tc>
          <w:tcPr>
            <w:tcW w:w="1937" w:type="dxa"/>
            <w:tcBorders>
              <w:top w:val="single" w:sz="4" w:space="0" w:color="auto"/>
              <w:bottom w:val="nil"/>
            </w:tcBorders>
          </w:tcPr>
          <w:p w14:paraId="43D110A2" w14:textId="77777777" w:rsidR="000F16EB" w:rsidRDefault="000F16EB" w:rsidP="00A7521D">
            <w:pPr>
              <w:jc w:val="center"/>
            </w:pPr>
            <w:r>
              <w:t>(1) Building size</w:t>
            </w:r>
          </w:p>
        </w:tc>
        <w:tc>
          <w:tcPr>
            <w:tcW w:w="1834" w:type="dxa"/>
            <w:tcBorders>
              <w:top w:val="single" w:sz="4" w:space="0" w:color="auto"/>
              <w:bottom w:val="nil"/>
            </w:tcBorders>
          </w:tcPr>
          <w:p w14:paraId="4677EEF8" w14:textId="77777777" w:rsidR="000F16EB" w:rsidRDefault="000F16EB" w:rsidP="00A7521D">
            <w:pPr>
              <w:jc w:val="center"/>
            </w:pPr>
            <w:r>
              <w:t>Normal</w:t>
            </w:r>
          </w:p>
        </w:tc>
        <w:tc>
          <w:tcPr>
            <w:tcW w:w="1455" w:type="dxa"/>
            <w:tcBorders>
              <w:top w:val="single" w:sz="4" w:space="0" w:color="auto"/>
              <w:bottom w:val="nil"/>
            </w:tcBorders>
          </w:tcPr>
          <w:p w14:paraId="02176AF4" w14:textId="77777777" w:rsidR="000F16EB" w:rsidRDefault="000F16EB" w:rsidP="00A7521D">
            <w:pPr>
              <w:jc w:val="center"/>
            </w:pPr>
            <w:r>
              <w:t>Mean</w:t>
            </w:r>
          </w:p>
        </w:tc>
        <w:tc>
          <w:tcPr>
            <w:tcW w:w="377" w:type="dxa"/>
            <w:tcBorders>
              <w:top w:val="single" w:sz="4" w:space="0" w:color="auto"/>
              <w:bottom w:val="nil"/>
            </w:tcBorders>
          </w:tcPr>
          <w:p w14:paraId="576EB15C" w14:textId="77777777" w:rsidR="000F16EB" w:rsidRDefault="000F16EB" w:rsidP="00A7521D">
            <w:pPr>
              <w:jc w:val="center"/>
            </w:pPr>
            <w:r>
              <w:t>1</w:t>
            </w:r>
          </w:p>
        </w:tc>
        <w:tc>
          <w:tcPr>
            <w:tcW w:w="2021" w:type="dxa"/>
            <w:tcBorders>
              <w:top w:val="single" w:sz="4" w:space="0" w:color="auto"/>
              <w:bottom w:val="nil"/>
            </w:tcBorders>
          </w:tcPr>
          <w:p w14:paraId="4C970265" w14:textId="77777777" w:rsidR="000F16EB" w:rsidRDefault="000F16EB" w:rsidP="00A7521D">
            <w:pPr>
              <w:jc w:val="center"/>
            </w:pPr>
            <w:r w:rsidRPr="001B6CC0">
              <w:t>Standard deviation</w:t>
            </w:r>
          </w:p>
        </w:tc>
        <w:tc>
          <w:tcPr>
            <w:tcW w:w="767" w:type="dxa"/>
            <w:tcBorders>
              <w:top w:val="single" w:sz="4" w:space="0" w:color="auto"/>
              <w:bottom w:val="nil"/>
            </w:tcBorders>
          </w:tcPr>
          <w:p w14:paraId="5843C3B7" w14:textId="77777777" w:rsidR="000F16EB" w:rsidRDefault="000F16EB" w:rsidP="00A7521D">
            <w:pPr>
              <w:jc w:val="center"/>
            </w:pPr>
            <w:r>
              <w:t>1.96</w:t>
            </w:r>
          </w:p>
        </w:tc>
      </w:tr>
      <w:tr w:rsidR="000F16EB" w14:paraId="3FC94C60" w14:textId="77777777" w:rsidTr="00A7521D">
        <w:trPr>
          <w:jc w:val="center"/>
        </w:trPr>
        <w:tc>
          <w:tcPr>
            <w:tcW w:w="1937" w:type="dxa"/>
            <w:tcBorders>
              <w:top w:val="nil"/>
            </w:tcBorders>
          </w:tcPr>
          <w:p w14:paraId="48A21269" w14:textId="77777777" w:rsidR="000F16EB" w:rsidRDefault="000F16EB" w:rsidP="00A7521D">
            <w:pPr>
              <w:jc w:val="center"/>
            </w:pPr>
            <w:r>
              <w:t>(2) Heat profile</w:t>
            </w:r>
          </w:p>
        </w:tc>
        <w:tc>
          <w:tcPr>
            <w:tcW w:w="1834" w:type="dxa"/>
            <w:tcBorders>
              <w:top w:val="nil"/>
            </w:tcBorders>
          </w:tcPr>
          <w:p w14:paraId="0CA92FF2" w14:textId="77777777" w:rsidR="000F16EB" w:rsidRDefault="000F16EB" w:rsidP="00A7521D">
            <w:pPr>
              <w:jc w:val="center"/>
            </w:pPr>
            <w:r>
              <w:t>Normal</w:t>
            </w:r>
          </w:p>
        </w:tc>
        <w:tc>
          <w:tcPr>
            <w:tcW w:w="1455" w:type="dxa"/>
            <w:tcBorders>
              <w:top w:val="nil"/>
            </w:tcBorders>
          </w:tcPr>
          <w:p w14:paraId="51A11CAC" w14:textId="77777777" w:rsidR="000F16EB" w:rsidRDefault="000F16EB" w:rsidP="00A7521D">
            <w:pPr>
              <w:jc w:val="center"/>
            </w:pPr>
            <w:r>
              <w:t>Mean</w:t>
            </w:r>
          </w:p>
        </w:tc>
        <w:tc>
          <w:tcPr>
            <w:tcW w:w="377" w:type="dxa"/>
            <w:tcBorders>
              <w:top w:val="nil"/>
            </w:tcBorders>
          </w:tcPr>
          <w:p w14:paraId="2CD5D072" w14:textId="77777777" w:rsidR="000F16EB" w:rsidRDefault="000F16EB" w:rsidP="00A7521D">
            <w:pPr>
              <w:jc w:val="center"/>
            </w:pPr>
            <w:r>
              <w:t>1</w:t>
            </w:r>
          </w:p>
        </w:tc>
        <w:tc>
          <w:tcPr>
            <w:tcW w:w="2021" w:type="dxa"/>
            <w:tcBorders>
              <w:top w:val="nil"/>
            </w:tcBorders>
          </w:tcPr>
          <w:p w14:paraId="21AA76B7" w14:textId="77777777" w:rsidR="000F16EB" w:rsidRDefault="000F16EB" w:rsidP="00A7521D">
            <w:pPr>
              <w:jc w:val="center"/>
            </w:pPr>
            <w:r w:rsidRPr="001B6CC0">
              <w:t>Standard deviation</w:t>
            </w:r>
          </w:p>
        </w:tc>
        <w:tc>
          <w:tcPr>
            <w:tcW w:w="767" w:type="dxa"/>
            <w:tcBorders>
              <w:top w:val="nil"/>
            </w:tcBorders>
          </w:tcPr>
          <w:p w14:paraId="23990108" w14:textId="77777777" w:rsidR="000F16EB" w:rsidRDefault="000F16EB" w:rsidP="00A7521D">
            <w:pPr>
              <w:jc w:val="center"/>
            </w:pPr>
            <w:r>
              <w:t>0.212</w:t>
            </w:r>
          </w:p>
        </w:tc>
      </w:tr>
      <w:tr w:rsidR="000F16EB" w14:paraId="31DD6B1C" w14:textId="77777777" w:rsidTr="00A7521D">
        <w:trPr>
          <w:jc w:val="center"/>
        </w:trPr>
        <w:tc>
          <w:tcPr>
            <w:tcW w:w="1937" w:type="dxa"/>
          </w:tcPr>
          <w:p w14:paraId="2883C8C2" w14:textId="77777777" w:rsidR="000F16EB" w:rsidRDefault="000F16EB" w:rsidP="00A7521D">
            <w:pPr>
              <w:jc w:val="center"/>
            </w:pPr>
            <w:r>
              <w:t>(3) Network route</w:t>
            </w:r>
          </w:p>
        </w:tc>
        <w:tc>
          <w:tcPr>
            <w:tcW w:w="1834" w:type="dxa"/>
          </w:tcPr>
          <w:p w14:paraId="62B971B2" w14:textId="77777777" w:rsidR="000F16EB" w:rsidRDefault="000F16EB" w:rsidP="00A7521D">
            <w:pPr>
              <w:jc w:val="center"/>
            </w:pPr>
            <w:r>
              <w:t>Pareto</w:t>
            </w:r>
          </w:p>
        </w:tc>
        <w:tc>
          <w:tcPr>
            <w:tcW w:w="1455" w:type="dxa"/>
          </w:tcPr>
          <w:p w14:paraId="7F4BB4D8" w14:textId="77777777" w:rsidR="000F16EB" w:rsidRDefault="000F16EB" w:rsidP="00A7521D">
            <w:pPr>
              <w:jc w:val="center"/>
            </w:pPr>
            <w:r>
              <w:t>Shape factor</w:t>
            </w:r>
          </w:p>
        </w:tc>
        <w:tc>
          <w:tcPr>
            <w:tcW w:w="377" w:type="dxa"/>
          </w:tcPr>
          <w:p w14:paraId="1665B3FD" w14:textId="77777777" w:rsidR="000F16EB" w:rsidRDefault="000F16EB" w:rsidP="00A7521D">
            <w:pPr>
              <w:jc w:val="center"/>
            </w:pPr>
            <w:r>
              <w:t>5</w:t>
            </w:r>
          </w:p>
        </w:tc>
        <w:tc>
          <w:tcPr>
            <w:tcW w:w="2021" w:type="dxa"/>
          </w:tcPr>
          <w:p w14:paraId="56B6AB94" w14:textId="77777777" w:rsidR="000F16EB" w:rsidRDefault="000F16EB" w:rsidP="00A7521D">
            <w:pPr>
              <w:jc w:val="center"/>
            </w:pPr>
            <w:r>
              <w:t>Lower bound</w:t>
            </w:r>
          </w:p>
        </w:tc>
        <w:tc>
          <w:tcPr>
            <w:tcW w:w="767" w:type="dxa"/>
          </w:tcPr>
          <w:p w14:paraId="38E12F39" w14:textId="77777777" w:rsidR="000F16EB" w:rsidRDefault="000F16EB" w:rsidP="00A7521D">
            <w:pPr>
              <w:jc w:val="center"/>
            </w:pPr>
            <w:r>
              <w:t>1</w:t>
            </w:r>
          </w:p>
        </w:tc>
      </w:tr>
    </w:tbl>
    <w:p w14:paraId="1662DD01" w14:textId="77777777" w:rsidR="000F16EB" w:rsidRDefault="000F16EB" w:rsidP="003650C8">
      <w:pPr>
        <w:pStyle w:val="NoSpacing"/>
      </w:pPr>
    </w:p>
    <w:p w14:paraId="69C51BF2" w14:textId="1D82CE2E" w:rsidR="000F16EB" w:rsidRDefault="000F16EB" w:rsidP="000F16EB">
      <w:r>
        <w:t xml:space="preserve">In the distributions, a value of 1 meant that the building size, HD, or network route length was unchanged. A value not equal to 1 changed the building size, HD, or network route length by the factor of that value. The MC simulations were run for the HJE case study, case study 1, during winter. MC simulations were run 1,000 times, which was sufficient to reach convergence in the output. Convergence was achieved when the standard deviation of the output changed by less than 1%, as shown in </w:t>
      </w:r>
      <w:r>
        <w:fldChar w:fldCharType="begin"/>
      </w:r>
      <w:r>
        <w:instrText xml:space="preserve"> REF _Ref531102457 \h </w:instrText>
      </w:r>
      <w:r>
        <w:fldChar w:fldCharType="separate"/>
      </w:r>
      <w:r w:rsidR="00CB7456">
        <w:t xml:space="preserve">Figure </w:t>
      </w:r>
      <w:r w:rsidR="00CB7456">
        <w:rPr>
          <w:noProof/>
        </w:rPr>
        <w:t>6</w:t>
      </w:r>
      <w:r w:rsidR="00CB7456">
        <w:t>.</w:t>
      </w:r>
      <w:r w:rsidR="00CB7456">
        <w:rPr>
          <w:noProof/>
        </w:rPr>
        <w:t>4</w:t>
      </w:r>
      <w:r>
        <w:fldChar w:fldCharType="end"/>
      </w:r>
      <w:r>
        <w:t>.</w:t>
      </w:r>
    </w:p>
    <w:p w14:paraId="49CDEFAD" w14:textId="77777777" w:rsidR="000F16EB" w:rsidRDefault="000F16EB" w:rsidP="000F16EB">
      <w:pPr>
        <w:keepNext/>
        <w:jc w:val="center"/>
      </w:pPr>
      <w:r>
        <w:rPr>
          <w:noProof/>
        </w:rPr>
        <w:drawing>
          <wp:inline distT="0" distB="0" distL="0" distR="0" wp14:anchorId="10850918" wp14:editId="5ABA9278">
            <wp:extent cx="3167380" cy="5233814"/>
            <wp:effectExtent l="19050" t="19050" r="13970" b="24130"/>
            <wp:docPr id="35"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figure 8-4.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168174" cy="5235126"/>
                    </a:xfrm>
                    <a:prstGeom prst="rect">
                      <a:avLst/>
                    </a:prstGeom>
                    <a:ln>
                      <a:solidFill>
                        <a:schemeClr val="tx1"/>
                      </a:solidFill>
                    </a:ln>
                  </pic:spPr>
                </pic:pic>
              </a:graphicData>
            </a:graphic>
          </wp:inline>
        </w:drawing>
      </w:r>
    </w:p>
    <w:p w14:paraId="7C7094BD" w14:textId="38D19C05" w:rsidR="000F16EB" w:rsidRDefault="000F16EB" w:rsidP="000F16EB">
      <w:pPr>
        <w:pStyle w:val="Caption"/>
      </w:pPr>
      <w:bookmarkStart w:id="728" w:name="_Ref531102457"/>
      <w:bookmarkStart w:id="729" w:name="_Toc7187647"/>
      <w:r>
        <w:t xml:space="preserve">Figure </w:t>
      </w:r>
      <w:fldSimple w:instr=" STYLEREF 1 \s ">
        <w:r w:rsidR="00CB7456">
          <w:rPr>
            <w:noProof/>
          </w:rPr>
          <w:t>6</w:t>
        </w:r>
      </w:fldSimple>
      <w:r w:rsidR="007B29C3">
        <w:t>.</w:t>
      </w:r>
      <w:fldSimple w:instr=" SEQ Figure \* ARABIC \s 1 ">
        <w:r w:rsidR="00CB7456">
          <w:rPr>
            <w:noProof/>
          </w:rPr>
          <w:t>4</w:t>
        </w:r>
      </w:fldSimple>
      <w:bookmarkEnd w:id="728"/>
      <w:r>
        <w:rPr>
          <w:noProof/>
        </w:rPr>
        <w:t>:</w:t>
      </w:r>
      <w:r>
        <w:t xml:space="preserve"> </w:t>
      </w:r>
      <w:r w:rsidRPr="00CD6C15">
        <w:t>(</w:t>
      </w:r>
      <w:r>
        <w:t>a</w:t>
      </w:r>
      <w:r w:rsidRPr="00CD6C15">
        <w:t>)</w:t>
      </w:r>
      <w:r>
        <w:t xml:space="preserve"> The </w:t>
      </w:r>
      <w:r w:rsidRPr="000703E9">
        <w:t>change</w:t>
      </w:r>
      <w:r>
        <w:t xml:space="preserve"> in mean and standard deviation with an increasing number of simulations. </w:t>
      </w:r>
      <w:r w:rsidRPr="00CD6C15">
        <w:t>(</w:t>
      </w:r>
      <w:r>
        <w:t>b</w:t>
      </w:r>
      <w:r w:rsidRPr="00CD6C15">
        <w:t>)</w:t>
      </w:r>
      <w:r>
        <w:t xml:space="preserve"> The percentage change in the standard deviation from trial to trial with an increasing number of simulations.</w:t>
      </w:r>
      <w:bookmarkEnd w:id="729"/>
    </w:p>
    <w:p w14:paraId="06070F26" w14:textId="77777777" w:rsidR="000F16EB" w:rsidRDefault="000F16EB" w:rsidP="000F16EB">
      <w:pPr>
        <w:keepNext/>
        <w:jc w:val="center"/>
      </w:pPr>
      <w:r>
        <w:rPr>
          <w:noProof/>
        </w:rPr>
        <w:lastRenderedPageBreak/>
        <w:drawing>
          <wp:inline distT="0" distB="0" distL="0" distR="0" wp14:anchorId="4291DAA3" wp14:editId="707D7F45">
            <wp:extent cx="3168000" cy="7574400"/>
            <wp:effectExtent l="19050" t="19050" r="13970" b="2667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ure 8-5.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168000" cy="7574400"/>
                    </a:xfrm>
                    <a:prstGeom prst="rect">
                      <a:avLst/>
                    </a:prstGeom>
                    <a:ln>
                      <a:solidFill>
                        <a:schemeClr val="tx1"/>
                      </a:solidFill>
                    </a:ln>
                  </pic:spPr>
                </pic:pic>
              </a:graphicData>
            </a:graphic>
          </wp:inline>
        </w:drawing>
      </w:r>
    </w:p>
    <w:p w14:paraId="57DCDB47" w14:textId="698739D2" w:rsidR="000F16EB" w:rsidRDefault="000F16EB" w:rsidP="000F16EB">
      <w:pPr>
        <w:pStyle w:val="Caption"/>
      </w:pPr>
      <w:bookmarkStart w:id="730" w:name="_Ref523394610"/>
      <w:bookmarkStart w:id="731" w:name="_Toc525230100"/>
      <w:bookmarkStart w:id="732" w:name="_Toc7187648"/>
      <w:r>
        <w:t xml:space="preserve">Figure </w:t>
      </w:r>
      <w:fldSimple w:instr=" STYLEREF 1 \s ">
        <w:r w:rsidR="00CB7456">
          <w:rPr>
            <w:noProof/>
          </w:rPr>
          <w:t>6</w:t>
        </w:r>
      </w:fldSimple>
      <w:r w:rsidR="007B29C3">
        <w:t>.</w:t>
      </w:r>
      <w:fldSimple w:instr=" SEQ Figure \* ARABIC \s 1 ">
        <w:r w:rsidR="00CB7456">
          <w:rPr>
            <w:noProof/>
          </w:rPr>
          <w:t>5</w:t>
        </w:r>
      </w:fldSimple>
      <w:bookmarkEnd w:id="730"/>
      <w:r>
        <w:t>:</w:t>
      </w:r>
      <w:r w:rsidRPr="000703E9">
        <w:t xml:space="preserve"> </w:t>
      </w:r>
      <w:r>
        <w:t>Results of the MC simulations for the assumptions in the model, after 1,000 simulations. The mean result, the 50</w:t>
      </w:r>
      <w:r w:rsidRPr="006650EF">
        <w:rPr>
          <w:vertAlign w:val="superscript"/>
        </w:rPr>
        <w:t>th</w:t>
      </w:r>
      <w:r>
        <w:t xml:space="preserve"> percentile, is shown with a black line. The range of percentiles to the extremes of the 5</w:t>
      </w:r>
      <w:r w:rsidRPr="000703E9">
        <w:rPr>
          <w:vertAlign w:val="superscript"/>
        </w:rPr>
        <w:t>th</w:t>
      </w:r>
      <w:r>
        <w:t xml:space="preserve"> and the 95</w:t>
      </w:r>
      <w:r w:rsidRPr="000703E9">
        <w:rPr>
          <w:vertAlign w:val="superscript"/>
        </w:rPr>
        <w:t>th</w:t>
      </w:r>
      <w:r>
        <w:t xml:space="preserve"> are denoted by the colour bands. </w:t>
      </w:r>
      <w:r w:rsidRPr="00356CBA">
        <w:t>(</w:t>
      </w:r>
      <w:r>
        <w:t>a</w:t>
      </w:r>
      <w:r w:rsidRPr="00356CBA">
        <w:t>)</w:t>
      </w:r>
      <w:r>
        <w:t xml:space="preserve"> Results of the MC simulations for the assumption (1) of each building in an archetype category having the same, assumed size. </w:t>
      </w:r>
      <w:r w:rsidRPr="00356CBA">
        <w:t>(</w:t>
      </w:r>
      <w:r>
        <w:t>b</w:t>
      </w:r>
      <w:r w:rsidRPr="00356CBA">
        <w:t>)</w:t>
      </w:r>
      <w:r>
        <w:t xml:space="preserve"> Results of the MC simulations for</w:t>
      </w:r>
      <w:r w:rsidRPr="00032196">
        <w:t xml:space="preserve"> </w:t>
      </w:r>
      <w:r>
        <w:t xml:space="preserve">the assumption (2) of each building in an archetype category having the same, assumed HD profile. </w:t>
      </w:r>
      <w:r w:rsidRPr="00356CBA">
        <w:t>(</w:t>
      </w:r>
      <w:r>
        <w:t>c</w:t>
      </w:r>
      <w:r w:rsidRPr="00356CBA">
        <w:t>)</w:t>
      </w:r>
      <w:r>
        <w:t xml:space="preserve"> </w:t>
      </w:r>
      <w:r w:rsidRPr="00B56BB6">
        <w:t xml:space="preserve">Results of the </w:t>
      </w:r>
      <w:r>
        <w:t>MC</w:t>
      </w:r>
      <w:r w:rsidRPr="00B56BB6">
        <w:t xml:space="preserve"> </w:t>
      </w:r>
      <w:r>
        <w:t>s</w:t>
      </w:r>
      <w:r w:rsidRPr="00B56BB6">
        <w:t xml:space="preserve">imulations for the </w:t>
      </w:r>
      <w:r>
        <w:t>assumption (3) that the pipe network travels in the shortest possible straight-line distance.</w:t>
      </w:r>
      <w:bookmarkEnd w:id="731"/>
      <w:bookmarkEnd w:id="732"/>
      <w:r>
        <w:t xml:space="preserve"> </w:t>
      </w:r>
    </w:p>
    <w:p w14:paraId="4ED50EA8" w14:textId="68CAAAAC" w:rsidR="000F16EB" w:rsidRDefault="000F16EB" w:rsidP="000F16EB">
      <w:r>
        <w:lastRenderedPageBreak/>
        <w:t xml:space="preserve">The results of the MC simulations for the three assumptions are shown in </w:t>
      </w:r>
      <w:r>
        <w:fldChar w:fldCharType="begin"/>
      </w:r>
      <w:r>
        <w:instrText xml:space="preserve"> REF _Ref523394610 \h </w:instrText>
      </w:r>
      <w:r>
        <w:fldChar w:fldCharType="separate"/>
      </w:r>
      <w:r w:rsidR="00CB7456">
        <w:t xml:space="preserve">Figure </w:t>
      </w:r>
      <w:r w:rsidR="00CB7456">
        <w:rPr>
          <w:noProof/>
        </w:rPr>
        <w:t>6</w:t>
      </w:r>
      <w:r w:rsidR="00CB7456">
        <w:t>.</w:t>
      </w:r>
      <w:r w:rsidR="00CB7456">
        <w:rPr>
          <w:noProof/>
        </w:rPr>
        <w:t>5</w:t>
      </w:r>
      <w:r>
        <w:fldChar w:fldCharType="end"/>
      </w:r>
      <w:r>
        <w:t xml:space="preserve">. </w:t>
      </w:r>
      <w:r>
        <w:fldChar w:fldCharType="begin"/>
      </w:r>
      <w:r>
        <w:instrText xml:space="preserve"> REF _Ref523394610 \h </w:instrText>
      </w:r>
      <w:r>
        <w:fldChar w:fldCharType="separate"/>
      </w:r>
      <w:r w:rsidR="00CB7456">
        <w:t xml:space="preserve">Figure </w:t>
      </w:r>
      <w:r w:rsidR="00CB7456">
        <w:rPr>
          <w:noProof/>
        </w:rPr>
        <w:t>6</w:t>
      </w:r>
      <w:r w:rsidR="00CB7456">
        <w:t>.</w:t>
      </w:r>
      <w:r w:rsidR="00CB7456">
        <w:rPr>
          <w:noProof/>
        </w:rPr>
        <w:t>5</w:t>
      </w:r>
      <w:r>
        <w:fldChar w:fldCharType="end"/>
      </w:r>
      <w:r>
        <w:t xml:space="preserve"> shows the mean HD curve, the 50</w:t>
      </w:r>
      <w:r w:rsidRPr="006650EF">
        <w:rPr>
          <w:vertAlign w:val="superscript"/>
        </w:rPr>
        <w:t>th</w:t>
      </w:r>
      <w:r>
        <w:t xml:space="preserve"> percentile, found over 1,000 simulations with a black line. The range of percentiles to the extremes of the 5</w:t>
      </w:r>
      <w:r w:rsidRPr="000703E9">
        <w:rPr>
          <w:vertAlign w:val="superscript"/>
        </w:rPr>
        <w:t>th</w:t>
      </w:r>
      <w:r>
        <w:t xml:space="preserve"> and the 95</w:t>
      </w:r>
      <w:r w:rsidRPr="000703E9">
        <w:rPr>
          <w:vertAlign w:val="superscript"/>
        </w:rPr>
        <w:t>th</w:t>
      </w:r>
      <w:r>
        <w:t xml:space="preserve"> are denoted by the colour bands. Due to limitations in the </w:t>
      </w:r>
      <w:proofErr w:type="spellStart"/>
      <w:r>
        <w:t>Goldsim</w:t>
      </w:r>
      <w:proofErr w:type="spellEnd"/>
      <w:r>
        <w:t xml:space="preserve"> software, the MC simulations for (1), the building size assumption, and (2), the building HD assumption, could not consider the entire network structure. Instead, for assumptions (1) and (2), the MC simulations were run for a typical </w:t>
      </w:r>
      <w:proofErr w:type="spellStart"/>
      <w:r>
        <w:t>subnode</w:t>
      </w:r>
      <w:proofErr w:type="spellEnd"/>
      <w:r>
        <w:t xml:space="preserve"> of the DHN and the results were used to represent the entire DHN. It is unclear from </w:t>
      </w:r>
      <w:r>
        <w:fldChar w:fldCharType="begin"/>
      </w:r>
      <w:r>
        <w:instrText xml:space="preserve"> REF _Ref523394610 \h </w:instrText>
      </w:r>
      <w:r>
        <w:fldChar w:fldCharType="separate"/>
      </w:r>
      <w:r w:rsidR="00CB7456">
        <w:t xml:space="preserve">Figure </w:t>
      </w:r>
      <w:r w:rsidR="00CB7456">
        <w:rPr>
          <w:noProof/>
        </w:rPr>
        <w:t>6</w:t>
      </w:r>
      <w:r w:rsidR="00CB7456">
        <w:t>.</w:t>
      </w:r>
      <w:r w:rsidR="00CB7456">
        <w:rPr>
          <w:noProof/>
        </w:rPr>
        <w:t>5</w:t>
      </w:r>
      <w:r>
        <w:fldChar w:fldCharType="end"/>
      </w:r>
      <w:r>
        <w:t xml:space="preserve"> the extent that the results vary from the mean; </w:t>
      </w:r>
      <w:r>
        <w:fldChar w:fldCharType="begin"/>
      </w:r>
      <w:r>
        <w:instrText xml:space="preserve"> REF _Ref523395297 \h </w:instrText>
      </w:r>
      <w:r>
        <w:fldChar w:fldCharType="separate"/>
      </w:r>
      <w:r w:rsidR="00CB7456">
        <w:t xml:space="preserve">Figure </w:t>
      </w:r>
      <w:r w:rsidR="00CB7456">
        <w:rPr>
          <w:noProof/>
        </w:rPr>
        <w:t>6</w:t>
      </w:r>
      <w:r w:rsidR="00CB7456">
        <w:t>.</w:t>
      </w:r>
      <w:r w:rsidR="00CB7456">
        <w:rPr>
          <w:noProof/>
        </w:rPr>
        <w:t>6</w:t>
      </w:r>
      <w:r>
        <w:fldChar w:fldCharType="end"/>
      </w:r>
      <w:r>
        <w:t xml:space="preserve"> and </w:t>
      </w:r>
      <w:r>
        <w:fldChar w:fldCharType="begin"/>
      </w:r>
      <w:r>
        <w:instrText xml:space="preserve"> REF _Ref526087704 \h </w:instrText>
      </w:r>
      <w:r>
        <w:fldChar w:fldCharType="separate"/>
      </w:r>
      <w:r w:rsidR="00CB7456">
        <w:t xml:space="preserve">Table </w:t>
      </w:r>
      <w:r w:rsidR="00CB7456">
        <w:rPr>
          <w:noProof/>
        </w:rPr>
        <w:t>6</w:t>
      </w:r>
      <w:r w:rsidR="00CB7456">
        <w:t>.</w:t>
      </w:r>
      <w:r w:rsidR="00CB7456">
        <w:rPr>
          <w:noProof/>
        </w:rPr>
        <w:t>4</w:t>
      </w:r>
      <w:r>
        <w:fldChar w:fldCharType="end"/>
      </w:r>
      <w:r>
        <w:t xml:space="preserve"> more clearly show the variation from the mean.</w:t>
      </w:r>
    </w:p>
    <w:p w14:paraId="5EA01108" w14:textId="77777777" w:rsidR="000F16EB" w:rsidRDefault="000F16EB" w:rsidP="000F16EB">
      <w:pPr>
        <w:pStyle w:val="Caption"/>
        <w:keepNext/>
        <w:jc w:val="center"/>
      </w:pPr>
      <w:r>
        <w:rPr>
          <w:noProof/>
        </w:rPr>
        <w:drawing>
          <wp:inline distT="0" distB="0" distL="0" distR="0" wp14:anchorId="19887507" wp14:editId="22FE43DE">
            <wp:extent cx="3168000" cy="2502902"/>
            <wp:effectExtent l="19050" t="19050" r="13970" b="1206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nput v output uncertainty.jpg"/>
                    <pic:cNvPicPr/>
                  </pic:nvPicPr>
                  <pic:blipFill rotWithShape="1">
                    <a:blip r:embed="rId48" cstate="print">
                      <a:extLst>
                        <a:ext uri="{28A0092B-C50C-407E-A947-70E740481C1C}">
                          <a14:useLocalDpi xmlns:a14="http://schemas.microsoft.com/office/drawing/2010/main" val="0"/>
                        </a:ext>
                      </a:extLst>
                    </a:blip>
                    <a:srcRect l="6713" t="-1661" r="-973" b="4343"/>
                    <a:stretch/>
                  </pic:blipFill>
                  <pic:spPr bwMode="auto">
                    <a:xfrm>
                      <a:off x="0" y="0"/>
                      <a:ext cx="3168000" cy="2502902"/>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DBA3D1E" w14:textId="3CDC8E04" w:rsidR="000F16EB" w:rsidRDefault="000F16EB" w:rsidP="000F16EB">
      <w:pPr>
        <w:pStyle w:val="Caption"/>
      </w:pPr>
      <w:bookmarkStart w:id="733" w:name="_Ref523395297"/>
      <w:bookmarkStart w:id="734" w:name="_Toc525230101"/>
      <w:bookmarkStart w:id="735" w:name="_Toc7187649"/>
      <w:r>
        <w:t xml:space="preserve">Figure </w:t>
      </w:r>
      <w:fldSimple w:instr=" STYLEREF 1 \s ">
        <w:r w:rsidR="00CB7456">
          <w:rPr>
            <w:noProof/>
          </w:rPr>
          <w:t>6</w:t>
        </w:r>
      </w:fldSimple>
      <w:r w:rsidR="007B29C3">
        <w:t>.</w:t>
      </w:r>
      <w:fldSimple w:instr=" SEQ Figure \* ARABIC \s 1 ">
        <w:r w:rsidR="00CB7456">
          <w:rPr>
            <w:noProof/>
          </w:rPr>
          <w:t>6</w:t>
        </w:r>
      </w:fldSimple>
      <w:bookmarkEnd w:id="733"/>
      <w:r>
        <w:rPr>
          <w:noProof/>
        </w:rPr>
        <w:t>:</w:t>
      </w:r>
      <w:r w:rsidRPr="00C83559">
        <w:t xml:space="preserve"> </w:t>
      </w:r>
      <w:r>
        <w:t>Input and output uncertainty for the MC simulations, showing the assumptions of (1) the standard building sizes, (2) the standard HD profiles and (3) the straight-line network route.</w:t>
      </w:r>
      <w:bookmarkEnd w:id="734"/>
      <w:bookmarkEnd w:id="735"/>
    </w:p>
    <w:p w14:paraId="2CC7803E" w14:textId="7E8FD99D" w:rsidR="000F16EB" w:rsidRDefault="000F16EB" w:rsidP="000F16EB">
      <w:pPr>
        <w:pStyle w:val="Caption"/>
      </w:pPr>
      <w:bookmarkStart w:id="736" w:name="_Ref526087704"/>
      <w:bookmarkStart w:id="737" w:name="_Toc7187696"/>
      <w:r>
        <w:t xml:space="preserve">Table </w:t>
      </w:r>
      <w:fldSimple w:instr=" STYLEREF 1 \s ">
        <w:r w:rsidR="00CB7456">
          <w:rPr>
            <w:noProof/>
          </w:rPr>
          <w:t>6</w:t>
        </w:r>
      </w:fldSimple>
      <w:r w:rsidR="009E1A67">
        <w:t>.</w:t>
      </w:r>
      <w:fldSimple w:instr=" SEQ Table \* ARABIC \s 1 ">
        <w:r w:rsidR="00CB7456">
          <w:rPr>
            <w:noProof/>
          </w:rPr>
          <w:t>4</w:t>
        </w:r>
      </w:fldSimple>
      <w:bookmarkEnd w:id="736"/>
      <w:r>
        <w:t>:</w:t>
      </w:r>
      <w:r w:rsidRPr="00AD52E3">
        <w:rPr>
          <w:color w:val="000000" w:themeColor="text1"/>
        </w:rPr>
        <w:t xml:space="preserve"> </w:t>
      </w:r>
      <w:r>
        <w:rPr>
          <w:color w:val="000000" w:themeColor="text1"/>
        </w:rPr>
        <w:t xml:space="preserve">Input and output uncertainty for </w:t>
      </w:r>
      <w:r>
        <w:t>the MC simulations, showing the assumptions of (1) the standard building sizes, (2) the standard HD profiles and (3) the straight-line network route.</w:t>
      </w:r>
      <w:bookmarkEnd w:id="737"/>
    </w:p>
    <w:tbl>
      <w:tblPr>
        <w:tblStyle w:val="TableGrid"/>
        <w:tblW w:w="8316" w:type="dxa"/>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20"/>
        <w:gridCol w:w="593"/>
        <w:gridCol w:w="593"/>
        <w:gridCol w:w="593"/>
        <w:gridCol w:w="593"/>
        <w:gridCol w:w="593"/>
        <w:gridCol w:w="536"/>
        <w:gridCol w:w="352"/>
        <w:gridCol w:w="451"/>
        <w:gridCol w:w="464"/>
        <w:gridCol w:w="453"/>
        <w:gridCol w:w="453"/>
        <w:gridCol w:w="569"/>
        <w:gridCol w:w="653"/>
      </w:tblGrid>
      <w:tr w:rsidR="000F16EB" w14:paraId="1C3F2850" w14:textId="77777777" w:rsidTr="00A7521D">
        <w:trPr>
          <w:jc w:val="center"/>
        </w:trPr>
        <w:tc>
          <w:tcPr>
            <w:tcW w:w="1420" w:type="dxa"/>
            <w:vMerge w:val="restart"/>
            <w:tcBorders>
              <w:top w:val="single" w:sz="4" w:space="0" w:color="auto"/>
            </w:tcBorders>
          </w:tcPr>
          <w:p w14:paraId="7C8F83EA" w14:textId="77777777" w:rsidR="000F16EB" w:rsidRDefault="000F16EB" w:rsidP="00A7521D">
            <w:pPr>
              <w:jc w:val="center"/>
            </w:pPr>
            <w:r>
              <w:t>Type of assumption</w:t>
            </w:r>
          </w:p>
        </w:tc>
        <w:tc>
          <w:tcPr>
            <w:tcW w:w="6896" w:type="dxa"/>
            <w:gridSpan w:val="13"/>
            <w:tcBorders>
              <w:top w:val="single" w:sz="4" w:space="0" w:color="auto"/>
            </w:tcBorders>
          </w:tcPr>
          <w:p w14:paraId="28C4AD75" w14:textId="77777777" w:rsidR="000F16EB" w:rsidRDefault="000F16EB" w:rsidP="00A7521D">
            <w:pPr>
              <w:jc w:val="center"/>
            </w:pPr>
            <w:r>
              <w:t>Input uncertainty (%)</w:t>
            </w:r>
          </w:p>
        </w:tc>
      </w:tr>
      <w:tr w:rsidR="000F16EB" w14:paraId="4761B43C" w14:textId="77777777" w:rsidTr="00A7521D">
        <w:trPr>
          <w:jc w:val="center"/>
        </w:trPr>
        <w:tc>
          <w:tcPr>
            <w:tcW w:w="1420" w:type="dxa"/>
            <w:vMerge/>
          </w:tcPr>
          <w:p w14:paraId="3DFA517D" w14:textId="77777777" w:rsidR="000F16EB" w:rsidRDefault="000F16EB" w:rsidP="00A7521D">
            <w:pPr>
              <w:jc w:val="center"/>
            </w:pPr>
          </w:p>
        </w:tc>
        <w:tc>
          <w:tcPr>
            <w:tcW w:w="593" w:type="dxa"/>
            <w:tcBorders>
              <w:bottom w:val="single" w:sz="4" w:space="0" w:color="auto"/>
            </w:tcBorders>
          </w:tcPr>
          <w:p w14:paraId="47150CBD" w14:textId="77777777" w:rsidR="000F16EB" w:rsidRDefault="000F16EB" w:rsidP="00A7521D">
            <w:pPr>
              <w:jc w:val="center"/>
            </w:pPr>
            <w:r>
              <w:t>-49</w:t>
            </w:r>
          </w:p>
        </w:tc>
        <w:tc>
          <w:tcPr>
            <w:tcW w:w="593" w:type="dxa"/>
            <w:tcBorders>
              <w:bottom w:val="single" w:sz="4" w:space="0" w:color="auto"/>
            </w:tcBorders>
          </w:tcPr>
          <w:p w14:paraId="0D9690D2" w14:textId="77777777" w:rsidR="000F16EB" w:rsidRDefault="000F16EB" w:rsidP="00A7521D">
            <w:pPr>
              <w:jc w:val="center"/>
            </w:pPr>
            <w:r>
              <w:t>-45</w:t>
            </w:r>
          </w:p>
        </w:tc>
        <w:tc>
          <w:tcPr>
            <w:tcW w:w="593" w:type="dxa"/>
            <w:tcBorders>
              <w:bottom w:val="single" w:sz="4" w:space="0" w:color="auto"/>
            </w:tcBorders>
          </w:tcPr>
          <w:p w14:paraId="643E79D1" w14:textId="77777777" w:rsidR="000F16EB" w:rsidRDefault="000F16EB" w:rsidP="00A7521D">
            <w:pPr>
              <w:jc w:val="center"/>
            </w:pPr>
            <w:r>
              <w:t>-35</w:t>
            </w:r>
          </w:p>
        </w:tc>
        <w:tc>
          <w:tcPr>
            <w:tcW w:w="593" w:type="dxa"/>
            <w:tcBorders>
              <w:bottom w:val="single" w:sz="4" w:space="0" w:color="auto"/>
            </w:tcBorders>
          </w:tcPr>
          <w:p w14:paraId="4BD4233D" w14:textId="77777777" w:rsidR="000F16EB" w:rsidRDefault="000F16EB" w:rsidP="00A7521D">
            <w:pPr>
              <w:jc w:val="center"/>
            </w:pPr>
            <w:r>
              <w:t>-25</w:t>
            </w:r>
          </w:p>
        </w:tc>
        <w:tc>
          <w:tcPr>
            <w:tcW w:w="593" w:type="dxa"/>
            <w:tcBorders>
              <w:bottom w:val="single" w:sz="4" w:space="0" w:color="auto"/>
            </w:tcBorders>
          </w:tcPr>
          <w:p w14:paraId="2458AC9C" w14:textId="77777777" w:rsidR="000F16EB" w:rsidRDefault="000F16EB" w:rsidP="00A7521D">
            <w:pPr>
              <w:jc w:val="center"/>
            </w:pPr>
            <w:r>
              <w:t>-15</w:t>
            </w:r>
          </w:p>
        </w:tc>
        <w:tc>
          <w:tcPr>
            <w:tcW w:w="536" w:type="dxa"/>
            <w:tcBorders>
              <w:bottom w:val="single" w:sz="4" w:space="0" w:color="auto"/>
            </w:tcBorders>
          </w:tcPr>
          <w:p w14:paraId="78E2A127" w14:textId="77777777" w:rsidR="000F16EB" w:rsidRDefault="000F16EB" w:rsidP="00A7521D">
            <w:pPr>
              <w:jc w:val="center"/>
            </w:pPr>
            <w:r>
              <w:t>-5</w:t>
            </w:r>
          </w:p>
        </w:tc>
        <w:tc>
          <w:tcPr>
            <w:tcW w:w="352" w:type="dxa"/>
            <w:tcBorders>
              <w:bottom w:val="single" w:sz="4" w:space="0" w:color="auto"/>
            </w:tcBorders>
          </w:tcPr>
          <w:p w14:paraId="294D561F" w14:textId="77777777" w:rsidR="000F16EB" w:rsidRDefault="000F16EB" w:rsidP="00A7521D">
            <w:pPr>
              <w:jc w:val="center"/>
            </w:pPr>
            <w:r>
              <w:t>0</w:t>
            </w:r>
          </w:p>
        </w:tc>
        <w:tc>
          <w:tcPr>
            <w:tcW w:w="451" w:type="dxa"/>
            <w:tcBorders>
              <w:bottom w:val="single" w:sz="4" w:space="0" w:color="auto"/>
            </w:tcBorders>
          </w:tcPr>
          <w:p w14:paraId="16EDADF8" w14:textId="77777777" w:rsidR="000F16EB" w:rsidRDefault="000F16EB" w:rsidP="00A7521D">
            <w:pPr>
              <w:jc w:val="center"/>
            </w:pPr>
            <w:r>
              <w:t>5</w:t>
            </w:r>
          </w:p>
        </w:tc>
        <w:tc>
          <w:tcPr>
            <w:tcW w:w="464" w:type="dxa"/>
            <w:tcBorders>
              <w:bottom w:val="single" w:sz="4" w:space="0" w:color="auto"/>
            </w:tcBorders>
          </w:tcPr>
          <w:p w14:paraId="3737BA3E" w14:textId="77777777" w:rsidR="000F16EB" w:rsidRDefault="000F16EB" w:rsidP="00A7521D">
            <w:pPr>
              <w:jc w:val="center"/>
            </w:pPr>
            <w:r>
              <w:t>15</w:t>
            </w:r>
          </w:p>
        </w:tc>
        <w:tc>
          <w:tcPr>
            <w:tcW w:w="453" w:type="dxa"/>
            <w:tcBorders>
              <w:bottom w:val="single" w:sz="4" w:space="0" w:color="auto"/>
            </w:tcBorders>
          </w:tcPr>
          <w:p w14:paraId="6FF0AA5F" w14:textId="77777777" w:rsidR="000F16EB" w:rsidRDefault="000F16EB" w:rsidP="00A7521D">
            <w:pPr>
              <w:jc w:val="center"/>
            </w:pPr>
            <w:r>
              <w:t>25</w:t>
            </w:r>
          </w:p>
        </w:tc>
        <w:tc>
          <w:tcPr>
            <w:tcW w:w="453" w:type="dxa"/>
            <w:tcBorders>
              <w:bottom w:val="single" w:sz="4" w:space="0" w:color="auto"/>
            </w:tcBorders>
          </w:tcPr>
          <w:p w14:paraId="7EC4F425" w14:textId="77777777" w:rsidR="000F16EB" w:rsidRDefault="000F16EB" w:rsidP="00A7521D">
            <w:pPr>
              <w:jc w:val="center"/>
            </w:pPr>
            <w:r>
              <w:t>35</w:t>
            </w:r>
          </w:p>
        </w:tc>
        <w:tc>
          <w:tcPr>
            <w:tcW w:w="569" w:type="dxa"/>
            <w:tcBorders>
              <w:bottom w:val="single" w:sz="4" w:space="0" w:color="auto"/>
            </w:tcBorders>
          </w:tcPr>
          <w:p w14:paraId="64D73689" w14:textId="77777777" w:rsidR="000F16EB" w:rsidRDefault="000F16EB" w:rsidP="00A7521D">
            <w:pPr>
              <w:jc w:val="center"/>
            </w:pPr>
            <w:r>
              <w:t>45</w:t>
            </w:r>
          </w:p>
        </w:tc>
        <w:tc>
          <w:tcPr>
            <w:tcW w:w="653" w:type="dxa"/>
            <w:tcBorders>
              <w:bottom w:val="single" w:sz="4" w:space="0" w:color="auto"/>
            </w:tcBorders>
          </w:tcPr>
          <w:p w14:paraId="2F5412CB" w14:textId="77777777" w:rsidR="000F16EB" w:rsidRDefault="000F16EB" w:rsidP="00A7521D">
            <w:pPr>
              <w:jc w:val="center"/>
            </w:pPr>
            <w:r>
              <w:t>49</w:t>
            </w:r>
          </w:p>
        </w:tc>
      </w:tr>
      <w:tr w:rsidR="000F16EB" w14:paraId="12171F86" w14:textId="77777777" w:rsidTr="00A7521D">
        <w:trPr>
          <w:jc w:val="center"/>
        </w:trPr>
        <w:tc>
          <w:tcPr>
            <w:tcW w:w="1420" w:type="dxa"/>
            <w:vMerge/>
            <w:tcBorders>
              <w:bottom w:val="single" w:sz="4" w:space="0" w:color="auto"/>
            </w:tcBorders>
          </w:tcPr>
          <w:p w14:paraId="0A4C4E5F" w14:textId="77777777" w:rsidR="000F16EB" w:rsidRDefault="000F16EB" w:rsidP="00A7521D">
            <w:pPr>
              <w:jc w:val="center"/>
            </w:pPr>
          </w:p>
        </w:tc>
        <w:tc>
          <w:tcPr>
            <w:tcW w:w="6896" w:type="dxa"/>
            <w:gridSpan w:val="13"/>
            <w:tcBorders>
              <w:bottom w:val="single" w:sz="4" w:space="0" w:color="auto"/>
            </w:tcBorders>
          </w:tcPr>
          <w:p w14:paraId="2C674D8F" w14:textId="77777777" w:rsidR="000F16EB" w:rsidRDefault="000F16EB" w:rsidP="00A7521D">
            <w:pPr>
              <w:jc w:val="center"/>
            </w:pPr>
            <w:r>
              <w:t>Output uncertainty (%)</w:t>
            </w:r>
          </w:p>
        </w:tc>
      </w:tr>
      <w:tr w:rsidR="000F16EB" w14:paraId="3720A3BE" w14:textId="77777777" w:rsidTr="00A7521D">
        <w:trPr>
          <w:jc w:val="center"/>
        </w:trPr>
        <w:tc>
          <w:tcPr>
            <w:tcW w:w="1420" w:type="dxa"/>
            <w:tcBorders>
              <w:top w:val="single" w:sz="4" w:space="0" w:color="auto"/>
              <w:bottom w:val="nil"/>
            </w:tcBorders>
          </w:tcPr>
          <w:p w14:paraId="1C21107A" w14:textId="77777777" w:rsidR="000F16EB" w:rsidRDefault="000F16EB" w:rsidP="00A7521D">
            <w:pPr>
              <w:jc w:val="center"/>
            </w:pPr>
            <w:r>
              <w:t>(1) Building size</w:t>
            </w:r>
          </w:p>
        </w:tc>
        <w:tc>
          <w:tcPr>
            <w:tcW w:w="593" w:type="dxa"/>
            <w:tcBorders>
              <w:top w:val="single" w:sz="4" w:space="0" w:color="auto"/>
              <w:bottom w:val="nil"/>
            </w:tcBorders>
          </w:tcPr>
          <w:p w14:paraId="3B81E606" w14:textId="77777777" w:rsidR="000F16EB" w:rsidRDefault="000F16EB" w:rsidP="00A7521D">
            <w:pPr>
              <w:jc w:val="center"/>
            </w:pPr>
            <w:r>
              <w:t>98</w:t>
            </w:r>
          </w:p>
        </w:tc>
        <w:tc>
          <w:tcPr>
            <w:tcW w:w="593" w:type="dxa"/>
            <w:tcBorders>
              <w:top w:val="single" w:sz="4" w:space="0" w:color="auto"/>
              <w:bottom w:val="nil"/>
            </w:tcBorders>
          </w:tcPr>
          <w:p w14:paraId="01623585" w14:textId="77777777" w:rsidR="000F16EB" w:rsidRDefault="000F16EB" w:rsidP="00A7521D">
            <w:pPr>
              <w:jc w:val="center"/>
            </w:pPr>
            <w:r>
              <w:t>89</w:t>
            </w:r>
          </w:p>
        </w:tc>
        <w:tc>
          <w:tcPr>
            <w:tcW w:w="593" w:type="dxa"/>
            <w:tcBorders>
              <w:top w:val="single" w:sz="4" w:space="0" w:color="auto"/>
              <w:bottom w:val="nil"/>
            </w:tcBorders>
          </w:tcPr>
          <w:p w14:paraId="2FABF1C7" w14:textId="77777777" w:rsidR="000F16EB" w:rsidRDefault="000F16EB" w:rsidP="00A7521D">
            <w:pPr>
              <w:jc w:val="center"/>
            </w:pPr>
            <w:r>
              <w:t>67</w:t>
            </w:r>
          </w:p>
        </w:tc>
        <w:tc>
          <w:tcPr>
            <w:tcW w:w="593" w:type="dxa"/>
            <w:tcBorders>
              <w:top w:val="single" w:sz="4" w:space="0" w:color="auto"/>
              <w:bottom w:val="nil"/>
            </w:tcBorders>
          </w:tcPr>
          <w:p w14:paraId="72673D8D" w14:textId="77777777" w:rsidR="000F16EB" w:rsidRDefault="000F16EB" w:rsidP="00A7521D">
            <w:pPr>
              <w:jc w:val="center"/>
            </w:pPr>
            <w:r>
              <w:t>49</w:t>
            </w:r>
          </w:p>
        </w:tc>
        <w:tc>
          <w:tcPr>
            <w:tcW w:w="593" w:type="dxa"/>
            <w:tcBorders>
              <w:top w:val="single" w:sz="4" w:space="0" w:color="auto"/>
              <w:bottom w:val="nil"/>
            </w:tcBorders>
          </w:tcPr>
          <w:p w14:paraId="7DB142E4" w14:textId="77777777" w:rsidR="000F16EB" w:rsidRDefault="000F16EB" w:rsidP="00A7521D">
            <w:pPr>
              <w:jc w:val="center"/>
            </w:pPr>
            <w:r>
              <w:t>30</w:t>
            </w:r>
          </w:p>
        </w:tc>
        <w:tc>
          <w:tcPr>
            <w:tcW w:w="536" w:type="dxa"/>
            <w:tcBorders>
              <w:top w:val="single" w:sz="4" w:space="0" w:color="auto"/>
              <w:bottom w:val="nil"/>
            </w:tcBorders>
          </w:tcPr>
          <w:p w14:paraId="14602662" w14:textId="77777777" w:rsidR="000F16EB" w:rsidRDefault="000F16EB" w:rsidP="00A7521D">
            <w:pPr>
              <w:jc w:val="center"/>
            </w:pPr>
            <w:r>
              <w:t>10</w:t>
            </w:r>
          </w:p>
        </w:tc>
        <w:tc>
          <w:tcPr>
            <w:tcW w:w="352" w:type="dxa"/>
            <w:tcBorders>
              <w:top w:val="single" w:sz="4" w:space="0" w:color="auto"/>
              <w:bottom w:val="nil"/>
            </w:tcBorders>
          </w:tcPr>
          <w:p w14:paraId="47AD3353" w14:textId="77777777" w:rsidR="000F16EB" w:rsidRDefault="000F16EB" w:rsidP="00A7521D">
            <w:pPr>
              <w:jc w:val="center"/>
            </w:pPr>
            <w:r>
              <w:t>0</w:t>
            </w:r>
          </w:p>
        </w:tc>
        <w:tc>
          <w:tcPr>
            <w:tcW w:w="451" w:type="dxa"/>
            <w:tcBorders>
              <w:top w:val="single" w:sz="4" w:space="0" w:color="auto"/>
              <w:bottom w:val="nil"/>
            </w:tcBorders>
          </w:tcPr>
          <w:p w14:paraId="5A96DA0E" w14:textId="77777777" w:rsidR="000F16EB" w:rsidRDefault="000F16EB" w:rsidP="00A7521D">
            <w:pPr>
              <w:jc w:val="center"/>
            </w:pPr>
            <w:r>
              <w:t>11</w:t>
            </w:r>
          </w:p>
        </w:tc>
        <w:tc>
          <w:tcPr>
            <w:tcW w:w="464" w:type="dxa"/>
            <w:tcBorders>
              <w:top w:val="single" w:sz="4" w:space="0" w:color="auto"/>
              <w:bottom w:val="nil"/>
            </w:tcBorders>
          </w:tcPr>
          <w:p w14:paraId="6838424B" w14:textId="77777777" w:rsidR="000F16EB" w:rsidRDefault="000F16EB" w:rsidP="00A7521D">
            <w:pPr>
              <w:jc w:val="center"/>
            </w:pPr>
            <w:r>
              <w:t>34</w:t>
            </w:r>
          </w:p>
        </w:tc>
        <w:tc>
          <w:tcPr>
            <w:tcW w:w="453" w:type="dxa"/>
            <w:tcBorders>
              <w:top w:val="single" w:sz="4" w:space="0" w:color="auto"/>
              <w:bottom w:val="nil"/>
            </w:tcBorders>
          </w:tcPr>
          <w:p w14:paraId="51543713" w14:textId="77777777" w:rsidR="000F16EB" w:rsidRDefault="000F16EB" w:rsidP="00A7521D">
            <w:pPr>
              <w:jc w:val="center"/>
            </w:pPr>
            <w:r>
              <w:t>61</w:t>
            </w:r>
          </w:p>
        </w:tc>
        <w:tc>
          <w:tcPr>
            <w:tcW w:w="453" w:type="dxa"/>
            <w:tcBorders>
              <w:top w:val="single" w:sz="4" w:space="0" w:color="auto"/>
              <w:bottom w:val="nil"/>
            </w:tcBorders>
          </w:tcPr>
          <w:p w14:paraId="26D1A919" w14:textId="77777777" w:rsidR="000F16EB" w:rsidRDefault="000F16EB" w:rsidP="00A7521D">
            <w:pPr>
              <w:jc w:val="center"/>
            </w:pPr>
            <w:r>
              <w:t>96</w:t>
            </w:r>
          </w:p>
        </w:tc>
        <w:tc>
          <w:tcPr>
            <w:tcW w:w="569" w:type="dxa"/>
            <w:tcBorders>
              <w:top w:val="single" w:sz="4" w:space="0" w:color="auto"/>
              <w:bottom w:val="nil"/>
            </w:tcBorders>
          </w:tcPr>
          <w:p w14:paraId="5450EBB6" w14:textId="77777777" w:rsidR="000F16EB" w:rsidRDefault="000F16EB" w:rsidP="00A7521D">
            <w:pPr>
              <w:jc w:val="center"/>
            </w:pPr>
            <w:r>
              <w:t>158</w:t>
            </w:r>
          </w:p>
        </w:tc>
        <w:tc>
          <w:tcPr>
            <w:tcW w:w="653" w:type="dxa"/>
            <w:tcBorders>
              <w:top w:val="single" w:sz="4" w:space="0" w:color="auto"/>
              <w:bottom w:val="nil"/>
            </w:tcBorders>
          </w:tcPr>
          <w:p w14:paraId="3F6F97D5" w14:textId="77777777" w:rsidR="000F16EB" w:rsidRDefault="000F16EB" w:rsidP="00A7521D">
            <w:pPr>
              <w:jc w:val="center"/>
            </w:pPr>
            <w:r>
              <w:t>229</w:t>
            </w:r>
          </w:p>
        </w:tc>
      </w:tr>
      <w:tr w:rsidR="000F16EB" w14:paraId="3CBBFC4D" w14:textId="77777777" w:rsidTr="00A7521D">
        <w:trPr>
          <w:jc w:val="center"/>
        </w:trPr>
        <w:tc>
          <w:tcPr>
            <w:tcW w:w="1420" w:type="dxa"/>
            <w:tcBorders>
              <w:top w:val="nil"/>
            </w:tcBorders>
          </w:tcPr>
          <w:p w14:paraId="7A366FEF" w14:textId="77777777" w:rsidR="000F16EB" w:rsidRDefault="000F16EB" w:rsidP="00A7521D">
            <w:pPr>
              <w:jc w:val="center"/>
            </w:pPr>
            <w:r>
              <w:t>(2) Heat profile</w:t>
            </w:r>
          </w:p>
        </w:tc>
        <w:tc>
          <w:tcPr>
            <w:tcW w:w="593" w:type="dxa"/>
            <w:tcBorders>
              <w:top w:val="nil"/>
            </w:tcBorders>
          </w:tcPr>
          <w:p w14:paraId="157121B5" w14:textId="77777777" w:rsidR="000F16EB" w:rsidRDefault="000F16EB" w:rsidP="00A7521D">
            <w:pPr>
              <w:jc w:val="center"/>
            </w:pPr>
            <w:r>
              <w:t>49</w:t>
            </w:r>
          </w:p>
        </w:tc>
        <w:tc>
          <w:tcPr>
            <w:tcW w:w="593" w:type="dxa"/>
            <w:tcBorders>
              <w:top w:val="nil"/>
            </w:tcBorders>
          </w:tcPr>
          <w:p w14:paraId="3026D63A" w14:textId="77777777" w:rsidR="000F16EB" w:rsidRDefault="000F16EB" w:rsidP="00A7521D">
            <w:pPr>
              <w:jc w:val="center"/>
            </w:pPr>
            <w:r>
              <w:t>34</w:t>
            </w:r>
          </w:p>
        </w:tc>
        <w:tc>
          <w:tcPr>
            <w:tcW w:w="593" w:type="dxa"/>
            <w:tcBorders>
              <w:top w:val="nil"/>
            </w:tcBorders>
          </w:tcPr>
          <w:p w14:paraId="5CF52EC2" w14:textId="77777777" w:rsidR="000F16EB" w:rsidRDefault="000F16EB" w:rsidP="00A7521D">
            <w:pPr>
              <w:jc w:val="center"/>
            </w:pPr>
            <w:r>
              <w:t>22</w:t>
            </w:r>
          </w:p>
        </w:tc>
        <w:tc>
          <w:tcPr>
            <w:tcW w:w="593" w:type="dxa"/>
            <w:tcBorders>
              <w:top w:val="nil"/>
            </w:tcBorders>
          </w:tcPr>
          <w:p w14:paraId="450FB173" w14:textId="77777777" w:rsidR="000F16EB" w:rsidRDefault="000F16EB" w:rsidP="00A7521D">
            <w:pPr>
              <w:jc w:val="center"/>
            </w:pPr>
            <w:r>
              <w:t>14</w:t>
            </w:r>
          </w:p>
        </w:tc>
        <w:tc>
          <w:tcPr>
            <w:tcW w:w="593" w:type="dxa"/>
            <w:tcBorders>
              <w:top w:val="nil"/>
            </w:tcBorders>
          </w:tcPr>
          <w:p w14:paraId="061774FA" w14:textId="77777777" w:rsidR="000F16EB" w:rsidRDefault="000F16EB" w:rsidP="00A7521D">
            <w:pPr>
              <w:jc w:val="center"/>
            </w:pPr>
            <w:r>
              <w:t>8</w:t>
            </w:r>
          </w:p>
        </w:tc>
        <w:tc>
          <w:tcPr>
            <w:tcW w:w="536" w:type="dxa"/>
            <w:tcBorders>
              <w:top w:val="nil"/>
            </w:tcBorders>
          </w:tcPr>
          <w:p w14:paraId="4CEF5963" w14:textId="77777777" w:rsidR="000F16EB" w:rsidRDefault="000F16EB" w:rsidP="00A7521D">
            <w:pPr>
              <w:jc w:val="center"/>
            </w:pPr>
            <w:r>
              <w:t>3</w:t>
            </w:r>
          </w:p>
        </w:tc>
        <w:tc>
          <w:tcPr>
            <w:tcW w:w="352" w:type="dxa"/>
            <w:tcBorders>
              <w:top w:val="nil"/>
            </w:tcBorders>
          </w:tcPr>
          <w:p w14:paraId="1544F825" w14:textId="77777777" w:rsidR="000F16EB" w:rsidRDefault="000F16EB" w:rsidP="00A7521D">
            <w:pPr>
              <w:jc w:val="center"/>
            </w:pPr>
            <w:r>
              <w:t>0</w:t>
            </w:r>
          </w:p>
        </w:tc>
        <w:tc>
          <w:tcPr>
            <w:tcW w:w="451" w:type="dxa"/>
            <w:tcBorders>
              <w:top w:val="nil"/>
            </w:tcBorders>
          </w:tcPr>
          <w:p w14:paraId="11F05A5E" w14:textId="77777777" w:rsidR="000F16EB" w:rsidRDefault="000F16EB" w:rsidP="00A7521D">
            <w:pPr>
              <w:jc w:val="center"/>
            </w:pPr>
            <w:r>
              <w:t>3</w:t>
            </w:r>
          </w:p>
        </w:tc>
        <w:tc>
          <w:tcPr>
            <w:tcW w:w="464" w:type="dxa"/>
            <w:tcBorders>
              <w:top w:val="nil"/>
            </w:tcBorders>
          </w:tcPr>
          <w:p w14:paraId="4CC78118" w14:textId="77777777" w:rsidR="000F16EB" w:rsidRDefault="000F16EB" w:rsidP="00A7521D">
            <w:pPr>
              <w:jc w:val="center"/>
            </w:pPr>
            <w:r>
              <w:t>8</w:t>
            </w:r>
          </w:p>
        </w:tc>
        <w:tc>
          <w:tcPr>
            <w:tcW w:w="453" w:type="dxa"/>
            <w:tcBorders>
              <w:top w:val="nil"/>
            </w:tcBorders>
          </w:tcPr>
          <w:p w14:paraId="1CB0515C" w14:textId="77777777" w:rsidR="000F16EB" w:rsidRDefault="000F16EB" w:rsidP="00A7521D">
            <w:pPr>
              <w:jc w:val="center"/>
            </w:pPr>
            <w:r>
              <w:t>14</w:t>
            </w:r>
          </w:p>
        </w:tc>
        <w:tc>
          <w:tcPr>
            <w:tcW w:w="453" w:type="dxa"/>
            <w:tcBorders>
              <w:top w:val="nil"/>
            </w:tcBorders>
          </w:tcPr>
          <w:p w14:paraId="332DEF85" w14:textId="77777777" w:rsidR="000F16EB" w:rsidRDefault="000F16EB" w:rsidP="00A7521D">
            <w:pPr>
              <w:jc w:val="center"/>
            </w:pPr>
            <w:r>
              <w:t>22</w:t>
            </w:r>
          </w:p>
        </w:tc>
        <w:tc>
          <w:tcPr>
            <w:tcW w:w="569" w:type="dxa"/>
            <w:tcBorders>
              <w:top w:val="nil"/>
            </w:tcBorders>
          </w:tcPr>
          <w:p w14:paraId="044A8488" w14:textId="77777777" w:rsidR="000F16EB" w:rsidRDefault="000F16EB" w:rsidP="00A7521D">
            <w:pPr>
              <w:jc w:val="center"/>
            </w:pPr>
            <w:r>
              <w:t>34</w:t>
            </w:r>
          </w:p>
        </w:tc>
        <w:tc>
          <w:tcPr>
            <w:tcW w:w="653" w:type="dxa"/>
            <w:tcBorders>
              <w:top w:val="nil"/>
            </w:tcBorders>
          </w:tcPr>
          <w:p w14:paraId="39CB0643" w14:textId="77777777" w:rsidR="000F16EB" w:rsidRDefault="000F16EB" w:rsidP="00A7521D">
            <w:pPr>
              <w:jc w:val="center"/>
            </w:pPr>
            <w:r>
              <w:t>48</w:t>
            </w:r>
          </w:p>
        </w:tc>
      </w:tr>
      <w:tr w:rsidR="000F16EB" w14:paraId="2322641C" w14:textId="77777777" w:rsidTr="00A7521D">
        <w:trPr>
          <w:jc w:val="center"/>
        </w:trPr>
        <w:tc>
          <w:tcPr>
            <w:tcW w:w="1420" w:type="dxa"/>
            <w:tcBorders>
              <w:bottom w:val="single" w:sz="4" w:space="0" w:color="auto"/>
            </w:tcBorders>
          </w:tcPr>
          <w:p w14:paraId="12CAE626" w14:textId="77777777" w:rsidR="000F16EB" w:rsidRDefault="000F16EB" w:rsidP="00A7521D">
            <w:pPr>
              <w:jc w:val="center"/>
            </w:pPr>
            <w:r>
              <w:t>(3) Network route</w:t>
            </w:r>
          </w:p>
        </w:tc>
        <w:tc>
          <w:tcPr>
            <w:tcW w:w="593" w:type="dxa"/>
            <w:tcBorders>
              <w:bottom w:val="single" w:sz="4" w:space="0" w:color="auto"/>
            </w:tcBorders>
          </w:tcPr>
          <w:p w14:paraId="0CEC00EC" w14:textId="77777777" w:rsidR="000F16EB" w:rsidRDefault="000F16EB" w:rsidP="00A7521D">
            <w:pPr>
              <w:jc w:val="center"/>
            </w:pPr>
            <w:r>
              <w:t>5</w:t>
            </w:r>
          </w:p>
        </w:tc>
        <w:tc>
          <w:tcPr>
            <w:tcW w:w="593" w:type="dxa"/>
            <w:tcBorders>
              <w:bottom w:val="single" w:sz="4" w:space="0" w:color="auto"/>
            </w:tcBorders>
          </w:tcPr>
          <w:p w14:paraId="54EC0B4A" w14:textId="77777777" w:rsidR="000F16EB" w:rsidRDefault="000F16EB" w:rsidP="00A7521D">
            <w:pPr>
              <w:jc w:val="center"/>
            </w:pPr>
            <w:r>
              <w:t>5</w:t>
            </w:r>
          </w:p>
        </w:tc>
        <w:tc>
          <w:tcPr>
            <w:tcW w:w="593" w:type="dxa"/>
            <w:tcBorders>
              <w:bottom w:val="single" w:sz="4" w:space="0" w:color="auto"/>
            </w:tcBorders>
          </w:tcPr>
          <w:p w14:paraId="7E7A0081" w14:textId="77777777" w:rsidR="000F16EB" w:rsidRDefault="000F16EB" w:rsidP="00A7521D">
            <w:pPr>
              <w:jc w:val="center"/>
            </w:pPr>
            <w:r>
              <w:t>4</w:t>
            </w:r>
          </w:p>
        </w:tc>
        <w:tc>
          <w:tcPr>
            <w:tcW w:w="593" w:type="dxa"/>
            <w:tcBorders>
              <w:bottom w:val="single" w:sz="4" w:space="0" w:color="auto"/>
            </w:tcBorders>
          </w:tcPr>
          <w:p w14:paraId="297240E9" w14:textId="77777777" w:rsidR="000F16EB" w:rsidRDefault="000F16EB" w:rsidP="00A7521D">
            <w:pPr>
              <w:jc w:val="center"/>
            </w:pPr>
            <w:r>
              <w:t>3</w:t>
            </w:r>
          </w:p>
        </w:tc>
        <w:tc>
          <w:tcPr>
            <w:tcW w:w="593" w:type="dxa"/>
            <w:tcBorders>
              <w:bottom w:val="single" w:sz="4" w:space="0" w:color="auto"/>
            </w:tcBorders>
          </w:tcPr>
          <w:p w14:paraId="1F3101CA" w14:textId="77777777" w:rsidR="000F16EB" w:rsidRDefault="000F16EB" w:rsidP="00A7521D">
            <w:pPr>
              <w:jc w:val="center"/>
            </w:pPr>
            <w:r>
              <w:t>2</w:t>
            </w:r>
          </w:p>
        </w:tc>
        <w:tc>
          <w:tcPr>
            <w:tcW w:w="536" w:type="dxa"/>
            <w:tcBorders>
              <w:bottom w:val="single" w:sz="4" w:space="0" w:color="auto"/>
            </w:tcBorders>
          </w:tcPr>
          <w:p w14:paraId="361E5F60" w14:textId="77777777" w:rsidR="000F16EB" w:rsidRDefault="000F16EB" w:rsidP="00A7521D">
            <w:pPr>
              <w:jc w:val="center"/>
            </w:pPr>
            <w:r>
              <w:t>1</w:t>
            </w:r>
          </w:p>
        </w:tc>
        <w:tc>
          <w:tcPr>
            <w:tcW w:w="352" w:type="dxa"/>
            <w:tcBorders>
              <w:bottom w:val="single" w:sz="4" w:space="0" w:color="auto"/>
            </w:tcBorders>
          </w:tcPr>
          <w:p w14:paraId="463DBA2B" w14:textId="77777777" w:rsidR="000F16EB" w:rsidRDefault="000F16EB" w:rsidP="00A7521D">
            <w:pPr>
              <w:jc w:val="center"/>
            </w:pPr>
            <w:r>
              <w:t>0</w:t>
            </w:r>
          </w:p>
        </w:tc>
        <w:tc>
          <w:tcPr>
            <w:tcW w:w="451" w:type="dxa"/>
            <w:tcBorders>
              <w:bottom w:val="single" w:sz="4" w:space="0" w:color="auto"/>
            </w:tcBorders>
          </w:tcPr>
          <w:p w14:paraId="491BEAB9" w14:textId="77777777" w:rsidR="000F16EB" w:rsidRDefault="000F16EB" w:rsidP="00A7521D">
            <w:pPr>
              <w:jc w:val="center"/>
            </w:pPr>
            <w:r>
              <w:t>1</w:t>
            </w:r>
          </w:p>
        </w:tc>
        <w:tc>
          <w:tcPr>
            <w:tcW w:w="464" w:type="dxa"/>
            <w:tcBorders>
              <w:bottom w:val="single" w:sz="4" w:space="0" w:color="auto"/>
            </w:tcBorders>
          </w:tcPr>
          <w:p w14:paraId="4F0892A6" w14:textId="77777777" w:rsidR="000F16EB" w:rsidRDefault="000F16EB" w:rsidP="00A7521D">
            <w:pPr>
              <w:jc w:val="center"/>
            </w:pPr>
            <w:r>
              <w:t>3</w:t>
            </w:r>
          </w:p>
        </w:tc>
        <w:tc>
          <w:tcPr>
            <w:tcW w:w="453" w:type="dxa"/>
            <w:tcBorders>
              <w:bottom w:val="single" w:sz="4" w:space="0" w:color="auto"/>
            </w:tcBorders>
          </w:tcPr>
          <w:p w14:paraId="16EEC32C" w14:textId="77777777" w:rsidR="000F16EB" w:rsidRDefault="000F16EB" w:rsidP="00A7521D">
            <w:pPr>
              <w:jc w:val="center"/>
            </w:pPr>
            <w:r>
              <w:t>6</w:t>
            </w:r>
          </w:p>
        </w:tc>
        <w:tc>
          <w:tcPr>
            <w:tcW w:w="453" w:type="dxa"/>
            <w:tcBorders>
              <w:bottom w:val="single" w:sz="4" w:space="0" w:color="auto"/>
            </w:tcBorders>
          </w:tcPr>
          <w:p w14:paraId="60C232CB" w14:textId="77777777" w:rsidR="000F16EB" w:rsidRDefault="000F16EB" w:rsidP="00A7521D">
            <w:pPr>
              <w:jc w:val="center"/>
            </w:pPr>
            <w:r>
              <w:t>12</w:t>
            </w:r>
          </w:p>
        </w:tc>
        <w:tc>
          <w:tcPr>
            <w:tcW w:w="569" w:type="dxa"/>
            <w:tcBorders>
              <w:bottom w:val="single" w:sz="4" w:space="0" w:color="auto"/>
            </w:tcBorders>
          </w:tcPr>
          <w:p w14:paraId="15237E59" w14:textId="77777777" w:rsidR="000F16EB" w:rsidRDefault="000F16EB" w:rsidP="00A7521D">
            <w:pPr>
              <w:jc w:val="center"/>
            </w:pPr>
            <w:r>
              <w:t>24</w:t>
            </w:r>
          </w:p>
        </w:tc>
        <w:tc>
          <w:tcPr>
            <w:tcW w:w="653" w:type="dxa"/>
            <w:tcBorders>
              <w:bottom w:val="single" w:sz="4" w:space="0" w:color="auto"/>
            </w:tcBorders>
          </w:tcPr>
          <w:p w14:paraId="0DB2E5B1" w14:textId="77777777" w:rsidR="000F16EB" w:rsidRDefault="000F16EB" w:rsidP="00A7521D">
            <w:pPr>
              <w:jc w:val="center"/>
            </w:pPr>
            <w:r>
              <w:t>48</w:t>
            </w:r>
          </w:p>
        </w:tc>
      </w:tr>
    </w:tbl>
    <w:p w14:paraId="79675179" w14:textId="77777777" w:rsidR="000F16EB" w:rsidRPr="001E61AF" w:rsidRDefault="000F16EB" w:rsidP="003650C8">
      <w:pPr>
        <w:pStyle w:val="NoSpacing"/>
      </w:pPr>
    </w:p>
    <w:p w14:paraId="0BAD7DDB" w14:textId="21A22F35" w:rsidR="000F16EB" w:rsidRDefault="000F16EB" w:rsidP="000F16EB">
      <w:r>
        <w:fldChar w:fldCharType="begin"/>
      </w:r>
      <w:r>
        <w:instrText xml:space="preserve"> REF _Ref523395297 \h </w:instrText>
      </w:r>
      <w:r>
        <w:fldChar w:fldCharType="separate"/>
      </w:r>
      <w:r w:rsidR="00CB7456">
        <w:t xml:space="preserve">Figure </w:t>
      </w:r>
      <w:r w:rsidR="00CB7456">
        <w:rPr>
          <w:noProof/>
        </w:rPr>
        <w:t>6</w:t>
      </w:r>
      <w:r w:rsidR="00CB7456">
        <w:t>.</w:t>
      </w:r>
      <w:r w:rsidR="00CB7456">
        <w:rPr>
          <w:noProof/>
        </w:rPr>
        <w:t>6</w:t>
      </w:r>
      <w:r>
        <w:fldChar w:fldCharType="end"/>
      </w:r>
      <w:r>
        <w:t xml:space="preserve"> and </w:t>
      </w:r>
      <w:r>
        <w:fldChar w:fldCharType="begin"/>
      </w:r>
      <w:r>
        <w:instrText xml:space="preserve"> REF _Ref526087704 \h </w:instrText>
      </w:r>
      <w:r>
        <w:fldChar w:fldCharType="separate"/>
      </w:r>
      <w:r w:rsidR="00CB7456">
        <w:t xml:space="preserve">Table </w:t>
      </w:r>
      <w:r w:rsidR="00CB7456">
        <w:rPr>
          <w:noProof/>
        </w:rPr>
        <w:t>6</w:t>
      </w:r>
      <w:r w:rsidR="00CB7456">
        <w:t>.</w:t>
      </w:r>
      <w:r w:rsidR="00CB7456">
        <w:rPr>
          <w:noProof/>
        </w:rPr>
        <w:t>4</w:t>
      </w:r>
      <w:r>
        <w:fldChar w:fldCharType="end"/>
      </w:r>
      <w:r>
        <w:t xml:space="preserve"> measure the variation from the mean in the MC simulations, quantifying the effect that variation in the input uncertainty has on the output uncertainty. The information used in </w:t>
      </w:r>
      <w:r>
        <w:fldChar w:fldCharType="begin"/>
      </w:r>
      <w:r>
        <w:instrText xml:space="preserve"> REF _Ref523395297 \h </w:instrText>
      </w:r>
      <w:r>
        <w:fldChar w:fldCharType="separate"/>
      </w:r>
      <w:r w:rsidR="00CB7456">
        <w:t xml:space="preserve">Figure </w:t>
      </w:r>
      <w:r w:rsidR="00CB7456">
        <w:rPr>
          <w:noProof/>
        </w:rPr>
        <w:t>6</w:t>
      </w:r>
      <w:r w:rsidR="00CB7456">
        <w:t>.</w:t>
      </w:r>
      <w:r w:rsidR="00CB7456">
        <w:rPr>
          <w:noProof/>
        </w:rPr>
        <w:t>6</w:t>
      </w:r>
      <w:r>
        <w:fldChar w:fldCharType="end"/>
      </w:r>
      <w:r>
        <w:t xml:space="preserve"> and </w:t>
      </w:r>
      <w:r>
        <w:fldChar w:fldCharType="begin"/>
      </w:r>
      <w:r>
        <w:instrText xml:space="preserve"> REF _Ref526087704 \h </w:instrText>
      </w:r>
      <w:r>
        <w:fldChar w:fldCharType="separate"/>
      </w:r>
      <w:r w:rsidR="00CB7456">
        <w:t xml:space="preserve">Table </w:t>
      </w:r>
      <w:r w:rsidR="00CB7456">
        <w:rPr>
          <w:noProof/>
        </w:rPr>
        <w:t>6</w:t>
      </w:r>
      <w:r w:rsidR="00CB7456">
        <w:t>.</w:t>
      </w:r>
      <w:r w:rsidR="00CB7456">
        <w:rPr>
          <w:noProof/>
        </w:rPr>
        <w:t>4</w:t>
      </w:r>
      <w:r>
        <w:fldChar w:fldCharType="end"/>
      </w:r>
      <w:r>
        <w:t xml:space="preserve"> was taken from the afternoon peak at four pm, using the HD experienced at that moment.</w:t>
      </w:r>
      <w:r w:rsidRPr="00504A3B">
        <w:t xml:space="preserve"> </w:t>
      </w:r>
      <w:r>
        <w:fldChar w:fldCharType="begin"/>
      </w:r>
      <w:r>
        <w:instrText xml:space="preserve"> REF _Ref523395297 \h </w:instrText>
      </w:r>
      <w:r>
        <w:fldChar w:fldCharType="separate"/>
      </w:r>
      <w:r w:rsidR="00CB7456">
        <w:t xml:space="preserve">Figure </w:t>
      </w:r>
      <w:r w:rsidR="00CB7456">
        <w:rPr>
          <w:noProof/>
        </w:rPr>
        <w:t>6</w:t>
      </w:r>
      <w:r w:rsidR="00CB7456">
        <w:t>.</w:t>
      </w:r>
      <w:r w:rsidR="00CB7456">
        <w:rPr>
          <w:noProof/>
        </w:rPr>
        <w:t>6</w:t>
      </w:r>
      <w:r>
        <w:fldChar w:fldCharType="end"/>
      </w:r>
      <w:r>
        <w:t xml:space="preserve"> and </w:t>
      </w:r>
      <w:r>
        <w:fldChar w:fldCharType="begin"/>
      </w:r>
      <w:r>
        <w:instrText xml:space="preserve"> REF _Ref526087704 \h </w:instrText>
      </w:r>
      <w:r>
        <w:fldChar w:fldCharType="separate"/>
      </w:r>
      <w:r w:rsidR="00CB7456">
        <w:t xml:space="preserve">Table </w:t>
      </w:r>
      <w:r w:rsidR="00CB7456">
        <w:rPr>
          <w:noProof/>
        </w:rPr>
        <w:t>6</w:t>
      </w:r>
      <w:r w:rsidR="00CB7456">
        <w:t>.</w:t>
      </w:r>
      <w:r w:rsidR="00CB7456">
        <w:rPr>
          <w:noProof/>
        </w:rPr>
        <w:t>4</w:t>
      </w:r>
      <w:r>
        <w:fldChar w:fldCharType="end"/>
      </w:r>
      <w:r>
        <w:t xml:space="preserve"> show that the output variation from assumption (1), standard building sizes, was highly sensitive to the input variation. </w:t>
      </w:r>
      <w:r>
        <w:rPr>
          <w:color w:val="000000" w:themeColor="text1"/>
        </w:rPr>
        <w:t xml:space="preserve">A 90% variation in the input uncertainty caused 247% variation in the output uncertainty. The 247% variation is significantly higher than the 24% variation reported by Parsons Brinckerhoff; therefore the assumption of standard building sizes caused a large spread in the results and uncertainty, consequently the assumption was nor accurate enough </w:t>
      </w:r>
      <w:r>
        <w:rPr>
          <w:color w:val="000000" w:themeColor="text1"/>
        </w:rPr>
        <w:lastRenderedPageBreak/>
        <w:t>to use in further work</w:t>
      </w:r>
      <w:r w:rsidR="006B360F">
        <w:rPr>
          <w:color w:val="000000" w:themeColor="text1"/>
        </w:rPr>
        <w:t xml:space="preserve"> </w:t>
      </w:r>
      <w:r w:rsidR="006B360F">
        <w:rPr>
          <w:color w:val="000000" w:themeColor="text1"/>
        </w:rPr>
        <w:fldChar w:fldCharType="begin" w:fldLock="1"/>
      </w:r>
      <w:r w:rsidR="006B360F">
        <w:rPr>
          <w:color w:val="000000" w:themeColor="text1"/>
        </w:rPr>
        <w:instrText>ADDIN CSL_CITATION {"citationItems":[{"id":"ITEM-1","itemData":{"author":[{"dropping-particle":"","family":"Parsons Brinckerhoff","given":"","non-dropping-particle":"","parse-names":false,"suffix":""}],"id":"ITEM-1","issue":"May","issued":{"date-parts":[["2011"]]},"publisher-place":"London, England","title":"A District Heating Utility for the Tees Valley: Study into the strategic use of waste heat and supply of private sector customers","type":"report"},"uris":["http://www.mendeley.com/documents/?uuid=5e08822c-bb7b-4846-8fd8-71bc94ccfc29"]}],"mendeley":{"formattedCitation":"(Parsons Brinckerhoff, 2011)","plainTextFormattedCitation":"(Parsons Brinckerhoff, 2011)","previouslyFormattedCitation":"(Parsons Brinckerhoff, 2011)"},"properties":{"noteIndex":0},"schema":"https://github.com/citation-style-language/schema/raw/master/csl-citation.json"}</w:instrText>
      </w:r>
      <w:r w:rsidR="006B360F">
        <w:rPr>
          <w:color w:val="000000" w:themeColor="text1"/>
        </w:rPr>
        <w:fldChar w:fldCharType="separate"/>
      </w:r>
      <w:r w:rsidR="006B360F" w:rsidRPr="002A6A73">
        <w:rPr>
          <w:noProof/>
          <w:color w:val="000000" w:themeColor="text1"/>
        </w:rPr>
        <w:t>(Parsons Brinckerhoff, 2011)</w:t>
      </w:r>
      <w:r w:rsidR="006B360F">
        <w:rPr>
          <w:color w:val="000000" w:themeColor="text1"/>
        </w:rPr>
        <w:fldChar w:fldCharType="end"/>
      </w:r>
      <w:r>
        <w:rPr>
          <w:color w:val="000000" w:themeColor="text1"/>
        </w:rPr>
        <w:t xml:space="preserve">. </w:t>
      </w:r>
      <w:r>
        <w:fldChar w:fldCharType="begin"/>
      </w:r>
      <w:r>
        <w:instrText xml:space="preserve"> REF _Ref523395297 \h </w:instrText>
      </w:r>
      <w:r>
        <w:fldChar w:fldCharType="separate"/>
      </w:r>
      <w:r w:rsidR="00CB7456">
        <w:t xml:space="preserve">Figure </w:t>
      </w:r>
      <w:r w:rsidR="00CB7456">
        <w:rPr>
          <w:noProof/>
        </w:rPr>
        <w:t>6</w:t>
      </w:r>
      <w:r w:rsidR="00CB7456">
        <w:t>.</w:t>
      </w:r>
      <w:r w:rsidR="00CB7456">
        <w:rPr>
          <w:noProof/>
        </w:rPr>
        <w:t>6</w:t>
      </w:r>
      <w:r>
        <w:fldChar w:fldCharType="end"/>
      </w:r>
      <w:r>
        <w:t xml:space="preserve"> and </w:t>
      </w:r>
      <w:r>
        <w:fldChar w:fldCharType="begin"/>
      </w:r>
      <w:r>
        <w:instrText xml:space="preserve"> REF _Ref526087704 \h </w:instrText>
      </w:r>
      <w:r>
        <w:fldChar w:fldCharType="separate"/>
      </w:r>
      <w:r w:rsidR="00CB7456">
        <w:t xml:space="preserve">Table </w:t>
      </w:r>
      <w:r w:rsidR="00CB7456">
        <w:rPr>
          <w:noProof/>
        </w:rPr>
        <w:t>6</w:t>
      </w:r>
      <w:r w:rsidR="00CB7456">
        <w:t>.</w:t>
      </w:r>
      <w:r w:rsidR="00CB7456">
        <w:rPr>
          <w:noProof/>
        </w:rPr>
        <w:t>4</w:t>
      </w:r>
      <w:r>
        <w:fldChar w:fldCharType="end"/>
      </w:r>
      <w:r>
        <w:t xml:space="preserve"> do not clearly shown how sensitive the output variation from assumption (2), standard HD profiles, was to the input variation. More work was needed to quantify the sensitivity of the output of assumption (2) to the input. </w:t>
      </w:r>
    </w:p>
    <w:p w14:paraId="19C1E771" w14:textId="2729DF4C" w:rsidR="000F16EB" w:rsidRDefault="000F16EB" w:rsidP="000F16EB">
      <w:r>
        <w:fldChar w:fldCharType="begin"/>
      </w:r>
      <w:r>
        <w:instrText xml:space="preserve"> REF _Ref523395297 \h </w:instrText>
      </w:r>
      <w:r>
        <w:fldChar w:fldCharType="separate"/>
      </w:r>
      <w:r w:rsidR="00CB7456">
        <w:t xml:space="preserve">Figure </w:t>
      </w:r>
      <w:r w:rsidR="00CB7456">
        <w:rPr>
          <w:noProof/>
        </w:rPr>
        <w:t>6</w:t>
      </w:r>
      <w:r w:rsidR="00CB7456">
        <w:t>.</w:t>
      </w:r>
      <w:r w:rsidR="00CB7456">
        <w:rPr>
          <w:noProof/>
        </w:rPr>
        <w:t>6</w:t>
      </w:r>
      <w:r>
        <w:fldChar w:fldCharType="end"/>
      </w:r>
      <w:r>
        <w:t xml:space="preserve"> and </w:t>
      </w:r>
      <w:r>
        <w:fldChar w:fldCharType="begin"/>
      </w:r>
      <w:r>
        <w:instrText xml:space="preserve"> REF _Ref526087704 \h </w:instrText>
      </w:r>
      <w:r>
        <w:fldChar w:fldCharType="separate"/>
      </w:r>
      <w:r w:rsidR="00CB7456">
        <w:t xml:space="preserve">Table </w:t>
      </w:r>
      <w:r w:rsidR="00CB7456">
        <w:rPr>
          <w:noProof/>
        </w:rPr>
        <w:t>6</w:t>
      </w:r>
      <w:r w:rsidR="00CB7456">
        <w:t>.</w:t>
      </w:r>
      <w:r w:rsidR="00CB7456">
        <w:rPr>
          <w:noProof/>
        </w:rPr>
        <w:t>4</w:t>
      </w:r>
      <w:r>
        <w:fldChar w:fldCharType="end"/>
      </w:r>
      <w:r>
        <w:t xml:space="preserve"> show that the output variation from assumption (3), straight-line network route, was highly insensitive to the input variation. </w:t>
      </w:r>
      <w:r>
        <w:rPr>
          <w:color w:val="000000" w:themeColor="text1"/>
        </w:rPr>
        <w:t>A 90% variation in the input uncertainty caused 29% variation in the output uncertainty, and a 98% variation in the input uncertainty caused 53% variation in the output uncertainty. The 29% variation is comparable to the 24% variation reported by Parsons Brinckerhoff; therefore the assumption of a straight</w:t>
      </w:r>
      <w:r>
        <w:rPr>
          <w:color w:val="000000" w:themeColor="text1"/>
        </w:rPr>
        <w:noBreakHyphen/>
        <w:t>line network route caused a minimal spread in the results and uncertainty</w:t>
      </w:r>
      <w:r w:rsidR="006B360F">
        <w:rPr>
          <w:color w:val="000000" w:themeColor="text1"/>
        </w:rPr>
        <w:t xml:space="preserve"> </w:t>
      </w:r>
      <w:r w:rsidR="006B360F">
        <w:rPr>
          <w:color w:val="000000" w:themeColor="text1"/>
        </w:rPr>
        <w:fldChar w:fldCharType="begin" w:fldLock="1"/>
      </w:r>
      <w:r w:rsidR="006B360F">
        <w:rPr>
          <w:color w:val="000000" w:themeColor="text1"/>
        </w:rPr>
        <w:instrText>ADDIN CSL_CITATION {"citationItems":[{"id":"ITEM-1","itemData":{"author":[{"dropping-particle":"","family":"Parsons Brinckerhoff","given":"","non-dropping-particle":"","parse-names":false,"suffix":""}],"id":"ITEM-1","issue":"May","issued":{"date-parts":[["2011"]]},"publisher-place":"London, England","title":"A District Heating Utility for the Tees Valley: Study into the strategic use of waste heat and supply of private sector customers","type":"report"},"uris":["http://www.mendeley.com/documents/?uuid=5e08822c-bb7b-4846-8fd8-71bc94ccfc29"]}],"mendeley":{"formattedCitation":"(Parsons Brinckerhoff, 2011)","plainTextFormattedCitation":"(Parsons Brinckerhoff, 2011)","previouslyFormattedCitation":"(Parsons Brinckerhoff, 2011)"},"properties":{"noteIndex":0},"schema":"https://github.com/citation-style-language/schema/raw/master/csl-citation.json"}</w:instrText>
      </w:r>
      <w:r w:rsidR="006B360F">
        <w:rPr>
          <w:color w:val="000000" w:themeColor="text1"/>
        </w:rPr>
        <w:fldChar w:fldCharType="separate"/>
      </w:r>
      <w:r w:rsidR="006B360F" w:rsidRPr="002A6A73">
        <w:rPr>
          <w:noProof/>
          <w:color w:val="000000" w:themeColor="text1"/>
        </w:rPr>
        <w:t>(Parsons Brinckerhoff, 2011)</w:t>
      </w:r>
      <w:r w:rsidR="006B360F">
        <w:rPr>
          <w:color w:val="000000" w:themeColor="text1"/>
        </w:rPr>
        <w:fldChar w:fldCharType="end"/>
      </w:r>
      <w:r>
        <w:rPr>
          <w:color w:val="000000" w:themeColor="text1"/>
        </w:rPr>
        <w:t xml:space="preserve">. </w:t>
      </w:r>
      <w:r w:rsidR="00537667">
        <w:rPr>
          <w:color w:val="000000" w:themeColor="text1"/>
        </w:rPr>
        <w:t>Consequently,</w:t>
      </w:r>
      <w:r>
        <w:rPr>
          <w:color w:val="000000" w:themeColor="text1"/>
        </w:rPr>
        <w:t xml:space="preserve"> the assumption was accurate enough to use in further work.</w:t>
      </w:r>
    </w:p>
    <w:p w14:paraId="3ED8AC53" w14:textId="379A3274" w:rsidR="000F16EB" w:rsidRDefault="000F16EB" w:rsidP="000F16EB">
      <w:r>
        <w:t xml:space="preserve">The further assessment of the sensitivity of the output of assumption (2), standard HD profiles, to the input variation is shown in </w:t>
      </w:r>
      <w:r>
        <w:fldChar w:fldCharType="begin"/>
      </w:r>
      <w:r>
        <w:instrText xml:space="preserve"> REF _Ref523396019 \h </w:instrText>
      </w:r>
      <w:r>
        <w:fldChar w:fldCharType="separate"/>
      </w:r>
      <w:r w:rsidR="00CB7456">
        <w:t xml:space="preserve">Figure </w:t>
      </w:r>
      <w:r w:rsidR="00CB7456">
        <w:rPr>
          <w:noProof/>
        </w:rPr>
        <w:t>6</w:t>
      </w:r>
      <w:r w:rsidR="00CB7456">
        <w:t>.</w:t>
      </w:r>
      <w:r w:rsidR="00CB7456">
        <w:rPr>
          <w:noProof/>
        </w:rPr>
        <w:t>7</w:t>
      </w:r>
      <w:r>
        <w:fldChar w:fldCharType="end"/>
      </w:r>
      <w:r>
        <w:t xml:space="preserve">. </w:t>
      </w:r>
    </w:p>
    <w:p w14:paraId="1957B091" w14:textId="77777777" w:rsidR="000F16EB" w:rsidRDefault="000F16EB" w:rsidP="000F16EB">
      <w:pPr>
        <w:keepNext/>
        <w:jc w:val="center"/>
      </w:pPr>
      <w:r>
        <w:rPr>
          <w:noProof/>
        </w:rPr>
        <w:drawing>
          <wp:inline distT="0" distB="0" distL="0" distR="0" wp14:anchorId="0F7E6994" wp14:editId="7FA502A4">
            <wp:extent cx="3168000" cy="2474381"/>
            <wp:effectExtent l="19050" t="19050" r="13970" b="2159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alculated v input distribution.jpg"/>
                    <pic:cNvPicPr/>
                  </pic:nvPicPr>
                  <pic:blipFill rotWithShape="1">
                    <a:blip r:embed="rId49" cstate="print">
                      <a:extLst>
                        <a:ext uri="{28A0092B-C50C-407E-A947-70E740481C1C}">
                          <a14:useLocalDpi xmlns:a14="http://schemas.microsoft.com/office/drawing/2010/main" val="0"/>
                        </a:ext>
                      </a:extLst>
                    </a:blip>
                    <a:srcRect l="4365" t="8335" r="9654" b="3907"/>
                    <a:stretch/>
                  </pic:blipFill>
                  <pic:spPr bwMode="auto">
                    <a:xfrm>
                      <a:off x="0" y="0"/>
                      <a:ext cx="3168000" cy="2474381"/>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41D57EE" w14:textId="2542F6A8" w:rsidR="000F16EB" w:rsidRDefault="000F16EB" w:rsidP="000F16EB">
      <w:pPr>
        <w:pStyle w:val="Caption"/>
      </w:pPr>
      <w:bookmarkStart w:id="738" w:name="_Ref523396019"/>
      <w:bookmarkStart w:id="739" w:name="_Toc525230102"/>
      <w:bookmarkStart w:id="740" w:name="_Toc7187650"/>
      <w:r>
        <w:t xml:space="preserve">Figure </w:t>
      </w:r>
      <w:fldSimple w:instr=" STYLEREF 1 \s ">
        <w:r w:rsidR="00CB7456">
          <w:rPr>
            <w:noProof/>
          </w:rPr>
          <w:t>6</w:t>
        </w:r>
      </w:fldSimple>
      <w:r w:rsidR="007B29C3">
        <w:t>.</w:t>
      </w:r>
      <w:fldSimple w:instr=" SEQ Figure \* ARABIC \s 1 ">
        <w:r w:rsidR="00CB7456">
          <w:rPr>
            <w:noProof/>
          </w:rPr>
          <w:t>7</w:t>
        </w:r>
      </w:fldSimple>
      <w:bookmarkEnd w:id="738"/>
      <w:r>
        <w:t>: The distribution of the HDs found by the MC simulations of the assumption (2), standard HD profiles, compared against the distribution of HD variations found in the literature, which were used as inputs into the MC simulations.</w:t>
      </w:r>
      <w:bookmarkEnd w:id="739"/>
      <w:bookmarkEnd w:id="740"/>
    </w:p>
    <w:p w14:paraId="04C33A94" w14:textId="017D09EC" w:rsidR="000F16EB" w:rsidRDefault="000F16EB" w:rsidP="000F16EB">
      <w:r>
        <w:fldChar w:fldCharType="begin"/>
      </w:r>
      <w:r>
        <w:instrText xml:space="preserve"> REF _Ref523396019 \h </w:instrText>
      </w:r>
      <w:r>
        <w:fldChar w:fldCharType="separate"/>
      </w:r>
      <w:r w:rsidR="00CB7456">
        <w:t xml:space="preserve">Figure </w:t>
      </w:r>
      <w:r w:rsidR="00CB7456">
        <w:rPr>
          <w:noProof/>
        </w:rPr>
        <w:t>6</w:t>
      </w:r>
      <w:r w:rsidR="00CB7456">
        <w:t>.</w:t>
      </w:r>
      <w:r w:rsidR="00CB7456">
        <w:rPr>
          <w:noProof/>
        </w:rPr>
        <w:t>7</w:t>
      </w:r>
      <w:r>
        <w:fldChar w:fldCharType="end"/>
      </w:r>
      <w:r>
        <w:t xml:space="preserve"> compares the distribution of the output to the distribution of the HD profiles found in literature, which were used as inputs to the MC simulations. It was shown that the input and output distributions were almost identical. Therefore, the output distribution from the MC work was almost identical to the distribution of building HDs found in the world. The almost identical distributions proved that the assumption of standard HD profiles was </w:t>
      </w:r>
      <w:r>
        <w:rPr>
          <w:color w:val="000000" w:themeColor="text1"/>
        </w:rPr>
        <w:t>accurate enough to use in further work.</w:t>
      </w:r>
    </w:p>
    <w:p w14:paraId="50AAEF92" w14:textId="1B186036" w:rsidR="000F16EB" w:rsidRDefault="000F16EB" w:rsidP="000F16EB">
      <w:r>
        <w:t xml:space="preserve">So far in the MC simulations, each assumption had been investigated individually, one variable at a time. MC simulations need to be run globally with all of the variables and assumptions simulated simultaneously. As the assumption of (1), standard building sizes, was shown to not be accurate enough for use in further work, it was left out of the global MC simulations. Therefore, the assumptions of (2), standard HD profiles, and (3), a straight-line </w:t>
      </w:r>
      <w:r>
        <w:lastRenderedPageBreak/>
        <w:t xml:space="preserve">network route, were simulated simultaneously in the global MC simulation. The results of the global MC simulation are shown in </w:t>
      </w:r>
      <w:r>
        <w:fldChar w:fldCharType="begin"/>
      </w:r>
      <w:r>
        <w:instrText xml:space="preserve"> REF _Ref523396466 \h </w:instrText>
      </w:r>
      <w:r>
        <w:fldChar w:fldCharType="separate"/>
      </w:r>
      <w:r w:rsidR="00CB7456">
        <w:t xml:space="preserve">Figure </w:t>
      </w:r>
      <w:r w:rsidR="00CB7456">
        <w:rPr>
          <w:noProof/>
        </w:rPr>
        <w:t>6</w:t>
      </w:r>
      <w:r w:rsidR="00CB7456">
        <w:t>.</w:t>
      </w:r>
      <w:r w:rsidR="00CB7456">
        <w:rPr>
          <w:noProof/>
        </w:rPr>
        <w:t>8</w:t>
      </w:r>
      <w:r>
        <w:fldChar w:fldCharType="end"/>
      </w:r>
      <w:r>
        <w:t>.</w:t>
      </w:r>
    </w:p>
    <w:p w14:paraId="48B58988" w14:textId="77777777" w:rsidR="000F16EB" w:rsidRDefault="000F16EB" w:rsidP="000F16EB">
      <w:pPr>
        <w:keepNext/>
        <w:jc w:val="center"/>
      </w:pPr>
      <w:r>
        <w:rPr>
          <w:noProof/>
        </w:rPr>
        <w:drawing>
          <wp:inline distT="0" distB="0" distL="0" distR="0" wp14:anchorId="78635066" wp14:editId="15105EF4">
            <wp:extent cx="3168000" cy="5054745"/>
            <wp:effectExtent l="19050" t="19050" r="13970" b="1270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ure 8-8.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168000" cy="5054745"/>
                    </a:xfrm>
                    <a:prstGeom prst="rect">
                      <a:avLst/>
                    </a:prstGeom>
                    <a:ln>
                      <a:solidFill>
                        <a:schemeClr val="tx1"/>
                      </a:solidFill>
                    </a:ln>
                  </pic:spPr>
                </pic:pic>
              </a:graphicData>
            </a:graphic>
          </wp:inline>
        </w:drawing>
      </w:r>
    </w:p>
    <w:p w14:paraId="776A09E8" w14:textId="4194E33B" w:rsidR="000F16EB" w:rsidRDefault="000F16EB" w:rsidP="000F16EB">
      <w:pPr>
        <w:pStyle w:val="Caption"/>
      </w:pPr>
      <w:bookmarkStart w:id="741" w:name="_Ref523396466"/>
      <w:bookmarkStart w:id="742" w:name="_Toc525230103"/>
      <w:bookmarkStart w:id="743" w:name="_Toc7187651"/>
      <w:r>
        <w:t xml:space="preserve">Figure </w:t>
      </w:r>
      <w:fldSimple w:instr=" STYLEREF 1 \s ">
        <w:r w:rsidR="00CB7456">
          <w:rPr>
            <w:noProof/>
          </w:rPr>
          <w:t>6</w:t>
        </w:r>
      </w:fldSimple>
      <w:r w:rsidR="007B29C3">
        <w:t>.</w:t>
      </w:r>
      <w:fldSimple w:instr=" SEQ Figure \* ARABIC \s 1 ">
        <w:r w:rsidR="00CB7456">
          <w:rPr>
            <w:noProof/>
          </w:rPr>
          <w:t>8</w:t>
        </w:r>
      </w:fldSimple>
      <w:bookmarkEnd w:id="741"/>
      <w:r>
        <w:rPr>
          <w:noProof/>
        </w:rPr>
        <w:t>:</w:t>
      </w:r>
      <w:r>
        <w:t xml:space="preserve"> </w:t>
      </w:r>
      <w:r w:rsidRPr="00A22D0B">
        <w:t>(</w:t>
      </w:r>
      <w:r>
        <w:t>a</w:t>
      </w:r>
      <w:r w:rsidRPr="00A22D0B">
        <w:t>)</w:t>
      </w:r>
      <w:r>
        <w:t xml:space="preserve"> Results of the global MC Simulations for the assumptions of (2), the standard HD profiles, and (3), the straight-line network route, after 1,000 simulations. The mean result, the 50</w:t>
      </w:r>
      <w:r w:rsidRPr="00302AA0">
        <w:rPr>
          <w:vertAlign w:val="superscript"/>
        </w:rPr>
        <w:t>th</w:t>
      </w:r>
      <w:r>
        <w:t xml:space="preserve"> percentile, is shown with a black line. The range of percentiles to the extremes of the 5</w:t>
      </w:r>
      <w:r w:rsidRPr="00302AA0">
        <w:rPr>
          <w:vertAlign w:val="superscript"/>
        </w:rPr>
        <w:t>th</w:t>
      </w:r>
      <w:r>
        <w:t xml:space="preserve"> and the 95</w:t>
      </w:r>
      <w:r w:rsidRPr="00302AA0">
        <w:rPr>
          <w:vertAlign w:val="superscript"/>
        </w:rPr>
        <w:t>th</w:t>
      </w:r>
      <w:r>
        <w:t xml:space="preserve"> are denoted by the colour bands. </w:t>
      </w:r>
      <w:r w:rsidRPr="00356CBA">
        <w:t>(</w:t>
      </w:r>
      <w:r>
        <w:t>b</w:t>
      </w:r>
      <w:r w:rsidRPr="00356CBA">
        <w:t>)</w:t>
      </w:r>
      <w:r>
        <w:t xml:space="preserve"> </w:t>
      </w:r>
      <w:r w:rsidRPr="00431C2E">
        <w:t xml:space="preserve">The distribution of the </w:t>
      </w:r>
      <w:r>
        <w:t>HD</w:t>
      </w:r>
      <w:r w:rsidRPr="00431C2E">
        <w:t xml:space="preserve"> from the </w:t>
      </w:r>
      <w:r>
        <w:t>global and individual MC simulations as well as the distributions of HD and network route length as found in the literature.</w:t>
      </w:r>
      <w:bookmarkEnd w:id="742"/>
      <w:bookmarkEnd w:id="743"/>
    </w:p>
    <w:p w14:paraId="3A0B11E0" w14:textId="7E936181" w:rsidR="000F16EB" w:rsidRPr="004B7966" w:rsidRDefault="000F16EB" w:rsidP="000F16EB">
      <w:r>
        <w:fldChar w:fldCharType="begin"/>
      </w:r>
      <w:r>
        <w:instrText xml:space="preserve"> REF _Ref523396466 \h </w:instrText>
      </w:r>
      <w:r>
        <w:fldChar w:fldCharType="separate"/>
      </w:r>
      <w:r w:rsidR="00CB7456">
        <w:t xml:space="preserve">Figure </w:t>
      </w:r>
      <w:r w:rsidR="00CB7456">
        <w:rPr>
          <w:noProof/>
        </w:rPr>
        <w:t>6</w:t>
      </w:r>
      <w:r w:rsidR="00CB7456">
        <w:t>.</w:t>
      </w:r>
      <w:r w:rsidR="00CB7456">
        <w:rPr>
          <w:noProof/>
        </w:rPr>
        <w:t>8</w:t>
      </w:r>
      <w:r>
        <w:fldChar w:fldCharType="end"/>
      </w:r>
      <w:r>
        <w:t xml:space="preserve"> shows that probability distribution of the output results of the global MC simulations were similar to the probability distributions of the inputs. The input data represented the variation found in the HD profiles of real buildings and the variation between the lengths in real DH pipes to the shortest possible straight-line distance. The similarity in the distribution profiles proved that the output variation of the global MC simulations </w:t>
      </w:r>
      <w:proofErr w:type="gramStart"/>
      <w:r>
        <w:t>were</w:t>
      </w:r>
      <w:proofErr w:type="gramEnd"/>
      <w:r>
        <w:t xml:space="preserve"> insensitive to the input variations. Therefore, the assumptions of (2), the standard HD profiles, and (3), the straight-line network route, could be kept in future HD modelling work.</w:t>
      </w:r>
    </w:p>
    <w:p w14:paraId="55B99D4F" w14:textId="32BD838E" w:rsidR="000F16EB" w:rsidRDefault="000F16EB" w:rsidP="000F16EB">
      <w:r>
        <w:t xml:space="preserve">It was shown that the assumption of (1), standard building sizes, was not accurate enough for use in the model. In future work, instead of assuming that every building of the same category was of the same size, the building sizes will be measured. The measurement can be </w:t>
      </w:r>
      <w:r>
        <w:lastRenderedPageBreak/>
        <w:t xml:space="preserve">done in one of two ways. Ideally, the non-technical user will have access to records of primary building sizes or be able to obtain them from the buildings’ owner. Whilst being accurate, obtaining the primary data may be expensive, time consuming, or not possible in every case. The alternative is to use Google Maps to measure the total floor area of a building and use Google Street View to count the number of floors in the building. Using primary building data should not introduce any error into the work whereas using Googles Maps will introduce errors of 3.54% </w:t>
      </w:r>
      <w:r>
        <w:fldChar w:fldCharType="begin" w:fldLock="1"/>
      </w:r>
      <w:r w:rsidR="002A6A73">
        <w:instrText>ADDIN CSL_CITATION {"citationItems":[{"id":"ITEM-1","itemData":{"abstract":"Objetivou-se avaliar a qualidade posicional e geométrica das imagens de alta resolução disponibilizadas pelo Google Earth, utilizando como referência um mapeamento em escala 1/2.000 do município de Barbacena – MG. Em seguida, verificou-se a possibilidade da utilização das imagens do Google Earth como fontes de dados para a produção de mapas, definindo, nesse caso, seus tipos e a resolução versus escala, apontando fatores limitantes e excludentes no uso dessas imagens para fins de mapeamento. Os testes realizados demonstraram eficiência ao ilustrarem numericamente a realidade geométrica e posicional da imagem avaliada presente no banco de dados do Google Earth. A partir das análises, foi elaborada uma proposta metodológica contendo procedimentos e recomendações para a utilização consciente e responsável das imagens do Google Earth, além de considerações a respeito de suas limitações.","author":[{"dropping-particle":"","family":"Lopes","given":"Edésio Elias","non-dropping-particle":"","parse-names":false,"suffix":""},{"dropping-particle":"","family":"Nogueira","given":"Ruth Emilia","non-dropping-particle":"","parse-names":false,"suffix":""}],"container-title":"Ufsc","id":"ITEM-1","issued":{"date-parts":[["2009"]]},"title":"Proposta Metodológica para Validação de Imagens de Alta Resolução do Google Earth para a Produção de Mapas","type":"article-journal"},"uris":["http://www.mendeley.com/documents/?uuid=b5c9eb17-813f-4f64-8895-8faca3df6df4"]}],"mendeley":{"formattedCitation":"(Lopes and Nogueira, 2009)","plainTextFormattedCitation":"(Lopes and Nogueira, 2009)","previouslyFormattedCitation":"(Lopes and Nogueira, 2009)"},"properties":{"noteIndex":0},"schema":"https://github.com/citation-style-language/schema/raw/master/csl-citation.json"}</w:instrText>
      </w:r>
      <w:r>
        <w:fldChar w:fldCharType="separate"/>
      </w:r>
      <w:r w:rsidR="002A6A73" w:rsidRPr="002A6A73">
        <w:rPr>
          <w:noProof/>
        </w:rPr>
        <w:t>(Lopes and Nogueira, 2009)</w:t>
      </w:r>
      <w:r>
        <w:fldChar w:fldCharType="end"/>
      </w:r>
      <w:r>
        <w:t xml:space="preserve">. If the Google Maps method is used, a new assumption is introduced into the work. The new assumption is (4), that Google Maps can accurately measure building sizes. </w:t>
      </w:r>
    </w:p>
    <w:p w14:paraId="4CD4BEDC" w14:textId="29A64F43" w:rsidR="000F16EB" w:rsidRDefault="000F16EB" w:rsidP="000F16EB">
      <w:r>
        <w:t xml:space="preserve">It is useful to quantify the extent that changing the modelling technique had on the output of the work. To do so, the work in </w:t>
      </w:r>
      <w:r>
        <w:fldChar w:fldCharType="begin"/>
      </w:r>
      <w:r>
        <w:instrText xml:space="preserve"> REF _Ref523325447 \h </w:instrText>
      </w:r>
      <w:r>
        <w:fldChar w:fldCharType="separate"/>
      </w:r>
      <w:r w:rsidR="00CB7456">
        <w:t xml:space="preserve">Figure </w:t>
      </w:r>
      <w:r w:rsidR="00CB7456">
        <w:rPr>
          <w:noProof/>
        </w:rPr>
        <w:t>6</w:t>
      </w:r>
      <w:r w:rsidR="00CB7456">
        <w:t>.</w:t>
      </w:r>
      <w:r w:rsidR="00CB7456">
        <w:rPr>
          <w:noProof/>
        </w:rPr>
        <w:t>2</w:t>
      </w:r>
      <w:r>
        <w:fldChar w:fldCharType="end"/>
      </w:r>
      <w:r>
        <w:t xml:space="preserve"> has been repeated, using the Google Maps based technique. The results of the repeated work are shown in </w:t>
      </w:r>
      <w:r>
        <w:fldChar w:fldCharType="begin"/>
      </w:r>
      <w:r>
        <w:instrText xml:space="preserve"> REF _Ref523402587 \h </w:instrText>
      </w:r>
      <w:r>
        <w:fldChar w:fldCharType="separate"/>
      </w:r>
      <w:r w:rsidR="00CB7456">
        <w:t xml:space="preserve">Figure </w:t>
      </w:r>
      <w:r w:rsidR="00CB7456">
        <w:rPr>
          <w:noProof/>
        </w:rPr>
        <w:t>6</w:t>
      </w:r>
      <w:r w:rsidR="00CB7456">
        <w:t>.</w:t>
      </w:r>
      <w:r w:rsidR="00CB7456">
        <w:rPr>
          <w:noProof/>
        </w:rPr>
        <w:t>9</w:t>
      </w:r>
      <w:r>
        <w:fldChar w:fldCharType="end"/>
      </w:r>
      <w:r>
        <w:t>.</w:t>
      </w:r>
    </w:p>
    <w:p w14:paraId="18AACBA0" w14:textId="77777777" w:rsidR="000F16EB" w:rsidRDefault="000F16EB" w:rsidP="000F16EB">
      <w:pPr>
        <w:keepNext/>
        <w:jc w:val="center"/>
      </w:pPr>
      <w:r>
        <w:rPr>
          <w:noProof/>
        </w:rPr>
        <w:drawing>
          <wp:inline distT="0" distB="0" distL="0" distR="0" wp14:anchorId="301780E5" wp14:editId="10B8AB42">
            <wp:extent cx="3168000" cy="2657303"/>
            <wp:effectExtent l="19050" t="19050" r="13970" b="1016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Model comparison.jpg"/>
                    <pic:cNvPicPr/>
                  </pic:nvPicPr>
                  <pic:blipFill rotWithShape="1">
                    <a:blip r:embed="rId51" cstate="print">
                      <a:extLst>
                        <a:ext uri="{28A0092B-C50C-407E-A947-70E740481C1C}">
                          <a14:useLocalDpi xmlns:a14="http://schemas.microsoft.com/office/drawing/2010/main" val="0"/>
                        </a:ext>
                      </a:extLst>
                    </a:blip>
                    <a:srcRect l="10831" r="1519" b="3924"/>
                    <a:stretch/>
                  </pic:blipFill>
                  <pic:spPr bwMode="auto">
                    <a:xfrm>
                      <a:off x="0" y="0"/>
                      <a:ext cx="3168000" cy="2657303"/>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B527A76" w14:textId="0420E129" w:rsidR="000F16EB" w:rsidRDefault="000F16EB" w:rsidP="000F16EB">
      <w:pPr>
        <w:pStyle w:val="Caption"/>
      </w:pPr>
      <w:bookmarkStart w:id="744" w:name="_Ref523402587"/>
      <w:bookmarkStart w:id="745" w:name="_Toc525230104"/>
      <w:bookmarkStart w:id="746" w:name="_Toc7187652"/>
      <w:r>
        <w:t xml:space="preserve">Figure </w:t>
      </w:r>
      <w:fldSimple w:instr=" STYLEREF 1 \s ">
        <w:r w:rsidR="00CB7456">
          <w:rPr>
            <w:noProof/>
          </w:rPr>
          <w:t>6</w:t>
        </w:r>
      </w:fldSimple>
      <w:r w:rsidR="007B29C3">
        <w:t>.</w:t>
      </w:r>
      <w:fldSimple w:instr=" SEQ Figure \* ARABIC \s 1 ">
        <w:r w:rsidR="00CB7456">
          <w:rPr>
            <w:noProof/>
          </w:rPr>
          <w:t>9</w:t>
        </w:r>
      </w:fldSimple>
      <w:bookmarkEnd w:id="744"/>
      <w:r>
        <w:rPr>
          <w:noProof/>
        </w:rPr>
        <w:t>:</w:t>
      </w:r>
      <w:r>
        <w:t xml:space="preserve"> A comparison of the two techniques for modelling the HD in a local area, comparing the original technique, with assumed building sizes, and the refined technique, with the measured building sizes using Google Maps.</w:t>
      </w:r>
      <w:bookmarkEnd w:id="745"/>
      <w:bookmarkEnd w:id="746"/>
    </w:p>
    <w:p w14:paraId="5630E9B1" w14:textId="06BE2BAB" w:rsidR="000F16EB" w:rsidRDefault="000F16EB" w:rsidP="000F16EB">
      <w:r>
        <w:fldChar w:fldCharType="begin"/>
      </w:r>
      <w:r>
        <w:instrText xml:space="preserve"> REF _Ref523402587 \h </w:instrText>
      </w:r>
      <w:r>
        <w:fldChar w:fldCharType="separate"/>
      </w:r>
      <w:r w:rsidR="00CB7456">
        <w:t xml:space="preserve">Figure </w:t>
      </w:r>
      <w:r w:rsidR="00CB7456">
        <w:rPr>
          <w:noProof/>
        </w:rPr>
        <w:t>6</w:t>
      </w:r>
      <w:r w:rsidR="00CB7456">
        <w:t>.</w:t>
      </w:r>
      <w:r w:rsidR="00CB7456">
        <w:rPr>
          <w:noProof/>
        </w:rPr>
        <w:t>9</w:t>
      </w:r>
      <w:r>
        <w:fldChar w:fldCharType="end"/>
      </w:r>
      <w:r>
        <w:t xml:space="preserve"> compares the original model, that was generated with the assumed building sizes, and the refined model, that was generated with the Google Maps based measured building sizes. Measuring the building sizes increased the HD showing that the assumed building sizes were, on average, smaller than the actual buildings. It is likely that the reason for the discrepancy in size was that the assumed building sizes did not consider the number of floors in the buildings. The average variation between the two curves was approximately 20%, with a peak variation of approximately 40%.</w:t>
      </w:r>
    </w:p>
    <w:p w14:paraId="2D8209A3" w14:textId="77777777" w:rsidR="000F16EB" w:rsidRDefault="000F16EB" w:rsidP="000F16EB">
      <w:r>
        <w:t xml:space="preserve">As the use of Google Maps to measure the building sizes possibly introduced error into the work, the global MC simulation was repeated. The repeated global simulation simultaneously compared: </w:t>
      </w:r>
    </w:p>
    <w:p w14:paraId="70B87FFD" w14:textId="77777777" w:rsidR="000F16EB" w:rsidRDefault="000F16EB" w:rsidP="00202E44">
      <w:pPr>
        <w:pStyle w:val="ListParagraph"/>
        <w:numPr>
          <w:ilvl w:val="0"/>
          <w:numId w:val="24"/>
        </w:numPr>
      </w:pPr>
      <w:r>
        <w:t xml:space="preserve">The assumption that every building had a standard HD profile. </w:t>
      </w:r>
    </w:p>
    <w:p w14:paraId="7112FB94" w14:textId="77777777" w:rsidR="000F16EB" w:rsidRDefault="000F16EB" w:rsidP="00202E44">
      <w:pPr>
        <w:pStyle w:val="ListParagraph"/>
        <w:numPr>
          <w:ilvl w:val="0"/>
          <w:numId w:val="24"/>
        </w:numPr>
      </w:pPr>
      <w:r>
        <w:t>The assumption that the DH pipes travelled in the shortest possible straight-line route.</w:t>
      </w:r>
    </w:p>
    <w:p w14:paraId="004A418C" w14:textId="77777777" w:rsidR="000F16EB" w:rsidRDefault="000F16EB" w:rsidP="00202E44">
      <w:pPr>
        <w:pStyle w:val="ListParagraph"/>
        <w:numPr>
          <w:ilvl w:val="0"/>
          <w:numId w:val="24"/>
        </w:numPr>
      </w:pPr>
      <w:r>
        <w:lastRenderedPageBreak/>
        <w:t xml:space="preserve">The assumption that Google Maps could be used to accurately measure building sizes. </w:t>
      </w:r>
    </w:p>
    <w:p w14:paraId="3BC1572D" w14:textId="591CE39A" w:rsidR="000F16EB" w:rsidRDefault="000F16EB" w:rsidP="000F16EB">
      <w:r>
        <w:t xml:space="preserve">The global simulation is shown in </w:t>
      </w:r>
      <w:r>
        <w:fldChar w:fldCharType="begin"/>
      </w:r>
      <w:r>
        <w:instrText xml:space="preserve"> REF _Ref523403037 \h </w:instrText>
      </w:r>
      <w:r>
        <w:fldChar w:fldCharType="separate"/>
      </w:r>
      <w:r w:rsidR="00CB7456">
        <w:t xml:space="preserve">Figure </w:t>
      </w:r>
      <w:r w:rsidR="00CB7456">
        <w:rPr>
          <w:noProof/>
        </w:rPr>
        <w:t>6</w:t>
      </w:r>
      <w:r w:rsidR="00CB7456">
        <w:t>.</w:t>
      </w:r>
      <w:r w:rsidR="00CB7456">
        <w:rPr>
          <w:noProof/>
        </w:rPr>
        <w:t>10</w:t>
      </w:r>
      <w:r>
        <w:fldChar w:fldCharType="end"/>
      </w:r>
      <w:r>
        <w:t>.</w:t>
      </w:r>
    </w:p>
    <w:p w14:paraId="033A1F7C" w14:textId="77777777" w:rsidR="000F16EB" w:rsidRDefault="000F16EB" w:rsidP="000F16EB">
      <w:pPr>
        <w:keepNext/>
        <w:jc w:val="center"/>
      </w:pPr>
      <w:r>
        <w:rPr>
          <w:noProof/>
        </w:rPr>
        <w:drawing>
          <wp:inline distT="0" distB="0" distL="0" distR="0" wp14:anchorId="178EC331" wp14:editId="5AE2FBD3">
            <wp:extent cx="3168000" cy="2352476"/>
            <wp:effectExtent l="19050" t="19050" r="13970" b="1016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emand and network variation.jpg"/>
                    <pic:cNvPicPr/>
                  </pic:nvPicPr>
                  <pic:blipFill rotWithShape="1">
                    <a:blip r:embed="rId52" cstate="print">
                      <a:extLst>
                        <a:ext uri="{28A0092B-C50C-407E-A947-70E740481C1C}">
                          <a14:useLocalDpi xmlns:a14="http://schemas.microsoft.com/office/drawing/2010/main" val="0"/>
                        </a:ext>
                      </a:extLst>
                    </a:blip>
                    <a:srcRect l="4267" t="8578" r="6423" b="4758"/>
                    <a:stretch/>
                  </pic:blipFill>
                  <pic:spPr bwMode="auto">
                    <a:xfrm>
                      <a:off x="0" y="0"/>
                      <a:ext cx="3168000" cy="2352476"/>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7D69A82" w14:textId="1C905130" w:rsidR="000F16EB" w:rsidRDefault="000F16EB" w:rsidP="000F16EB">
      <w:pPr>
        <w:pStyle w:val="Caption"/>
      </w:pPr>
      <w:bookmarkStart w:id="747" w:name="_Ref523403037"/>
      <w:bookmarkStart w:id="748" w:name="_Toc525230105"/>
      <w:bookmarkStart w:id="749" w:name="_Toc7187653"/>
      <w:r>
        <w:t xml:space="preserve">Figure </w:t>
      </w:r>
      <w:fldSimple w:instr=" STYLEREF 1 \s ">
        <w:r w:rsidR="00CB7456">
          <w:rPr>
            <w:noProof/>
          </w:rPr>
          <w:t>6</w:t>
        </w:r>
      </w:fldSimple>
      <w:r w:rsidR="007B29C3">
        <w:t>.</w:t>
      </w:r>
      <w:fldSimple w:instr=" SEQ Figure \* ARABIC \s 1 ">
        <w:r w:rsidR="00CB7456">
          <w:rPr>
            <w:noProof/>
          </w:rPr>
          <w:t>10</w:t>
        </w:r>
      </w:fldSimple>
      <w:bookmarkEnd w:id="747"/>
      <w:r>
        <w:t xml:space="preserve">: </w:t>
      </w:r>
      <w:r w:rsidRPr="00431C2E">
        <w:t xml:space="preserve">The distribution of the </w:t>
      </w:r>
      <w:r>
        <w:t>HD</w:t>
      </w:r>
      <w:r w:rsidRPr="00431C2E">
        <w:t xml:space="preserve"> from the</w:t>
      </w:r>
      <w:r>
        <w:t xml:space="preserve"> new</w:t>
      </w:r>
      <w:r w:rsidRPr="00431C2E">
        <w:t xml:space="preserve"> </w:t>
      </w:r>
      <w:r>
        <w:t>global and individual MC simulations as well as the distributions of HD and network route length, as found in the literature.</w:t>
      </w:r>
      <w:bookmarkEnd w:id="748"/>
      <w:bookmarkEnd w:id="749"/>
    </w:p>
    <w:p w14:paraId="2EF24B7D" w14:textId="298D65F5" w:rsidR="000F16EB" w:rsidRDefault="000F16EB" w:rsidP="000F16EB">
      <w:r>
        <w:t xml:space="preserve">The probability distribution of the results of the global MC simulations in </w:t>
      </w:r>
      <w:r>
        <w:fldChar w:fldCharType="begin"/>
      </w:r>
      <w:r>
        <w:instrText xml:space="preserve"> REF _Ref523403037 \h </w:instrText>
      </w:r>
      <w:r>
        <w:fldChar w:fldCharType="separate"/>
      </w:r>
      <w:r w:rsidR="00CB7456">
        <w:t xml:space="preserve">Figure </w:t>
      </w:r>
      <w:r w:rsidR="00CB7456">
        <w:rPr>
          <w:noProof/>
        </w:rPr>
        <w:t>6</w:t>
      </w:r>
      <w:r w:rsidR="00CB7456">
        <w:t>.</w:t>
      </w:r>
      <w:r w:rsidR="00CB7456">
        <w:rPr>
          <w:noProof/>
        </w:rPr>
        <w:t>10</w:t>
      </w:r>
      <w:r>
        <w:fldChar w:fldCharType="end"/>
      </w:r>
      <w:r>
        <w:t xml:space="preserve"> and </w:t>
      </w:r>
      <w:r>
        <w:fldChar w:fldCharType="begin"/>
      </w:r>
      <w:r>
        <w:instrText xml:space="preserve"> REF _Ref523396466 \h </w:instrText>
      </w:r>
      <w:r>
        <w:fldChar w:fldCharType="separate"/>
      </w:r>
      <w:r w:rsidR="00CB7456">
        <w:t xml:space="preserve">Figure </w:t>
      </w:r>
      <w:r w:rsidR="00CB7456">
        <w:rPr>
          <w:noProof/>
        </w:rPr>
        <w:t>6</w:t>
      </w:r>
      <w:r w:rsidR="00CB7456">
        <w:t>.</w:t>
      </w:r>
      <w:r w:rsidR="00CB7456">
        <w:rPr>
          <w:noProof/>
        </w:rPr>
        <w:t>8</w:t>
      </w:r>
      <w:r>
        <w:fldChar w:fldCharType="end"/>
      </w:r>
      <w:r>
        <w:t xml:space="preserve"> are nearly identical. </w:t>
      </w:r>
      <w:r>
        <w:fldChar w:fldCharType="begin"/>
      </w:r>
      <w:r>
        <w:instrText xml:space="preserve"> REF _Ref523403037 \h </w:instrText>
      </w:r>
      <w:r>
        <w:fldChar w:fldCharType="separate"/>
      </w:r>
      <w:r w:rsidR="00CB7456">
        <w:t xml:space="preserve">Figure </w:t>
      </w:r>
      <w:r w:rsidR="00CB7456">
        <w:rPr>
          <w:noProof/>
        </w:rPr>
        <w:t>6</w:t>
      </w:r>
      <w:r w:rsidR="00CB7456">
        <w:t>.</w:t>
      </w:r>
      <w:r w:rsidR="00CB7456">
        <w:rPr>
          <w:noProof/>
        </w:rPr>
        <w:t>10</w:t>
      </w:r>
      <w:r>
        <w:fldChar w:fldCharType="end"/>
      </w:r>
      <w:r>
        <w:t xml:space="preserve"> shows that the output variation in the global simulation was similar to the distributions found in literature. </w:t>
      </w:r>
      <w:r>
        <w:fldChar w:fldCharType="begin"/>
      </w:r>
      <w:r>
        <w:instrText xml:space="preserve"> REF _Ref523403037 \h </w:instrText>
      </w:r>
      <w:r>
        <w:fldChar w:fldCharType="separate"/>
      </w:r>
      <w:r w:rsidR="00CB7456">
        <w:t xml:space="preserve">Figure </w:t>
      </w:r>
      <w:r w:rsidR="00CB7456">
        <w:rPr>
          <w:noProof/>
        </w:rPr>
        <w:t>6</w:t>
      </w:r>
      <w:r w:rsidR="00CB7456">
        <w:t>.</w:t>
      </w:r>
      <w:r w:rsidR="00CB7456">
        <w:rPr>
          <w:noProof/>
        </w:rPr>
        <w:t>10</w:t>
      </w:r>
      <w:r>
        <w:fldChar w:fldCharType="end"/>
      </w:r>
      <w:r>
        <w:t xml:space="preserve"> shows that the assumptions of (2), (3), and (4) can be kept in future work. </w:t>
      </w:r>
    </w:p>
    <w:p w14:paraId="2046D839" w14:textId="77777777" w:rsidR="000F16EB" w:rsidRDefault="000F16EB" w:rsidP="000F16EB">
      <w:pPr>
        <w:pStyle w:val="Heading2"/>
      </w:pPr>
      <w:bookmarkStart w:id="750" w:name="_Toc525230023"/>
      <w:bookmarkStart w:id="751" w:name="_Toc7187550"/>
      <w:r>
        <w:t>Conclusions</w:t>
      </w:r>
      <w:bookmarkEnd w:id="750"/>
      <w:bookmarkEnd w:id="751"/>
    </w:p>
    <w:p w14:paraId="58E1C611" w14:textId="77777777" w:rsidR="000F16EB" w:rsidRDefault="000F16EB" w:rsidP="000F16EB">
      <w:bookmarkStart w:id="752" w:name="_Hlk525201704"/>
      <w:r>
        <w:t>This chapter proposed a simple model, based on an industrial regression-based archetype model, that could be used to calculate the HD variation in any new DHN. The model was designed to be simple enough that it could be operated by a non</w:t>
      </w:r>
      <w:r>
        <w:noBreakHyphen/>
        <w:t>technical user.</w:t>
      </w:r>
      <w:bookmarkEnd w:id="752"/>
      <w:r>
        <w:t xml:space="preserve"> Three different case studies with differing population densities were investigated, to see if the same modelling technique could be used in any location in the country. MC simulations were used to assess the effect that the assumptions made in the modelling process had on the accuracy of the results.</w:t>
      </w:r>
    </w:p>
    <w:p w14:paraId="68785F54" w14:textId="77777777" w:rsidR="000F16EB" w:rsidRDefault="000F16EB" w:rsidP="000F16EB">
      <w:r>
        <w:t>It was shown that DHNs in areas with large population densities had significantly shorter pipe lengths than networks in areas with small population densities. DHNs with shorter pipe lengths were shown to have lower heat losses and network installation costs. It is possible that DHNs in areas with differing population densities may require different business cases and financial incentives during the later techno-economic modelling work. It was shown that DHNs in areas with small population densities were comprised of a large proportion of small domestic buildings. DHNs with a large proportion of small domestic buildings were shown to struggle to create a viable business case. Therefore, it is advised that the non-technical user omits small domestic buildings from future modelling work. It was shown that the overall HD of a DHN is affected the following factors, including the number, type and location of the customers connected to the network; the overall pipe length; and any heat losses in the pipes.</w:t>
      </w:r>
    </w:p>
    <w:p w14:paraId="6CEDFB98" w14:textId="77777777" w:rsidR="000F16EB" w:rsidRDefault="000F16EB" w:rsidP="000F16EB">
      <w:r>
        <w:lastRenderedPageBreak/>
        <w:t xml:space="preserve">Individual MC simulations were used to assess the effect that the assumptions had on the accuracy of the work. It was shown that the assumptions of (2), standard building HD profiles. and of (3), a straight-line network route, only had a </w:t>
      </w:r>
      <w:r w:rsidRPr="000E66BF">
        <w:rPr>
          <w:i/>
        </w:rPr>
        <w:t>minimal</w:t>
      </w:r>
      <w:r>
        <w:t xml:space="preserve"> effect on the accuracy of the results. The variation in the model output of assumption (2) was shown to be similar to the variation in HDs of actual buildings. A 90% variation in the input of assumption (3) was shown to only cause a 29% variation in the output uncertainty, which is comparable to industrial reported variations. Therefore, assumptions (2) and (3) were shown to be </w:t>
      </w:r>
      <w:r w:rsidRPr="000E66BF">
        <w:rPr>
          <w:i/>
        </w:rPr>
        <w:t>acceptable</w:t>
      </w:r>
      <w:r>
        <w:t xml:space="preserve"> when assessed on an </w:t>
      </w:r>
      <w:r w:rsidRPr="005B45ED">
        <w:rPr>
          <w:i/>
        </w:rPr>
        <w:t>individual</w:t>
      </w:r>
      <w:r>
        <w:t xml:space="preserve"> basis. A global MC simulation was run, assessing the accuracy of assumptions (2) and (3) simultaneously. The output variation of the global MC simulation was similar to the variation of HD of actual buildings and the variation of network route length in actual DHNs. Therefore, assumptions (2) and (3) were shown to be </w:t>
      </w:r>
      <w:r w:rsidRPr="000E66BF">
        <w:rPr>
          <w:i/>
        </w:rPr>
        <w:t>acceptable</w:t>
      </w:r>
      <w:r>
        <w:t xml:space="preserve"> when assessed </w:t>
      </w:r>
      <w:r w:rsidRPr="005B45ED">
        <w:rPr>
          <w:i/>
        </w:rPr>
        <w:t>simultaneously</w:t>
      </w:r>
      <w:r>
        <w:t>.</w:t>
      </w:r>
    </w:p>
    <w:p w14:paraId="00D9ED82" w14:textId="77777777" w:rsidR="000F16EB" w:rsidRDefault="000F16EB" w:rsidP="000F16EB">
      <w:r>
        <w:t xml:space="preserve">It was shown that the assumption of (1), standard building sizes, had a </w:t>
      </w:r>
      <w:r>
        <w:rPr>
          <w:i/>
        </w:rPr>
        <w:t>significant</w:t>
      </w:r>
      <w:r>
        <w:t xml:space="preserve"> effect on the accuracy of the results. A 90% variation in the input of assumption (1) was shown to cause a 247% variation in the output uncertainty, which is significantly higher than industrial reported variations. Therefore, assumption (1) was shown to be </w:t>
      </w:r>
      <w:r>
        <w:rPr>
          <w:i/>
        </w:rPr>
        <w:t>unacceptable</w:t>
      </w:r>
      <w:r>
        <w:t xml:space="preserve"> and the modelling technique would have to be changed in future modelling work. A new modelling technique was proposed, where the building sizes were measured using Google Maps instead of being assumed. The new modelling technique was shown to change the results of the model by 20 – 40%. </w:t>
      </w:r>
    </w:p>
    <w:p w14:paraId="43794E4C" w14:textId="77777777" w:rsidR="000F16EB" w:rsidRDefault="000F16EB" w:rsidP="000F16EB">
      <w:r>
        <w:t xml:space="preserve">The new modelling technique introduced errors of 3.54% into the work. A global MC simulation was run, assessing the new model technique alongside assumptions (2) and (3). The output variation in the new global MC simulation was similar to the input variation used in the simulations. Therefore, the new modelling technique and assumptions (2) and (3) were shown to be </w:t>
      </w:r>
      <w:r w:rsidRPr="000E66BF">
        <w:rPr>
          <w:i/>
        </w:rPr>
        <w:t>acceptable</w:t>
      </w:r>
      <w:r>
        <w:t xml:space="preserve"> when assessed </w:t>
      </w:r>
      <w:r w:rsidRPr="005B45ED">
        <w:rPr>
          <w:i/>
        </w:rPr>
        <w:t>simultaneously</w:t>
      </w:r>
      <w:r>
        <w:t xml:space="preserve">. </w:t>
      </w:r>
    </w:p>
    <w:p w14:paraId="4AC42F72" w14:textId="22A8D3F6" w:rsidR="000F16EB" w:rsidRDefault="000F16EB">
      <w:pPr>
        <w:jc w:val="left"/>
      </w:pPr>
      <w:r>
        <w:br w:type="page"/>
      </w:r>
    </w:p>
    <w:p w14:paraId="00E1AB3C" w14:textId="77777777" w:rsidR="000F16EB" w:rsidRDefault="000F16EB" w:rsidP="000F16EB">
      <w:pPr>
        <w:pStyle w:val="Heading1"/>
      </w:pPr>
      <w:bookmarkStart w:id="753" w:name="_Ref531344659"/>
      <w:bookmarkStart w:id="754" w:name="_Ref531345113"/>
      <w:bookmarkStart w:id="755" w:name="_Hlk534991168"/>
      <w:bookmarkStart w:id="756" w:name="_Toc7187551"/>
      <w:r>
        <w:lastRenderedPageBreak/>
        <w:t>District Heating Network Optimisation Using Thermal Energy Storage</w:t>
      </w:r>
      <w:bookmarkEnd w:id="753"/>
      <w:bookmarkEnd w:id="754"/>
      <w:bookmarkEnd w:id="756"/>
    </w:p>
    <w:p w14:paraId="6C72CEC6" w14:textId="2B469EBB" w:rsidR="000F16EB" w:rsidRDefault="000F16EB" w:rsidP="000F16EB">
      <w:r>
        <w:t xml:space="preserve">The DHN must be optimised to match the variation in the HD and the heat supply from the customers and the TE sources connected to the DHN. The optimisation is required to decide which TES system, if any, to use. Once the network has been optimised, techno-economic and environmental assessment of the DHN can be carried out. The optimisation model was created so that it may be operated by a non-technical user. The modelling technique was based on MILP processes generated by </w:t>
      </w:r>
      <w:proofErr w:type="spellStart"/>
      <w:r>
        <w:t>Romanchenko</w:t>
      </w:r>
      <w:proofErr w:type="spellEnd"/>
      <w:r>
        <w:t xml:space="preserve"> </w:t>
      </w:r>
      <w:r w:rsidRPr="006B360F">
        <w:rPr>
          <w:i/>
        </w:rPr>
        <w:t>et al</w:t>
      </w:r>
      <w:r>
        <w:t xml:space="preserve">. and </w:t>
      </w:r>
      <w:r w:rsidRPr="00F57EE3">
        <w:rPr>
          <w:noProof/>
        </w:rPr>
        <w:t xml:space="preserve">Basciotti </w:t>
      </w:r>
      <w:r w:rsidRPr="006B360F">
        <w:rPr>
          <w:i/>
        </w:rPr>
        <w:t>et al</w:t>
      </w:r>
      <w:r>
        <w:t xml:space="preserve">. </w:t>
      </w:r>
      <w:r>
        <w:fldChar w:fldCharType="begin" w:fldLock="1"/>
      </w:r>
      <w:r w:rsidR="006B360F">
        <w:instrText>ADDIN CSL_CITATION {"citationItems":[{"id":"ITEM-1","itemData":{"author":[{"dropping-particle":"","family":"Basciotti","given":"Daniele","non-dropping-particle":"","parse-names":false,"suffix":""},{"dropping-particle":"","family":"Judex","given":"Florian","non-dropping-particle":"","parse-names":false,"suffix":""},{"dropping-particle":"","family":"Pol","given":"Olivier","non-dropping-particle":"","parse-names":false,"suffix":""},{"dropping-particle":"","family":"Schmidt","given":"Ralf-roman","non-dropping-particle":"","parse-names":false,"suffix":""}],"container-title":"6th international renewable energy storage conference IRES","id":"ITEM-1","issue":"June","issued":{"date-parts":[["2011"]]},"publisher":"Eurosolar","publisher-place":"Berlin, Germany","title":"Sensible heat storage in district heating networks : a novel control strategy using the network as storage","type":"paper-conference"},"uris":["http://www.mendeley.com/documents/?uuid=706ddf9b-d5cd-480b-bc89-55bc587f4f5d"]},{"id":"ITEM-2","itemData":{"DOI":"10.1016/j.enconman.2018.01.068","ISSN":"01968904","abstract":"Heat load variations in district heating systems lead to increased costs for heat generation and, in most cases, increased greenhouse gas emissions associated with the marginal use of fossil fuels. This work investigates the benefits of applying thermal energy storage in district heating systems to decrease heat load variations, comparing storage using a hot water tank and the thermal inertia of buildings (with similar storage capacity). A detailed techno-economic optimisation model is applied to the district heating system of Göteborg, Sweden. The results show that both the hot water tank and the thermal inertia of buildings benefit the operation of the district heating system and have similar dynamics of utilisation. However, compared to the thermal inertia of buildings, the hot water tank stores more than twice as much heat over the modelled year, owing to lower energy losses. For the same reason, only the hot water tank is used to store heat for periods longer than a few days. Furthermore, the hot water tank has its full capacity available for charging/discharging at all times, whereas the capacity of the thermal inertia of buildings depends on the heat transfer between the building core and its indoor air and internals. Finally, the total system yearly operating cost decreases by 1% when the thermal inertia of buildings and by 2% when the hot water tank is added to the district heating system, as compared to the scenario without any storage.","author":[{"dropping-particle":"","family":"Romanchenko","given":"Dmytro","non-dropping-particle":"","parse-names":false,"suffix":""},{"dropping-particle":"","family":"Kensby","given":"Johan","non-dropping-particle":"","parse-names":false,"suffix":""},{"dropping-particle":"","family":"Odenberger","given":"Mikael","non-dropping-particle":"","parse-names":false,"suffix":""},{"dropping-particle":"","family":"Johnsson","given":"Filip","non-dropping-particle":"","parse-names":false,"suffix":""}],"container-title":"Energy Conversion and Management","id":"ITEM-2","issue":"October 2017","issued":{"date-parts":[["2018"]]},"page":"26-38","publisher":"Elsevier","title":"Thermal energy storage in district heating: Centralised storage vs. storage in thermal inertia of buildings","type":"article-journal","volume":"162"},"uris":["http://www.mendeley.com/documents/?uuid=cb395029-5f1e-49b6-ba70-d706084d23e5"]}],"mendeley":{"formattedCitation":"(Basciotti &lt;i&gt;et al.&lt;/i&gt;, 2011; Romanchenko &lt;i&gt;et al.&lt;/i&gt;, 2018)","plainTextFormattedCitation":"(Basciotti et al., 2011; Romanchenko et al., 2018)","previouslyFormattedCitation":"(Basciotti &lt;i&gt;et al.&lt;/i&gt;, 2011; Romanchenko &lt;i&gt;et al.&lt;/i&gt;, 2018)"},"properties":{"noteIndex":0},"schema":"https://github.com/citation-style-language/schema/raw/master/csl-citation.json"}</w:instrText>
      </w:r>
      <w:r>
        <w:fldChar w:fldCharType="separate"/>
      </w:r>
      <w:r w:rsidR="006B360F" w:rsidRPr="006B360F">
        <w:rPr>
          <w:noProof/>
        </w:rPr>
        <w:t xml:space="preserve">(Basciotti </w:t>
      </w:r>
      <w:r w:rsidR="006B360F" w:rsidRPr="006B360F">
        <w:rPr>
          <w:i/>
          <w:noProof/>
        </w:rPr>
        <w:t>et al.</w:t>
      </w:r>
      <w:r w:rsidR="006B360F" w:rsidRPr="006B360F">
        <w:rPr>
          <w:noProof/>
        </w:rPr>
        <w:t xml:space="preserve">, 2011; Romanchenko </w:t>
      </w:r>
      <w:r w:rsidR="006B360F" w:rsidRPr="006B360F">
        <w:rPr>
          <w:i/>
          <w:noProof/>
        </w:rPr>
        <w:t>et al.</w:t>
      </w:r>
      <w:r w:rsidR="006B360F" w:rsidRPr="006B360F">
        <w:rPr>
          <w:noProof/>
        </w:rPr>
        <w:t>, 2018)</w:t>
      </w:r>
      <w:r>
        <w:fldChar w:fldCharType="end"/>
      </w:r>
      <w:r>
        <w:t xml:space="preserve">. Four different TES scenarios were used in the work: </w:t>
      </w:r>
    </w:p>
    <w:p w14:paraId="0B7361B1" w14:textId="77777777" w:rsidR="000F16EB" w:rsidRDefault="000F16EB" w:rsidP="00202E44">
      <w:pPr>
        <w:pStyle w:val="ListParagraph"/>
        <w:numPr>
          <w:ilvl w:val="0"/>
          <w:numId w:val="26"/>
        </w:numPr>
      </w:pPr>
      <w:r>
        <w:t>A single, large HWT.</w:t>
      </w:r>
    </w:p>
    <w:p w14:paraId="6477878F" w14:textId="77777777" w:rsidR="000F16EB" w:rsidRDefault="000F16EB" w:rsidP="00202E44">
      <w:pPr>
        <w:pStyle w:val="ListParagraph"/>
        <w:numPr>
          <w:ilvl w:val="0"/>
          <w:numId w:val="26"/>
        </w:numPr>
      </w:pPr>
      <w:r>
        <w:t xml:space="preserve">A pair of small HWTs. </w:t>
      </w:r>
    </w:p>
    <w:p w14:paraId="589864FF" w14:textId="77777777" w:rsidR="000F16EB" w:rsidRDefault="000F16EB" w:rsidP="00202E44">
      <w:pPr>
        <w:pStyle w:val="ListParagraph"/>
        <w:numPr>
          <w:ilvl w:val="0"/>
          <w:numId w:val="26"/>
        </w:numPr>
      </w:pPr>
      <w:r>
        <w:t>TES utilising the thermal inertia of the buildings connected to the DHN.</w:t>
      </w:r>
    </w:p>
    <w:p w14:paraId="696761A0" w14:textId="77DB6E8C" w:rsidR="000F16EB" w:rsidRDefault="000F16EB" w:rsidP="00202E44">
      <w:pPr>
        <w:pStyle w:val="ListParagraph"/>
        <w:numPr>
          <w:ilvl w:val="0"/>
          <w:numId w:val="26"/>
        </w:numPr>
      </w:pPr>
      <w:r>
        <w:t xml:space="preserve">TES utilising the thermal inertia of the pipes in the DHN. </w:t>
      </w:r>
    </w:p>
    <w:p w14:paraId="382CEA8B" w14:textId="1CB57F77" w:rsidR="004F63A5" w:rsidRDefault="004F63A5" w:rsidP="00202E44">
      <w:pPr>
        <w:pStyle w:val="ListParagraph"/>
        <w:numPr>
          <w:ilvl w:val="0"/>
          <w:numId w:val="26"/>
        </w:numPr>
      </w:pPr>
      <w:r>
        <w:t>A reference scenario with no TES</w:t>
      </w:r>
      <w:r w:rsidR="003E115C">
        <w:t>.</w:t>
      </w:r>
    </w:p>
    <w:p w14:paraId="4DDD636C" w14:textId="14C96316" w:rsidR="00C36B79" w:rsidRPr="003650C8" w:rsidRDefault="00C36B79" w:rsidP="00C36B79">
      <w:r w:rsidRPr="003650C8">
        <w:t>The comparison was made between HWT based TES and TES utilising the thermal inertia of the buildings on the network and the network itself to find the best option for TES in DHNs. A comparison was made between the effectiveness of a single and a pair of HWTs as not all networks have the necessary space to install a single large HWT. The ability to use multiple smaller HWTs would offer a DHN operator more choice.</w:t>
      </w:r>
    </w:p>
    <w:p w14:paraId="3E1932E8" w14:textId="77777777" w:rsidR="000F16EB" w:rsidRDefault="000F16EB" w:rsidP="000F16EB">
      <w:r>
        <w:t>A reference, fifth, scenario was modelled which does not use TES, instead it used a back-up natural gas fired burner to match the heat supply and demand. All four TES scenarios used the natural gas fired burner to match the heat supply and demand when the TES system was insufficient.</w:t>
      </w:r>
    </w:p>
    <w:p w14:paraId="67C2CAD1" w14:textId="61B7E4BE" w:rsidR="000F16EB" w:rsidRDefault="000F16EB" w:rsidP="000F16EB">
      <w:pPr>
        <w:pStyle w:val="Heading2"/>
      </w:pPr>
      <w:bookmarkStart w:id="757" w:name="_Toc525230025"/>
      <w:bookmarkStart w:id="758" w:name="_Toc7187552"/>
      <w:r>
        <w:t>Methodology</w:t>
      </w:r>
      <w:bookmarkEnd w:id="757"/>
      <w:bookmarkEnd w:id="758"/>
    </w:p>
    <w:p w14:paraId="66CF3AA5" w14:textId="58A32996" w:rsidR="00C36B79" w:rsidRPr="00C36B79" w:rsidRDefault="00C36B79" w:rsidP="00C36B79">
      <w:pPr>
        <w:rPr>
          <w:color w:val="000000" w:themeColor="text1"/>
        </w:rPr>
      </w:pPr>
      <w:r w:rsidRPr="00C36B79">
        <w:rPr>
          <w:color w:val="000000" w:themeColor="text1"/>
        </w:rPr>
        <w:t>To compare the three options for TES: HWTs, building and network-based TES to that of not using any TES, a techno-economic optimisation methodology was used. In the optimisation the decision variables were the sizes of the different TES technologies and the objective function was to minimise the total costs and associated CO</w:t>
      </w:r>
      <w:r w:rsidRPr="00C36B79">
        <w:rPr>
          <w:color w:val="000000" w:themeColor="text1"/>
          <w:vertAlign w:val="subscript"/>
        </w:rPr>
        <w:t>2</w:t>
      </w:r>
      <w:r w:rsidRPr="00C36B79">
        <w:rPr>
          <w:color w:val="000000" w:themeColor="text1"/>
        </w:rPr>
        <w:t xml:space="preserve">e emissions. In all scenarios a back-up natural gas-fired burner was included to provide heat when the industrial heat supply and the stored thermal energy was insufficient to meet the heat demand. The modelling work is based on MILP optimisation completed by </w:t>
      </w:r>
      <w:proofErr w:type="spellStart"/>
      <w:r w:rsidRPr="00C36B79">
        <w:rPr>
          <w:color w:val="000000" w:themeColor="text1"/>
        </w:rPr>
        <w:t>Romanchenko</w:t>
      </w:r>
      <w:proofErr w:type="spellEnd"/>
      <w:r w:rsidRPr="00C36B79">
        <w:rPr>
          <w:color w:val="000000" w:themeColor="text1"/>
        </w:rPr>
        <w:t xml:space="preserve"> </w:t>
      </w:r>
      <w:r w:rsidRPr="006B360F">
        <w:rPr>
          <w:i/>
          <w:color w:val="000000" w:themeColor="text1"/>
        </w:rPr>
        <w:t>et al</w:t>
      </w:r>
      <w:r w:rsidRPr="00C36B79">
        <w:rPr>
          <w:color w:val="000000" w:themeColor="text1"/>
        </w:rPr>
        <w:t xml:space="preserve">., </w:t>
      </w:r>
      <w:proofErr w:type="spellStart"/>
      <w:r w:rsidRPr="00C36B79">
        <w:rPr>
          <w:color w:val="000000" w:themeColor="text1"/>
        </w:rPr>
        <w:t>Basciotti</w:t>
      </w:r>
      <w:proofErr w:type="spellEnd"/>
      <w:r w:rsidRPr="00C36B79">
        <w:rPr>
          <w:color w:val="000000" w:themeColor="text1"/>
        </w:rPr>
        <w:t xml:space="preserve"> </w:t>
      </w:r>
      <w:r w:rsidRPr="006B360F">
        <w:rPr>
          <w:i/>
          <w:color w:val="000000" w:themeColor="text1"/>
        </w:rPr>
        <w:t>et al</w:t>
      </w:r>
      <w:r w:rsidRPr="00C36B79">
        <w:rPr>
          <w:color w:val="000000" w:themeColor="text1"/>
        </w:rPr>
        <w:t xml:space="preserve">. </w:t>
      </w:r>
      <w:r w:rsidR="006B360F">
        <w:rPr>
          <w:color w:val="000000" w:themeColor="text1"/>
        </w:rPr>
        <w:t>a</w:t>
      </w:r>
      <w:r w:rsidRPr="00C36B79">
        <w:rPr>
          <w:color w:val="000000" w:themeColor="text1"/>
        </w:rPr>
        <w:t xml:space="preserve">nd </w:t>
      </w:r>
      <w:r w:rsidRPr="00C36B79">
        <w:rPr>
          <w:noProof/>
          <w:color w:val="000000" w:themeColor="text1"/>
        </w:rPr>
        <w:t>Leśko and Bujalski</w:t>
      </w:r>
      <w:r w:rsidRPr="00C36B79">
        <w:rPr>
          <w:color w:val="000000" w:themeColor="text1"/>
        </w:rPr>
        <w:t xml:space="preserve"> to match the case study heat supply with the case study heat demand</w:t>
      </w:r>
      <w:r w:rsidR="006B360F">
        <w:rPr>
          <w:color w:val="000000" w:themeColor="text1"/>
        </w:rPr>
        <w:t xml:space="preserve"> </w:t>
      </w:r>
      <w:r w:rsidR="006B360F" w:rsidRPr="00C36B79">
        <w:rPr>
          <w:color w:val="000000" w:themeColor="text1"/>
        </w:rPr>
        <w:fldChar w:fldCharType="begin" w:fldLock="1"/>
      </w:r>
      <w:r w:rsidR="006B360F">
        <w:rPr>
          <w:color w:val="000000" w:themeColor="text1"/>
        </w:rPr>
        <w:instrText>ADDIN CSL_CITATION {"citationItems":[{"id":"ITEM-1","itemData":{"author":[{"dropping-particle":"","family":"Basciotti","given":"Daniele","non-dropping-particle":"","parse-names":false,"suffix":""},{"dropping-particle":"","family":"Judex","given":"Florian","non-dropping-particle":"","parse-names":false,"suffix":""},{"dropping-particle":"","family":"Pol","given":"Olivier","non-dropping-particle":"","parse-names":false,"suffix":""},{"dropping-particle":"","family":"Schmidt","given":"Ralf-roman","non-dropping-particle":"","parse-names":false,"suffix":""}],"container-title":"6th international renewable energy storage conference IRES","id":"ITEM-1","issue":"June","issued":{"date-parts":[["2011"]]},"publisher":"Eurosolar","publisher-place":"Berlin, Germany","title":"Sensible heat storage in district heating networks : a novel control strategy using the network as storage","type":"paper-conference"},"uris":["http://www.mendeley.com/documents/?uuid=706ddf9b-d5cd-480b-bc89-55bc587f4f5d"]},{"id":"ITEM-2","itemData":{"DOI":"10.1515/aoter-2017-0029","ISSN":"20836023","abstract":"The aim of this document is to present the topic of modeling district heating systems in order to enable optimization of their operation, with special focus on thermal energy storage in the pipelines. Two mathematical models for simulation of transient behavior of district heating networks have been described, and their results have been compared in a case study. The operational optimization in a DH system, especially if this system is supplied from a combined heat and power plant, is a difficult and complicated task. Finding a global financial optimum requires considering long periods of time and including thermal energy storage possibilities into consideration. One of the most interesting options for thermal energy storage is utilization of thermal inertia of the network itself. This approach requires no additional investment, while providing significant possibilities for heat load shifting. It is not feasible to use full topological models of the networks, comprising thousands of substations and network sections, for the purpose of operational optimization with thermal energy storage, because such models require long calculation times. In order to optimize planned thermal energy storage actions, it is necessary to model the transient behavior of the network in a very simple way - allowing for fast and reliable calculations. Two approaches to building such models have been presented. Both have been tested by comparing the results of simulation of the behavior of the same network. The characteristic features, advantages and disadvantages of both kinds of models have been identified. The results can prove useful for district heating system operators in the near future.","author":[{"dropping-particle":"","family":"Leśko","given":"Michał","non-dropping-particle":"","parse-names":false,"suffix":""},{"dropping-particle":"","family":"Bujalski","given":"Wojciech","non-dropping-particle":"","parse-names":false,"suffix":""}],"container-title":"Archives of Thermodynamics","id":"ITEM-2","issue":"4","issued":{"date-parts":[["2017"]]},"page":"139-163","title":"Modeling of District Heating Networks for the Purpose of Operational Optimization with Thermal Energy Storage","type":"article-journal","volume":"38"},"uris":["http://www.mendeley.com/documents/?uuid=758a62b2-9191-434c-bdfe-bc72201f02ba"]},{"id":"ITEM-3","itemData":{"DOI":"10.1016/j.enconman.2018.01.068","ISSN":"01968904","abstract":"Heat load variations in district heating systems lead to increased costs for heat generation and, in most cases, increased greenhouse gas emissions associated with the marginal use of fossil fuels. This work investigates the benefits of applying thermal energy storage in district heating systems to decrease heat load variations, comparing storage using a hot water tank and the thermal inertia of buildings (with similar storage capacity). A detailed techno-economic optimisation model is applied to the district heating system of Göteborg, Sweden. The results show that both the hot water tank and the thermal inertia of buildings benefit the operation of the district heating system and have similar dynamics of utilisation. However, compared to the thermal inertia of buildings, the hot water tank stores more than twice as much heat over the modelled year, owing to lower energy losses. For the same reason, only the hot water tank is used to store heat for periods longer than a few days. Furthermore, the hot water tank has its full capacity available for charging/discharging at all times, whereas the capacity of the thermal inertia of buildings depends on the heat transfer between the building core and its indoor air and internals. Finally, the total system yearly operating cost decreases by 1% when the thermal inertia of buildings and by 2% when the hot water tank is added to the district heating system, as compared to the scenario without any storage.","author":[{"dropping-particle":"","family":"Romanchenko","given":"Dmytro","non-dropping-particle":"","parse-names":false,"suffix":""},{"dropping-particle":"","family":"Kensby","given":"Johan","non-dropping-particle":"","parse-names":false,"suffix":""},{"dropping-particle":"","family":"Odenberger","given":"Mikael","non-dropping-particle":"","parse-names":false,"suffix":""},{"dropping-particle":"","family":"Johnsson","given":"Filip","non-dropping-particle":"","parse-names":false,"suffix":""}],"container-title":"Energy Conversion and Management","id":"ITEM-3","issue":"October 2017","issued":{"date-parts":[["2018"]]},"page":"26-38","publisher":"Elsevier","title":"Thermal energy storage in district heating: Centralised storage vs. storage in thermal inertia of buildings","type":"article-journal","volume":"162"},"uris":["http://www.mendeley.com/documents/?uuid=cb395029-5f1e-49b6-ba70-d706084d23e5"]}],"mendeley":{"formattedCitation":"(Basciotti &lt;i&gt;et al.&lt;/i&gt;, 2011; Leśko and Bujalski, 2017; Romanchenko &lt;i&gt;et al.&lt;/i&gt;, 2018)","plainTextFormattedCitation":"(Basciotti et al., 2011; Leśko and Bujalski, 2017; Romanchenko et al., 2018)","previouslyFormattedCitation":"(Basciotti &lt;i&gt;et al.&lt;/i&gt;, 2011; Leśko and Bujalski, 2017; Romanchenko &lt;i&gt;et al.&lt;/i&gt;, 2018)"},"properties":{"noteIndex":0},"schema":"https://github.com/citation-style-language/schema/raw/master/csl-citation.json"}</w:instrText>
      </w:r>
      <w:r w:rsidR="006B360F" w:rsidRPr="00C36B79">
        <w:rPr>
          <w:color w:val="000000" w:themeColor="text1"/>
        </w:rPr>
        <w:fldChar w:fldCharType="separate"/>
      </w:r>
      <w:r w:rsidR="006B360F" w:rsidRPr="006B360F">
        <w:rPr>
          <w:noProof/>
          <w:color w:val="000000" w:themeColor="text1"/>
        </w:rPr>
        <w:t xml:space="preserve">(Basciotti </w:t>
      </w:r>
      <w:r w:rsidR="006B360F" w:rsidRPr="006B360F">
        <w:rPr>
          <w:i/>
          <w:noProof/>
          <w:color w:val="000000" w:themeColor="text1"/>
        </w:rPr>
        <w:t>et al.</w:t>
      </w:r>
      <w:r w:rsidR="006B360F" w:rsidRPr="006B360F">
        <w:rPr>
          <w:noProof/>
          <w:color w:val="000000" w:themeColor="text1"/>
        </w:rPr>
        <w:t xml:space="preserve">, 2011; Leśko and Bujalski, 2017; Romanchenko </w:t>
      </w:r>
      <w:r w:rsidR="006B360F" w:rsidRPr="006B360F">
        <w:rPr>
          <w:i/>
          <w:noProof/>
          <w:color w:val="000000" w:themeColor="text1"/>
        </w:rPr>
        <w:t>et al.</w:t>
      </w:r>
      <w:r w:rsidR="006B360F" w:rsidRPr="006B360F">
        <w:rPr>
          <w:noProof/>
          <w:color w:val="000000" w:themeColor="text1"/>
        </w:rPr>
        <w:t>, 2018)</w:t>
      </w:r>
      <w:r w:rsidR="006B360F" w:rsidRPr="00C36B79">
        <w:rPr>
          <w:color w:val="000000" w:themeColor="text1"/>
        </w:rPr>
        <w:fldChar w:fldCharType="end"/>
      </w:r>
      <w:r w:rsidR="006B360F" w:rsidRPr="00C36B79">
        <w:rPr>
          <w:color w:val="000000" w:themeColor="text1"/>
        </w:rPr>
        <w:t>,</w:t>
      </w:r>
      <w:r w:rsidRPr="00C36B79">
        <w:rPr>
          <w:color w:val="000000" w:themeColor="text1"/>
        </w:rPr>
        <w:t xml:space="preserve">. The models used were taken directly from the work by </w:t>
      </w:r>
      <w:proofErr w:type="spellStart"/>
      <w:r w:rsidRPr="00C36B79">
        <w:rPr>
          <w:color w:val="000000" w:themeColor="text1"/>
        </w:rPr>
        <w:t>Romanchenko</w:t>
      </w:r>
      <w:proofErr w:type="spellEnd"/>
      <w:r w:rsidRPr="00C36B79">
        <w:rPr>
          <w:color w:val="000000" w:themeColor="text1"/>
        </w:rPr>
        <w:t xml:space="preserve">, </w:t>
      </w:r>
      <w:proofErr w:type="spellStart"/>
      <w:r w:rsidRPr="00C36B79">
        <w:rPr>
          <w:color w:val="000000" w:themeColor="text1"/>
        </w:rPr>
        <w:t>Basciotti</w:t>
      </w:r>
      <w:proofErr w:type="spellEnd"/>
      <w:r w:rsidRPr="00C36B79">
        <w:rPr>
          <w:color w:val="000000" w:themeColor="text1"/>
        </w:rPr>
        <w:t xml:space="preserve"> and </w:t>
      </w:r>
      <w:r w:rsidRPr="00C36B79">
        <w:rPr>
          <w:noProof/>
          <w:color w:val="000000" w:themeColor="text1"/>
        </w:rPr>
        <w:t>Leśko</w:t>
      </w:r>
      <w:r w:rsidRPr="00C36B79">
        <w:rPr>
          <w:color w:val="000000" w:themeColor="text1"/>
        </w:rPr>
        <w:t>.</w:t>
      </w:r>
    </w:p>
    <w:p w14:paraId="36EB9A47" w14:textId="77777777" w:rsidR="000F16EB" w:rsidRDefault="000F16EB" w:rsidP="000F16EB">
      <w:r>
        <w:t>All five scenarios were modelled for a year of operation, using a time step of one hour. After one year of operation, the costs and associated CO</w:t>
      </w:r>
      <w:r>
        <w:rPr>
          <w:vertAlign w:val="subscript"/>
        </w:rPr>
        <w:t>2</w:t>
      </w:r>
      <w:r>
        <w:t>e emissions were calculated and compared. The costs and associated CO</w:t>
      </w:r>
      <w:r>
        <w:rPr>
          <w:vertAlign w:val="subscript"/>
        </w:rPr>
        <w:t>2</w:t>
      </w:r>
      <w:r>
        <w:t xml:space="preserve">e emissions of buying the natural gas burner and the TES systems were included in the assessment. As the heat source came from a WHR source, </w:t>
      </w:r>
      <w:r>
        <w:lastRenderedPageBreak/>
        <w:t>no priority was given to any particular time period as there were no time dependent costs to consider. Instead, the optimisation began at time step one and worked chronologically.</w:t>
      </w:r>
    </w:p>
    <w:p w14:paraId="078A7448" w14:textId="1ADE7A52" w:rsidR="000F16EB" w:rsidRDefault="000F16EB" w:rsidP="000F16EB">
      <w:r>
        <w:t>The MILP optimisation was based around an energy balance over the pipe network</w:t>
      </w:r>
      <w:r w:rsidR="003E115C">
        <w:t xml:space="preserve"> for a time step of 1 hour</w:t>
      </w:r>
      <w:r>
        <w:t xml:space="preserve">, as shown in Equation </w:t>
      </w:r>
      <w:r>
        <w:fldChar w:fldCharType="begin"/>
      </w:r>
      <w:r>
        <w:instrText xml:space="preserve"> REF _Ref531103294 \h </w:instrText>
      </w:r>
      <w:r>
        <w:fldChar w:fldCharType="separate"/>
      </w:r>
      <w:r w:rsidR="00CB7456">
        <w:rPr>
          <w:noProof/>
        </w:rPr>
        <w:t>7</w:t>
      </w:r>
      <w:r w:rsidR="00CB7456">
        <w:t>.</w:t>
      </w:r>
      <w:r w:rsidR="00CB7456">
        <w:rPr>
          <w:noProof/>
        </w:rPr>
        <w:t>1</w:t>
      </w:r>
      <w:r>
        <w:fldChar w:fldCharType="end"/>
      </w:r>
      <w: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37"/>
        <w:gridCol w:w="518"/>
        <w:gridCol w:w="543"/>
      </w:tblGrid>
      <w:tr w:rsidR="000F16EB" w14:paraId="0B77C8D6" w14:textId="77777777" w:rsidTr="00A7521D">
        <w:tc>
          <w:tcPr>
            <w:tcW w:w="7137" w:type="dxa"/>
            <w:hideMark/>
          </w:tcPr>
          <w:p w14:paraId="659BA381" w14:textId="77777777" w:rsidR="000F16EB" w:rsidRDefault="00C73E04" w:rsidP="00A7521D">
            <w:pPr>
              <w:keepNext/>
            </w:pPr>
            <m:oMathPara>
              <m:oMathParaPr>
                <m:jc m:val="left"/>
              </m:oMathParaPr>
              <m:oMath>
                <m:sSub>
                  <m:sSubPr>
                    <m:ctrlPr>
                      <w:rPr>
                        <w:rFonts w:ascii="Cambria Math" w:hAnsi="Cambria Math"/>
                        <w:i/>
                      </w:rPr>
                    </m:ctrlPr>
                  </m:sSubPr>
                  <m:e>
                    <m:r>
                      <w:rPr>
                        <w:rFonts w:ascii="Cambria Math" w:hAnsi="Cambria Math"/>
                      </w:rPr>
                      <m:t>Q</m:t>
                    </m:r>
                  </m:e>
                  <m:sub>
                    <m:r>
                      <w:rPr>
                        <w:rFonts w:ascii="Cambria Math" w:hAnsi="Cambria Math"/>
                      </w:rPr>
                      <m:t>prod</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cons</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loss</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stored</m:t>
                    </m:r>
                  </m:sub>
                </m:sSub>
              </m:oMath>
            </m:oMathPara>
          </w:p>
        </w:tc>
        <w:tc>
          <w:tcPr>
            <w:tcW w:w="518" w:type="dxa"/>
          </w:tcPr>
          <w:p w14:paraId="1EDC724B" w14:textId="77777777" w:rsidR="000F16EB" w:rsidRDefault="000F16EB" w:rsidP="00A7521D">
            <w:pPr>
              <w:pStyle w:val="Caption"/>
              <w:jc w:val="right"/>
            </w:pPr>
          </w:p>
        </w:tc>
        <w:bookmarkStart w:id="759" w:name="_Ref531103294"/>
        <w:tc>
          <w:tcPr>
            <w:tcW w:w="543" w:type="dxa"/>
            <w:vAlign w:val="center"/>
          </w:tcPr>
          <w:p w14:paraId="0A196657" w14:textId="634A7591" w:rsidR="000F16EB" w:rsidRPr="000C6BA1" w:rsidRDefault="000F16EB" w:rsidP="00A7521D">
            <w:pPr>
              <w:pStyle w:val="Caption"/>
              <w:jc w:val="right"/>
              <w:rPr>
                <w:b w:val="0"/>
              </w:rPr>
            </w:pPr>
            <w:r>
              <w:fldChar w:fldCharType="begin"/>
            </w:r>
            <w:r>
              <w:instrText xml:space="preserve"> STYLEREF 1 \s </w:instrText>
            </w:r>
            <w:r>
              <w:fldChar w:fldCharType="separate"/>
            </w:r>
            <w:r w:rsidR="00CB7456">
              <w:rPr>
                <w:noProof/>
              </w:rPr>
              <w:t>7</w:t>
            </w:r>
            <w:r>
              <w:fldChar w:fldCharType="end"/>
            </w:r>
            <w:r>
              <w:t>.</w:t>
            </w:r>
            <w:r>
              <w:rPr>
                <w:noProof/>
              </w:rPr>
              <w:fldChar w:fldCharType="begin"/>
            </w:r>
            <w:r>
              <w:rPr>
                <w:noProof/>
              </w:rPr>
              <w:instrText xml:space="preserve"> SEQ Equation \* ARABIC \s 1 </w:instrText>
            </w:r>
            <w:r>
              <w:rPr>
                <w:noProof/>
              </w:rPr>
              <w:fldChar w:fldCharType="separate"/>
            </w:r>
            <w:r w:rsidR="00CB7456">
              <w:rPr>
                <w:noProof/>
              </w:rPr>
              <w:t>1</w:t>
            </w:r>
            <w:r>
              <w:rPr>
                <w:noProof/>
              </w:rPr>
              <w:fldChar w:fldCharType="end"/>
            </w:r>
            <w:bookmarkEnd w:id="759"/>
          </w:p>
        </w:tc>
      </w:tr>
    </w:tbl>
    <w:p w14:paraId="0D607A2F" w14:textId="77777777" w:rsidR="000F16EB" w:rsidRDefault="000F16EB" w:rsidP="00A022C9">
      <w:pPr>
        <w:pStyle w:val="NoSpacing"/>
      </w:pPr>
    </w:p>
    <w:p w14:paraId="493C18A4" w14:textId="77777777" w:rsidR="000F16EB" w:rsidRDefault="00C73E04" w:rsidP="000F16EB">
      <w:pPr>
        <w:pStyle w:val="NoSpacing"/>
      </w:pPr>
      <m:oMath>
        <m:sSub>
          <m:sSubPr>
            <m:ctrlPr>
              <w:rPr>
                <w:rFonts w:ascii="Cambria Math" w:hAnsi="Cambria Math"/>
                <w:i/>
              </w:rPr>
            </m:ctrlPr>
          </m:sSubPr>
          <m:e>
            <m:r>
              <w:rPr>
                <w:rFonts w:ascii="Cambria Math" w:hAnsi="Cambria Math"/>
              </w:rPr>
              <m:t>Q</m:t>
            </m:r>
          </m:e>
          <m:sub>
            <m:r>
              <w:rPr>
                <w:rFonts w:ascii="Cambria Math" w:hAnsi="Cambria Math"/>
              </w:rPr>
              <m:t>prod</m:t>
            </m:r>
          </m:sub>
        </m:sSub>
      </m:oMath>
      <w:r w:rsidR="000F16EB">
        <w:t xml:space="preserve"> was the energy pr</w:t>
      </w:r>
      <w:proofErr w:type="spellStart"/>
      <w:r w:rsidR="000F16EB">
        <w:t>oduced</w:t>
      </w:r>
      <w:proofErr w:type="spellEnd"/>
      <w:r w:rsidR="000F16EB">
        <w:t xml:space="preserve"> by the TE generating centre (MWh),</w:t>
      </w:r>
    </w:p>
    <w:p w14:paraId="218A34EE" w14:textId="77777777" w:rsidR="000F16EB" w:rsidRDefault="00C73E04" w:rsidP="000F16EB">
      <w:pPr>
        <w:pStyle w:val="NoSpacing"/>
      </w:pPr>
      <m:oMath>
        <m:sSub>
          <m:sSubPr>
            <m:ctrlPr>
              <w:rPr>
                <w:rFonts w:ascii="Cambria Math" w:hAnsi="Cambria Math"/>
                <w:i/>
              </w:rPr>
            </m:ctrlPr>
          </m:sSubPr>
          <m:e>
            <m:r>
              <w:rPr>
                <w:rFonts w:ascii="Cambria Math" w:hAnsi="Cambria Math"/>
              </w:rPr>
              <m:t>Q</m:t>
            </m:r>
          </m:e>
          <m:sub>
            <m:r>
              <w:rPr>
                <w:rFonts w:ascii="Cambria Math" w:hAnsi="Cambria Math"/>
              </w:rPr>
              <m:t>cons</m:t>
            </m:r>
          </m:sub>
        </m:sSub>
      </m:oMath>
      <w:r w:rsidR="000F16EB">
        <w:t xml:space="preserve"> was the energy consumed by the customers connected to the DHN (MWh),</w:t>
      </w:r>
    </w:p>
    <w:p w14:paraId="4E1D50C6" w14:textId="77777777" w:rsidR="000F16EB" w:rsidRDefault="00C73E04" w:rsidP="000F16EB">
      <w:pPr>
        <w:pStyle w:val="NoSpacing"/>
      </w:pPr>
      <m:oMath>
        <m:sSub>
          <m:sSubPr>
            <m:ctrlPr>
              <w:rPr>
                <w:rFonts w:ascii="Cambria Math" w:hAnsi="Cambria Math"/>
                <w:i/>
              </w:rPr>
            </m:ctrlPr>
          </m:sSubPr>
          <m:e>
            <m:r>
              <w:rPr>
                <w:rFonts w:ascii="Cambria Math" w:hAnsi="Cambria Math"/>
              </w:rPr>
              <m:t>Q</m:t>
            </m:r>
          </m:e>
          <m:sub>
            <m:r>
              <w:rPr>
                <w:rFonts w:ascii="Cambria Math" w:hAnsi="Cambria Math"/>
              </w:rPr>
              <m:t>losses</m:t>
            </m:r>
          </m:sub>
        </m:sSub>
      </m:oMath>
      <w:r w:rsidR="000F16EB">
        <w:t xml:space="preserve"> </w:t>
      </w:r>
      <w:proofErr w:type="gramStart"/>
      <w:r w:rsidR="000F16EB">
        <w:t>was</w:t>
      </w:r>
      <w:proofErr w:type="gramEnd"/>
      <w:r w:rsidR="000F16EB">
        <w:t xml:space="preserve"> the energy losses from the DHN (MWh),</w:t>
      </w:r>
    </w:p>
    <w:p w14:paraId="55B08C40" w14:textId="77777777" w:rsidR="000F16EB" w:rsidRDefault="00C73E04" w:rsidP="000F16EB">
      <m:oMath>
        <m:sSub>
          <m:sSubPr>
            <m:ctrlPr>
              <w:rPr>
                <w:rFonts w:ascii="Cambria Math" w:hAnsi="Cambria Math"/>
                <w:i/>
              </w:rPr>
            </m:ctrlPr>
          </m:sSubPr>
          <m:e>
            <m:r>
              <w:rPr>
                <w:rFonts w:ascii="Cambria Math" w:hAnsi="Cambria Math"/>
              </w:rPr>
              <m:t>Q</m:t>
            </m:r>
          </m:e>
          <m:sub>
            <m:r>
              <w:rPr>
                <w:rFonts w:ascii="Cambria Math" w:hAnsi="Cambria Math"/>
              </w:rPr>
              <m:t>stored</m:t>
            </m:r>
          </m:sub>
        </m:sSub>
      </m:oMath>
      <w:r w:rsidR="000F16EB">
        <w:t xml:space="preserve"> was the energy stored in the TES system connected to the DHN (MWh).</w:t>
      </w:r>
    </w:p>
    <w:p w14:paraId="710168A9" w14:textId="77777777" w:rsidR="000F16EB" w:rsidRDefault="000F16EB" w:rsidP="000F16EB">
      <w:pPr>
        <w:pStyle w:val="Heading3"/>
      </w:pPr>
      <w:bookmarkStart w:id="760" w:name="_Toc525230026"/>
      <w:bookmarkStart w:id="761" w:name="_Toc7187553"/>
      <w:r>
        <w:t>Hot Water Tank Methodology</w:t>
      </w:r>
      <w:bookmarkEnd w:id="760"/>
      <w:bookmarkEnd w:id="761"/>
    </w:p>
    <w:p w14:paraId="5E190D6F" w14:textId="5A4C9709" w:rsidR="000F16EB" w:rsidRPr="003650C8" w:rsidRDefault="000F16EB" w:rsidP="000F16EB">
      <w:r>
        <w:t xml:space="preserve">The HWT based optimisation was calculated based on an energy balance model, as shown in </w:t>
      </w:r>
      <w:r w:rsidRPr="003650C8">
        <w:t xml:space="preserve">Equation </w:t>
      </w:r>
      <w:r w:rsidRPr="003650C8">
        <w:fldChar w:fldCharType="begin"/>
      </w:r>
      <w:r w:rsidRPr="003650C8">
        <w:instrText xml:space="preserve"> REF _Ref531103444 \h </w:instrText>
      </w:r>
      <w:r w:rsidRPr="003650C8">
        <w:fldChar w:fldCharType="separate"/>
      </w:r>
      <w:r w:rsidR="00CB7456">
        <w:rPr>
          <w:noProof/>
        </w:rPr>
        <w:t>7</w:t>
      </w:r>
      <w:r w:rsidR="00CB7456" w:rsidRPr="003650C8">
        <w:t>.</w:t>
      </w:r>
      <w:r w:rsidR="00CB7456">
        <w:rPr>
          <w:noProof/>
        </w:rPr>
        <w:t>2</w:t>
      </w:r>
      <w:r w:rsidRPr="003650C8">
        <w:fldChar w:fldCharType="end"/>
      </w:r>
      <w:r w:rsidRPr="003650C8">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37"/>
        <w:gridCol w:w="518"/>
        <w:gridCol w:w="543"/>
      </w:tblGrid>
      <w:tr w:rsidR="000F16EB" w:rsidRPr="003650C8" w14:paraId="46681C47" w14:textId="77777777" w:rsidTr="00A7521D">
        <w:tc>
          <w:tcPr>
            <w:tcW w:w="7137" w:type="dxa"/>
            <w:hideMark/>
          </w:tcPr>
          <w:p w14:paraId="022546DA" w14:textId="4724ADD6" w:rsidR="000F16EB" w:rsidRPr="003650C8" w:rsidRDefault="00C73E04" w:rsidP="00A7521D">
            <w:pPr>
              <w:keepNext/>
            </w:pPr>
            <m:oMathPara>
              <m:oMathParaPr>
                <m:jc m:val="left"/>
              </m:oMathParaPr>
              <m:oMath>
                <m:sSubSup>
                  <m:sSubSupPr>
                    <m:ctrlPr>
                      <w:rPr>
                        <w:rFonts w:ascii="Cambria Math" w:hAnsi="Cambria Math"/>
                        <w:i/>
                      </w:rPr>
                    </m:ctrlPr>
                  </m:sSubSupPr>
                  <m:e>
                    <m:r>
                      <w:rPr>
                        <w:rFonts w:ascii="Cambria Math" w:hAnsi="Cambria Math"/>
                      </w:rPr>
                      <m:t>Q</m:t>
                    </m:r>
                  </m:e>
                  <m:sub>
                    <m:r>
                      <w:rPr>
                        <w:rFonts w:ascii="Cambria Math" w:hAnsi="Cambria Math"/>
                      </w:rPr>
                      <m:t>stored, t</m:t>
                    </m:r>
                  </m:sub>
                  <m:sup>
                    <m:r>
                      <w:rPr>
                        <w:rFonts w:ascii="Cambria Math" w:hAnsi="Cambria Math"/>
                      </w:rPr>
                      <m:t>HWT</m:t>
                    </m:r>
                  </m:sup>
                </m:sSubSup>
                <m:r>
                  <w:rPr>
                    <w:rFonts w:ascii="Cambria Math" w:hAnsi="Cambria Math"/>
                  </w:rPr>
                  <m:t>=</m:t>
                </m:r>
                <m:sSubSup>
                  <m:sSubSupPr>
                    <m:ctrlPr>
                      <w:rPr>
                        <w:rFonts w:ascii="Cambria Math" w:hAnsi="Cambria Math"/>
                        <w:i/>
                      </w:rPr>
                    </m:ctrlPr>
                  </m:sSubSupPr>
                  <m:e>
                    <m:r>
                      <w:rPr>
                        <w:rFonts w:ascii="Cambria Math" w:hAnsi="Cambria Math"/>
                      </w:rPr>
                      <m:t>Q</m:t>
                    </m:r>
                  </m:e>
                  <m:sub>
                    <m:r>
                      <w:rPr>
                        <w:rFonts w:ascii="Cambria Math" w:hAnsi="Cambria Math"/>
                      </w:rPr>
                      <m:t>stored,t-1</m:t>
                    </m:r>
                  </m:sub>
                  <m:sup>
                    <m:r>
                      <w:rPr>
                        <w:rFonts w:ascii="Cambria Math" w:hAnsi="Cambria Math"/>
                      </w:rPr>
                      <m:t>HWT</m:t>
                    </m:r>
                  </m:sup>
                </m:sSubSup>
                <m:r>
                  <w:rPr>
                    <w:rFonts w:ascii="Cambria Math" w:hAnsi="Cambria Math"/>
                  </w:rPr>
                  <m:t>+</m:t>
                </m:r>
                <m:sSubSup>
                  <m:sSubSupPr>
                    <m:ctrlPr>
                      <w:rPr>
                        <w:rFonts w:ascii="Cambria Math" w:hAnsi="Cambria Math"/>
                        <w:i/>
                      </w:rPr>
                    </m:ctrlPr>
                  </m:sSubSupPr>
                  <m:e>
                    <m:r>
                      <w:rPr>
                        <w:rFonts w:ascii="Cambria Math" w:hAnsi="Cambria Math"/>
                      </w:rPr>
                      <m:t>Q</m:t>
                    </m:r>
                  </m:e>
                  <m:sub>
                    <m:r>
                      <w:rPr>
                        <w:rFonts w:ascii="Cambria Math" w:hAnsi="Cambria Math"/>
                      </w:rPr>
                      <m:t>ch,t</m:t>
                    </m:r>
                  </m:sub>
                  <m:sup>
                    <m:r>
                      <w:rPr>
                        <w:rFonts w:ascii="Cambria Math" w:hAnsi="Cambria Math"/>
                      </w:rPr>
                      <m:t>HWT</m:t>
                    </m:r>
                  </m:sup>
                </m:sSubSup>
                <m:sSub>
                  <m:sSubPr>
                    <m:ctrlPr>
                      <w:rPr>
                        <w:rFonts w:ascii="Cambria Math" w:hAnsi="Cambria Math"/>
                        <w:i/>
                      </w:rPr>
                    </m:ctrlPr>
                  </m:sSubPr>
                  <m:e>
                    <m:r>
                      <w:rPr>
                        <w:rFonts w:ascii="Cambria Math" w:hAnsi="Cambria Math"/>
                      </w:rPr>
                      <m:t>η</m:t>
                    </m:r>
                  </m:e>
                  <m:sub>
                    <m:r>
                      <w:rPr>
                        <w:rFonts w:ascii="Cambria Math" w:hAnsi="Cambria Math"/>
                      </w:rPr>
                      <m:t>ch</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Q</m:t>
                        </m:r>
                      </m:e>
                      <m:sub>
                        <m:r>
                          <w:rPr>
                            <w:rFonts w:ascii="Cambria Math" w:hAnsi="Cambria Math"/>
                          </w:rPr>
                          <m:t>disch,t</m:t>
                        </m:r>
                      </m:sub>
                      <m:sup>
                        <m:r>
                          <w:rPr>
                            <w:rFonts w:ascii="Cambria Math" w:hAnsi="Cambria Math"/>
                          </w:rPr>
                          <m:t>HWT</m:t>
                        </m:r>
                      </m:sup>
                    </m:sSubSup>
                  </m:num>
                  <m:den>
                    <m:sSub>
                      <m:sSubPr>
                        <m:ctrlPr>
                          <w:rPr>
                            <w:rFonts w:ascii="Cambria Math" w:hAnsi="Cambria Math"/>
                            <w:i/>
                          </w:rPr>
                        </m:ctrlPr>
                      </m:sSubPr>
                      <m:e>
                        <m:r>
                          <w:rPr>
                            <w:rFonts w:ascii="Cambria Math" w:hAnsi="Cambria Math"/>
                          </w:rPr>
                          <m:t>η</m:t>
                        </m:r>
                      </m:e>
                      <m:sub>
                        <m:r>
                          <w:rPr>
                            <w:rFonts w:ascii="Cambria Math" w:hAnsi="Cambria Math"/>
                          </w:rPr>
                          <m:t>disch</m:t>
                        </m:r>
                      </m:sub>
                    </m:sSub>
                  </m:den>
                </m:f>
                <m:r>
                  <w:rPr>
                    <w:rFonts w:ascii="Cambria Math" w:hAnsi="Cambria Math"/>
                  </w:rPr>
                  <m:t>-</m:t>
                </m:r>
                <m:sSubSup>
                  <m:sSubSupPr>
                    <m:ctrlPr>
                      <w:rPr>
                        <w:rFonts w:ascii="Cambria Math" w:hAnsi="Cambria Math"/>
                        <w:i/>
                      </w:rPr>
                    </m:ctrlPr>
                  </m:sSubSupPr>
                  <m:e>
                    <m:r>
                      <w:rPr>
                        <w:rFonts w:ascii="Cambria Math" w:hAnsi="Cambria Math"/>
                      </w:rPr>
                      <m:t>P</m:t>
                    </m:r>
                  </m:e>
                  <m:sub>
                    <m:r>
                      <w:rPr>
                        <w:rFonts w:ascii="Cambria Math" w:hAnsi="Cambria Math"/>
                      </w:rPr>
                      <m:t>loss,t</m:t>
                    </m:r>
                  </m:sub>
                  <m:sup>
                    <m:r>
                      <w:rPr>
                        <w:rFonts w:ascii="Cambria Math" w:hAnsi="Cambria Math"/>
                      </w:rPr>
                      <m:t>HWT</m:t>
                    </m:r>
                  </m:sup>
                </m:sSubSup>
                <m:r>
                  <w:rPr>
                    <w:rFonts w:ascii="Cambria Math" w:hAnsi="Cambria Math"/>
                  </w:rPr>
                  <m:t>∆t</m:t>
                </m:r>
              </m:oMath>
            </m:oMathPara>
          </w:p>
        </w:tc>
        <w:tc>
          <w:tcPr>
            <w:tcW w:w="518" w:type="dxa"/>
          </w:tcPr>
          <w:p w14:paraId="6B1BBF68" w14:textId="77777777" w:rsidR="000F16EB" w:rsidRPr="003650C8" w:rsidRDefault="000F16EB" w:rsidP="00A7521D">
            <w:pPr>
              <w:pStyle w:val="Caption"/>
              <w:jc w:val="right"/>
            </w:pPr>
          </w:p>
        </w:tc>
        <w:bookmarkStart w:id="762" w:name="_Ref531103444"/>
        <w:tc>
          <w:tcPr>
            <w:tcW w:w="543" w:type="dxa"/>
            <w:vAlign w:val="center"/>
          </w:tcPr>
          <w:p w14:paraId="228AEB0D" w14:textId="085A48E0" w:rsidR="000F16EB" w:rsidRPr="003650C8" w:rsidRDefault="000F16EB" w:rsidP="00A7521D">
            <w:pPr>
              <w:pStyle w:val="Caption"/>
              <w:jc w:val="right"/>
              <w:rPr>
                <w:b w:val="0"/>
              </w:rPr>
            </w:pPr>
            <w:r w:rsidRPr="003650C8">
              <w:fldChar w:fldCharType="begin"/>
            </w:r>
            <w:r w:rsidRPr="003650C8">
              <w:instrText xml:space="preserve"> STYLEREF 1 \s </w:instrText>
            </w:r>
            <w:r w:rsidRPr="003650C8">
              <w:fldChar w:fldCharType="separate"/>
            </w:r>
            <w:r w:rsidR="00CB7456">
              <w:rPr>
                <w:noProof/>
              </w:rPr>
              <w:t>7</w:t>
            </w:r>
            <w:r w:rsidRPr="003650C8">
              <w:fldChar w:fldCharType="end"/>
            </w:r>
            <w:r w:rsidRPr="003650C8">
              <w:t>.</w:t>
            </w:r>
            <w:r w:rsidRPr="003650C8">
              <w:rPr>
                <w:noProof/>
              </w:rPr>
              <w:fldChar w:fldCharType="begin"/>
            </w:r>
            <w:r w:rsidRPr="003650C8">
              <w:rPr>
                <w:noProof/>
              </w:rPr>
              <w:instrText xml:space="preserve"> SEQ Equation \* ARABIC \s 1 </w:instrText>
            </w:r>
            <w:r w:rsidRPr="003650C8">
              <w:rPr>
                <w:noProof/>
              </w:rPr>
              <w:fldChar w:fldCharType="separate"/>
            </w:r>
            <w:r w:rsidR="00CB7456">
              <w:rPr>
                <w:noProof/>
              </w:rPr>
              <w:t>2</w:t>
            </w:r>
            <w:r w:rsidRPr="003650C8">
              <w:rPr>
                <w:noProof/>
              </w:rPr>
              <w:fldChar w:fldCharType="end"/>
            </w:r>
            <w:bookmarkEnd w:id="762"/>
          </w:p>
        </w:tc>
      </w:tr>
    </w:tbl>
    <w:p w14:paraId="23119F5E" w14:textId="77777777" w:rsidR="000F16EB" w:rsidRPr="003650C8" w:rsidRDefault="000F16EB" w:rsidP="003650C8">
      <w:pPr>
        <w:pStyle w:val="NoSpacing"/>
      </w:pPr>
    </w:p>
    <w:p w14:paraId="761BAF3D" w14:textId="77777777" w:rsidR="000F16EB" w:rsidRPr="003650C8" w:rsidRDefault="00C73E04" w:rsidP="000F16EB">
      <w:pPr>
        <w:pStyle w:val="NoSpacing"/>
      </w:pPr>
      <m:oMath>
        <m:sSubSup>
          <m:sSubSupPr>
            <m:ctrlPr>
              <w:rPr>
                <w:rFonts w:ascii="Cambria Math" w:hAnsi="Cambria Math"/>
                <w:i/>
              </w:rPr>
            </m:ctrlPr>
          </m:sSubSupPr>
          <m:e>
            <m:r>
              <w:rPr>
                <w:rFonts w:ascii="Cambria Math" w:hAnsi="Cambria Math"/>
              </w:rPr>
              <m:t>Q</m:t>
            </m:r>
          </m:e>
          <m:sub>
            <m:r>
              <w:rPr>
                <w:rFonts w:ascii="Cambria Math" w:hAnsi="Cambria Math"/>
              </w:rPr>
              <m:t>stored, t</m:t>
            </m:r>
          </m:sub>
          <m:sup>
            <m:r>
              <w:rPr>
                <w:rFonts w:ascii="Cambria Math" w:hAnsi="Cambria Math"/>
              </w:rPr>
              <m:t>HWT</m:t>
            </m:r>
          </m:sup>
        </m:sSubSup>
      </m:oMath>
      <w:r w:rsidR="000F16EB" w:rsidRPr="003650C8">
        <w:t xml:space="preserve"> was the energy stored in the HWT at the time step, </w:t>
      </w:r>
      <w:r w:rsidR="000F16EB" w:rsidRPr="003650C8">
        <w:rPr>
          <w:i/>
        </w:rPr>
        <w:t xml:space="preserve">t </w:t>
      </w:r>
      <w:r w:rsidR="000F16EB" w:rsidRPr="003650C8">
        <w:t>(MWh),</w:t>
      </w:r>
    </w:p>
    <w:p w14:paraId="1F1EAC0D" w14:textId="77777777" w:rsidR="000F16EB" w:rsidRPr="003650C8" w:rsidRDefault="00C73E04" w:rsidP="000F16EB">
      <w:pPr>
        <w:pStyle w:val="NoSpacing"/>
      </w:pPr>
      <m:oMath>
        <m:sSubSup>
          <m:sSubSupPr>
            <m:ctrlPr>
              <w:rPr>
                <w:rFonts w:ascii="Cambria Math" w:hAnsi="Cambria Math"/>
                <w:i/>
              </w:rPr>
            </m:ctrlPr>
          </m:sSubSupPr>
          <m:e>
            <m:r>
              <w:rPr>
                <w:rFonts w:ascii="Cambria Math" w:hAnsi="Cambria Math"/>
              </w:rPr>
              <m:t>Q</m:t>
            </m:r>
          </m:e>
          <m:sub>
            <m:r>
              <w:rPr>
                <w:rFonts w:ascii="Cambria Math" w:hAnsi="Cambria Math"/>
              </w:rPr>
              <m:t>stored,t-1</m:t>
            </m:r>
          </m:sub>
          <m:sup>
            <m:r>
              <w:rPr>
                <w:rFonts w:ascii="Cambria Math" w:hAnsi="Cambria Math"/>
              </w:rPr>
              <m:t>HWT</m:t>
            </m:r>
          </m:sup>
        </m:sSubSup>
      </m:oMath>
      <w:r w:rsidR="000F16EB" w:rsidRPr="003650C8">
        <w:t xml:space="preserve"> was the ene</w:t>
      </w:r>
      <w:proofErr w:type="spellStart"/>
      <w:r w:rsidR="000F16EB" w:rsidRPr="003650C8">
        <w:t>rgy</w:t>
      </w:r>
      <w:proofErr w:type="spellEnd"/>
      <w:r w:rsidR="000F16EB" w:rsidRPr="003650C8">
        <w:t xml:space="preserve"> stored in the HWT at the previous time step, </w:t>
      </w:r>
      <w:r w:rsidR="000F16EB" w:rsidRPr="003650C8">
        <w:rPr>
          <w:i/>
        </w:rPr>
        <w:t xml:space="preserve">t-1 </w:t>
      </w:r>
      <w:r w:rsidR="000F16EB" w:rsidRPr="003650C8">
        <w:t>(MWh),</w:t>
      </w:r>
    </w:p>
    <w:p w14:paraId="76BB2FFB" w14:textId="14B49994" w:rsidR="000F16EB" w:rsidRPr="003650C8" w:rsidRDefault="00C73E04" w:rsidP="000F16EB">
      <w:pPr>
        <w:pStyle w:val="NoSpacing"/>
      </w:pPr>
      <m:oMath>
        <m:sSubSup>
          <m:sSubSupPr>
            <m:ctrlPr>
              <w:rPr>
                <w:rFonts w:ascii="Cambria Math" w:hAnsi="Cambria Math"/>
                <w:i/>
              </w:rPr>
            </m:ctrlPr>
          </m:sSubSupPr>
          <m:e>
            <m:r>
              <w:rPr>
                <w:rFonts w:ascii="Cambria Math" w:hAnsi="Cambria Math"/>
              </w:rPr>
              <m:t>Q</m:t>
            </m:r>
          </m:e>
          <m:sub>
            <m:r>
              <w:rPr>
                <w:rFonts w:ascii="Cambria Math" w:hAnsi="Cambria Math"/>
              </w:rPr>
              <m:t>ch,t</m:t>
            </m:r>
          </m:sub>
          <m:sup>
            <m:r>
              <w:rPr>
                <w:rFonts w:ascii="Cambria Math" w:hAnsi="Cambria Math"/>
              </w:rPr>
              <m:t>HWT</m:t>
            </m:r>
          </m:sup>
        </m:sSubSup>
      </m:oMath>
      <w:r w:rsidR="000F16EB" w:rsidRPr="003650C8">
        <w:t xml:space="preserve"> was the </w:t>
      </w:r>
      <w:r w:rsidR="00C36B79" w:rsidRPr="003650C8">
        <w:t>energy added to the</w:t>
      </w:r>
      <w:r w:rsidR="000F16EB" w:rsidRPr="003650C8">
        <w:t xml:space="preserve"> HWT at time step, </w:t>
      </w:r>
      <w:r w:rsidR="000F16EB" w:rsidRPr="003650C8">
        <w:rPr>
          <w:i/>
        </w:rPr>
        <w:t xml:space="preserve">t </w:t>
      </w:r>
      <w:r w:rsidR="000F16EB" w:rsidRPr="003650C8">
        <w:t>(MW</w:t>
      </w:r>
      <w:r w:rsidR="00C97677" w:rsidRPr="003650C8">
        <w:t>h/h</w:t>
      </w:r>
      <w:r w:rsidR="000F16EB" w:rsidRPr="003650C8">
        <w:t>),</w:t>
      </w:r>
    </w:p>
    <w:p w14:paraId="062CB868" w14:textId="77777777" w:rsidR="000F16EB" w:rsidRPr="003650C8" w:rsidRDefault="00C73E04" w:rsidP="000F16EB">
      <w:pPr>
        <w:pStyle w:val="NoSpacing"/>
      </w:pPr>
      <m:oMath>
        <m:sSub>
          <m:sSubPr>
            <m:ctrlPr>
              <w:rPr>
                <w:rFonts w:ascii="Cambria Math" w:hAnsi="Cambria Math"/>
                <w:i/>
              </w:rPr>
            </m:ctrlPr>
          </m:sSubPr>
          <m:e>
            <m:r>
              <w:rPr>
                <w:rFonts w:ascii="Cambria Math" w:hAnsi="Cambria Math"/>
              </w:rPr>
              <m:t>η</m:t>
            </m:r>
          </m:e>
          <m:sub>
            <m:r>
              <w:rPr>
                <w:rFonts w:ascii="Cambria Math" w:hAnsi="Cambria Math"/>
              </w:rPr>
              <m:t>ch</m:t>
            </m:r>
          </m:sub>
        </m:sSub>
      </m:oMath>
      <w:r w:rsidR="000F16EB" w:rsidRPr="003650C8">
        <w:t xml:space="preserve"> was the efficiency of charging the HWT (%),</w:t>
      </w:r>
    </w:p>
    <w:p w14:paraId="7CAB29F2" w14:textId="70EED1B1" w:rsidR="000F16EB" w:rsidRPr="003650C8" w:rsidRDefault="00C73E04" w:rsidP="000F16EB">
      <w:pPr>
        <w:pStyle w:val="NoSpacing"/>
      </w:pPr>
      <m:oMath>
        <m:sSubSup>
          <m:sSubSupPr>
            <m:ctrlPr>
              <w:rPr>
                <w:rFonts w:ascii="Cambria Math" w:hAnsi="Cambria Math"/>
                <w:i/>
              </w:rPr>
            </m:ctrlPr>
          </m:sSubSupPr>
          <m:e>
            <m:r>
              <w:rPr>
                <w:rFonts w:ascii="Cambria Math" w:hAnsi="Cambria Math"/>
              </w:rPr>
              <m:t>Q</m:t>
            </m:r>
          </m:e>
          <m:sub>
            <m:r>
              <w:rPr>
                <w:rFonts w:ascii="Cambria Math" w:hAnsi="Cambria Math"/>
              </w:rPr>
              <m:t>disch,t</m:t>
            </m:r>
          </m:sub>
          <m:sup>
            <m:r>
              <w:rPr>
                <w:rFonts w:ascii="Cambria Math" w:hAnsi="Cambria Math"/>
              </w:rPr>
              <m:t>HWT</m:t>
            </m:r>
          </m:sup>
        </m:sSubSup>
      </m:oMath>
      <w:r w:rsidR="000F16EB" w:rsidRPr="003650C8">
        <w:t xml:space="preserve"> was the </w:t>
      </w:r>
      <w:r w:rsidR="00C36B79" w:rsidRPr="003650C8">
        <w:t>energy removed from</w:t>
      </w:r>
      <w:r w:rsidR="000F16EB" w:rsidRPr="003650C8">
        <w:t xml:space="preserve"> the HWT at time step, </w:t>
      </w:r>
      <w:r w:rsidR="000F16EB" w:rsidRPr="003650C8">
        <w:rPr>
          <w:i/>
        </w:rPr>
        <w:t xml:space="preserve">t </w:t>
      </w:r>
      <w:r w:rsidR="000F16EB" w:rsidRPr="003650C8">
        <w:t>(MW</w:t>
      </w:r>
      <w:r w:rsidR="00C97677" w:rsidRPr="003650C8">
        <w:t>h/h</w:t>
      </w:r>
      <w:r w:rsidR="000F16EB" w:rsidRPr="003650C8">
        <w:t>),</w:t>
      </w:r>
    </w:p>
    <w:p w14:paraId="4D7523A5" w14:textId="77777777" w:rsidR="000F16EB" w:rsidRPr="003650C8" w:rsidRDefault="00C73E04" w:rsidP="000F16EB">
      <w:pPr>
        <w:pStyle w:val="NoSpacing"/>
      </w:pPr>
      <m:oMath>
        <m:sSub>
          <m:sSubPr>
            <m:ctrlPr>
              <w:rPr>
                <w:rFonts w:ascii="Cambria Math" w:hAnsi="Cambria Math"/>
                <w:i/>
              </w:rPr>
            </m:ctrlPr>
          </m:sSubPr>
          <m:e>
            <m:r>
              <w:rPr>
                <w:rFonts w:ascii="Cambria Math" w:hAnsi="Cambria Math"/>
              </w:rPr>
              <m:t>η</m:t>
            </m:r>
          </m:e>
          <m:sub>
            <m:r>
              <w:rPr>
                <w:rFonts w:ascii="Cambria Math" w:hAnsi="Cambria Math"/>
              </w:rPr>
              <m:t>disch</m:t>
            </m:r>
          </m:sub>
        </m:sSub>
      </m:oMath>
      <w:r w:rsidR="000F16EB" w:rsidRPr="003650C8">
        <w:t xml:space="preserve"> was the efficiency of discharging the HWT (%),</w:t>
      </w:r>
    </w:p>
    <w:p w14:paraId="21E55F2A" w14:textId="1A6C17AE" w:rsidR="000F16EB" w:rsidRDefault="00C73E04" w:rsidP="003E115C">
      <w:pPr>
        <w:pStyle w:val="NoSpacing"/>
      </w:pPr>
      <m:oMath>
        <m:sSubSup>
          <m:sSubSupPr>
            <m:ctrlPr>
              <w:rPr>
                <w:rFonts w:ascii="Cambria Math" w:hAnsi="Cambria Math"/>
                <w:i/>
              </w:rPr>
            </m:ctrlPr>
          </m:sSubSupPr>
          <m:e>
            <m:r>
              <w:rPr>
                <w:rFonts w:ascii="Cambria Math" w:hAnsi="Cambria Math"/>
              </w:rPr>
              <m:t>P</m:t>
            </m:r>
          </m:e>
          <m:sub>
            <m:r>
              <w:rPr>
                <w:rFonts w:ascii="Cambria Math" w:hAnsi="Cambria Math"/>
              </w:rPr>
              <m:t>loss,t</m:t>
            </m:r>
          </m:sub>
          <m:sup>
            <m:r>
              <w:rPr>
                <w:rFonts w:ascii="Cambria Math" w:hAnsi="Cambria Math"/>
              </w:rPr>
              <m:t>HWT</m:t>
            </m:r>
          </m:sup>
        </m:sSubSup>
      </m:oMath>
      <w:r w:rsidR="000F16EB" w:rsidRPr="003650C8">
        <w:t xml:space="preserve"> was the rate of heat losses from the HWT at time step, </w:t>
      </w:r>
      <w:r w:rsidR="000F16EB" w:rsidRPr="003650C8">
        <w:rPr>
          <w:i/>
        </w:rPr>
        <w:t>t</w:t>
      </w:r>
      <w:r w:rsidR="000F16EB" w:rsidRPr="003650C8">
        <w:t xml:space="preserve"> (MW)</w:t>
      </w:r>
      <w:r w:rsidR="003E115C">
        <w:t>,</w:t>
      </w:r>
    </w:p>
    <w:p w14:paraId="1A42AA59" w14:textId="4683279B" w:rsidR="003E115C" w:rsidRPr="003650C8" w:rsidRDefault="003E115C" w:rsidP="003E115C">
      <m:oMath>
        <m:r>
          <w:rPr>
            <w:rFonts w:ascii="Cambria Math" w:hAnsi="Cambria Math"/>
          </w:rPr>
          <m:t>∆t</m:t>
        </m:r>
      </m:oMath>
      <w:r>
        <w:t xml:space="preserve"> was the time (hour).</w:t>
      </w:r>
    </w:p>
    <w:p w14:paraId="77808926" w14:textId="77777777" w:rsidR="000F16EB" w:rsidRDefault="000F16EB" w:rsidP="000F16EB">
      <w:r w:rsidRPr="003650C8">
        <w:t xml:space="preserve">The charging and discharging efficiencies were included to factor the losses caused by charging and discharging the HWT. During charging, or discharging, mixing occurred, which caused some of the TE in the HWT to be stored at a lower temperature than could be recoverable. It was assumed that the charging </w:t>
      </w:r>
      <w:r>
        <w:t>and discharging efficiencies were constant, keeping the model simple and linear in structure. In reality, the efficiencies would vary with the temperature in the tank.</w:t>
      </w:r>
    </w:p>
    <w:p w14:paraId="191A6E2B" w14:textId="252A05D1" w:rsidR="000F16EB" w:rsidRDefault="000F16EB" w:rsidP="000F16EB">
      <w:r>
        <w:t xml:space="preserve">During the optimisation, it was assumed that the water in the tank was fully mixed, with no stratified layers. It was assumed that that HWT losses do not vary significantly between stratified and fully mixed tanks </w:t>
      </w:r>
      <w:r>
        <w:fldChar w:fldCharType="begin" w:fldLock="1"/>
      </w:r>
      <w:r w:rsidR="002A6A73">
        <w:instrText>ADDIN CSL_CITATION {"citationItems":[{"id":"ITEM-1","itemData":{"DOI":"10.1016/j.apenergy.2014.07.036","ISBN":"0306-2619","ISSN":"03062619","abstract":"Thermal energy storage (TES) and distributed generation technologies, such as combined heat and power (CHP) or photovoltaics (PV), can be used to reduce energy costs and decrease CO2emissions from buildings by shifting energy consumption to times with less emissions and/or lower energy prices. To determine the feasibility of investing in TES in combination with other distributed energy resources (DER), mixed integer linear programming (MILP) can be used. Such a MILP model is the well-established Distributed Energy Resources Customer Adoption Model (DER-CAM); however, it currently uses only a simplified TES model to guarantee linearity and short run-times. Loss calculations are based only on the energy contained in the storage. This paper presents a new DER-CAM TES model that allows improved tracking of losses based on ambient and storage temperatures, and compares results with the previous version. A multi-layer TES model is introduced that retains linearity and avoids creating an endogenous optimization problem. The improved model increases the accuracy of the estimated storage losses and enables use of heat pumps for low temperature storage charging. Results indicate that the previous model overestimates the attractiveness of TES investments for cases without possibility to invest in heat pumps and underestimates it for some locations when heat pumps are allowed. Despite a variation in optimal technology selection between the two models, the objective function value stays quite stable, illustrating the complexity of optimal DER sizing problems in buildings and microgrids.","author":[{"dropping-particle":"","family":"Steen","given":"David","non-dropping-particle":"","parse-names":false,"suffix":""},{"dropping-particle":"","family":"Stadler","given":"Michael","non-dropping-particle":"","parse-names":false,"suffix":""},{"dropping-particle":"","family":"Cardoso","given":"Gonçalo","non-dropping-particle":"","parse-names":false,"suffix":""},{"dropping-particle":"","family":"Groissböck","given":"Markus","non-dropping-particle":"","parse-names":false,"suffix":""},{"dropping-particle":"","family":"DeForest","given":"Nicholas","non-dropping-particle":"","parse-names":false,"suffix":""},{"dropping-particle":"","family":"Marnay","given":"Chris","non-dropping-particle":"","parse-names":false,"suffix":""}],"container-title":"Applied Energy","id":"ITEM-1","issued":{"date-parts":[["2015"]]},"page":"782-792","publisher":"Elsevier Ltd","title":"Modeling of thermal storage systems in MILP distributed energy resource models","type":"article-journal","volume":"137"},"uris":["http://www.mendeley.com/documents/?uuid=47e50b11-aef2-4719-b216-38d8e7c8cc30"]}],"mendeley":{"formattedCitation":"(Steen &lt;i&gt;et al.&lt;/i&gt;, 2015)","plainTextFormattedCitation":"(Steen et al., 2015)","previouslyFormattedCitation":"(Steen &lt;i&gt;et al.&lt;/i&gt;, 2015)"},"properties":{"noteIndex":0},"schema":"https://github.com/citation-style-language/schema/raw/master/csl-citation.json"}</w:instrText>
      </w:r>
      <w:r>
        <w:fldChar w:fldCharType="separate"/>
      </w:r>
      <w:r w:rsidR="002A6A73" w:rsidRPr="002A6A73">
        <w:rPr>
          <w:noProof/>
        </w:rPr>
        <w:t xml:space="preserve">(Steen </w:t>
      </w:r>
      <w:r w:rsidR="002A6A73" w:rsidRPr="002A6A73">
        <w:rPr>
          <w:i/>
          <w:noProof/>
        </w:rPr>
        <w:t>et al.</w:t>
      </w:r>
      <w:r w:rsidR="002A6A73" w:rsidRPr="002A6A73">
        <w:rPr>
          <w:noProof/>
        </w:rPr>
        <w:t>, 2015)</w:t>
      </w:r>
      <w:r>
        <w:fldChar w:fldCharType="end"/>
      </w:r>
      <w:r>
        <w:t xml:space="preserve">. The losses in the HWT were calculated, as shown in Equation </w:t>
      </w:r>
      <w:r>
        <w:fldChar w:fldCharType="begin"/>
      </w:r>
      <w:r>
        <w:instrText xml:space="preserve"> REF _Ref531103496 \h </w:instrText>
      </w:r>
      <w:r>
        <w:fldChar w:fldCharType="separate"/>
      </w:r>
      <w:r w:rsidR="00CB7456">
        <w:rPr>
          <w:noProof/>
        </w:rPr>
        <w:t>7</w:t>
      </w:r>
      <w:r w:rsidR="00CB7456">
        <w:t>.</w:t>
      </w:r>
      <w:r w:rsidR="00CB7456">
        <w:rPr>
          <w:noProof/>
        </w:rPr>
        <w:t>3</w:t>
      </w:r>
      <w:r>
        <w:fldChar w:fldCharType="end"/>
      </w:r>
      <w: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37"/>
        <w:gridCol w:w="518"/>
        <w:gridCol w:w="543"/>
      </w:tblGrid>
      <w:tr w:rsidR="000F16EB" w14:paraId="4B3A4FFE" w14:textId="77777777" w:rsidTr="00A7521D">
        <w:tc>
          <w:tcPr>
            <w:tcW w:w="7137" w:type="dxa"/>
            <w:hideMark/>
          </w:tcPr>
          <w:p w14:paraId="260128BC" w14:textId="77777777" w:rsidR="000F16EB" w:rsidRDefault="00C73E04" w:rsidP="00A7521D">
            <w:pPr>
              <w:keepNext/>
            </w:pPr>
            <m:oMathPara>
              <m:oMathParaPr>
                <m:jc m:val="left"/>
              </m:oMathParaPr>
              <m:oMath>
                <m:sSubSup>
                  <m:sSubSupPr>
                    <m:ctrlPr>
                      <w:rPr>
                        <w:rFonts w:ascii="Cambria Math" w:hAnsi="Cambria Math"/>
                        <w:i/>
                      </w:rPr>
                    </m:ctrlPr>
                  </m:sSubSupPr>
                  <m:e>
                    <m:r>
                      <w:rPr>
                        <w:rFonts w:ascii="Cambria Math" w:hAnsi="Cambria Math"/>
                      </w:rPr>
                      <m:t>P</m:t>
                    </m:r>
                  </m:e>
                  <m:sub>
                    <m:r>
                      <w:rPr>
                        <w:rFonts w:ascii="Cambria Math" w:hAnsi="Cambria Math"/>
                      </w:rPr>
                      <m:t>loss,t</m:t>
                    </m:r>
                  </m:sub>
                  <m:sup>
                    <m:r>
                      <w:rPr>
                        <w:rFonts w:ascii="Cambria Math" w:hAnsi="Cambria Math"/>
                      </w:rPr>
                      <m:t>HWT</m:t>
                    </m:r>
                  </m:sup>
                </m:sSubSup>
                <m:r>
                  <w:rPr>
                    <w:rFonts w:ascii="Cambria Math" w:hAnsi="Cambria Math"/>
                  </w:rPr>
                  <m:t>=</m:t>
                </m:r>
                <m:d>
                  <m:dPr>
                    <m:ctrlPr>
                      <w:rPr>
                        <w:rFonts w:ascii="Cambria Math" w:hAnsi="Cambria Math"/>
                        <w:i/>
                      </w:rPr>
                    </m:ctrlPr>
                  </m:dPr>
                  <m:e>
                    <m:sSubSup>
                      <m:sSubSupPr>
                        <m:ctrlPr>
                          <w:rPr>
                            <w:rFonts w:ascii="Cambria Math" w:hAnsi="Cambria Math"/>
                            <w:i/>
                          </w:rPr>
                        </m:ctrlPr>
                      </m:sSubSupPr>
                      <m:e>
                        <m:r>
                          <w:rPr>
                            <w:rFonts w:ascii="Cambria Math" w:hAnsi="Cambria Math"/>
                          </w:rPr>
                          <m:t>T</m:t>
                        </m:r>
                      </m:e>
                      <m:sub>
                        <m:r>
                          <w:rPr>
                            <w:rFonts w:ascii="Cambria Math" w:hAnsi="Cambria Math"/>
                          </w:rPr>
                          <m:t>t</m:t>
                        </m:r>
                      </m:sub>
                      <m:sup>
                        <m:r>
                          <w:rPr>
                            <w:rFonts w:ascii="Cambria Math" w:hAnsi="Cambria Math"/>
                          </w:rPr>
                          <m:t>HWT</m:t>
                        </m:r>
                      </m:sup>
                    </m:sSubSup>
                    <m:r>
                      <w:rPr>
                        <w:rFonts w:ascii="Cambria Math" w:hAnsi="Cambria Math"/>
                      </w:rPr>
                      <m:t>-</m:t>
                    </m:r>
                    <m:sSubSup>
                      <m:sSubSupPr>
                        <m:ctrlPr>
                          <w:rPr>
                            <w:rFonts w:ascii="Cambria Math" w:hAnsi="Cambria Math"/>
                            <w:i/>
                          </w:rPr>
                        </m:ctrlPr>
                      </m:sSubSupPr>
                      <m:e>
                        <m:r>
                          <w:rPr>
                            <w:rFonts w:ascii="Cambria Math" w:hAnsi="Cambria Math"/>
                          </w:rPr>
                          <m:t>T</m:t>
                        </m:r>
                      </m:e>
                      <m:sub>
                        <m:r>
                          <w:rPr>
                            <w:rFonts w:ascii="Cambria Math" w:hAnsi="Cambria Math"/>
                          </w:rPr>
                          <m:t>t</m:t>
                        </m:r>
                      </m:sub>
                      <m:sup>
                        <m:r>
                          <w:rPr>
                            <w:rFonts w:ascii="Cambria Math" w:hAnsi="Cambria Math"/>
                          </w:rPr>
                          <m:t>amb</m:t>
                        </m:r>
                      </m:sup>
                    </m:sSubSup>
                  </m:e>
                </m:d>
                <m:sSub>
                  <m:sSubPr>
                    <m:ctrlPr>
                      <w:rPr>
                        <w:rFonts w:ascii="Cambria Math" w:hAnsi="Cambria Math"/>
                        <w:i/>
                      </w:rPr>
                    </m:ctrlPr>
                  </m:sSubPr>
                  <m:e>
                    <m:r>
                      <w:rPr>
                        <w:rFonts w:ascii="Cambria Math" w:hAnsi="Cambria Math"/>
                      </w:rPr>
                      <m:t>U</m:t>
                    </m:r>
                  </m:e>
                  <m:sub>
                    <m:r>
                      <w:rPr>
                        <w:rFonts w:ascii="Cambria Math" w:hAnsi="Cambria Math"/>
                      </w:rPr>
                      <m:t>HWT</m:t>
                    </m:r>
                  </m:sub>
                </m:sSub>
                <m:sSub>
                  <m:sSubPr>
                    <m:ctrlPr>
                      <w:rPr>
                        <w:rFonts w:ascii="Cambria Math" w:hAnsi="Cambria Math"/>
                        <w:i/>
                      </w:rPr>
                    </m:ctrlPr>
                  </m:sSubPr>
                  <m:e>
                    <m:r>
                      <w:rPr>
                        <w:rFonts w:ascii="Cambria Math" w:hAnsi="Cambria Math"/>
                      </w:rPr>
                      <m:t>A</m:t>
                    </m:r>
                  </m:e>
                  <m:sub>
                    <m:r>
                      <w:rPr>
                        <w:rFonts w:ascii="Cambria Math" w:hAnsi="Cambria Math"/>
                      </w:rPr>
                      <m:t>HWT</m:t>
                    </m:r>
                  </m:sub>
                </m:sSub>
              </m:oMath>
            </m:oMathPara>
          </w:p>
        </w:tc>
        <w:tc>
          <w:tcPr>
            <w:tcW w:w="518" w:type="dxa"/>
          </w:tcPr>
          <w:p w14:paraId="15848838" w14:textId="77777777" w:rsidR="000F16EB" w:rsidRDefault="000F16EB" w:rsidP="00A7521D">
            <w:pPr>
              <w:pStyle w:val="Caption"/>
              <w:jc w:val="right"/>
            </w:pPr>
          </w:p>
        </w:tc>
        <w:bookmarkStart w:id="763" w:name="_Ref531103496"/>
        <w:tc>
          <w:tcPr>
            <w:tcW w:w="543" w:type="dxa"/>
            <w:vAlign w:val="center"/>
          </w:tcPr>
          <w:p w14:paraId="186A909B" w14:textId="27F025E7" w:rsidR="000F16EB" w:rsidRPr="000C6BA1" w:rsidRDefault="000F16EB" w:rsidP="00A7521D">
            <w:pPr>
              <w:pStyle w:val="Caption"/>
              <w:jc w:val="right"/>
              <w:rPr>
                <w:b w:val="0"/>
              </w:rPr>
            </w:pPr>
            <w:r>
              <w:fldChar w:fldCharType="begin"/>
            </w:r>
            <w:r>
              <w:instrText xml:space="preserve"> STYLEREF 1 \s </w:instrText>
            </w:r>
            <w:r>
              <w:fldChar w:fldCharType="separate"/>
            </w:r>
            <w:r w:rsidR="00CB7456">
              <w:rPr>
                <w:noProof/>
              </w:rPr>
              <w:t>7</w:t>
            </w:r>
            <w:r>
              <w:fldChar w:fldCharType="end"/>
            </w:r>
            <w:r>
              <w:t>.</w:t>
            </w:r>
            <w:r>
              <w:rPr>
                <w:noProof/>
              </w:rPr>
              <w:fldChar w:fldCharType="begin"/>
            </w:r>
            <w:r>
              <w:rPr>
                <w:noProof/>
              </w:rPr>
              <w:instrText xml:space="preserve"> SEQ Equation \* ARABIC \s 1 </w:instrText>
            </w:r>
            <w:r>
              <w:rPr>
                <w:noProof/>
              </w:rPr>
              <w:fldChar w:fldCharType="separate"/>
            </w:r>
            <w:r w:rsidR="00CB7456">
              <w:rPr>
                <w:noProof/>
              </w:rPr>
              <w:t>3</w:t>
            </w:r>
            <w:r>
              <w:rPr>
                <w:noProof/>
              </w:rPr>
              <w:fldChar w:fldCharType="end"/>
            </w:r>
            <w:bookmarkEnd w:id="763"/>
          </w:p>
        </w:tc>
      </w:tr>
    </w:tbl>
    <w:p w14:paraId="171B9A45" w14:textId="77777777" w:rsidR="000F16EB" w:rsidRDefault="000F16EB" w:rsidP="003650C8">
      <w:pPr>
        <w:pStyle w:val="NoSpacing"/>
      </w:pPr>
    </w:p>
    <w:p w14:paraId="18F9F820" w14:textId="77777777" w:rsidR="000F16EB" w:rsidRDefault="00C73E04" w:rsidP="000F16EB">
      <w:pPr>
        <w:pStyle w:val="NoSpacing"/>
      </w:pPr>
      <m:oMath>
        <m:sSubSup>
          <m:sSubSupPr>
            <m:ctrlPr>
              <w:rPr>
                <w:rFonts w:ascii="Cambria Math" w:hAnsi="Cambria Math"/>
                <w:i/>
              </w:rPr>
            </m:ctrlPr>
          </m:sSubSupPr>
          <m:e>
            <m:r>
              <w:rPr>
                <w:rFonts w:ascii="Cambria Math" w:hAnsi="Cambria Math"/>
              </w:rPr>
              <m:t>T</m:t>
            </m:r>
          </m:e>
          <m:sub>
            <m:r>
              <w:rPr>
                <w:rFonts w:ascii="Cambria Math" w:hAnsi="Cambria Math"/>
              </w:rPr>
              <m:t>t</m:t>
            </m:r>
          </m:sub>
          <m:sup>
            <m:r>
              <w:rPr>
                <w:rFonts w:ascii="Cambria Math" w:hAnsi="Cambria Math"/>
              </w:rPr>
              <m:t>HWT</m:t>
            </m:r>
          </m:sup>
        </m:sSubSup>
      </m:oMath>
      <w:r w:rsidR="000F16EB">
        <w:t xml:space="preserve"> was the temperature in the HWT at time step, </w:t>
      </w:r>
      <w:r w:rsidR="000F16EB">
        <w:rPr>
          <w:i/>
        </w:rPr>
        <w:t>t</w:t>
      </w:r>
      <w:r w:rsidR="000F16EB">
        <w:t xml:space="preserve"> (</w:t>
      </w:r>
      <w:r w:rsidR="000F16EB">
        <w:rPr>
          <w:rFonts w:cstheme="minorHAnsi"/>
        </w:rPr>
        <w:t>K</w:t>
      </w:r>
      <w:r w:rsidR="000F16EB">
        <w:t>),</w:t>
      </w:r>
    </w:p>
    <w:p w14:paraId="48B099CC" w14:textId="77777777" w:rsidR="000F16EB" w:rsidRDefault="00C73E04" w:rsidP="000F16EB">
      <w:pPr>
        <w:pStyle w:val="NoSpacing"/>
      </w:pPr>
      <m:oMath>
        <m:sSubSup>
          <m:sSubSupPr>
            <m:ctrlPr>
              <w:rPr>
                <w:rFonts w:ascii="Cambria Math" w:hAnsi="Cambria Math"/>
                <w:i/>
              </w:rPr>
            </m:ctrlPr>
          </m:sSubSupPr>
          <m:e>
            <m:r>
              <w:rPr>
                <w:rFonts w:ascii="Cambria Math" w:hAnsi="Cambria Math"/>
              </w:rPr>
              <m:t>T</m:t>
            </m:r>
          </m:e>
          <m:sub>
            <m:r>
              <w:rPr>
                <w:rFonts w:ascii="Cambria Math" w:hAnsi="Cambria Math"/>
              </w:rPr>
              <m:t>t</m:t>
            </m:r>
          </m:sub>
          <m:sup>
            <m:r>
              <w:rPr>
                <w:rFonts w:ascii="Cambria Math" w:hAnsi="Cambria Math"/>
              </w:rPr>
              <m:t>amb</m:t>
            </m:r>
          </m:sup>
        </m:sSubSup>
      </m:oMath>
      <w:r w:rsidR="000F16EB">
        <w:t xml:space="preserve"> was the ambient temperature at time step, </w:t>
      </w:r>
      <w:r w:rsidR="000F16EB">
        <w:rPr>
          <w:i/>
        </w:rPr>
        <w:t>t</w:t>
      </w:r>
      <w:r w:rsidR="000F16EB">
        <w:t xml:space="preserve"> (</w:t>
      </w:r>
      <w:r w:rsidR="000F16EB">
        <w:rPr>
          <w:rFonts w:cstheme="minorHAnsi"/>
        </w:rPr>
        <w:t>K</w:t>
      </w:r>
      <w:r w:rsidR="000F16EB">
        <w:t>),</w:t>
      </w:r>
    </w:p>
    <w:p w14:paraId="3A090D76" w14:textId="77777777" w:rsidR="000F16EB" w:rsidRDefault="00C73E04" w:rsidP="000F16EB">
      <w:pPr>
        <w:pStyle w:val="NoSpacing"/>
      </w:pPr>
      <m:oMath>
        <m:sSub>
          <m:sSubPr>
            <m:ctrlPr>
              <w:rPr>
                <w:rFonts w:ascii="Cambria Math" w:hAnsi="Cambria Math"/>
                <w:i/>
              </w:rPr>
            </m:ctrlPr>
          </m:sSubPr>
          <m:e>
            <m:r>
              <w:rPr>
                <w:rFonts w:ascii="Cambria Math" w:hAnsi="Cambria Math"/>
              </w:rPr>
              <m:t>U</m:t>
            </m:r>
          </m:e>
          <m:sub>
            <m:r>
              <w:rPr>
                <w:rFonts w:ascii="Cambria Math" w:hAnsi="Cambria Math"/>
              </w:rPr>
              <m:t>HWT</m:t>
            </m:r>
          </m:sub>
        </m:sSub>
      </m:oMath>
      <w:r w:rsidR="000F16EB">
        <w:t xml:space="preserve"> was the HTC of the tank </w:t>
      </w:r>
      <w:bookmarkStart w:id="764" w:name="_Hlk526159500"/>
      <w:r w:rsidR="000F16EB">
        <w:t>(MW/[m</w:t>
      </w:r>
      <w:r w:rsidR="000F16EB">
        <w:rPr>
          <w:vertAlign w:val="superscript"/>
        </w:rPr>
        <w:t>2</w:t>
      </w:r>
      <w:r w:rsidR="000F16EB">
        <w:t>K]),</w:t>
      </w:r>
      <w:bookmarkEnd w:id="764"/>
    </w:p>
    <w:p w14:paraId="0856465B" w14:textId="77777777" w:rsidR="000F16EB" w:rsidRDefault="00C73E04" w:rsidP="000F16EB">
      <w:pPr>
        <w:ind w:left="720" w:hanging="720"/>
      </w:pPr>
      <m:oMath>
        <m:sSub>
          <m:sSubPr>
            <m:ctrlPr>
              <w:rPr>
                <w:rFonts w:ascii="Cambria Math" w:hAnsi="Cambria Math"/>
                <w:i/>
              </w:rPr>
            </m:ctrlPr>
          </m:sSubPr>
          <m:e>
            <m:r>
              <w:rPr>
                <w:rFonts w:ascii="Cambria Math" w:hAnsi="Cambria Math"/>
              </w:rPr>
              <m:t>A</m:t>
            </m:r>
          </m:e>
          <m:sub>
            <m:r>
              <w:rPr>
                <w:rFonts w:ascii="Cambria Math" w:hAnsi="Cambria Math"/>
              </w:rPr>
              <m:t>HWT</m:t>
            </m:r>
          </m:sub>
        </m:sSub>
      </m:oMath>
      <w:r w:rsidR="000F16EB">
        <w:t xml:space="preserve"> was the SA of the HWT (m</w:t>
      </w:r>
      <w:r w:rsidR="000F16EB">
        <w:rPr>
          <w:vertAlign w:val="superscript"/>
        </w:rPr>
        <w:t>2</w:t>
      </w:r>
      <w:r w:rsidR="000F16EB">
        <w:t>).</w:t>
      </w:r>
    </w:p>
    <w:p w14:paraId="70D5C668" w14:textId="043C0ADD" w:rsidR="000F16EB" w:rsidRDefault="000F16EB" w:rsidP="000F16EB">
      <w:r>
        <w:t xml:space="preserve">The temperature in the HWT was calculated, as shown in Equation </w:t>
      </w:r>
      <w:r>
        <w:fldChar w:fldCharType="begin"/>
      </w:r>
      <w:r>
        <w:instrText xml:space="preserve"> REF _Ref531103547 \h </w:instrText>
      </w:r>
      <w:r>
        <w:fldChar w:fldCharType="separate"/>
      </w:r>
      <w:r w:rsidR="00CB7456">
        <w:rPr>
          <w:noProof/>
        </w:rPr>
        <w:t>7</w:t>
      </w:r>
      <w:r w:rsidR="00CB7456">
        <w:t>.</w:t>
      </w:r>
      <w:r w:rsidR="00CB7456">
        <w:rPr>
          <w:noProof/>
        </w:rPr>
        <w:t>4</w:t>
      </w:r>
      <w:r>
        <w:fldChar w:fldCharType="end"/>
      </w:r>
      <w: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37"/>
        <w:gridCol w:w="518"/>
        <w:gridCol w:w="543"/>
      </w:tblGrid>
      <w:tr w:rsidR="000F16EB" w14:paraId="028853AA" w14:textId="77777777" w:rsidTr="00A7521D">
        <w:tc>
          <w:tcPr>
            <w:tcW w:w="7137" w:type="dxa"/>
            <w:hideMark/>
          </w:tcPr>
          <w:p w14:paraId="54296A35" w14:textId="4D9BEFC0" w:rsidR="000F16EB" w:rsidRPr="003650C8" w:rsidRDefault="00C73E04" w:rsidP="00A7521D">
            <w:pPr>
              <w:keepNext/>
            </w:pPr>
            <m:oMathPara>
              <m:oMathParaPr>
                <m:jc m:val="left"/>
              </m:oMathParaPr>
              <m:oMath>
                <m:sSubSup>
                  <m:sSubSupPr>
                    <m:ctrlPr>
                      <w:rPr>
                        <w:rFonts w:ascii="Cambria Math" w:hAnsi="Cambria Math"/>
                        <w:i/>
                      </w:rPr>
                    </m:ctrlPr>
                  </m:sSubSupPr>
                  <m:e>
                    <m:r>
                      <w:rPr>
                        <w:rFonts w:ascii="Cambria Math" w:hAnsi="Cambria Math"/>
                      </w:rPr>
                      <m:t>T</m:t>
                    </m:r>
                  </m:e>
                  <m:sub>
                    <m:r>
                      <w:rPr>
                        <w:rFonts w:ascii="Cambria Math" w:hAnsi="Cambria Math"/>
                      </w:rPr>
                      <m:t>t</m:t>
                    </m:r>
                  </m:sub>
                  <m:sup>
                    <m:r>
                      <w:rPr>
                        <w:rFonts w:ascii="Cambria Math" w:hAnsi="Cambria Math"/>
                      </w:rPr>
                      <m:t>HWT</m:t>
                    </m:r>
                  </m:sup>
                </m:sSubSup>
                <m:r>
                  <w:rPr>
                    <w:rFonts w:ascii="Cambria Math" w:hAnsi="Cambria Math"/>
                  </w:rPr>
                  <m:t>=</m:t>
                </m:r>
                <m:sSubSup>
                  <m:sSubSupPr>
                    <m:ctrlPr>
                      <w:rPr>
                        <w:rFonts w:ascii="Cambria Math" w:hAnsi="Cambria Math"/>
                        <w:i/>
                      </w:rPr>
                    </m:ctrlPr>
                  </m:sSubSupPr>
                  <m:e>
                    <m:r>
                      <w:rPr>
                        <w:rFonts w:ascii="Cambria Math" w:hAnsi="Cambria Math"/>
                      </w:rPr>
                      <m:t>T</m:t>
                    </m:r>
                  </m:e>
                  <m:sub>
                    <m:r>
                      <w:rPr>
                        <w:rFonts w:ascii="Cambria Math" w:hAnsi="Cambria Math"/>
                      </w:rPr>
                      <m:t>t-1</m:t>
                    </m:r>
                  </m:sub>
                  <m:sup>
                    <m:r>
                      <w:rPr>
                        <w:rFonts w:ascii="Cambria Math" w:hAnsi="Cambria Math"/>
                      </w:rPr>
                      <m:t>HWT</m:t>
                    </m:r>
                  </m:sup>
                </m:sSubSup>
                <m:r>
                  <w:rPr>
                    <w:rFonts w:ascii="Cambria Math" w:hAnsi="Cambria Math"/>
                  </w:rPr>
                  <m:t>+</m:t>
                </m:r>
                <m:f>
                  <m:fPr>
                    <m:ctrlPr>
                      <w:rPr>
                        <w:rFonts w:ascii="Cambria Math" w:hAnsi="Cambria Math"/>
                        <w:i/>
                      </w:rPr>
                    </m:ctrlPr>
                  </m:fPr>
                  <m:num>
                    <m:f>
                      <m:fPr>
                        <m:type m:val="lin"/>
                        <m:ctrlPr>
                          <w:rPr>
                            <w:rFonts w:ascii="Cambria Math" w:hAnsi="Cambria Math"/>
                            <w:i/>
                          </w:rPr>
                        </m:ctrlPr>
                      </m:fPr>
                      <m:num>
                        <m:sSubSup>
                          <m:sSubSupPr>
                            <m:ctrlPr>
                              <w:rPr>
                                <w:rFonts w:ascii="Cambria Math" w:hAnsi="Cambria Math"/>
                                <w:i/>
                              </w:rPr>
                            </m:ctrlPr>
                          </m:sSubSupPr>
                          <m:e>
                            <m:r>
                              <w:rPr>
                                <w:rFonts w:ascii="Cambria Math" w:hAnsi="Cambria Math"/>
                              </w:rPr>
                              <m:t>Q</m:t>
                            </m:r>
                          </m:e>
                          <m:sub>
                            <m:r>
                              <w:rPr>
                                <w:rFonts w:ascii="Cambria Math" w:hAnsi="Cambria Math"/>
                              </w:rPr>
                              <m:t>disch,t</m:t>
                            </m:r>
                          </m:sub>
                          <m:sup>
                            <m:r>
                              <w:rPr>
                                <w:rFonts w:ascii="Cambria Math" w:hAnsi="Cambria Math"/>
                              </w:rPr>
                              <m:t>HWT</m:t>
                            </m:r>
                          </m:sup>
                        </m:sSubSup>
                      </m:num>
                      <m:den>
                        <m:sSub>
                          <m:sSubPr>
                            <m:ctrlPr>
                              <w:rPr>
                                <w:rFonts w:ascii="Cambria Math" w:hAnsi="Cambria Math"/>
                                <w:i/>
                              </w:rPr>
                            </m:ctrlPr>
                          </m:sSubPr>
                          <m:e>
                            <m:r>
                              <w:rPr>
                                <w:rFonts w:ascii="Cambria Math" w:hAnsi="Cambria Math"/>
                              </w:rPr>
                              <m:t>η</m:t>
                            </m:r>
                          </m:e>
                          <m:sub>
                            <m:r>
                              <w:rPr>
                                <w:rFonts w:ascii="Cambria Math" w:hAnsi="Cambria Math"/>
                              </w:rPr>
                              <m:t>disch</m:t>
                            </m:r>
                          </m:sub>
                        </m:sSub>
                      </m:den>
                    </m:f>
                  </m:num>
                  <m:den>
                    <m:r>
                      <w:rPr>
                        <w:rFonts w:ascii="Cambria Math" w:hAnsi="Cambria Math"/>
                      </w:rPr>
                      <m:t>V</m:t>
                    </m:r>
                    <m:sSub>
                      <m:sSubPr>
                        <m:ctrlPr>
                          <w:rPr>
                            <w:rFonts w:ascii="Cambria Math" w:hAnsi="Cambria Math"/>
                            <w:i/>
                          </w:rPr>
                        </m:ctrlPr>
                      </m:sSubPr>
                      <m:e>
                        <m:r>
                          <w:rPr>
                            <w:rFonts w:ascii="Cambria Math" w:hAnsi="Cambria Math"/>
                          </w:rPr>
                          <m:t>c</m:t>
                        </m:r>
                      </m:e>
                      <m:sub>
                        <m:r>
                          <w:rPr>
                            <w:rFonts w:ascii="Cambria Math" w:hAnsi="Cambria Math"/>
                          </w:rPr>
                          <m:t>P,water</m:t>
                        </m:r>
                      </m:sub>
                    </m:sSub>
                    <m:sSub>
                      <m:sSubPr>
                        <m:ctrlPr>
                          <w:rPr>
                            <w:rFonts w:ascii="Cambria Math" w:hAnsi="Cambria Math"/>
                            <w:i/>
                          </w:rPr>
                        </m:ctrlPr>
                      </m:sSubPr>
                      <m:e>
                        <w:bookmarkStart w:id="765" w:name="_Hlk526159633"/>
                        <m:r>
                          <w:rPr>
                            <w:rFonts w:ascii="Cambria Math" w:hAnsi="Cambria Math"/>
                          </w:rPr>
                          <m:t>ρ</m:t>
                        </m:r>
                        <w:bookmarkEnd w:id="765"/>
                      </m:e>
                      <m:sub>
                        <m:r>
                          <w:rPr>
                            <w:rFonts w:ascii="Cambria Math" w:hAnsi="Cambria Math"/>
                          </w:rPr>
                          <m:t>water</m:t>
                        </m:r>
                      </m:sub>
                    </m:sSub>
                  </m:den>
                </m:f>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Q</m:t>
                        </m:r>
                      </m:e>
                      <m:sub>
                        <m:r>
                          <w:rPr>
                            <w:rFonts w:ascii="Cambria Math" w:hAnsi="Cambria Math"/>
                          </w:rPr>
                          <m:t>ch,t</m:t>
                        </m:r>
                      </m:sub>
                      <m:sup>
                        <m:r>
                          <w:rPr>
                            <w:rFonts w:ascii="Cambria Math" w:hAnsi="Cambria Math"/>
                          </w:rPr>
                          <m:t>HWT</m:t>
                        </m:r>
                      </m:sup>
                    </m:sSubSup>
                    <m:sSub>
                      <m:sSubPr>
                        <m:ctrlPr>
                          <w:rPr>
                            <w:rFonts w:ascii="Cambria Math" w:hAnsi="Cambria Math"/>
                            <w:i/>
                          </w:rPr>
                        </m:ctrlPr>
                      </m:sSubPr>
                      <m:e>
                        <m:r>
                          <w:rPr>
                            <w:rFonts w:ascii="Cambria Math" w:hAnsi="Cambria Math"/>
                          </w:rPr>
                          <m:t>η</m:t>
                        </m:r>
                      </m:e>
                      <m:sub>
                        <m:r>
                          <w:rPr>
                            <w:rFonts w:ascii="Cambria Math" w:hAnsi="Cambria Math"/>
                          </w:rPr>
                          <m:t>ch</m:t>
                        </m:r>
                      </m:sub>
                    </m:sSub>
                  </m:num>
                  <m:den>
                    <m:r>
                      <w:rPr>
                        <w:rFonts w:ascii="Cambria Math" w:hAnsi="Cambria Math"/>
                      </w:rPr>
                      <m:t>V</m:t>
                    </m:r>
                    <m:sSub>
                      <m:sSubPr>
                        <m:ctrlPr>
                          <w:rPr>
                            <w:rFonts w:ascii="Cambria Math" w:hAnsi="Cambria Math"/>
                            <w:i/>
                          </w:rPr>
                        </m:ctrlPr>
                      </m:sSubPr>
                      <m:e>
                        <m:r>
                          <w:rPr>
                            <w:rFonts w:ascii="Cambria Math" w:hAnsi="Cambria Math"/>
                          </w:rPr>
                          <m:t>c</m:t>
                        </m:r>
                      </m:e>
                      <m:sub>
                        <m:r>
                          <w:rPr>
                            <w:rFonts w:ascii="Cambria Math" w:hAnsi="Cambria Math"/>
                          </w:rPr>
                          <m:t>P,water</m:t>
                        </m:r>
                      </m:sub>
                    </m:sSub>
                    <m:sSub>
                      <m:sSubPr>
                        <m:ctrlPr>
                          <w:rPr>
                            <w:rFonts w:ascii="Cambria Math" w:hAnsi="Cambria Math"/>
                            <w:i/>
                          </w:rPr>
                        </m:ctrlPr>
                      </m:sSubPr>
                      <m:e>
                        <m:r>
                          <w:rPr>
                            <w:rFonts w:ascii="Cambria Math" w:hAnsi="Cambria Math"/>
                          </w:rPr>
                          <m:t>ρ</m:t>
                        </m:r>
                      </m:e>
                      <m:sub>
                        <m:r>
                          <w:rPr>
                            <w:rFonts w:ascii="Cambria Math" w:hAnsi="Cambria Math"/>
                          </w:rPr>
                          <m:t>water</m:t>
                        </m:r>
                      </m:sub>
                    </m:sSub>
                  </m:den>
                </m:f>
              </m:oMath>
            </m:oMathPara>
          </w:p>
        </w:tc>
        <w:tc>
          <w:tcPr>
            <w:tcW w:w="518" w:type="dxa"/>
          </w:tcPr>
          <w:p w14:paraId="53DC58C8" w14:textId="77777777" w:rsidR="000F16EB" w:rsidRDefault="000F16EB" w:rsidP="00A7521D">
            <w:pPr>
              <w:pStyle w:val="Caption"/>
              <w:jc w:val="right"/>
            </w:pPr>
          </w:p>
        </w:tc>
        <w:bookmarkStart w:id="766" w:name="_Ref531103547"/>
        <w:tc>
          <w:tcPr>
            <w:tcW w:w="543" w:type="dxa"/>
            <w:vAlign w:val="center"/>
          </w:tcPr>
          <w:p w14:paraId="4746CF37" w14:textId="5BF17291" w:rsidR="000F16EB" w:rsidRPr="000C6BA1" w:rsidRDefault="000F16EB" w:rsidP="00A7521D">
            <w:pPr>
              <w:pStyle w:val="Caption"/>
              <w:jc w:val="right"/>
              <w:rPr>
                <w:b w:val="0"/>
              </w:rPr>
            </w:pPr>
            <w:r>
              <w:fldChar w:fldCharType="begin"/>
            </w:r>
            <w:r>
              <w:instrText xml:space="preserve"> STYLEREF 1 \s </w:instrText>
            </w:r>
            <w:r>
              <w:fldChar w:fldCharType="separate"/>
            </w:r>
            <w:r w:rsidR="00CB7456">
              <w:rPr>
                <w:noProof/>
              </w:rPr>
              <w:t>7</w:t>
            </w:r>
            <w:r>
              <w:fldChar w:fldCharType="end"/>
            </w:r>
            <w:r>
              <w:t>.</w:t>
            </w:r>
            <w:r>
              <w:rPr>
                <w:noProof/>
              </w:rPr>
              <w:fldChar w:fldCharType="begin"/>
            </w:r>
            <w:r>
              <w:rPr>
                <w:noProof/>
              </w:rPr>
              <w:instrText xml:space="preserve"> SEQ Equation \* ARABIC \s 1 </w:instrText>
            </w:r>
            <w:r>
              <w:rPr>
                <w:noProof/>
              </w:rPr>
              <w:fldChar w:fldCharType="separate"/>
            </w:r>
            <w:r w:rsidR="00CB7456">
              <w:rPr>
                <w:noProof/>
              </w:rPr>
              <w:t>4</w:t>
            </w:r>
            <w:r>
              <w:rPr>
                <w:noProof/>
              </w:rPr>
              <w:fldChar w:fldCharType="end"/>
            </w:r>
            <w:bookmarkEnd w:id="766"/>
          </w:p>
        </w:tc>
      </w:tr>
    </w:tbl>
    <w:p w14:paraId="42FE5CB3" w14:textId="77777777" w:rsidR="000F16EB" w:rsidRDefault="000F16EB" w:rsidP="003650C8">
      <w:pPr>
        <w:pStyle w:val="NoSpacing"/>
      </w:pPr>
    </w:p>
    <w:p w14:paraId="333724DC" w14:textId="77777777" w:rsidR="000F16EB" w:rsidRDefault="00C73E04" w:rsidP="000F16EB">
      <w:pPr>
        <w:pStyle w:val="NoSpacing"/>
      </w:pPr>
      <m:oMath>
        <m:sSubSup>
          <m:sSubSupPr>
            <m:ctrlPr>
              <w:rPr>
                <w:rFonts w:ascii="Cambria Math" w:hAnsi="Cambria Math"/>
                <w:i/>
              </w:rPr>
            </m:ctrlPr>
          </m:sSubSupPr>
          <m:e>
            <m:r>
              <w:rPr>
                <w:rFonts w:ascii="Cambria Math" w:hAnsi="Cambria Math"/>
              </w:rPr>
              <m:t>T</m:t>
            </m:r>
          </m:e>
          <m:sub>
            <m:r>
              <w:rPr>
                <w:rFonts w:ascii="Cambria Math" w:hAnsi="Cambria Math"/>
              </w:rPr>
              <m:t>t-1</m:t>
            </m:r>
          </m:sub>
          <m:sup>
            <m:r>
              <w:rPr>
                <w:rFonts w:ascii="Cambria Math" w:hAnsi="Cambria Math"/>
              </w:rPr>
              <m:t>HWT</m:t>
            </m:r>
          </m:sup>
        </m:sSubSup>
      </m:oMath>
      <w:r w:rsidR="000F16EB">
        <w:t xml:space="preserve"> was the temperature in the HWT at the previous time step, </w:t>
      </w:r>
      <w:r w:rsidR="000F16EB">
        <w:rPr>
          <w:i/>
        </w:rPr>
        <w:t>t-1</w:t>
      </w:r>
      <w:r w:rsidR="000F16EB">
        <w:t xml:space="preserve"> (</w:t>
      </w:r>
      <w:r w:rsidR="000F16EB">
        <w:rPr>
          <w:rFonts w:cstheme="minorHAnsi"/>
        </w:rPr>
        <w:t>K</w:t>
      </w:r>
      <w:r w:rsidR="000F16EB">
        <w:t>),</w:t>
      </w:r>
    </w:p>
    <w:p w14:paraId="658DD0A1" w14:textId="77777777" w:rsidR="000F16EB" w:rsidRDefault="000F16EB" w:rsidP="000F16EB">
      <w:pPr>
        <w:pStyle w:val="NoSpacing"/>
      </w:pPr>
      <m:oMath>
        <m:r>
          <w:rPr>
            <w:rFonts w:ascii="Cambria Math" w:hAnsi="Cambria Math"/>
          </w:rPr>
          <m:t>V</m:t>
        </m:r>
      </m:oMath>
      <w:r>
        <w:t xml:space="preserve"> was the volume of the tank (m</w:t>
      </w:r>
      <w:r>
        <w:rPr>
          <w:vertAlign w:val="superscript"/>
        </w:rPr>
        <w:t>3</w:t>
      </w:r>
      <w:r>
        <w:t>),</w:t>
      </w:r>
    </w:p>
    <w:p w14:paraId="0C899FFC" w14:textId="4C8CE4EE" w:rsidR="000F16EB" w:rsidRPr="003650C8" w:rsidRDefault="00C73E04" w:rsidP="000F16EB">
      <w:pPr>
        <w:pStyle w:val="NoSpacing"/>
      </w:pPr>
      <m:oMath>
        <m:sSub>
          <m:sSubPr>
            <m:ctrlPr>
              <w:rPr>
                <w:rFonts w:ascii="Cambria Math" w:hAnsi="Cambria Math"/>
                <w:i/>
              </w:rPr>
            </m:ctrlPr>
          </m:sSubPr>
          <m:e>
            <m:r>
              <w:rPr>
                <w:rFonts w:ascii="Cambria Math" w:hAnsi="Cambria Math"/>
              </w:rPr>
              <m:t>c</m:t>
            </m:r>
          </m:e>
          <m:sub>
            <m:r>
              <w:rPr>
                <w:rFonts w:ascii="Cambria Math" w:hAnsi="Cambria Math"/>
              </w:rPr>
              <m:t>P,water</m:t>
            </m:r>
          </m:sub>
        </m:sSub>
      </m:oMath>
      <w:r w:rsidR="000F16EB">
        <w:t xml:space="preserve"> was the specific heat capacity of the water (</w:t>
      </w:r>
      <w:r w:rsidR="00C36B79" w:rsidRPr="003650C8">
        <w:t>k</w:t>
      </w:r>
      <w:r w:rsidR="000F16EB" w:rsidRPr="003650C8">
        <w:t>J/[</w:t>
      </w:r>
      <w:proofErr w:type="spellStart"/>
      <w:r w:rsidR="000F16EB" w:rsidRPr="003650C8">
        <w:t>kgK</w:t>
      </w:r>
      <w:proofErr w:type="spellEnd"/>
      <w:r w:rsidR="000F16EB" w:rsidRPr="003650C8">
        <w:t>]),</w:t>
      </w:r>
    </w:p>
    <w:p w14:paraId="16CB44D1" w14:textId="77777777" w:rsidR="000F16EB" w:rsidRPr="003650C8" w:rsidRDefault="00C73E04" w:rsidP="000F16EB">
      <w:pPr>
        <w:ind w:left="720" w:hanging="720"/>
      </w:pPr>
      <m:oMath>
        <m:sSub>
          <m:sSubPr>
            <m:ctrlPr>
              <w:rPr>
                <w:rFonts w:ascii="Cambria Math" w:hAnsi="Cambria Math"/>
                <w:i/>
              </w:rPr>
            </m:ctrlPr>
          </m:sSubPr>
          <m:e>
            <m:r>
              <w:rPr>
                <w:rFonts w:ascii="Cambria Math" w:hAnsi="Cambria Math"/>
              </w:rPr>
              <m:t>ρ</m:t>
            </m:r>
          </m:e>
          <m:sub>
            <m:r>
              <w:rPr>
                <w:rFonts w:ascii="Cambria Math" w:hAnsi="Cambria Math"/>
              </w:rPr>
              <m:t>water</m:t>
            </m:r>
          </m:sub>
        </m:sSub>
      </m:oMath>
      <w:r w:rsidR="000F16EB" w:rsidRPr="003650C8">
        <w:t xml:space="preserve"> was the density of the water </w:t>
      </w:r>
      <w:bookmarkStart w:id="767" w:name="_Hlk526159643"/>
      <w:r w:rsidR="000F16EB" w:rsidRPr="003650C8">
        <w:t>(kg/m</w:t>
      </w:r>
      <w:r w:rsidR="000F16EB" w:rsidRPr="003650C8">
        <w:rPr>
          <w:vertAlign w:val="superscript"/>
        </w:rPr>
        <w:t>3</w:t>
      </w:r>
      <w:r w:rsidR="000F16EB" w:rsidRPr="003650C8">
        <w:t>).</w:t>
      </w:r>
      <w:bookmarkEnd w:id="767"/>
    </w:p>
    <w:p w14:paraId="0F1BB73B" w14:textId="77777777" w:rsidR="000F16EB" w:rsidRDefault="000F16EB" w:rsidP="000F16EB">
      <w:pPr>
        <w:pStyle w:val="Heading3"/>
      </w:pPr>
      <w:bookmarkStart w:id="768" w:name="_Toc525230027"/>
      <w:bookmarkStart w:id="769" w:name="_Toc7187554"/>
      <w:r>
        <w:t>Building Thermal Inertia Methodology</w:t>
      </w:r>
      <w:bookmarkEnd w:id="768"/>
      <w:bookmarkEnd w:id="769"/>
    </w:p>
    <w:p w14:paraId="355119D7" w14:textId="213137F8" w:rsidR="000F16EB" w:rsidRPr="003650C8" w:rsidRDefault="000F16EB" w:rsidP="000F16EB">
      <w:r w:rsidRPr="003650C8">
        <w:t xml:space="preserve">The potential for storing TE utilising DSM controls and the thermal inertia of the buildings connected to the DHN was limited by the allowable temperature change in the buildings. In this work, the maximum allowable temperature change was set as </w:t>
      </w:r>
      <w:r w:rsidR="00C36B79" w:rsidRPr="003650C8">
        <w:rPr>
          <w:rFonts w:cstheme="minorHAnsi"/>
        </w:rPr>
        <w:t>± 0.5</w:t>
      </w:r>
      <w:r w:rsidRPr="003650C8">
        <w:t xml:space="preserve"> °C </w:t>
      </w:r>
      <w:r w:rsidRPr="003650C8">
        <w:fldChar w:fldCharType="begin" w:fldLock="1"/>
      </w:r>
      <w:r w:rsidR="002A6A73" w:rsidRPr="003650C8">
        <w:instrText>ADDIN CSL_CITATION {"citationItems":[{"id":"ITEM-1","itemData":{"DOI":"10.1016/j.enconman.2018.01.068","ISSN":"01968904","abstract":"Heat load variations in district heating systems lead to increased costs for heat generation and, in most cases, increased greenhouse gas emissions associated with the marginal use of fossil fuels. This work investigates the benefits of applying thermal energy storage in district heating systems to decrease heat load variations, comparing storage using a hot water tank and the thermal inertia of buildings (with similar storage capacity). A detailed techno-economic optimisation model is applied to the district heating system of Göteborg, Sweden. The results show that both the hot water tank and the thermal inertia of buildings benefit the operation of the district heating system and have similar dynamics of utilisation. However, compared to the thermal inertia of buildings, the hot water tank stores more than twice as much heat over the modelled year, owing to lower energy losses. For the same reason, only the hot water tank is used to store heat for periods longer than a few days. Furthermore, the hot water tank has its full capacity available for charging/discharging at all times, whereas the capacity of the thermal inertia of buildings depends on the heat transfer between the building core and its indoor air and internals. Finally, the total system yearly operating cost decreases by 1% when the thermal inertia of buildings and by 2% when the hot water tank is added to the district heating system, as compared to the scenario without any storage.","author":[{"dropping-particle":"","family":"Romanchenko","given":"Dmytro","non-dropping-particle":"","parse-names":false,"suffix":""},{"dropping-particle":"","family":"Kensby","given":"Johan","non-dropping-particle":"","parse-names":false,"suffix":""},{"dropping-particle":"","family":"Odenberger","given":"Mikael","non-dropping-particle":"","parse-names":false,"suffix":""},{"dropping-particle":"","family":"Johnsson","given":"Filip","non-dropping-particle":"","parse-names":false,"suffix":""}],"container-title":"Energy Conversion and Management","id":"ITEM-1","issue":"October 2017","issued":{"date-parts":[["2018"]]},"page":"26-38","publisher":"Elsevier","title":"Thermal energy storage in district heating: Centralised storage vs. storage in thermal inertia of buildings","type":"article-journal","volume":"162"},"uris":["http://www.mendeley.com/documents/?uuid=cb395029-5f1e-49b6-ba70-d706084d23e5"]}],"mendeley":{"formattedCitation":"(Romanchenko &lt;i&gt;et al.&lt;/i&gt;, 2018)","plainTextFormattedCitation":"(Romanchenko et al., 2018)","previouslyFormattedCitation":"(Romanchenko &lt;i&gt;et al.&lt;/i&gt;, 2018)"},"properties":{"noteIndex":0},"schema":"https://github.com/citation-style-language/schema/raw/master/csl-citation.json"}</w:instrText>
      </w:r>
      <w:r w:rsidRPr="003650C8">
        <w:fldChar w:fldCharType="separate"/>
      </w:r>
      <w:r w:rsidR="002A6A73" w:rsidRPr="003650C8">
        <w:rPr>
          <w:noProof/>
        </w:rPr>
        <w:t xml:space="preserve">(Romanchenko </w:t>
      </w:r>
      <w:r w:rsidR="002A6A73" w:rsidRPr="003650C8">
        <w:rPr>
          <w:i/>
          <w:noProof/>
        </w:rPr>
        <w:t>et al.</w:t>
      </w:r>
      <w:r w:rsidR="002A6A73" w:rsidRPr="003650C8">
        <w:rPr>
          <w:noProof/>
        </w:rPr>
        <w:t>, 2018)</w:t>
      </w:r>
      <w:r w:rsidRPr="003650C8">
        <w:fldChar w:fldCharType="end"/>
      </w:r>
      <w:r w:rsidRPr="003650C8">
        <w:t xml:space="preserve">. </w:t>
      </w:r>
      <w:r w:rsidR="00C36B79" w:rsidRPr="003650C8">
        <w:t xml:space="preserve"> The value of </w:t>
      </w:r>
      <w:r w:rsidR="00C36B79" w:rsidRPr="003650C8">
        <w:rPr>
          <w:rFonts w:cstheme="minorHAnsi"/>
        </w:rPr>
        <w:t>±</w:t>
      </w:r>
      <w:r w:rsidR="00C36B79" w:rsidRPr="003650C8">
        <w:t xml:space="preserve"> 0.5 °C </w:t>
      </w:r>
      <w:r w:rsidR="008477DC">
        <w:t>was</w:t>
      </w:r>
      <w:r w:rsidR="00C36B79" w:rsidRPr="003650C8">
        <w:t xml:space="preserve"> based on the work completed by </w:t>
      </w:r>
      <w:r w:rsidR="00C36B79" w:rsidRPr="003650C8">
        <w:rPr>
          <w:noProof/>
        </w:rPr>
        <w:t>Romanchenko</w:t>
      </w:r>
      <w:r w:rsidR="00C36B79" w:rsidRPr="003650C8">
        <w:t xml:space="preserve"> </w:t>
      </w:r>
      <w:r w:rsidR="00C36B79" w:rsidRPr="005770D7">
        <w:rPr>
          <w:i/>
        </w:rPr>
        <w:t>et al</w:t>
      </w:r>
      <w:r w:rsidR="00C36B79" w:rsidRPr="003650C8">
        <w:t xml:space="preserve">. but has been reduced to reflect the high proportion of domestic buildings connected to the DHN </w:t>
      </w:r>
      <w:r w:rsidR="00C36B79" w:rsidRPr="003650C8">
        <w:fldChar w:fldCharType="begin" w:fldLock="1"/>
      </w:r>
      <w:r w:rsidR="00C36B79" w:rsidRPr="003650C8">
        <w:instrText>ADDIN CSL_CITATION {"citationItems":[{"id":"ITEM-1","itemData":{"DOI":"10.1016/j.enconman.2018.01.068","ISSN":"01968904","abstract":"Heat load variations in district heating systems lead to increased costs for heat generation and, in most cases, increased greenhouse gas emissions associated with the marginal use of fossil fuels. This work investigates the benefits of applying thermal energy storage in district heating systems to decrease heat load variations, comparing storage using a hot water tank and the thermal inertia of buildings (with similar storage capacity). A detailed techno-economic optimisation model is applied to the district heating system of Göteborg, Sweden. The results show that both the hot water tank and the thermal inertia of buildings benefit the operation of the district heating system and have similar dynamics of utilisation. However, compared to the thermal inertia of buildings, the hot water tank stores more than twice as much heat over the modelled year, owing to lower energy losses. For the same reason, only the hot water tank is used to store heat for periods longer than a few days. Furthermore, the hot water tank has its full capacity available for charging/discharging at all times, whereas the capacity of the thermal inertia of buildings depends on the heat transfer between the building core and its indoor air and internals. Finally, the total system yearly operating cost decreases by 1% when the thermal inertia of buildings and by 2% when the hot water tank is added to the district heating system, as compared to the scenario without any storage.","author":[{"dropping-particle":"","family":"Romanchenko","given":"Dmytro","non-dropping-particle":"","parse-names":false,"suffix":""},{"dropping-particle":"","family":"Kensby","given":"Johan","non-dropping-particle":"","parse-names":false,"suffix":""},{"dropping-particle":"","family":"Odenberger","given":"Mikael","non-dropping-particle":"","parse-names":false,"suffix":""},{"dropping-particle":"","family":"Johnsson","given":"Filip","non-dropping-particle":"","parse-names":false,"suffix":""}],"container-title":"Energy Conversion and Management","id":"ITEM-1","issue":"October 2017","issued":{"date-parts":[["2018"]]},"page":"26-38","publisher":"Elsevier","title":"Thermal energy storage in district heating: Centralised storage vs. storage in thermal inertia of buildings","type":"article-journal","volume":"162"},"uris":["http://www.mendeley.com/documents/?uuid=cb395029-5f1e-49b6-ba70-d706084d23e5"]}],"mendeley":{"formattedCitation":"(Romanchenko &lt;i&gt;et al.&lt;/i&gt;, 2018)","plainTextFormattedCitation":"(Romanchenko et al., 2018)","previouslyFormattedCitation":"(Romanchenko &lt;i&gt;et al.&lt;/i&gt;, 2018)"},"properties":{"noteIndex":0},"schema":"https://github.com/citation-style-language/schema/raw/master/csl-citation.json"}</w:instrText>
      </w:r>
      <w:r w:rsidR="00C36B79" w:rsidRPr="003650C8">
        <w:fldChar w:fldCharType="separate"/>
      </w:r>
      <w:r w:rsidR="00C36B79" w:rsidRPr="003650C8">
        <w:rPr>
          <w:noProof/>
        </w:rPr>
        <w:t xml:space="preserve">(Romanchenko </w:t>
      </w:r>
      <w:r w:rsidR="00C36B79" w:rsidRPr="003650C8">
        <w:rPr>
          <w:i/>
          <w:noProof/>
        </w:rPr>
        <w:t>et al.</w:t>
      </w:r>
      <w:r w:rsidR="00C36B79" w:rsidRPr="003650C8">
        <w:rPr>
          <w:noProof/>
        </w:rPr>
        <w:t>, 2018)</w:t>
      </w:r>
      <w:r w:rsidR="00C36B79" w:rsidRPr="003650C8">
        <w:fldChar w:fldCharType="end"/>
      </w:r>
      <w:r w:rsidR="00C36B79" w:rsidRPr="003650C8">
        <w:t xml:space="preserve">. Domestic buildings will have more stringent thermal comfort demands, which </w:t>
      </w:r>
      <w:r w:rsidR="00BA09FC">
        <w:t>was</w:t>
      </w:r>
      <w:r w:rsidR="00C36B79" w:rsidRPr="003650C8">
        <w:t xml:space="preserve"> reflected by the smaller allowable temperature change. </w:t>
      </w:r>
      <w:r w:rsidRPr="003650C8">
        <w:t xml:space="preserve">When considering a building as a TE store, the components of the building were split into shallow and deep. Shallow components were able to directly interact with, transferring heat to and from the building heating system, the DHN, and the outdoor air. Examples of shallow components included the heating system and the indoor air. Deep components only interacted with and transferred heat to and from the shallow components of the building. The deep components of the building were the building structure itself. The thermal inertia of building-based TES was caused by the delay in the energy transfer between the shallow and the deep components. The energy stored in the shallow and the deep components was calculated, as shown in Equation </w:t>
      </w:r>
      <w:r w:rsidRPr="003650C8">
        <w:fldChar w:fldCharType="begin"/>
      </w:r>
      <w:r w:rsidRPr="003650C8">
        <w:instrText xml:space="preserve"> REF _Ref531103624 \h </w:instrText>
      </w:r>
      <w:r w:rsidRPr="003650C8">
        <w:fldChar w:fldCharType="separate"/>
      </w:r>
      <w:r w:rsidR="00CB7456">
        <w:rPr>
          <w:noProof/>
        </w:rPr>
        <w:t>7</w:t>
      </w:r>
      <w:r w:rsidR="00CB7456" w:rsidRPr="003650C8">
        <w:t>.</w:t>
      </w:r>
      <w:r w:rsidR="00CB7456">
        <w:rPr>
          <w:noProof/>
        </w:rPr>
        <w:t>5</w:t>
      </w:r>
      <w:r w:rsidRPr="003650C8">
        <w:fldChar w:fldCharType="end"/>
      </w:r>
      <w:r w:rsidRPr="003650C8">
        <w:t xml:space="preserve"> and Equation </w:t>
      </w:r>
      <w:r w:rsidRPr="003650C8">
        <w:fldChar w:fldCharType="begin"/>
      </w:r>
      <w:r w:rsidRPr="003650C8">
        <w:instrText xml:space="preserve"> REF _Ref531103669 \h </w:instrText>
      </w:r>
      <w:r w:rsidRPr="003650C8">
        <w:fldChar w:fldCharType="separate"/>
      </w:r>
      <w:r w:rsidR="00CB7456">
        <w:rPr>
          <w:noProof/>
        </w:rPr>
        <w:t>7</w:t>
      </w:r>
      <w:r w:rsidR="00CB7456" w:rsidRPr="003650C8">
        <w:t>.</w:t>
      </w:r>
      <w:r w:rsidR="00CB7456">
        <w:rPr>
          <w:noProof/>
        </w:rPr>
        <w:t>6</w:t>
      </w:r>
      <w:r w:rsidRPr="003650C8">
        <w:fldChar w:fldCharType="end"/>
      </w:r>
      <w:r w:rsidRPr="003650C8">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37"/>
        <w:gridCol w:w="518"/>
        <w:gridCol w:w="543"/>
      </w:tblGrid>
      <w:tr w:rsidR="000F16EB" w:rsidRPr="003650C8" w14:paraId="2D9AA913" w14:textId="77777777" w:rsidTr="00A7521D">
        <w:tc>
          <w:tcPr>
            <w:tcW w:w="7137" w:type="dxa"/>
            <w:hideMark/>
          </w:tcPr>
          <w:p w14:paraId="03592AEB" w14:textId="46985B6B" w:rsidR="000F16EB" w:rsidRPr="003650C8" w:rsidRDefault="00C73E04" w:rsidP="00A7521D">
            <w:pPr>
              <w:keepNext/>
            </w:pPr>
            <m:oMathPara>
              <m:oMathParaPr>
                <m:jc m:val="left"/>
              </m:oMathParaPr>
              <m:oMath>
                <m:sSubSup>
                  <m:sSubSupPr>
                    <m:ctrlPr>
                      <w:rPr>
                        <w:rFonts w:ascii="Cambria Math" w:hAnsi="Cambria Math"/>
                        <w:i/>
                      </w:rPr>
                    </m:ctrlPr>
                  </m:sSubSupPr>
                  <m:e>
                    <m:r>
                      <w:rPr>
                        <w:rFonts w:ascii="Cambria Math" w:hAnsi="Cambria Math"/>
                      </w:rPr>
                      <m:t>Q</m:t>
                    </m:r>
                  </m:e>
                  <m:sub>
                    <m:r>
                      <w:rPr>
                        <w:rFonts w:ascii="Cambria Math" w:hAnsi="Cambria Math"/>
                      </w:rPr>
                      <m:t>stored,t</m:t>
                    </m:r>
                  </m:sub>
                  <m:sup>
                    <m:r>
                      <w:rPr>
                        <w:rFonts w:ascii="Cambria Math" w:hAnsi="Cambria Math"/>
                      </w:rPr>
                      <m:t>s</m:t>
                    </m:r>
                    <w:bookmarkStart w:id="770" w:name="_Hlk526159690"/>
                    <m:r>
                      <w:rPr>
                        <w:rFonts w:ascii="Cambria Math" w:hAnsi="Cambria Math"/>
                      </w:rPr>
                      <m:t>hallow</m:t>
                    </m:r>
                    <w:bookmarkEnd w:id="770"/>
                  </m:sup>
                </m:sSubSup>
                <m:r>
                  <w:rPr>
                    <w:rFonts w:ascii="Cambria Math" w:hAnsi="Cambria Math"/>
                  </w:rPr>
                  <m:t>=</m:t>
                </m:r>
                <m:sSubSup>
                  <m:sSubSupPr>
                    <m:ctrlPr>
                      <w:rPr>
                        <w:rFonts w:ascii="Cambria Math" w:hAnsi="Cambria Math"/>
                        <w:i/>
                      </w:rPr>
                    </m:ctrlPr>
                  </m:sSubSupPr>
                  <m:e>
                    <m:r>
                      <w:rPr>
                        <w:rFonts w:ascii="Cambria Math" w:hAnsi="Cambria Math"/>
                      </w:rPr>
                      <m:t>Q</m:t>
                    </m:r>
                  </m:e>
                  <m:sub>
                    <m:r>
                      <w:rPr>
                        <w:rFonts w:ascii="Cambria Math" w:hAnsi="Cambria Math"/>
                      </w:rPr>
                      <m:t>stored,t-1</m:t>
                    </m:r>
                  </m:sub>
                  <m:sup>
                    <m:r>
                      <w:rPr>
                        <w:rFonts w:ascii="Cambria Math" w:hAnsi="Cambria Math"/>
                      </w:rPr>
                      <m:t>shallow</m:t>
                    </m:r>
                  </m:sup>
                </m:sSubSup>
                <m:r>
                  <w:rPr>
                    <w:rFonts w:ascii="Cambria Math" w:hAnsi="Cambria Math"/>
                  </w:rPr>
                  <m:t>+</m:t>
                </m:r>
                <m:sSubSup>
                  <m:sSubSupPr>
                    <m:ctrlPr>
                      <w:rPr>
                        <w:rFonts w:ascii="Cambria Math" w:hAnsi="Cambria Math"/>
                        <w:i/>
                      </w:rPr>
                    </m:ctrlPr>
                  </m:sSubSupPr>
                  <m:e>
                    <m:r>
                      <w:rPr>
                        <w:rFonts w:ascii="Cambria Math" w:hAnsi="Cambria Math"/>
                      </w:rPr>
                      <m:t>Q</m:t>
                    </m:r>
                  </m:e>
                  <m:sub>
                    <m:r>
                      <w:rPr>
                        <w:rFonts w:ascii="Cambria Math" w:hAnsi="Cambria Math"/>
                      </w:rPr>
                      <m:t>ch,t</m:t>
                    </m:r>
                  </m:sub>
                  <m:sup>
                    <m:r>
                      <w:rPr>
                        <w:rFonts w:ascii="Cambria Math" w:hAnsi="Cambria Math"/>
                      </w:rPr>
                      <m:t>shallow</m:t>
                    </m:r>
                  </m:sup>
                </m:sSubSup>
                <m:r>
                  <w:rPr>
                    <w:rFonts w:ascii="Cambria Math" w:hAnsi="Cambria Math"/>
                  </w:rPr>
                  <m:t>-</m:t>
                </m:r>
                <m:sSubSup>
                  <m:sSubSupPr>
                    <m:ctrlPr>
                      <w:rPr>
                        <w:rFonts w:ascii="Cambria Math" w:hAnsi="Cambria Math"/>
                        <w:i/>
                      </w:rPr>
                    </m:ctrlPr>
                  </m:sSubSupPr>
                  <m:e>
                    <m:r>
                      <w:rPr>
                        <w:rFonts w:ascii="Cambria Math" w:hAnsi="Cambria Math"/>
                      </w:rPr>
                      <m:t>Q</m:t>
                    </m:r>
                  </m:e>
                  <m:sub>
                    <m:r>
                      <w:rPr>
                        <w:rFonts w:ascii="Cambria Math" w:hAnsi="Cambria Math"/>
                      </w:rPr>
                      <m:t>disch,t</m:t>
                    </m:r>
                  </m:sub>
                  <m:sup>
                    <m:r>
                      <w:rPr>
                        <w:rFonts w:ascii="Cambria Math" w:hAnsi="Cambria Math"/>
                      </w:rPr>
                      <m:t>shallow</m:t>
                    </m:r>
                  </m:sup>
                </m:sSubSup>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flow,t</m:t>
                    </m:r>
                  </m:sub>
                </m:sSub>
                <m:r>
                  <w:rPr>
                    <w:rFonts w:ascii="Cambria Math" w:hAnsi="Cambria Math"/>
                  </w:rPr>
                  <m:t>-</m:t>
                </m:r>
                <m:sSubSup>
                  <m:sSubSupPr>
                    <m:ctrlPr>
                      <w:rPr>
                        <w:rFonts w:ascii="Cambria Math" w:hAnsi="Cambria Math"/>
                        <w:i/>
                      </w:rPr>
                    </m:ctrlPr>
                  </m:sSubSupPr>
                  <m:e>
                    <m:r>
                      <w:rPr>
                        <w:rFonts w:ascii="Cambria Math" w:hAnsi="Cambria Math"/>
                      </w:rPr>
                      <m:t>Q</m:t>
                    </m:r>
                  </m:e>
                  <m:sub>
                    <m:r>
                      <w:rPr>
                        <w:rFonts w:ascii="Cambria Math" w:hAnsi="Cambria Math"/>
                      </w:rPr>
                      <m:t>loss,t</m:t>
                    </m:r>
                  </m:sub>
                  <m:sup>
                    <m:r>
                      <w:rPr>
                        <w:rFonts w:ascii="Cambria Math" w:hAnsi="Cambria Math"/>
                      </w:rPr>
                      <m:t>shallow</m:t>
                    </m:r>
                  </m:sup>
                </m:sSubSup>
              </m:oMath>
            </m:oMathPara>
          </w:p>
        </w:tc>
        <w:tc>
          <w:tcPr>
            <w:tcW w:w="518" w:type="dxa"/>
          </w:tcPr>
          <w:p w14:paraId="0ED03CBC" w14:textId="77777777" w:rsidR="000F16EB" w:rsidRPr="003650C8" w:rsidRDefault="000F16EB" w:rsidP="00A7521D">
            <w:pPr>
              <w:pStyle w:val="Caption"/>
              <w:jc w:val="right"/>
            </w:pPr>
          </w:p>
        </w:tc>
        <w:bookmarkStart w:id="771" w:name="_Ref531103624"/>
        <w:tc>
          <w:tcPr>
            <w:tcW w:w="543" w:type="dxa"/>
            <w:vAlign w:val="center"/>
          </w:tcPr>
          <w:p w14:paraId="65B6B716" w14:textId="1EC5232F" w:rsidR="000F16EB" w:rsidRPr="003650C8" w:rsidRDefault="000F16EB" w:rsidP="00A7521D">
            <w:pPr>
              <w:pStyle w:val="Caption"/>
              <w:jc w:val="right"/>
              <w:rPr>
                <w:b w:val="0"/>
              </w:rPr>
            </w:pPr>
            <w:r w:rsidRPr="003650C8">
              <w:fldChar w:fldCharType="begin"/>
            </w:r>
            <w:r w:rsidRPr="003650C8">
              <w:instrText xml:space="preserve"> STYLEREF 1 \s </w:instrText>
            </w:r>
            <w:r w:rsidRPr="003650C8">
              <w:fldChar w:fldCharType="separate"/>
            </w:r>
            <w:r w:rsidR="00CB7456">
              <w:rPr>
                <w:noProof/>
              </w:rPr>
              <w:t>7</w:t>
            </w:r>
            <w:r w:rsidRPr="003650C8">
              <w:fldChar w:fldCharType="end"/>
            </w:r>
            <w:r w:rsidRPr="003650C8">
              <w:t>.</w:t>
            </w:r>
            <w:r w:rsidRPr="003650C8">
              <w:rPr>
                <w:noProof/>
              </w:rPr>
              <w:fldChar w:fldCharType="begin"/>
            </w:r>
            <w:r w:rsidRPr="003650C8">
              <w:rPr>
                <w:noProof/>
              </w:rPr>
              <w:instrText xml:space="preserve"> SEQ Equation \* ARABIC \s 1 </w:instrText>
            </w:r>
            <w:r w:rsidRPr="003650C8">
              <w:rPr>
                <w:noProof/>
              </w:rPr>
              <w:fldChar w:fldCharType="separate"/>
            </w:r>
            <w:r w:rsidR="00CB7456">
              <w:rPr>
                <w:noProof/>
              </w:rPr>
              <w:t>5</w:t>
            </w:r>
            <w:r w:rsidRPr="003650C8">
              <w:rPr>
                <w:noProof/>
              </w:rPr>
              <w:fldChar w:fldCharType="end"/>
            </w:r>
            <w:bookmarkEnd w:id="771"/>
          </w:p>
        </w:tc>
      </w:tr>
    </w:tbl>
    <w:p w14:paraId="21550ED4" w14:textId="77777777" w:rsidR="000F16EB" w:rsidRPr="003650C8" w:rsidRDefault="000F16EB" w:rsidP="003650C8">
      <w:pPr>
        <w:pStyle w:val="NoSpacing"/>
      </w:pPr>
    </w:p>
    <w:p w14:paraId="57269515" w14:textId="77777777" w:rsidR="000F16EB" w:rsidRPr="003650C8" w:rsidRDefault="00C73E04" w:rsidP="000F16EB">
      <w:pPr>
        <w:pStyle w:val="NoSpacing"/>
      </w:pPr>
      <m:oMath>
        <m:sSubSup>
          <m:sSubSupPr>
            <m:ctrlPr>
              <w:rPr>
                <w:rFonts w:ascii="Cambria Math" w:hAnsi="Cambria Math"/>
                <w:i/>
              </w:rPr>
            </m:ctrlPr>
          </m:sSubSupPr>
          <m:e>
            <m:r>
              <w:rPr>
                <w:rFonts w:ascii="Cambria Math" w:hAnsi="Cambria Math"/>
              </w:rPr>
              <m:t>Q</m:t>
            </m:r>
          </m:e>
          <m:sub>
            <m:r>
              <w:rPr>
                <w:rFonts w:ascii="Cambria Math" w:hAnsi="Cambria Math"/>
              </w:rPr>
              <m:t>stored,t</m:t>
            </m:r>
          </m:sub>
          <m:sup>
            <m:r>
              <w:rPr>
                <w:rFonts w:ascii="Cambria Math" w:hAnsi="Cambria Math"/>
              </w:rPr>
              <m:t>shallow</m:t>
            </m:r>
          </m:sup>
        </m:sSubSup>
      </m:oMath>
      <w:r w:rsidR="000F16EB" w:rsidRPr="003650C8">
        <w:t xml:space="preserve"> was the energy stored in the shallow components of the buildings connected to the DHN at time step, </w:t>
      </w:r>
      <w:r w:rsidR="000F16EB" w:rsidRPr="003650C8">
        <w:rPr>
          <w:i/>
        </w:rPr>
        <w:t>t</w:t>
      </w:r>
      <w:r w:rsidR="000F16EB" w:rsidRPr="003650C8">
        <w:t xml:space="preserve"> (MWh),</w:t>
      </w:r>
    </w:p>
    <w:p w14:paraId="7E323E10" w14:textId="77777777" w:rsidR="000F16EB" w:rsidRPr="003650C8" w:rsidRDefault="00C73E04" w:rsidP="000F16EB">
      <w:pPr>
        <w:pStyle w:val="NoSpacing"/>
      </w:pPr>
      <m:oMath>
        <m:sSubSup>
          <m:sSubSupPr>
            <m:ctrlPr>
              <w:rPr>
                <w:rFonts w:ascii="Cambria Math" w:hAnsi="Cambria Math"/>
                <w:i/>
              </w:rPr>
            </m:ctrlPr>
          </m:sSubSupPr>
          <m:e>
            <m:r>
              <w:rPr>
                <w:rFonts w:ascii="Cambria Math" w:hAnsi="Cambria Math"/>
              </w:rPr>
              <m:t>Q</m:t>
            </m:r>
          </m:e>
          <m:sub>
            <m:r>
              <w:rPr>
                <w:rFonts w:ascii="Cambria Math" w:hAnsi="Cambria Math"/>
              </w:rPr>
              <m:t>stored,t-1</m:t>
            </m:r>
          </m:sub>
          <m:sup>
            <m:r>
              <w:rPr>
                <w:rFonts w:ascii="Cambria Math" w:hAnsi="Cambria Math"/>
              </w:rPr>
              <m:t>shallow</m:t>
            </m:r>
          </m:sup>
        </m:sSubSup>
      </m:oMath>
      <w:r w:rsidR="000F16EB" w:rsidRPr="003650C8">
        <w:t xml:space="preserve"> was the energy stored in the shallow components of the buildings connected to the DHN at the prev</w:t>
      </w:r>
      <w:proofErr w:type="spellStart"/>
      <w:r w:rsidR="000F16EB" w:rsidRPr="003650C8">
        <w:t>ious</w:t>
      </w:r>
      <w:proofErr w:type="spellEnd"/>
      <w:r w:rsidR="000F16EB" w:rsidRPr="003650C8">
        <w:t xml:space="preserve"> time step, </w:t>
      </w:r>
      <w:r w:rsidR="000F16EB" w:rsidRPr="003650C8">
        <w:rPr>
          <w:i/>
        </w:rPr>
        <w:t>t-1</w:t>
      </w:r>
      <w:r w:rsidR="000F16EB" w:rsidRPr="003650C8">
        <w:t xml:space="preserve"> (MWh),</w:t>
      </w:r>
    </w:p>
    <w:p w14:paraId="6883DA2E" w14:textId="3F12359F" w:rsidR="000F16EB" w:rsidRPr="003650C8" w:rsidRDefault="00C73E04" w:rsidP="000F16EB">
      <w:pPr>
        <w:pStyle w:val="NoSpacing"/>
      </w:pPr>
      <m:oMath>
        <m:sSubSup>
          <m:sSubSupPr>
            <m:ctrlPr>
              <w:rPr>
                <w:rFonts w:ascii="Cambria Math" w:hAnsi="Cambria Math"/>
                <w:i/>
              </w:rPr>
            </m:ctrlPr>
          </m:sSubSupPr>
          <m:e>
            <m:r>
              <w:rPr>
                <w:rFonts w:ascii="Cambria Math" w:hAnsi="Cambria Math"/>
              </w:rPr>
              <m:t>Q</m:t>
            </m:r>
          </m:e>
          <m:sub>
            <m:r>
              <w:rPr>
                <w:rFonts w:ascii="Cambria Math" w:hAnsi="Cambria Math"/>
              </w:rPr>
              <m:t>ch,t</m:t>
            </m:r>
          </m:sub>
          <m:sup>
            <m:r>
              <w:rPr>
                <w:rFonts w:ascii="Cambria Math" w:hAnsi="Cambria Math"/>
              </w:rPr>
              <m:t>shallow</m:t>
            </m:r>
          </m:sup>
        </m:sSubSup>
      </m:oMath>
      <w:r w:rsidR="000F16EB" w:rsidRPr="003650C8">
        <w:t xml:space="preserve"> was the </w:t>
      </w:r>
      <w:r w:rsidR="005F0E17" w:rsidRPr="003650C8">
        <w:t>energy added to</w:t>
      </w:r>
      <w:r w:rsidR="000F16EB" w:rsidRPr="003650C8">
        <w:t xml:space="preserve"> the shallow components of the buildings connected to the DHN at time step, </w:t>
      </w:r>
      <w:r w:rsidR="000F16EB" w:rsidRPr="003650C8">
        <w:rPr>
          <w:i/>
        </w:rPr>
        <w:t xml:space="preserve">t </w:t>
      </w:r>
      <w:r w:rsidR="000F16EB" w:rsidRPr="003650C8">
        <w:t>(MW</w:t>
      </w:r>
      <w:r w:rsidR="003E115C">
        <w:t>h</w:t>
      </w:r>
      <w:r w:rsidR="005F0E17" w:rsidRPr="003650C8">
        <w:t>/h</w:t>
      </w:r>
      <w:r w:rsidR="000F16EB" w:rsidRPr="003650C8">
        <w:t>),</w:t>
      </w:r>
    </w:p>
    <w:p w14:paraId="255605FB" w14:textId="389FE071" w:rsidR="000F16EB" w:rsidRPr="003650C8" w:rsidRDefault="00C73E04" w:rsidP="000F16EB">
      <w:pPr>
        <w:pStyle w:val="NoSpacing"/>
      </w:pPr>
      <m:oMath>
        <m:sSubSup>
          <m:sSubSupPr>
            <m:ctrlPr>
              <w:rPr>
                <w:rFonts w:ascii="Cambria Math" w:hAnsi="Cambria Math"/>
                <w:i/>
              </w:rPr>
            </m:ctrlPr>
          </m:sSubSupPr>
          <m:e>
            <m:r>
              <w:rPr>
                <w:rFonts w:ascii="Cambria Math" w:hAnsi="Cambria Math"/>
              </w:rPr>
              <m:t>Q</m:t>
            </m:r>
          </m:e>
          <m:sub>
            <m:r>
              <w:rPr>
                <w:rFonts w:ascii="Cambria Math" w:hAnsi="Cambria Math"/>
              </w:rPr>
              <m:t>disch,t</m:t>
            </m:r>
          </m:sub>
          <m:sup>
            <m:r>
              <w:rPr>
                <w:rFonts w:ascii="Cambria Math" w:hAnsi="Cambria Math"/>
              </w:rPr>
              <m:t>shallow</m:t>
            </m:r>
          </m:sup>
        </m:sSubSup>
      </m:oMath>
      <w:r w:rsidR="000F16EB" w:rsidRPr="003650C8">
        <w:t xml:space="preserve"> was the </w:t>
      </w:r>
      <w:r w:rsidR="005F0E17" w:rsidRPr="003650C8">
        <w:t>energy removed from</w:t>
      </w:r>
      <w:r w:rsidR="000F16EB" w:rsidRPr="003650C8">
        <w:t xml:space="preserve"> the shallow components of the buildings connected to the DHN at time step, </w:t>
      </w:r>
      <w:r w:rsidR="000F16EB" w:rsidRPr="003650C8">
        <w:rPr>
          <w:i/>
        </w:rPr>
        <w:t xml:space="preserve">t </w:t>
      </w:r>
      <w:r w:rsidR="000F16EB" w:rsidRPr="003650C8">
        <w:t>(MW</w:t>
      </w:r>
      <w:r w:rsidR="003E115C">
        <w:t>h</w:t>
      </w:r>
      <w:r w:rsidR="005F0E17" w:rsidRPr="003650C8">
        <w:t>/h</w:t>
      </w:r>
      <w:r w:rsidR="000F16EB" w:rsidRPr="003650C8">
        <w:t>),</w:t>
      </w:r>
    </w:p>
    <w:p w14:paraId="70303DE8" w14:textId="6872140F" w:rsidR="000F16EB" w:rsidRPr="003650C8" w:rsidRDefault="00C73E04" w:rsidP="000F16EB">
      <w:pPr>
        <w:pStyle w:val="NoSpacing"/>
      </w:pPr>
      <m:oMath>
        <m:sSub>
          <m:sSubPr>
            <m:ctrlPr>
              <w:rPr>
                <w:rFonts w:ascii="Cambria Math" w:hAnsi="Cambria Math"/>
                <w:i/>
              </w:rPr>
            </m:ctrlPr>
          </m:sSubPr>
          <m:e>
            <m:r>
              <w:rPr>
                <w:rFonts w:ascii="Cambria Math" w:hAnsi="Cambria Math"/>
              </w:rPr>
              <m:t>Q</m:t>
            </m:r>
          </m:e>
          <m:sub>
            <m:r>
              <w:rPr>
                <w:rFonts w:ascii="Cambria Math" w:hAnsi="Cambria Math"/>
              </w:rPr>
              <m:t>flow,t</m:t>
            </m:r>
          </m:sub>
        </m:sSub>
      </m:oMath>
      <w:r w:rsidR="000F16EB" w:rsidRPr="003650C8">
        <w:t xml:space="preserve"> was the </w:t>
      </w:r>
      <w:r w:rsidR="005F0E17" w:rsidRPr="003650C8">
        <w:t>transfer of energy</w:t>
      </w:r>
      <w:r w:rsidR="000F16EB" w:rsidRPr="003650C8">
        <w:t xml:space="preserve"> </w:t>
      </w:r>
      <w:bookmarkStart w:id="772" w:name="_Hlk526159814"/>
      <w:r w:rsidR="000F16EB" w:rsidRPr="003650C8">
        <w:t xml:space="preserve">from the shallow to the deep components </w:t>
      </w:r>
      <w:bookmarkEnd w:id="772"/>
      <w:r w:rsidR="000F16EB" w:rsidRPr="003650C8">
        <w:t xml:space="preserve">of the buildings connected to the DHN at time step, </w:t>
      </w:r>
      <w:r w:rsidR="000F16EB" w:rsidRPr="003650C8">
        <w:rPr>
          <w:i/>
        </w:rPr>
        <w:t xml:space="preserve">t </w:t>
      </w:r>
      <w:r w:rsidR="000F16EB" w:rsidRPr="003650C8">
        <w:t>(MW</w:t>
      </w:r>
      <w:r w:rsidR="003E115C">
        <w:t>h</w:t>
      </w:r>
      <w:r w:rsidR="005F0E17" w:rsidRPr="003650C8">
        <w:t>/h</w:t>
      </w:r>
      <w:r w:rsidR="000F16EB" w:rsidRPr="003650C8">
        <w:t>),</w:t>
      </w:r>
    </w:p>
    <w:p w14:paraId="05C3D150" w14:textId="694C95BE" w:rsidR="000F16EB" w:rsidRPr="003650C8" w:rsidRDefault="00C73E04" w:rsidP="000F16EB">
      <m:oMath>
        <m:sSubSup>
          <m:sSubSupPr>
            <m:ctrlPr>
              <w:rPr>
                <w:rFonts w:ascii="Cambria Math" w:hAnsi="Cambria Math"/>
                <w:i/>
              </w:rPr>
            </m:ctrlPr>
          </m:sSubSupPr>
          <m:e>
            <m:r>
              <w:rPr>
                <w:rFonts w:ascii="Cambria Math" w:hAnsi="Cambria Math"/>
              </w:rPr>
              <m:t>Q</m:t>
            </m:r>
          </m:e>
          <m:sub>
            <m:r>
              <w:rPr>
                <w:rFonts w:ascii="Cambria Math" w:hAnsi="Cambria Math"/>
              </w:rPr>
              <m:t>loss,t</m:t>
            </m:r>
          </m:sub>
          <m:sup>
            <m:r>
              <w:rPr>
                <w:rFonts w:ascii="Cambria Math" w:hAnsi="Cambria Math"/>
              </w:rPr>
              <m:t>shallow</m:t>
            </m:r>
          </m:sup>
        </m:sSubSup>
      </m:oMath>
      <w:r w:rsidR="000F16EB" w:rsidRPr="003650C8">
        <w:t xml:space="preserve"> was the rate of energy lo</w:t>
      </w:r>
      <w:proofErr w:type="spellStart"/>
      <w:r w:rsidR="000F16EB" w:rsidRPr="003650C8">
        <w:t>sses</w:t>
      </w:r>
      <w:proofErr w:type="spellEnd"/>
      <w:r w:rsidR="000F16EB" w:rsidRPr="003650C8">
        <w:t xml:space="preserve"> from the shallow components of the buildings connected to the DHN at time step, </w:t>
      </w:r>
      <w:r w:rsidR="000F16EB" w:rsidRPr="003650C8">
        <w:rPr>
          <w:i/>
        </w:rPr>
        <w:t xml:space="preserve">t </w:t>
      </w:r>
      <w:r w:rsidR="000F16EB" w:rsidRPr="003650C8">
        <w:t>(MW).</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37"/>
        <w:gridCol w:w="518"/>
        <w:gridCol w:w="543"/>
      </w:tblGrid>
      <w:tr w:rsidR="000F16EB" w:rsidRPr="003650C8" w14:paraId="7E661264" w14:textId="77777777" w:rsidTr="00A7521D">
        <w:tc>
          <w:tcPr>
            <w:tcW w:w="7137" w:type="dxa"/>
            <w:hideMark/>
          </w:tcPr>
          <w:p w14:paraId="4441B06C" w14:textId="3E6E7FA4" w:rsidR="000F16EB" w:rsidRPr="003650C8" w:rsidRDefault="00C73E04" w:rsidP="00A7521D">
            <w:pPr>
              <w:keepNext/>
            </w:pPr>
            <m:oMathPara>
              <m:oMathParaPr>
                <m:jc m:val="left"/>
              </m:oMathParaPr>
              <m:oMath>
                <m:sSubSup>
                  <m:sSubSupPr>
                    <m:ctrlPr>
                      <w:rPr>
                        <w:rFonts w:ascii="Cambria Math" w:hAnsi="Cambria Math"/>
                        <w:i/>
                      </w:rPr>
                    </m:ctrlPr>
                  </m:sSubSupPr>
                  <m:e>
                    <m:r>
                      <w:rPr>
                        <w:rFonts w:ascii="Cambria Math" w:hAnsi="Cambria Math"/>
                      </w:rPr>
                      <m:t>Q</m:t>
                    </m:r>
                  </m:e>
                  <m:sub>
                    <m:r>
                      <w:rPr>
                        <w:rFonts w:ascii="Cambria Math" w:hAnsi="Cambria Math"/>
                      </w:rPr>
                      <m:t>stored,t</m:t>
                    </m:r>
                  </m:sub>
                  <m:sup>
                    <m:r>
                      <w:rPr>
                        <w:rFonts w:ascii="Cambria Math" w:hAnsi="Cambria Math"/>
                      </w:rPr>
                      <m:t>deep</m:t>
                    </m:r>
                  </m:sup>
                </m:sSubSup>
                <m:r>
                  <w:rPr>
                    <w:rFonts w:ascii="Cambria Math" w:hAnsi="Cambria Math"/>
                  </w:rPr>
                  <m:t>=</m:t>
                </m:r>
                <m:sSubSup>
                  <m:sSubSupPr>
                    <m:ctrlPr>
                      <w:rPr>
                        <w:rFonts w:ascii="Cambria Math" w:hAnsi="Cambria Math"/>
                        <w:i/>
                      </w:rPr>
                    </m:ctrlPr>
                  </m:sSubSupPr>
                  <m:e>
                    <m:r>
                      <w:rPr>
                        <w:rFonts w:ascii="Cambria Math" w:hAnsi="Cambria Math"/>
                      </w:rPr>
                      <m:t>Q</m:t>
                    </m:r>
                  </m:e>
                  <m:sub>
                    <m:r>
                      <w:rPr>
                        <w:rFonts w:ascii="Cambria Math" w:hAnsi="Cambria Math"/>
                      </w:rPr>
                      <m:t>stored,t-1</m:t>
                    </m:r>
                  </m:sub>
                  <m:sup>
                    <m:r>
                      <w:rPr>
                        <w:rFonts w:ascii="Cambria Math" w:hAnsi="Cambria Math"/>
                      </w:rPr>
                      <m:t>deep</m:t>
                    </m:r>
                  </m:sup>
                </m:sSubSup>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flow,t</m:t>
                    </m:r>
                  </m:sub>
                </m:sSub>
                <m:r>
                  <w:rPr>
                    <w:rFonts w:ascii="Cambria Math" w:hAnsi="Cambria Math"/>
                  </w:rPr>
                  <m:t>-</m:t>
                </m:r>
                <m:sSubSup>
                  <m:sSubSupPr>
                    <m:ctrlPr>
                      <w:rPr>
                        <w:rFonts w:ascii="Cambria Math" w:hAnsi="Cambria Math"/>
                        <w:i/>
                      </w:rPr>
                    </m:ctrlPr>
                  </m:sSubSupPr>
                  <m:e>
                    <m:r>
                      <w:rPr>
                        <w:rFonts w:ascii="Cambria Math" w:hAnsi="Cambria Math"/>
                      </w:rPr>
                      <m:t>Q</m:t>
                    </m:r>
                  </m:e>
                  <m:sub>
                    <m:r>
                      <w:rPr>
                        <w:rFonts w:ascii="Cambria Math" w:hAnsi="Cambria Math"/>
                      </w:rPr>
                      <m:t>loss,t</m:t>
                    </m:r>
                  </m:sub>
                  <m:sup>
                    <m:r>
                      <w:rPr>
                        <w:rFonts w:ascii="Cambria Math" w:hAnsi="Cambria Math"/>
                      </w:rPr>
                      <m:t>deep</m:t>
                    </m:r>
                  </m:sup>
                </m:sSubSup>
              </m:oMath>
            </m:oMathPara>
          </w:p>
        </w:tc>
        <w:tc>
          <w:tcPr>
            <w:tcW w:w="518" w:type="dxa"/>
          </w:tcPr>
          <w:p w14:paraId="2719E837" w14:textId="77777777" w:rsidR="000F16EB" w:rsidRPr="003650C8" w:rsidRDefault="000F16EB" w:rsidP="00A7521D">
            <w:pPr>
              <w:pStyle w:val="Caption"/>
              <w:jc w:val="right"/>
            </w:pPr>
          </w:p>
        </w:tc>
        <w:bookmarkStart w:id="773" w:name="_Ref531103669"/>
        <w:tc>
          <w:tcPr>
            <w:tcW w:w="543" w:type="dxa"/>
            <w:vAlign w:val="center"/>
          </w:tcPr>
          <w:p w14:paraId="27EE5CAD" w14:textId="18650CAF" w:rsidR="000F16EB" w:rsidRPr="003650C8" w:rsidRDefault="000F16EB" w:rsidP="00A7521D">
            <w:pPr>
              <w:pStyle w:val="Caption"/>
              <w:jc w:val="right"/>
              <w:rPr>
                <w:b w:val="0"/>
              </w:rPr>
            </w:pPr>
            <w:r w:rsidRPr="003650C8">
              <w:fldChar w:fldCharType="begin"/>
            </w:r>
            <w:r w:rsidRPr="003650C8">
              <w:instrText xml:space="preserve"> STYLEREF 1 \s </w:instrText>
            </w:r>
            <w:r w:rsidRPr="003650C8">
              <w:fldChar w:fldCharType="separate"/>
            </w:r>
            <w:r w:rsidR="00CB7456">
              <w:rPr>
                <w:noProof/>
              </w:rPr>
              <w:t>7</w:t>
            </w:r>
            <w:r w:rsidRPr="003650C8">
              <w:fldChar w:fldCharType="end"/>
            </w:r>
            <w:r w:rsidRPr="003650C8">
              <w:t>.</w:t>
            </w:r>
            <w:r w:rsidRPr="003650C8">
              <w:rPr>
                <w:noProof/>
              </w:rPr>
              <w:fldChar w:fldCharType="begin"/>
            </w:r>
            <w:r w:rsidRPr="003650C8">
              <w:rPr>
                <w:noProof/>
              </w:rPr>
              <w:instrText xml:space="preserve"> SEQ Equation \* ARABIC \s 1 </w:instrText>
            </w:r>
            <w:r w:rsidRPr="003650C8">
              <w:rPr>
                <w:noProof/>
              </w:rPr>
              <w:fldChar w:fldCharType="separate"/>
            </w:r>
            <w:r w:rsidR="00CB7456">
              <w:rPr>
                <w:noProof/>
              </w:rPr>
              <w:t>6</w:t>
            </w:r>
            <w:r w:rsidRPr="003650C8">
              <w:rPr>
                <w:noProof/>
              </w:rPr>
              <w:fldChar w:fldCharType="end"/>
            </w:r>
            <w:bookmarkEnd w:id="773"/>
          </w:p>
        </w:tc>
      </w:tr>
    </w:tbl>
    <w:p w14:paraId="2CDC735A" w14:textId="77777777" w:rsidR="000F16EB" w:rsidRPr="003650C8" w:rsidRDefault="000F16EB" w:rsidP="003650C8">
      <w:pPr>
        <w:pStyle w:val="NoSpacing"/>
      </w:pPr>
    </w:p>
    <w:p w14:paraId="20420243" w14:textId="77777777" w:rsidR="000F16EB" w:rsidRDefault="00C73E04" w:rsidP="000F16EB">
      <w:pPr>
        <w:pStyle w:val="NoSpacing"/>
      </w:pPr>
      <m:oMath>
        <m:sSubSup>
          <m:sSubSupPr>
            <m:ctrlPr>
              <w:rPr>
                <w:rFonts w:ascii="Cambria Math" w:hAnsi="Cambria Math"/>
                <w:i/>
              </w:rPr>
            </m:ctrlPr>
          </m:sSubSupPr>
          <m:e>
            <m:r>
              <w:rPr>
                <w:rFonts w:ascii="Cambria Math" w:hAnsi="Cambria Math"/>
              </w:rPr>
              <m:t>Q</m:t>
            </m:r>
          </m:e>
          <m:sub>
            <m:r>
              <w:rPr>
                <w:rFonts w:ascii="Cambria Math" w:hAnsi="Cambria Math"/>
              </w:rPr>
              <m:t>stored,t</m:t>
            </m:r>
          </m:sub>
          <m:sup>
            <m:r>
              <w:rPr>
                <w:rFonts w:ascii="Cambria Math" w:hAnsi="Cambria Math"/>
              </w:rPr>
              <m:t>deep</m:t>
            </m:r>
          </m:sup>
        </m:sSubSup>
      </m:oMath>
      <w:r w:rsidR="000F16EB" w:rsidRPr="003650C8">
        <w:t xml:space="preserve"> was the energy stored in the deep components </w:t>
      </w:r>
      <w:r w:rsidR="000F16EB">
        <w:t xml:space="preserve">of the buildings connected to the DHN at time step, </w:t>
      </w:r>
      <w:r w:rsidR="000F16EB">
        <w:rPr>
          <w:i/>
        </w:rPr>
        <w:t>t</w:t>
      </w:r>
      <w:r w:rsidR="000F16EB">
        <w:t xml:space="preserve"> (MWh),</w:t>
      </w:r>
    </w:p>
    <w:p w14:paraId="1F5D9185" w14:textId="77777777" w:rsidR="000F16EB" w:rsidRDefault="00C73E04" w:rsidP="000F16EB">
      <w:pPr>
        <w:pStyle w:val="NoSpacing"/>
      </w:pPr>
      <m:oMath>
        <m:sSubSup>
          <m:sSubSupPr>
            <m:ctrlPr>
              <w:rPr>
                <w:rFonts w:ascii="Cambria Math" w:hAnsi="Cambria Math"/>
                <w:i/>
              </w:rPr>
            </m:ctrlPr>
          </m:sSubSupPr>
          <m:e>
            <m:r>
              <w:rPr>
                <w:rFonts w:ascii="Cambria Math" w:hAnsi="Cambria Math"/>
              </w:rPr>
              <m:t>Q</m:t>
            </m:r>
          </m:e>
          <m:sub>
            <m:r>
              <w:rPr>
                <w:rFonts w:ascii="Cambria Math" w:hAnsi="Cambria Math"/>
              </w:rPr>
              <m:t>stored,t-1</m:t>
            </m:r>
          </m:sub>
          <m:sup>
            <m:r>
              <w:rPr>
                <w:rFonts w:ascii="Cambria Math" w:hAnsi="Cambria Math"/>
              </w:rPr>
              <m:t>deep</m:t>
            </m:r>
          </m:sup>
        </m:sSubSup>
      </m:oMath>
      <w:r w:rsidR="000F16EB">
        <w:t xml:space="preserve"> was the energy stored in the deep components of the buildings connected to the DHN at the previous time step, </w:t>
      </w:r>
      <w:r w:rsidR="000F16EB">
        <w:rPr>
          <w:i/>
        </w:rPr>
        <w:t>t-1</w:t>
      </w:r>
      <w:r w:rsidR="000F16EB">
        <w:t xml:space="preserve"> (MWh),</w:t>
      </w:r>
    </w:p>
    <w:p w14:paraId="63A4523D" w14:textId="12554D88" w:rsidR="000F16EB" w:rsidRPr="003650C8" w:rsidRDefault="00C73E04" w:rsidP="000F16EB">
      <m:oMath>
        <m:sSubSup>
          <m:sSubSupPr>
            <m:ctrlPr>
              <w:rPr>
                <w:rFonts w:ascii="Cambria Math" w:hAnsi="Cambria Math"/>
                <w:i/>
              </w:rPr>
            </m:ctrlPr>
          </m:sSubSupPr>
          <m:e>
            <m:r>
              <w:rPr>
                <w:rFonts w:ascii="Cambria Math" w:hAnsi="Cambria Math"/>
              </w:rPr>
              <m:t>Q</m:t>
            </m:r>
          </m:e>
          <m:sub>
            <m:r>
              <w:rPr>
                <w:rFonts w:ascii="Cambria Math" w:hAnsi="Cambria Math"/>
              </w:rPr>
              <m:t>loss,t</m:t>
            </m:r>
          </m:sub>
          <m:sup>
            <m:r>
              <w:rPr>
                <w:rFonts w:ascii="Cambria Math" w:hAnsi="Cambria Math"/>
              </w:rPr>
              <m:t>deep</m:t>
            </m:r>
          </m:sup>
        </m:sSubSup>
      </m:oMath>
      <w:r w:rsidR="000F16EB" w:rsidRPr="003650C8">
        <w:t xml:space="preserve"> was the </w:t>
      </w:r>
      <w:r w:rsidR="005F0E17" w:rsidRPr="003650C8">
        <w:t>energy removed</w:t>
      </w:r>
      <w:r w:rsidR="000F16EB" w:rsidRPr="003650C8">
        <w:t xml:space="preserve"> from the deep components of the buildings connected to the DHN at time step, </w:t>
      </w:r>
      <w:r w:rsidR="000F16EB" w:rsidRPr="003650C8">
        <w:rPr>
          <w:i/>
        </w:rPr>
        <w:t xml:space="preserve">t </w:t>
      </w:r>
      <w:r w:rsidR="000F16EB" w:rsidRPr="003650C8">
        <w:t>(MW</w:t>
      </w:r>
      <w:r w:rsidR="003E115C">
        <w:t>h</w:t>
      </w:r>
      <w:r w:rsidR="000F16EB" w:rsidRPr="003650C8">
        <w:t>).</w:t>
      </w:r>
    </w:p>
    <w:p w14:paraId="12E7E33F" w14:textId="36D72B45" w:rsidR="005F0E17" w:rsidRPr="003650C8" w:rsidRDefault="000F16EB" w:rsidP="005F0E17">
      <w:r w:rsidRPr="003650C8">
        <w:t xml:space="preserve">The rate of HT from the shallow to the deep components of the buildings connected to the DHN was calculated, as shown in Equation </w:t>
      </w:r>
      <w:r w:rsidRPr="003650C8">
        <w:fldChar w:fldCharType="begin"/>
      </w:r>
      <w:r w:rsidRPr="003650C8">
        <w:instrText xml:space="preserve"> REF _Ref531103759 \h </w:instrText>
      </w:r>
      <w:r w:rsidRPr="003650C8">
        <w:fldChar w:fldCharType="separate"/>
      </w:r>
      <w:r w:rsidR="00CB7456">
        <w:rPr>
          <w:noProof/>
        </w:rPr>
        <w:t>7</w:t>
      </w:r>
      <w:r w:rsidR="00CB7456" w:rsidRPr="003650C8">
        <w:t>.</w:t>
      </w:r>
      <w:r w:rsidR="00CB7456">
        <w:rPr>
          <w:noProof/>
        </w:rPr>
        <w:t>7</w:t>
      </w:r>
      <w:r w:rsidRPr="003650C8">
        <w:fldChar w:fldCharType="end"/>
      </w:r>
      <w:r w:rsidRPr="003650C8">
        <w:t>.</w:t>
      </w:r>
      <w:r w:rsidR="005F0E17" w:rsidRPr="003650C8">
        <w:t xml:space="preserve"> The rate of heat transfer was dependent on the difference energy storage levels in the shallow and the deep components. The different energy storage levels caused a temperature differential to exist between the shallow and the deep components. Due to the temperature differential, the energy transfer </w:t>
      </w:r>
      <w:r w:rsidR="00BA09FC">
        <w:t>went</w:t>
      </w:r>
      <w:r w:rsidR="005F0E17" w:rsidRPr="003650C8">
        <w:t xml:space="preserve"> from the hotter to the colder energy storage components.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37"/>
        <w:gridCol w:w="518"/>
        <w:gridCol w:w="543"/>
      </w:tblGrid>
      <w:tr w:rsidR="000F16EB" w:rsidRPr="003650C8" w14:paraId="61B5C060" w14:textId="77777777" w:rsidTr="00A7521D">
        <w:tc>
          <w:tcPr>
            <w:tcW w:w="7137" w:type="dxa"/>
            <w:hideMark/>
          </w:tcPr>
          <w:p w14:paraId="711E503A" w14:textId="0D5A86D1" w:rsidR="000F16EB" w:rsidRPr="003650C8" w:rsidRDefault="00C73E04" w:rsidP="00A7521D">
            <w:pPr>
              <w:keepNext/>
            </w:pPr>
            <m:oMathPara>
              <m:oMathParaPr>
                <m:jc m:val="left"/>
              </m:oMathParaPr>
              <m:oMath>
                <m:sSub>
                  <m:sSubPr>
                    <m:ctrlPr>
                      <w:rPr>
                        <w:rFonts w:ascii="Cambria Math" w:hAnsi="Cambria Math"/>
                        <w:i/>
                      </w:rPr>
                    </m:ctrlPr>
                  </m:sSubPr>
                  <m:e>
                    <m:r>
                      <w:rPr>
                        <w:rFonts w:ascii="Cambria Math" w:hAnsi="Cambria Math"/>
                      </w:rPr>
                      <m:t>Q</m:t>
                    </m:r>
                  </m:e>
                  <m:sub>
                    <m:r>
                      <w:rPr>
                        <w:rFonts w:ascii="Cambria Math" w:hAnsi="Cambria Math"/>
                      </w:rPr>
                      <m:t>flow,t</m:t>
                    </m:r>
                  </m:sub>
                </m:sSub>
                <m:r>
                  <w:rPr>
                    <w:rFonts w:ascii="Cambria Math" w:hAnsi="Cambria Math"/>
                  </w:rPr>
                  <m:t>=</m:t>
                </m:r>
                <m:d>
                  <m:dPr>
                    <m:ctrlPr>
                      <w:rPr>
                        <w:rFonts w:ascii="Cambria Math" w:hAnsi="Cambria Math"/>
                        <w:i/>
                      </w:rPr>
                    </m:ctrlPr>
                  </m:dPr>
                  <m:e>
                    <m:f>
                      <m:fPr>
                        <m:ctrlPr>
                          <w:rPr>
                            <w:rFonts w:ascii="Cambria Math" w:hAnsi="Cambria Math"/>
                            <w:i/>
                          </w:rPr>
                        </m:ctrlPr>
                      </m:fPr>
                      <m:num>
                        <m:sSubSup>
                          <m:sSubSupPr>
                            <m:ctrlPr>
                              <w:rPr>
                                <w:rFonts w:ascii="Cambria Math" w:hAnsi="Cambria Math"/>
                                <w:i/>
                              </w:rPr>
                            </m:ctrlPr>
                          </m:sSubSupPr>
                          <m:e>
                            <m:r>
                              <w:rPr>
                                <w:rFonts w:ascii="Cambria Math" w:hAnsi="Cambria Math"/>
                              </w:rPr>
                              <m:t>Q</m:t>
                            </m:r>
                          </m:e>
                          <m:sub>
                            <m:r>
                              <w:rPr>
                                <w:rFonts w:ascii="Cambria Math" w:hAnsi="Cambria Math"/>
                              </w:rPr>
                              <m:t>stored,t-1</m:t>
                            </m:r>
                          </m:sub>
                          <m:sup>
                            <m:r>
                              <w:rPr>
                                <w:rFonts w:ascii="Cambria Math" w:hAnsi="Cambria Math"/>
                              </w:rPr>
                              <m:t>shallow</m:t>
                            </m:r>
                          </m:sup>
                        </m:sSubSup>
                      </m:num>
                      <m:den>
                        <m:sSubSup>
                          <m:sSubSupPr>
                            <m:ctrlPr>
                              <w:rPr>
                                <w:rFonts w:ascii="Cambria Math" w:hAnsi="Cambria Math"/>
                                <w:i/>
                              </w:rPr>
                            </m:ctrlPr>
                          </m:sSubSupPr>
                          <m:e>
                            <m:r>
                              <w:rPr>
                                <w:rFonts w:ascii="Cambria Math" w:hAnsi="Cambria Math"/>
                              </w:rPr>
                              <m:t>Q</m:t>
                            </m:r>
                          </m:e>
                          <m:sub>
                            <m:r>
                              <w:rPr>
                                <w:rFonts w:ascii="Cambria Math" w:hAnsi="Cambria Math"/>
                              </w:rPr>
                              <m:t>cap</m:t>
                            </m:r>
                          </m:sub>
                          <m:sup>
                            <m:r>
                              <w:rPr>
                                <w:rFonts w:ascii="Cambria Math" w:hAnsi="Cambria Math"/>
                              </w:rPr>
                              <m:t>shallow</m:t>
                            </m:r>
                          </m:sup>
                        </m:sSubSup>
                      </m:den>
                    </m:f>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Q</m:t>
                            </m:r>
                          </m:e>
                          <m:sub>
                            <m:r>
                              <w:rPr>
                                <w:rFonts w:ascii="Cambria Math" w:hAnsi="Cambria Math"/>
                              </w:rPr>
                              <m:t>stored,t-1</m:t>
                            </m:r>
                          </m:sub>
                          <m:sup>
                            <m:r>
                              <w:rPr>
                                <w:rFonts w:ascii="Cambria Math" w:hAnsi="Cambria Math"/>
                              </w:rPr>
                              <m:t>deep</m:t>
                            </m:r>
                          </m:sup>
                        </m:sSubSup>
                      </m:num>
                      <m:den>
                        <m:sSubSup>
                          <m:sSubSupPr>
                            <m:ctrlPr>
                              <w:rPr>
                                <w:rFonts w:ascii="Cambria Math" w:hAnsi="Cambria Math"/>
                                <w:i/>
                              </w:rPr>
                            </m:ctrlPr>
                          </m:sSubSupPr>
                          <m:e>
                            <m:r>
                              <w:rPr>
                                <w:rFonts w:ascii="Cambria Math" w:hAnsi="Cambria Math"/>
                              </w:rPr>
                              <m:t>Q</m:t>
                            </m:r>
                          </m:e>
                          <m:sub>
                            <m:r>
                              <w:rPr>
                                <w:rFonts w:ascii="Cambria Math" w:hAnsi="Cambria Math"/>
                              </w:rPr>
                              <m:t>cap</m:t>
                            </m:r>
                          </m:sub>
                          <m:sup>
                            <m:r>
                              <w:rPr>
                                <w:rFonts w:ascii="Cambria Math" w:hAnsi="Cambria Math"/>
                              </w:rPr>
                              <m:t>deep</m:t>
                            </m:r>
                          </m:sup>
                        </m:sSubSup>
                      </m:den>
                    </m:f>
                  </m:e>
                </m:d>
                <m:sSub>
                  <m:sSubPr>
                    <m:ctrlPr>
                      <w:rPr>
                        <w:rFonts w:ascii="Cambria Math" w:hAnsi="Cambria Math"/>
                        <w:i/>
                      </w:rPr>
                    </m:ctrlPr>
                  </m:sSubPr>
                  <m:e>
                    <m:r>
                      <w:rPr>
                        <w:rFonts w:ascii="Cambria Math" w:hAnsi="Cambria Math"/>
                      </w:rPr>
                      <m:t>H</m:t>
                    </m:r>
                  </m:e>
                  <m:sub>
                    <m:r>
                      <w:rPr>
                        <w:rFonts w:ascii="Cambria Math" w:hAnsi="Cambria Math"/>
                      </w:rPr>
                      <m:t>flow</m:t>
                    </m:r>
                  </m:sub>
                </m:sSub>
              </m:oMath>
            </m:oMathPara>
          </w:p>
        </w:tc>
        <w:tc>
          <w:tcPr>
            <w:tcW w:w="518" w:type="dxa"/>
          </w:tcPr>
          <w:p w14:paraId="32F8C6E5" w14:textId="77777777" w:rsidR="000F16EB" w:rsidRPr="003650C8" w:rsidRDefault="000F16EB" w:rsidP="00A7521D">
            <w:pPr>
              <w:pStyle w:val="Caption"/>
              <w:jc w:val="right"/>
            </w:pPr>
          </w:p>
        </w:tc>
        <w:bookmarkStart w:id="774" w:name="_Ref531103759"/>
        <w:tc>
          <w:tcPr>
            <w:tcW w:w="543" w:type="dxa"/>
            <w:vAlign w:val="center"/>
          </w:tcPr>
          <w:p w14:paraId="0CF3028E" w14:textId="0FFF2D7E" w:rsidR="000F16EB" w:rsidRPr="003650C8" w:rsidRDefault="000F16EB" w:rsidP="00A7521D">
            <w:pPr>
              <w:pStyle w:val="Caption"/>
              <w:jc w:val="right"/>
              <w:rPr>
                <w:b w:val="0"/>
              </w:rPr>
            </w:pPr>
            <w:r w:rsidRPr="003650C8">
              <w:fldChar w:fldCharType="begin"/>
            </w:r>
            <w:r w:rsidRPr="003650C8">
              <w:instrText xml:space="preserve"> STYLEREF 1 \s </w:instrText>
            </w:r>
            <w:r w:rsidRPr="003650C8">
              <w:fldChar w:fldCharType="separate"/>
            </w:r>
            <w:r w:rsidR="00CB7456">
              <w:rPr>
                <w:noProof/>
              </w:rPr>
              <w:t>7</w:t>
            </w:r>
            <w:r w:rsidRPr="003650C8">
              <w:fldChar w:fldCharType="end"/>
            </w:r>
            <w:r w:rsidRPr="003650C8">
              <w:t>.</w:t>
            </w:r>
            <w:r w:rsidRPr="003650C8">
              <w:rPr>
                <w:noProof/>
              </w:rPr>
              <w:fldChar w:fldCharType="begin"/>
            </w:r>
            <w:r w:rsidRPr="003650C8">
              <w:rPr>
                <w:noProof/>
              </w:rPr>
              <w:instrText xml:space="preserve"> SEQ Equation \* ARABIC \s 1 </w:instrText>
            </w:r>
            <w:r w:rsidRPr="003650C8">
              <w:rPr>
                <w:noProof/>
              </w:rPr>
              <w:fldChar w:fldCharType="separate"/>
            </w:r>
            <w:r w:rsidR="00CB7456">
              <w:rPr>
                <w:noProof/>
              </w:rPr>
              <w:t>7</w:t>
            </w:r>
            <w:r w:rsidRPr="003650C8">
              <w:rPr>
                <w:noProof/>
              </w:rPr>
              <w:fldChar w:fldCharType="end"/>
            </w:r>
            <w:bookmarkEnd w:id="774"/>
          </w:p>
        </w:tc>
      </w:tr>
    </w:tbl>
    <w:p w14:paraId="14A204F6" w14:textId="77777777" w:rsidR="000F16EB" w:rsidRPr="003650C8" w:rsidRDefault="000F16EB" w:rsidP="003650C8">
      <w:pPr>
        <w:pStyle w:val="NoSpacing"/>
      </w:pPr>
    </w:p>
    <w:p w14:paraId="26A4FBEE" w14:textId="77777777" w:rsidR="000F16EB" w:rsidRPr="003650C8" w:rsidRDefault="00C73E04" w:rsidP="000F16EB">
      <w:pPr>
        <w:pStyle w:val="NoSpacing"/>
      </w:pPr>
      <m:oMath>
        <m:sSubSup>
          <m:sSubSupPr>
            <m:ctrlPr>
              <w:rPr>
                <w:rFonts w:ascii="Cambria Math" w:hAnsi="Cambria Math"/>
                <w:i/>
              </w:rPr>
            </m:ctrlPr>
          </m:sSubSupPr>
          <m:e>
            <m:r>
              <w:rPr>
                <w:rFonts w:ascii="Cambria Math" w:hAnsi="Cambria Math"/>
              </w:rPr>
              <m:t>Q</m:t>
            </m:r>
          </m:e>
          <m:sub>
            <m:r>
              <w:rPr>
                <w:rFonts w:ascii="Cambria Math" w:hAnsi="Cambria Math"/>
              </w:rPr>
              <m:t>cap</m:t>
            </m:r>
          </m:sub>
          <m:sup>
            <m:r>
              <w:rPr>
                <w:rFonts w:ascii="Cambria Math" w:hAnsi="Cambria Math"/>
              </w:rPr>
              <m:t>shallow</m:t>
            </m:r>
          </m:sup>
        </m:sSubSup>
      </m:oMath>
      <w:r w:rsidR="000F16EB" w:rsidRPr="003650C8">
        <w:t xml:space="preserve"> was the storage capacity of the shallow components of the buildings connected to the DHN (MWh),</w:t>
      </w:r>
    </w:p>
    <w:p w14:paraId="22619388" w14:textId="77777777" w:rsidR="000F16EB" w:rsidRPr="003650C8" w:rsidRDefault="00C73E04" w:rsidP="000F16EB">
      <w:pPr>
        <w:pStyle w:val="NoSpacing"/>
      </w:pPr>
      <m:oMath>
        <m:sSubSup>
          <m:sSubSupPr>
            <m:ctrlPr>
              <w:rPr>
                <w:rFonts w:ascii="Cambria Math" w:hAnsi="Cambria Math"/>
                <w:i/>
              </w:rPr>
            </m:ctrlPr>
          </m:sSubSupPr>
          <m:e>
            <m:r>
              <w:rPr>
                <w:rFonts w:ascii="Cambria Math" w:hAnsi="Cambria Math"/>
              </w:rPr>
              <m:t>Q</m:t>
            </m:r>
          </m:e>
          <m:sub>
            <m:r>
              <w:rPr>
                <w:rFonts w:ascii="Cambria Math" w:hAnsi="Cambria Math"/>
              </w:rPr>
              <m:t>cap</m:t>
            </m:r>
          </m:sub>
          <m:sup>
            <m:r>
              <w:rPr>
                <w:rFonts w:ascii="Cambria Math" w:hAnsi="Cambria Math"/>
              </w:rPr>
              <m:t>deep</m:t>
            </m:r>
          </m:sup>
        </m:sSubSup>
      </m:oMath>
      <w:r w:rsidR="000F16EB" w:rsidRPr="003650C8">
        <w:t xml:space="preserve"> was the storage capacity of the deep components of the buildings connected to the DHN (MWh),</w:t>
      </w:r>
    </w:p>
    <w:p w14:paraId="1465997B" w14:textId="6CEEBBDE" w:rsidR="000F16EB" w:rsidRPr="003650C8" w:rsidRDefault="00C73E04" w:rsidP="000F16EB">
      <m:oMath>
        <m:sSub>
          <m:sSubPr>
            <m:ctrlPr>
              <w:rPr>
                <w:rFonts w:ascii="Cambria Math" w:hAnsi="Cambria Math"/>
                <w:i/>
              </w:rPr>
            </m:ctrlPr>
          </m:sSubPr>
          <m:e>
            <m:r>
              <w:rPr>
                <w:rFonts w:ascii="Cambria Math" w:hAnsi="Cambria Math"/>
              </w:rPr>
              <m:t>H</m:t>
            </m:r>
          </m:e>
          <m:sub>
            <m:r>
              <w:rPr>
                <w:rFonts w:ascii="Cambria Math" w:hAnsi="Cambria Math"/>
              </w:rPr>
              <m:t>flow</m:t>
            </m:r>
          </m:sub>
        </m:sSub>
      </m:oMath>
      <w:r w:rsidR="000F16EB" w:rsidRPr="003650C8">
        <w:t xml:space="preserve">was </w:t>
      </w:r>
      <w:proofErr w:type="gramStart"/>
      <w:r w:rsidR="000F16EB" w:rsidRPr="003650C8">
        <w:t>a</w:t>
      </w:r>
      <w:proofErr w:type="gramEnd"/>
      <w:r w:rsidR="000F16EB" w:rsidRPr="003650C8">
        <w:t xml:space="preserve"> HTC.</w:t>
      </w:r>
    </w:p>
    <w:p w14:paraId="18BDCBB1" w14:textId="5477186E" w:rsidR="000F16EB" w:rsidRPr="003650C8" w:rsidRDefault="000F16EB" w:rsidP="000F16EB">
      <w:r w:rsidRPr="003650C8">
        <w:t xml:space="preserve">The heat losses from both the shallow and the deep components of the buildings connected to the DHN were calculated, as shown in Equation </w:t>
      </w:r>
      <w:r w:rsidRPr="003650C8">
        <w:fldChar w:fldCharType="begin"/>
      </w:r>
      <w:r w:rsidRPr="003650C8">
        <w:instrText xml:space="preserve"> REF _Ref531103818 \h </w:instrText>
      </w:r>
      <w:r w:rsidRPr="003650C8">
        <w:fldChar w:fldCharType="separate"/>
      </w:r>
      <w:r w:rsidR="00CB7456">
        <w:rPr>
          <w:noProof/>
        </w:rPr>
        <w:t>7</w:t>
      </w:r>
      <w:r w:rsidR="00CB7456" w:rsidRPr="003650C8">
        <w:t>.</w:t>
      </w:r>
      <w:r w:rsidR="00CB7456">
        <w:rPr>
          <w:noProof/>
        </w:rPr>
        <w:t>8</w:t>
      </w:r>
      <w:r w:rsidRPr="003650C8">
        <w:fldChar w:fldCharType="end"/>
      </w:r>
      <w:r w:rsidR="007D1339" w:rsidRPr="003650C8">
        <w:t>,</w:t>
      </w:r>
      <w:r w:rsidRPr="003650C8">
        <w:t xml:space="preserve"> Equation </w:t>
      </w:r>
      <w:r w:rsidRPr="003650C8">
        <w:fldChar w:fldCharType="begin"/>
      </w:r>
      <w:r w:rsidRPr="003650C8">
        <w:instrText xml:space="preserve"> REF _Ref531103861 \h </w:instrText>
      </w:r>
      <w:r w:rsidRPr="003650C8">
        <w:fldChar w:fldCharType="separate"/>
      </w:r>
      <w:r w:rsidR="00CB7456">
        <w:rPr>
          <w:noProof/>
        </w:rPr>
        <w:t>7</w:t>
      </w:r>
      <w:r w:rsidR="00CB7456" w:rsidRPr="003650C8">
        <w:t>.</w:t>
      </w:r>
      <w:r w:rsidR="00CB7456">
        <w:rPr>
          <w:noProof/>
        </w:rPr>
        <w:t>9</w:t>
      </w:r>
      <w:r w:rsidRPr="003650C8">
        <w:fldChar w:fldCharType="end"/>
      </w:r>
      <w:r w:rsidR="007D1339" w:rsidRPr="003650C8">
        <w:t xml:space="preserve"> and Equation </w:t>
      </w:r>
      <w:r w:rsidR="007D1339" w:rsidRPr="003650C8">
        <w:fldChar w:fldCharType="begin"/>
      </w:r>
      <w:r w:rsidR="007D1339" w:rsidRPr="003650C8">
        <w:instrText xml:space="preserve"> REF _Ref534735742 \h </w:instrText>
      </w:r>
      <w:r w:rsidR="007D1339" w:rsidRPr="003650C8">
        <w:fldChar w:fldCharType="separate"/>
      </w:r>
      <w:r w:rsidR="00CB7456">
        <w:rPr>
          <w:noProof/>
        </w:rPr>
        <w:t>7</w:t>
      </w:r>
      <w:r w:rsidR="00CB7456" w:rsidRPr="003650C8">
        <w:t>.</w:t>
      </w:r>
      <w:r w:rsidR="00CB7456">
        <w:rPr>
          <w:noProof/>
        </w:rPr>
        <w:t>10</w:t>
      </w:r>
      <w:r w:rsidR="007D1339" w:rsidRPr="003650C8">
        <w:fldChar w:fldCharType="end"/>
      </w:r>
      <w:r w:rsidRPr="003650C8">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37"/>
        <w:gridCol w:w="518"/>
        <w:gridCol w:w="543"/>
      </w:tblGrid>
      <w:tr w:rsidR="000F16EB" w:rsidRPr="003650C8" w14:paraId="11AED947" w14:textId="77777777" w:rsidTr="00A7521D">
        <w:tc>
          <w:tcPr>
            <w:tcW w:w="7137" w:type="dxa"/>
            <w:hideMark/>
          </w:tcPr>
          <w:p w14:paraId="443C0E22" w14:textId="05BD2752" w:rsidR="000F16EB" w:rsidRPr="003650C8" w:rsidRDefault="00C73E04" w:rsidP="00A7521D">
            <w:pPr>
              <w:keepNext/>
            </w:pPr>
            <m:oMathPara>
              <m:oMathParaPr>
                <m:jc m:val="left"/>
              </m:oMathParaPr>
              <m:oMath>
                <m:sSubSup>
                  <m:sSubSupPr>
                    <m:ctrlPr>
                      <w:rPr>
                        <w:rFonts w:ascii="Cambria Math" w:hAnsi="Cambria Math"/>
                        <w:i/>
                      </w:rPr>
                    </m:ctrlPr>
                  </m:sSubSupPr>
                  <m:e>
                    <m:r>
                      <w:rPr>
                        <w:rFonts w:ascii="Cambria Math" w:hAnsi="Cambria Math"/>
                      </w:rPr>
                      <m:t>Q</m:t>
                    </m:r>
                  </m:e>
                  <m:sub>
                    <m:r>
                      <w:rPr>
                        <w:rFonts w:ascii="Cambria Math" w:hAnsi="Cambria Math"/>
                      </w:rPr>
                      <m:t>loss,t</m:t>
                    </m:r>
                  </m:sub>
                  <m:sup>
                    <m:r>
                      <w:rPr>
                        <w:rFonts w:ascii="Cambria Math" w:hAnsi="Cambria Math"/>
                      </w:rPr>
                      <m:t>shallow</m:t>
                    </m:r>
                  </m:sup>
                </m:sSubSup>
                <m:r>
                  <w:rPr>
                    <w:rFonts w:ascii="Cambria Math" w:hAnsi="Cambria Math"/>
                  </w:rPr>
                  <m:t>=</m:t>
                </m:r>
                <m:sSubSup>
                  <m:sSubSupPr>
                    <m:ctrlPr>
                      <w:rPr>
                        <w:rFonts w:ascii="Cambria Math" w:hAnsi="Cambria Math"/>
                        <w:i/>
                      </w:rPr>
                    </m:ctrlPr>
                  </m:sSubSupPr>
                  <m:e>
                    <m:r>
                      <w:rPr>
                        <w:rFonts w:ascii="Cambria Math" w:hAnsi="Cambria Math"/>
                      </w:rPr>
                      <m:t>Q</m:t>
                    </m:r>
                  </m:e>
                  <m:sub>
                    <m:r>
                      <w:rPr>
                        <w:rFonts w:ascii="Cambria Math" w:hAnsi="Cambria Math"/>
                      </w:rPr>
                      <m:t>stored,t-1</m:t>
                    </m:r>
                  </m:sub>
                  <m:sup>
                    <m:r>
                      <w:rPr>
                        <w:rFonts w:ascii="Cambria Math" w:hAnsi="Cambria Math"/>
                      </w:rPr>
                      <m:t>shallow</m:t>
                    </m:r>
                  </m:sup>
                </m:sSubSup>
                <m:d>
                  <m:dPr>
                    <m:ctrlPr>
                      <w:rPr>
                        <w:rFonts w:ascii="Cambria Math" w:hAnsi="Cambria Math"/>
                        <w:i/>
                      </w:rPr>
                    </m:ctrlPr>
                  </m:dPr>
                  <m:e>
                    <m:r>
                      <w:rPr>
                        <w:rFonts w:ascii="Cambria Math" w:hAnsi="Cambria Math"/>
                      </w:rPr>
                      <m:t>1-</m:t>
                    </m:r>
                    <m:sSubSup>
                      <m:sSubSupPr>
                        <m:ctrlPr>
                          <w:rPr>
                            <w:rFonts w:ascii="Cambria Math" w:hAnsi="Cambria Math"/>
                            <w:i/>
                          </w:rPr>
                        </m:ctrlPr>
                      </m:sSubSupPr>
                      <m:e>
                        <m:r>
                          <w:rPr>
                            <w:rFonts w:ascii="Cambria Math" w:hAnsi="Cambria Math"/>
                          </w:rPr>
                          <m:t>H</m:t>
                        </m:r>
                      </m:e>
                      <m:sub>
                        <m:r>
                          <w:rPr>
                            <w:rFonts w:ascii="Cambria Math" w:hAnsi="Cambria Math"/>
                          </w:rPr>
                          <m:t>loss</m:t>
                        </m:r>
                      </m:sub>
                      <m:sup>
                        <m:r>
                          <w:rPr>
                            <w:rFonts w:ascii="Cambria Math" w:hAnsi="Cambria Math"/>
                          </w:rPr>
                          <m:t>shallow</m:t>
                        </m:r>
                      </m:sup>
                    </m:sSubSup>
                  </m:e>
                </m:d>
              </m:oMath>
            </m:oMathPara>
          </w:p>
        </w:tc>
        <w:tc>
          <w:tcPr>
            <w:tcW w:w="518" w:type="dxa"/>
          </w:tcPr>
          <w:p w14:paraId="4EF6F71B" w14:textId="77777777" w:rsidR="000F16EB" w:rsidRPr="003650C8" w:rsidRDefault="000F16EB" w:rsidP="00A7521D">
            <w:pPr>
              <w:pStyle w:val="Caption"/>
              <w:jc w:val="right"/>
            </w:pPr>
          </w:p>
        </w:tc>
        <w:bookmarkStart w:id="775" w:name="_Ref531103818"/>
        <w:tc>
          <w:tcPr>
            <w:tcW w:w="543" w:type="dxa"/>
            <w:vAlign w:val="center"/>
          </w:tcPr>
          <w:p w14:paraId="7372AEF5" w14:textId="6EE05510" w:rsidR="000F16EB" w:rsidRPr="003650C8" w:rsidRDefault="000F16EB" w:rsidP="00A7521D">
            <w:pPr>
              <w:pStyle w:val="Caption"/>
              <w:jc w:val="right"/>
              <w:rPr>
                <w:b w:val="0"/>
              </w:rPr>
            </w:pPr>
            <w:r w:rsidRPr="003650C8">
              <w:fldChar w:fldCharType="begin"/>
            </w:r>
            <w:r w:rsidRPr="003650C8">
              <w:instrText xml:space="preserve"> STYLEREF 1 \s </w:instrText>
            </w:r>
            <w:r w:rsidRPr="003650C8">
              <w:fldChar w:fldCharType="separate"/>
            </w:r>
            <w:r w:rsidR="00CB7456">
              <w:rPr>
                <w:noProof/>
              </w:rPr>
              <w:t>7</w:t>
            </w:r>
            <w:r w:rsidRPr="003650C8">
              <w:fldChar w:fldCharType="end"/>
            </w:r>
            <w:r w:rsidRPr="003650C8">
              <w:t>.</w:t>
            </w:r>
            <w:r w:rsidRPr="003650C8">
              <w:rPr>
                <w:noProof/>
              </w:rPr>
              <w:fldChar w:fldCharType="begin"/>
            </w:r>
            <w:r w:rsidRPr="003650C8">
              <w:rPr>
                <w:noProof/>
              </w:rPr>
              <w:instrText xml:space="preserve"> SEQ Equation \* ARABIC \s 1 </w:instrText>
            </w:r>
            <w:r w:rsidRPr="003650C8">
              <w:rPr>
                <w:noProof/>
              </w:rPr>
              <w:fldChar w:fldCharType="separate"/>
            </w:r>
            <w:r w:rsidR="00CB7456">
              <w:rPr>
                <w:noProof/>
              </w:rPr>
              <w:t>8</w:t>
            </w:r>
            <w:r w:rsidRPr="003650C8">
              <w:rPr>
                <w:noProof/>
              </w:rPr>
              <w:fldChar w:fldCharType="end"/>
            </w:r>
            <w:bookmarkEnd w:id="775"/>
          </w:p>
        </w:tc>
      </w:tr>
    </w:tbl>
    <w:p w14:paraId="7BD23E66" w14:textId="77777777" w:rsidR="000F16EB" w:rsidRPr="003650C8" w:rsidRDefault="000F16EB" w:rsidP="003650C8">
      <w:pPr>
        <w:pStyle w:val="NoSpacing"/>
      </w:pPr>
    </w:p>
    <w:p w14:paraId="4BB0C571" w14:textId="07E38528" w:rsidR="000F16EB" w:rsidRPr="003650C8" w:rsidRDefault="00C73E04" w:rsidP="000F16EB">
      <m:oMath>
        <m:sSubSup>
          <m:sSubSupPr>
            <m:ctrlPr>
              <w:rPr>
                <w:rFonts w:ascii="Cambria Math" w:hAnsi="Cambria Math"/>
                <w:i/>
              </w:rPr>
            </m:ctrlPr>
          </m:sSubSupPr>
          <m:e>
            <m:r>
              <w:rPr>
                <w:rFonts w:ascii="Cambria Math" w:hAnsi="Cambria Math"/>
              </w:rPr>
              <m:t>H</m:t>
            </m:r>
          </m:e>
          <m:sub>
            <m:r>
              <w:rPr>
                <w:rFonts w:ascii="Cambria Math" w:hAnsi="Cambria Math"/>
              </w:rPr>
              <m:t>loss</m:t>
            </m:r>
          </m:sub>
          <m:sup>
            <m:r>
              <w:rPr>
                <w:rFonts w:ascii="Cambria Math" w:hAnsi="Cambria Math"/>
              </w:rPr>
              <m:t>shallow</m:t>
            </m:r>
          </m:sup>
        </m:sSubSup>
      </m:oMath>
      <w:r w:rsidR="000F16EB" w:rsidRPr="003650C8">
        <w:t xml:space="preserve"> was the heat loss coefficient of the shallow components of the build</w:t>
      </w:r>
      <w:proofErr w:type="spellStart"/>
      <w:r w:rsidR="000F16EB" w:rsidRPr="003650C8">
        <w:t>ings</w:t>
      </w:r>
      <w:proofErr w:type="spellEnd"/>
      <w:r w:rsidR="000F16EB" w:rsidRPr="003650C8">
        <w:t xml:space="preserve"> connected to the DHN.</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37"/>
        <w:gridCol w:w="518"/>
        <w:gridCol w:w="543"/>
      </w:tblGrid>
      <w:tr w:rsidR="000F16EB" w:rsidRPr="003650C8" w14:paraId="6402DC3E" w14:textId="77777777" w:rsidTr="00A7521D">
        <w:tc>
          <w:tcPr>
            <w:tcW w:w="7137" w:type="dxa"/>
            <w:hideMark/>
          </w:tcPr>
          <w:p w14:paraId="57935997" w14:textId="2BB5D01B" w:rsidR="000F16EB" w:rsidRPr="003650C8" w:rsidRDefault="00C73E04" w:rsidP="00A7521D">
            <w:pPr>
              <w:keepNext/>
            </w:pPr>
            <m:oMathPara>
              <m:oMathParaPr>
                <m:jc m:val="left"/>
              </m:oMathParaPr>
              <m:oMath>
                <m:sSubSup>
                  <m:sSubSupPr>
                    <m:ctrlPr>
                      <w:rPr>
                        <w:rFonts w:ascii="Cambria Math" w:hAnsi="Cambria Math"/>
                        <w:i/>
                      </w:rPr>
                    </m:ctrlPr>
                  </m:sSubSupPr>
                  <m:e>
                    <m:r>
                      <w:rPr>
                        <w:rFonts w:ascii="Cambria Math" w:hAnsi="Cambria Math"/>
                      </w:rPr>
                      <m:t>Q</m:t>
                    </m:r>
                  </m:e>
                  <m:sub>
                    <m:r>
                      <w:rPr>
                        <w:rFonts w:ascii="Cambria Math" w:hAnsi="Cambria Math"/>
                      </w:rPr>
                      <m:t>loss,t</m:t>
                    </m:r>
                  </m:sub>
                  <m:sup>
                    <m:r>
                      <w:rPr>
                        <w:rFonts w:ascii="Cambria Math" w:hAnsi="Cambria Math"/>
                      </w:rPr>
                      <m:t>deep</m:t>
                    </m:r>
                  </m:sup>
                </m:sSubSup>
                <m:r>
                  <w:rPr>
                    <w:rFonts w:ascii="Cambria Math" w:hAnsi="Cambria Math"/>
                  </w:rPr>
                  <m:t>=</m:t>
                </m:r>
                <m:sSubSup>
                  <m:sSubSupPr>
                    <m:ctrlPr>
                      <w:rPr>
                        <w:rFonts w:ascii="Cambria Math" w:hAnsi="Cambria Math"/>
                        <w:i/>
                      </w:rPr>
                    </m:ctrlPr>
                  </m:sSubSupPr>
                  <m:e>
                    <m:r>
                      <w:rPr>
                        <w:rFonts w:ascii="Cambria Math" w:hAnsi="Cambria Math"/>
                      </w:rPr>
                      <m:t>Q</m:t>
                    </m:r>
                  </m:e>
                  <m:sub>
                    <m:r>
                      <w:rPr>
                        <w:rFonts w:ascii="Cambria Math" w:hAnsi="Cambria Math"/>
                      </w:rPr>
                      <m:t>stored,t-1</m:t>
                    </m:r>
                  </m:sub>
                  <m:sup>
                    <m:r>
                      <w:rPr>
                        <w:rFonts w:ascii="Cambria Math" w:hAnsi="Cambria Math"/>
                      </w:rPr>
                      <m:t>deep</m:t>
                    </m:r>
                  </m:sup>
                </m:sSubSup>
                <m:d>
                  <m:dPr>
                    <m:ctrlPr>
                      <w:rPr>
                        <w:rFonts w:ascii="Cambria Math" w:hAnsi="Cambria Math"/>
                        <w:i/>
                      </w:rPr>
                    </m:ctrlPr>
                  </m:dPr>
                  <m:e>
                    <m:r>
                      <w:rPr>
                        <w:rFonts w:ascii="Cambria Math" w:hAnsi="Cambria Math"/>
                      </w:rPr>
                      <m:t>1-</m:t>
                    </m:r>
                    <m:sSubSup>
                      <m:sSubSupPr>
                        <m:ctrlPr>
                          <w:rPr>
                            <w:rFonts w:ascii="Cambria Math" w:hAnsi="Cambria Math"/>
                            <w:i/>
                          </w:rPr>
                        </m:ctrlPr>
                      </m:sSubSupPr>
                      <m:e>
                        <m:r>
                          <w:rPr>
                            <w:rFonts w:ascii="Cambria Math" w:hAnsi="Cambria Math"/>
                          </w:rPr>
                          <m:t>H</m:t>
                        </m:r>
                      </m:e>
                      <m:sub>
                        <m:r>
                          <w:rPr>
                            <w:rFonts w:ascii="Cambria Math" w:hAnsi="Cambria Math"/>
                          </w:rPr>
                          <m:t>loss</m:t>
                        </m:r>
                      </m:sub>
                      <m:sup>
                        <m:r>
                          <w:rPr>
                            <w:rFonts w:ascii="Cambria Math" w:hAnsi="Cambria Math"/>
                          </w:rPr>
                          <m:t>deep</m:t>
                        </m:r>
                      </m:sup>
                    </m:sSubSup>
                  </m:e>
                </m:d>
              </m:oMath>
            </m:oMathPara>
          </w:p>
        </w:tc>
        <w:tc>
          <w:tcPr>
            <w:tcW w:w="518" w:type="dxa"/>
          </w:tcPr>
          <w:p w14:paraId="4AE0D204" w14:textId="77777777" w:rsidR="000F16EB" w:rsidRPr="003650C8" w:rsidRDefault="000F16EB" w:rsidP="00A7521D">
            <w:pPr>
              <w:pStyle w:val="Caption"/>
              <w:jc w:val="right"/>
            </w:pPr>
          </w:p>
        </w:tc>
        <w:bookmarkStart w:id="776" w:name="_Ref531103861"/>
        <w:tc>
          <w:tcPr>
            <w:tcW w:w="543" w:type="dxa"/>
            <w:vAlign w:val="center"/>
          </w:tcPr>
          <w:p w14:paraId="2DE5CD54" w14:textId="73E30C1F" w:rsidR="000F16EB" w:rsidRPr="003650C8" w:rsidRDefault="000F16EB" w:rsidP="00A7521D">
            <w:pPr>
              <w:pStyle w:val="Caption"/>
              <w:jc w:val="right"/>
              <w:rPr>
                <w:b w:val="0"/>
              </w:rPr>
            </w:pPr>
            <w:r w:rsidRPr="003650C8">
              <w:fldChar w:fldCharType="begin"/>
            </w:r>
            <w:r w:rsidRPr="003650C8">
              <w:instrText xml:space="preserve"> STYLEREF 1 \s </w:instrText>
            </w:r>
            <w:r w:rsidRPr="003650C8">
              <w:fldChar w:fldCharType="separate"/>
            </w:r>
            <w:r w:rsidR="00CB7456">
              <w:rPr>
                <w:noProof/>
              </w:rPr>
              <w:t>7</w:t>
            </w:r>
            <w:r w:rsidRPr="003650C8">
              <w:fldChar w:fldCharType="end"/>
            </w:r>
            <w:r w:rsidRPr="003650C8">
              <w:t>.</w:t>
            </w:r>
            <w:r w:rsidRPr="003650C8">
              <w:rPr>
                <w:noProof/>
              </w:rPr>
              <w:fldChar w:fldCharType="begin"/>
            </w:r>
            <w:r w:rsidRPr="003650C8">
              <w:rPr>
                <w:noProof/>
              </w:rPr>
              <w:instrText xml:space="preserve"> SEQ Equation \* ARABIC \s 1 </w:instrText>
            </w:r>
            <w:r w:rsidRPr="003650C8">
              <w:rPr>
                <w:noProof/>
              </w:rPr>
              <w:fldChar w:fldCharType="separate"/>
            </w:r>
            <w:r w:rsidR="00CB7456">
              <w:rPr>
                <w:noProof/>
              </w:rPr>
              <w:t>9</w:t>
            </w:r>
            <w:r w:rsidRPr="003650C8">
              <w:rPr>
                <w:noProof/>
              </w:rPr>
              <w:fldChar w:fldCharType="end"/>
            </w:r>
            <w:bookmarkEnd w:id="776"/>
          </w:p>
        </w:tc>
      </w:tr>
    </w:tbl>
    <w:p w14:paraId="5CC8105C" w14:textId="77777777" w:rsidR="000F16EB" w:rsidRPr="003650C8" w:rsidRDefault="000F16EB" w:rsidP="003650C8">
      <w:pPr>
        <w:pStyle w:val="NoSpacing"/>
      </w:pPr>
    </w:p>
    <w:p w14:paraId="02289176" w14:textId="31A86966" w:rsidR="000F16EB" w:rsidRPr="003650C8" w:rsidRDefault="00C73E04" w:rsidP="000F16EB">
      <m:oMath>
        <m:sSubSup>
          <m:sSubSupPr>
            <m:ctrlPr>
              <w:rPr>
                <w:rFonts w:ascii="Cambria Math" w:hAnsi="Cambria Math"/>
                <w:i/>
              </w:rPr>
            </m:ctrlPr>
          </m:sSubSupPr>
          <m:e>
            <m:r>
              <w:rPr>
                <w:rFonts w:ascii="Cambria Math" w:hAnsi="Cambria Math"/>
              </w:rPr>
              <m:t>H</m:t>
            </m:r>
          </m:e>
          <m:sub>
            <m:r>
              <w:rPr>
                <w:rFonts w:ascii="Cambria Math" w:hAnsi="Cambria Math"/>
              </w:rPr>
              <m:t>loss</m:t>
            </m:r>
          </m:sub>
          <m:sup>
            <m:r>
              <w:rPr>
                <w:rFonts w:ascii="Cambria Math" w:hAnsi="Cambria Math"/>
              </w:rPr>
              <m:t>deep</m:t>
            </m:r>
          </m:sup>
        </m:sSubSup>
      </m:oMath>
      <w:r w:rsidR="000F16EB" w:rsidRPr="003650C8">
        <w:t xml:space="preserve"> was the heat loss coefficient of the deep components of the buildings connected to the DHN.</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37"/>
        <w:gridCol w:w="518"/>
        <w:gridCol w:w="543"/>
      </w:tblGrid>
      <w:tr w:rsidR="005F0E17" w:rsidRPr="003650C8" w14:paraId="69B18059" w14:textId="77777777" w:rsidTr="007D1339">
        <w:tc>
          <w:tcPr>
            <w:tcW w:w="7137" w:type="dxa"/>
            <w:hideMark/>
          </w:tcPr>
          <w:p w14:paraId="34644B55" w14:textId="33432146" w:rsidR="005F0E17" w:rsidRPr="003650C8" w:rsidRDefault="00C73E04" w:rsidP="007D1339">
            <w:pPr>
              <w:keepNext/>
            </w:pPr>
            <m:oMathPara>
              <m:oMathParaPr>
                <m:jc m:val="left"/>
              </m:oMathParaPr>
              <m:oMath>
                <m:sSubSup>
                  <m:sSubSupPr>
                    <m:ctrlPr>
                      <w:rPr>
                        <w:rFonts w:ascii="Cambria Math" w:hAnsi="Cambria Math"/>
                        <w:i/>
                      </w:rPr>
                    </m:ctrlPr>
                  </m:sSubSupPr>
                  <m:e>
                    <m:r>
                      <w:rPr>
                        <w:rFonts w:ascii="Cambria Math" w:hAnsi="Cambria Math"/>
                      </w:rPr>
                      <m:t>Q</m:t>
                    </m:r>
                  </m:e>
                  <m:sub>
                    <m:r>
                      <w:rPr>
                        <w:rFonts w:ascii="Cambria Math" w:hAnsi="Cambria Math"/>
                      </w:rPr>
                      <m:t>loss,t</m:t>
                    </m:r>
                  </m:sub>
                  <m:sup>
                    <m:r>
                      <w:rPr>
                        <w:rFonts w:ascii="Cambria Math" w:hAnsi="Cambria Math"/>
                      </w:rPr>
                      <m:t>shallow</m:t>
                    </m:r>
                  </m:sup>
                </m:sSubSup>
                <m:r>
                  <w:rPr>
                    <w:rFonts w:ascii="Cambria Math" w:hAnsi="Cambria Math"/>
                  </w:rPr>
                  <m:t>=</m:t>
                </m:r>
                <m:acc>
                  <m:accPr>
                    <m:chr m:val="̇"/>
                    <m:ctrlPr>
                      <w:rPr>
                        <w:rFonts w:ascii="Cambria Math" w:hAnsi="Cambria Math"/>
                        <w:i/>
                      </w:rPr>
                    </m:ctrlPr>
                  </m:accPr>
                  <m:e>
                    <m:r>
                      <w:rPr>
                        <w:rFonts w:ascii="Cambria Math" w:hAnsi="Cambria Math"/>
                      </w:rPr>
                      <m:t>V</m:t>
                    </m:r>
                  </m:e>
                </m:acc>
                <m:sSub>
                  <m:sSubPr>
                    <m:ctrlPr>
                      <w:rPr>
                        <w:rFonts w:ascii="Cambria Math" w:hAnsi="Cambria Math"/>
                        <w:i/>
                      </w:rPr>
                    </m:ctrlPr>
                  </m:sSubPr>
                  <m:e>
                    <m:r>
                      <w:rPr>
                        <w:rFonts w:ascii="Cambria Math" w:hAnsi="Cambria Math"/>
                      </w:rPr>
                      <m:t>A</m:t>
                    </m:r>
                  </m:e>
                  <m:sub>
                    <m:r>
                      <w:rPr>
                        <w:rFonts w:ascii="Cambria Math" w:hAnsi="Cambria Math"/>
                      </w:rPr>
                      <m:t>building</m:t>
                    </m:r>
                  </m:sub>
                </m:sSub>
                <m:sSub>
                  <m:sSubPr>
                    <m:ctrlPr>
                      <w:rPr>
                        <w:rFonts w:ascii="Cambria Math" w:hAnsi="Cambria Math"/>
                        <w:i/>
                      </w:rPr>
                    </m:ctrlPr>
                  </m:sSubPr>
                  <m:e>
                    <m:r>
                      <w:rPr>
                        <w:rFonts w:ascii="Cambria Math" w:hAnsi="Cambria Math"/>
                      </w:rPr>
                      <m:t>ρ</m:t>
                    </m:r>
                  </m:e>
                  <m:sub>
                    <m:r>
                      <w:rPr>
                        <w:rFonts w:ascii="Cambria Math" w:hAnsi="Cambria Math"/>
                      </w:rPr>
                      <m:t>air</m:t>
                    </m:r>
                  </m:sub>
                </m:sSub>
                <m:sSub>
                  <m:sSubPr>
                    <m:ctrlPr>
                      <w:rPr>
                        <w:rFonts w:ascii="Cambria Math" w:hAnsi="Cambria Math"/>
                        <w:i/>
                      </w:rPr>
                    </m:ctrlPr>
                  </m:sSubPr>
                  <m:e>
                    <m:r>
                      <w:rPr>
                        <w:rFonts w:ascii="Cambria Math" w:hAnsi="Cambria Math"/>
                      </w:rPr>
                      <m:t>c</m:t>
                    </m:r>
                  </m:e>
                  <m:sub>
                    <m:r>
                      <w:rPr>
                        <w:rFonts w:ascii="Cambria Math" w:hAnsi="Cambria Math"/>
                      </w:rPr>
                      <m:t>p,air</m:t>
                    </m:r>
                  </m:sub>
                </m:sSub>
                <m:r>
                  <w:rPr>
                    <w:rFonts w:ascii="Cambria Math" w:hAnsi="Cambria Math"/>
                  </w:rPr>
                  <m:t>∆T</m:t>
                </m:r>
              </m:oMath>
            </m:oMathPara>
          </w:p>
        </w:tc>
        <w:tc>
          <w:tcPr>
            <w:tcW w:w="518" w:type="dxa"/>
          </w:tcPr>
          <w:p w14:paraId="06AAC803" w14:textId="77777777" w:rsidR="005F0E17" w:rsidRPr="003650C8" w:rsidRDefault="005F0E17" w:rsidP="007D1339">
            <w:pPr>
              <w:pStyle w:val="Caption"/>
              <w:jc w:val="right"/>
            </w:pPr>
          </w:p>
        </w:tc>
        <w:bookmarkStart w:id="777" w:name="_Ref534735742"/>
        <w:tc>
          <w:tcPr>
            <w:tcW w:w="543" w:type="dxa"/>
            <w:vAlign w:val="center"/>
          </w:tcPr>
          <w:p w14:paraId="60C7BD2E" w14:textId="546A4D12" w:rsidR="005F0E17" w:rsidRPr="003650C8" w:rsidRDefault="005F0E17" w:rsidP="007D1339">
            <w:pPr>
              <w:pStyle w:val="Caption"/>
              <w:jc w:val="right"/>
              <w:rPr>
                <w:b w:val="0"/>
              </w:rPr>
            </w:pPr>
            <w:r w:rsidRPr="003650C8">
              <w:fldChar w:fldCharType="begin"/>
            </w:r>
            <w:r w:rsidRPr="003650C8">
              <w:instrText xml:space="preserve"> STYLEREF 1 \s </w:instrText>
            </w:r>
            <w:r w:rsidRPr="003650C8">
              <w:fldChar w:fldCharType="separate"/>
            </w:r>
            <w:r w:rsidR="00CB7456">
              <w:rPr>
                <w:noProof/>
              </w:rPr>
              <w:t>7</w:t>
            </w:r>
            <w:r w:rsidRPr="003650C8">
              <w:fldChar w:fldCharType="end"/>
            </w:r>
            <w:r w:rsidRPr="003650C8">
              <w:t>.</w:t>
            </w:r>
            <w:r w:rsidRPr="003650C8">
              <w:rPr>
                <w:noProof/>
              </w:rPr>
              <w:fldChar w:fldCharType="begin"/>
            </w:r>
            <w:r w:rsidRPr="003650C8">
              <w:rPr>
                <w:noProof/>
              </w:rPr>
              <w:instrText xml:space="preserve"> SEQ Equation \* ARABIC \s 1 </w:instrText>
            </w:r>
            <w:r w:rsidRPr="003650C8">
              <w:rPr>
                <w:noProof/>
              </w:rPr>
              <w:fldChar w:fldCharType="separate"/>
            </w:r>
            <w:r w:rsidR="00CB7456">
              <w:rPr>
                <w:noProof/>
              </w:rPr>
              <w:t>10</w:t>
            </w:r>
            <w:r w:rsidRPr="003650C8">
              <w:rPr>
                <w:noProof/>
              </w:rPr>
              <w:fldChar w:fldCharType="end"/>
            </w:r>
            <w:bookmarkEnd w:id="777"/>
          </w:p>
        </w:tc>
      </w:tr>
    </w:tbl>
    <w:p w14:paraId="2215B904" w14:textId="5829C09B" w:rsidR="007D1339" w:rsidRPr="003650C8" w:rsidRDefault="007D1339" w:rsidP="003650C8">
      <w:pPr>
        <w:pStyle w:val="NoSpacing"/>
      </w:pPr>
      <w:bookmarkStart w:id="778" w:name="_Toc525230028"/>
    </w:p>
    <w:p w14:paraId="690E926A" w14:textId="4E0C8A33" w:rsidR="007D1339" w:rsidRPr="003650C8" w:rsidRDefault="00C73E04" w:rsidP="007D1339">
      <m:oMath>
        <m:acc>
          <m:accPr>
            <m:chr m:val="̇"/>
            <m:ctrlPr>
              <w:rPr>
                <w:rFonts w:ascii="Cambria Math" w:hAnsi="Cambria Math"/>
                <w:i/>
              </w:rPr>
            </m:ctrlPr>
          </m:accPr>
          <m:e>
            <m:r>
              <w:rPr>
                <w:rFonts w:ascii="Cambria Math" w:hAnsi="Cambria Math"/>
              </w:rPr>
              <m:t>V</m:t>
            </m:r>
          </m:e>
        </m:acc>
      </m:oMath>
      <w:r w:rsidR="007D1339" w:rsidRPr="003650C8">
        <w:t xml:space="preserve"> was the ventilation flowrate (m</w:t>
      </w:r>
      <w:r w:rsidR="007D1339" w:rsidRPr="003650C8">
        <w:rPr>
          <w:vertAlign w:val="superscript"/>
        </w:rPr>
        <w:t>3</w:t>
      </w:r>
      <w:r w:rsidR="007D1339" w:rsidRPr="003650C8">
        <w:t>/[m</w:t>
      </w:r>
      <w:r w:rsidR="007D1339" w:rsidRPr="003650C8">
        <w:rPr>
          <w:vertAlign w:val="superscript"/>
        </w:rPr>
        <w:t>2</w:t>
      </w:r>
      <w:r w:rsidR="007D1339" w:rsidRPr="003650C8">
        <w:t>]).</w:t>
      </w:r>
    </w:p>
    <w:p w14:paraId="69610EE4" w14:textId="7BBD23DC" w:rsidR="000F16EB" w:rsidRDefault="000F16EB" w:rsidP="000F16EB">
      <w:pPr>
        <w:pStyle w:val="Heading3"/>
      </w:pPr>
      <w:bookmarkStart w:id="779" w:name="_Toc7187555"/>
      <w:r>
        <w:t>Network Thermal Inertia Methodology</w:t>
      </w:r>
      <w:bookmarkEnd w:id="778"/>
      <w:bookmarkEnd w:id="779"/>
    </w:p>
    <w:p w14:paraId="4B85356B" w14:textId="3B658D20" w:rsidR="000F16EB" w:rsidRDefault="000F16EB" w:rsidP="000F16EB">
      <w:r>
        <w:t xml:space="preserve">TES utilising DSM controls and the thermal inertia of the pipe network was similarly limited by the allowable temperature change in the pipes. In this work, the maximum allowable temperature change was set as </w:t>
      </w:r>
      <w:r w:rsidR="00C36B79">
        <w:rPr>
          <w:rFonts w:cstheme="minorHAnsi"/>
        </w:rPr>
        <w:t>± 1</w:t>
      </w:r>
      <w:r>
        <w:t xml:space="preserve"> °C </w:t>
      </w:r>
      <w:r>
        <w:fldChar w:fldCharType="begin" w:fldLock="1"/>
      </w:r>
      <w:r w:rsidR="002A6A73">
        <w:instrText>ADDIN CSL_CITATION {"citationItems":[{"id":"ITEM-1","itemData":{"author":[{"dropping-particle":"","family":"Basciotti","given":"Daniele","non-dropping-particle":"","parse-names":false,"suffix":""},{"dropping-particle":"","family":"Judex","given":"Florian","non-dropping-particle":"","parse-names":false,"suffix":""},{"dropping-particle":"","family":"Pol","given":"Olivier","non-dropping-particle":"","parse-names":false,"suffix":""},{"dropping-particle":"","family":"Schmidt","given":"Ralf-roman","non-dropping-particle":"","parse-names":false,"suffix":""}],"container-title":"6th international renewable energy storage conference IRES","id":"ITEM-1","issue":"June","issued":{"date-parts":[["2011"]]},"publisher":"Eurosolar","publisher-place":"Berlin, Germany","title":"Sensible heat storage in district heating networks : a novel control strategy using the network as storage","type":"paper-conference"},"uris":["http://www.mendeley.com/documents/?uuid=706ddf9b-d5cd-480b-bc89-55bc587f4f5d"]}],"mendeley":{"formattedCitation":"(Basciotti &lt;i&gt;et al.&lt;/i&gt;, 2011)","plainTextFormattedCitation":"(Basciotti et al., 2011)","previouslyFormattedCitation":"(Basciotti &lt;i&gt;et al.&lt;/i&gt;, 2011)"},"properties":{"noteIndex":0},"schema":"https://github.com/citation-style-language/schema/raw/master/csl-citation.json"}</w:instrText>
      </w:r>
      <w:r>
        <w:fldChar w:fldCharType="separate"/>
      </w:r>
      <w:r w:rsidR="002A6A73" w:rsidRPr="002A6A73">
        <w:rPr>
          <w:noProof/>
        </w:rPr>
        <w:t xml:space="preserve">(Basciotti </w:t>
      </w:r>
      <w:r w:rsidR="002A6A73" w:rsidRPr="002A6A73">
        <w:rPr>
          <w:i/>
          <w:noProof/>
        </w:rPr>
        <w:t>et al.</w:t>
      </w:r>
      <w:r w:rsidR="002A6A73" w:rsidRPr="002A6A73">
        <w:rPr>
          <w:noProof/>
        </w:rPr>
        <w:t>, 2011)</w:t>
      </w:r>
      <w:r>
        <w:fldChar w:fldCharType="end"/>
      </w:r>
      <w:r>
        <w:t xml:space="preserve">. The maximum storage potential of the network was calculated, as shown in Equation </w:t>
      </w:r>
      <w:r>
        <w:fldChar w:fldCharType="begin"/>
      </w:r>
      <w:r>
        <w:instrText xml:space="preserve"> REF _Ref531103906 \h </w:instrText>
      </w:r>
      <w:r>
        <w:fldChar w:fldCharType="separate"/>
      </w:r>
      <w:r w:rsidR="00CB7456">
        <w:rPr>
          <w:noProof/>
        </w:rPr>
        <w:t>7</w:t>
      </w:r>
      <w:r w:rsidR="00CB7456">
        <w:t>.</w:t>
      </w:r>
      <w:r w:rsidR="00CB7456">
        <w:rPr>
          <w:noProof/>
        </w:rPr>
        <w:t>11</w:t>
      </w:r>
      <w:r>
        <w:fldChar w:fldCharType="end"/>
      </w:r>
      <w: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37"/>
        <w:gridCol w:w="518"/>
        <w:gridCol w:w="543"/>
      </w:tblGrid>
      <w:tr w:rsidR="000F16EB" w14:paraId="3B6A6649" w14:textId="77777777" w:rsidTr="00A7521D">
        <w:tc>
          <w:tcPr>
            <w:tcW w:w="7137" w:type="dxa"/>
            <w:hideMark/>
          </w:tcPr>
          <w:p w14:paraId="505F2CA0" w14:textId="774077CF" w:rsidR="000F16EB" w:rsidRDefault="00C73E04" w:rsidP="00A7521D">
            <w:pPr>
              <w:keepNext/>
            </w:pPr>
            <m:oMathPara>
              <m:oMathParaPr>
                <m:jc m:val="left"/>
              </m:oMathParaPr>
              <m:oMath>
                <m:sSubSup>
                  <m:sSubSupPr>
                    <m:ctrlPr>
                      <w:rPr>
                        <w:rFonts w:ascii="Cambria Math" w:hAnsi="Cambria Math"/>
                        <w:i/>
                      </w:rPr>
                    </m:ctrlPr>
                  </m:sSubSupPr>
                  <m:e>
                    <m:r>
                      <w:rPr>
                        <w:rFonts w:ascii="Cambria Math" w:hAnsi="Cambria Math"/>
                      </w:rPr>
                      <m:t>Q</m:t>
                    </m:r>
                  </m:e>
                  <m:sub>
                    <m:r>
                      <w:rPr>
                        <w:rFonts w:ascii="Cambria Math" w:hAnsi="Cambria Math"/>
                      </w:rPr>
                      <m:t>cap</m:t>
                    </m:r>
                  </m:sub>
                  <m:sup>
                    <m:r>
                      <w:rPr>
                        <w:rFonts w:ascii="Cambria Math" w:hAnsi="Cambria Math"/>
                      </w:rPr>
                      <m:t>network</m:t>
                    </m:r>
                  </m:sup>
                </m:sSubSup>
                <m:r>
                  <w:rPr>
                    <w:rFonts w:ascii="Cambria Math" w:hAnsi="Cambria Math"/>
                  </w:rPr>
                  <m:t>=</m:t>
                </m:r>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c</m:t>
                        </m:r>
                      </m:e>
                      <m:sub>
                        <m:r>
                          <w:rPr>
                            <w:rFonts w:ascii="Cambria Math" w:hAnsi="Cambria Math"/>
                          </w:rPr>
                          <m:t>P,water</m:t>
                        </m:r>
                      </m:sub>
                    </m:sSub>
                    <m:sSub>
                      <m:sSubPr>
                        <m:ctrlPr>
                          <w:rPr>
                            <w:rFonts w:ascii="Cambria Math" w:hAnsi="Cambria Math"/>
                            <w:i/>
                          </w:rPr>
                        </m:ctrlPr>
                      </m:sSubPr>
                      <m:e>
                        <m:r>
                          <w:rPr>
                            <w:rFonts w:ascii="Cambria Math" w:hAnsi="Cambria Math"/>
                          </w:rPr>
                          <m:t>ρ</m:t>
                        </m:r>
                      </m:e>
                      <m:sub>
                        <m:r>
                          <w:rPr>
                            <w:rFonts w:ascii="Cambria Math" w:hAnsi="Cambria Math"/>
                          </w:rPr>
                          <m:t>water</m:t>
                        </m:r>
                      </m:sub>
                    </m:sSub>
                    <m:sSub>
                      <m:sSubPr>
                        <m:ctrlPr>
                          <w:rPr>
                            <w:rFonts w:ascii="Cambria Math" w:hAnsi="Cambria Math"/>
                            <w:i/>
                          </w:rPr>
                        </m:ctrlPr>
                      </m:sSubPr>
                      <m:e>
                        <m:r>
                          <w:rPr>
                            <w:rFonts w:ascii="Cambria Math" w:hAnsi="Cambria Math"/>
                          </w:rPr>
                          <m:t>L</m:t>
                        </m:r>
                      </m:e>
                      <m:sub>
                        <m:r>
                          <w:rPr>
                            <w:rFonts w:ascii="Cambria Math" w:hAnsi="Cambria Math"/>
                          </w:rPr>
                          <m:t>p</m:t>
                        </m:r>
                      </m:sub>
                    </m:sSub>
                    <m:r>
                      <w:rPr>
                        <w:rFonts w:ascii="Cambria Math" w:hAnsi="Cambria Math"/>
                      </w:rPr>
                      <m:t>π</m:t>
                    </m:r>
                    <m:f>
                      <m:fPr>
                        <m:ctrlPr>
                          <w:rPr>
                            <w:rFonts w:ascii="Cambria Math" w:hAnsi="Cambria Math"/>
                            <w:i/>
                          </w:rPr>
                        </m:ctrlPr>
                      </m:fPr>
                      <m:num>
                        <m:sSubSup>
                          <m:sSubSupPr>
                            <m:ctrlPr>
                              <w:rPr>
                                <w:rFonts w:ascii="Cambria Math" w:hAnsi="Cambria Math"/>
                                <w:i/>
                              </w:rPr>
                            </m:ctrlPr>
                          </m:sSubSupPr>
                          <m:e>
                            <m:r>
                              <w:rPr>
                                <w:rFonts w:ascii="Cambria Math" w:hAnsi="Cambria Math"/>
                              </w:rPr>
                              <m:t>D</m:t>
                            </m:r>
                          </m:e>
                          <m:sub>
                            <m:r>
                              <w:rPr>
                                <w:rFonts w:ascii="Cambria Math" w:hAnsi="Cambria Math"/>
                              </w:rPr>
                              <m:t>p</m:t>
                            </m:r>
                          </m:sub>
                          <m:sup>
                            <m:r>
                              <w:rPr>
                                <w:rFonts w:ascii="Cambria Math" w:hAnsi="Cambria Math"/>
                              </w:rPr>
                              <m:t>2</m:t>
                            </m:r>
                          </m:sup>
                        </m:sSubSup>
                      </m:num>
                      <m:den>
                        <m:r>
                          <w:rPr>
                            <w:rFonts w:ascii="Cambria Math" w:hAnsi="Cambria Math"/>
                          </w:rPr>
                          <m:t>4</m:t>
                        </m:r>
                      </m:den>
                    </m:f>
                  </m:e>
                </m:nary>
              </m:oMath>
            </m:oMathPara>
          </w:p>
        </w:tc>
        <w:tc>
          <w:tcPr>
            <w:tcW w:w="518" w:type="dxa"/>
          </w:tcPr>
          <w:p w14:paraId="6E3FDF66" w14:textId="77777777" w:rsidR="000F16EB" w:rsidRDefault="000F16EB" w:rsidP="00A7521D">
            <w:pPr>
              <w:pStyle w:val="Caption"/>
              <w:jc w:val="right"/>
            </w:pPr>
          </w:p>
        </w:tc>
        <w:bookmarkStart w:id="780" w:name="_Ref531103906"/>
        <w:tc>
          <w:tcPr>
            <w:tcW w:w="543" w:type="dxa"/>
            <w:vAlign w:val="center"/>
          </w:tcPr>
          <w:p w14:paraId="236A2DC3" w14:textId="59295C0A" w:rsidR="000F16EB" w:rsidRPr="000C6BA1" w:rsidRDefault="000F16EB" w:rsidP="00A7521D">
            <w:pPr>
              <w:pStyle w:val="Caption"/>
              <w:jc w:val="right"/>
              <w:rPr>
                <w:b w:val="0"/>
              </w:rPr>
            </w:pPr>
            <w:r>
              <w:fldChar w:fldCharType="begin"/>
            </w:r>
            <w:r>
              <w:instrText xml:space="preserve"> STYLEREF 1 \s </w:instrText>
            </w:r>
            <w:r>
              <w:fldChar w:fldCharType="separate"/>
            </w:r>
            <w:r w:rsidR="00CB7456">
              <w:rPr>
                <w:noProof/>
              </w:rPr>
              <w:t>7</w:t>
            </w:r>
            <w:r>
              <w:fldChar w:fldCharType="end"/>
            </w:r>
            <w:r>
              <w:t>.</w:t>
            </w:r>
            <w:r>
              <w:rPr>
                <w:noProof/>
              </w:rPr>
              <w:fldChar w:fldCharType="begin"/>
            </w:r>
            <w:r>
              <w:rPr>
                <w:noProof/>
              </w:rPr>
              <w:instrText xml:space="preserve"> SEQ Equation \* ARABIC \s 1 </w:instrText>
            </w:r>
            <w:r>
              <w:rPr>
                <w:noProof/>
              </w:rPr>
              <w:fldChar w:fldCharType="separate"/>
            </w:r>
            <w:r w:rsidR="00CB7456">
              <w:rPr>
                <w:noProof/>
              </w:rPr>
              <w:t>11</w:t>
            </w:r>
            <w:r>
              <w:rPr>
                <w:noProof/>
              </w:rPr>
              <w:fldChar w:fldCharType="end"/>
            </w:r>
            <w:bookmarkEnd w:id="780"/>
          </w:p>
        </w:tc>
      </w:tr>
    </w:tbl>
    <w:p w14:paraId="7BE2CD31" w14:textId="77777777" w:rsidR="000F16EB" w:rsidRDefault="000F16EB" w:rsidP="003650C8">
      <w:pPr>
        <w:pStyle w:val="NoSpacing"/>
      </w:pPr>
    </w:p>
    <w:p w14:paraId="46E6C65D" w14:textId="77777777" w:rsidR="000F16EB" w:rsidRDefault="00C73E04" w:rsidP="000F16EB">
      <w:pPr>
        <w:pStyle w:val="NoSpacing"/>
      </w:pPr>
      <m:oMath>
        <m:sSubSup>
          <m:sSubSupPr>
            <m:ctrlPr>
              <w:rPr>
                <w:rFonts w:ascii="Cambria Math" w:hAnsi="Cambria Math"/>
                <w:i/>
              </w:rPr>
            </m:ctrlPr>
          </m:sSubSupPr>
          <m:e>
            <m:r>
              <w:rPr>
                <w:rFonts w:ascii="Cambria Math" w:hAnsi="Cambria Math"/>
              </w:rPr>
              <m:t>Q</m:t>
            </m:r>
          </m:e>
          <m:sub>
            <m:r>
              <w:rPr>
                <w:rFonts w:ascii="Cambria Math" w:hAnsi="Cambria Math"/>
              </w:rPr>
              <m:t>cap</m:t>
            </m:r>
          </m:sub>
          <m:sup>
            <m:r>
              <w:rPr>
                <w:rFonts w:ascii="Cambria Math" w:hAnsi="Cambria Math"/>
              </w:rPr>
              <m:t>network</m:t>
            </m:r>
          </m:sup>
        </m:sSubSup>
      </m:oMath>
      <w:r w:rsidR="000F16EB">
        <w:t xml:space="preserve"> was the ma</w:t>
      </w:r>
      <w:proofErr w:type="spellStart"/>
      <w:r w:rsidR="000F16EB">
        <w:t>ximum</w:t>
      </w:r>
      <w:proofErr w:type="spellEnd"/>
      <w:r w:rsidR="000F16EB">
        <w:t xml:space="preserve"> TES capacity of the network (MWh),</w:t>
      </w:r>
    </w:p>
    <w:p w14:paraId="1E54B77A" w14:textId="77777777" w:rsidR="000F16EB" w:rsidRDefault="00C73E04" w:rsidP="000F16EB">
      <w:pPr>
        <w:pStyle w:val="NoSpacing"/>
      </w:pPr>
      <m:oMath>
        <m:sSub>
          <m:sSubPr>
            <m:ctrlPr>
              <w:rPr>
                <w:rFonts w:ascii="Cambria Math" w:hAnsi="Cambria Math"/>
                <w:i/>
              </w:rPr>
            </m:ctrlPr>
          </m:sSubPr>
          <m:e>
            <m:r>
              <w:rPr>
                <w:rFonts w:ascii="Cambria Math" w:hAnsi="Cambria Math"/>
              </w:rPr>
              <m:t>L</m:t>
            </m:r>
          </m:e>
          <m:sub>
            <m:r>
              <w:rPr>
                <w:rFonts w:ascii="Cambria Math" w:hAnsi="Cambria Math"/>
              </w:rPr>
              <m:t>p</m:t>
            </m:r>
          </m:sub>
        </m:sSub>
      </m:oMath>
      <w:r w:rsidR="000F16EB">
        <w:t xml:space="preserve"> was the length of pipe section, </w:t>
      </w:r>
      <w:r w:rsidR="000F16EB">
        <w:rPr>
          <w:i/>
        </w:rPr>
        <w:t>p</w:t>
      </w:r>
      <w:r w:rsidR="000F16EB">
        <w:t xml:space="preserve"> (m),</w:t>
      </w:r>
    </w:p>
    <w:p w14:paraId="330F870E" w14:textId="0651B7A6" w:rsidR="000F16EB" w:rsidRDefault="00C73E04" w:rsidP="001525C6">
      <w:pPr>
        <w:pStyle w:val="NoSpacing"/>
      </w:pPr>
      <m:oMath>
        <m:sSub>
          <m:sSubPr>
            <m:ctrlPr>
              <w:rPr>
                <w:rFonts w:ascii="Cambria Math" w:hAnsi="Cambria Math"/>
                <w:i/>
              </w:rPr>
            </m:ctrlPr>
          </m:sSubPr>
          <m:e>
            <m:r>
              <w:rPr>
                <w:rFonts w:ascii="Cambria Math" w:hAnsi="Cambria Math"/>
              </w:rPr>
              <m:t>D</m:t>
            </m:r>
          </m:e>
          <m:sub>
            <m:r>
              <w:rPr>
                <w:rFonts w:ascii="Cambria Math" w:hAnsi="Cambria Math"/>
              </w:rPr>
              <m:t>p</m:t>
            </m:r>
          </m:sub>
        </m:sSub>
      </m:oMath>
      <w:r w:rsidR="000F16EB" w:rsidRPr="003650C8">
        <w:t xml:space="preserve"> was the diameter of pipe section, </w:t>
      </w:r>
      <w:r w:rsidR="000F16EB" w:rsidRPr="003650C8">
        <w:rPr>
          <w:i/>
        </w:rPr>
        <w:t>p</w:t>
      </w:r>
      <w:r w:rsidR="000F16EB" w:rsidRPr="003650C8">
        <w:t xml:space="preserve"> (m)</w:t>
      </w:r>
      <w:r w:rsidR="001525C6">
        <w:t>,</w:t>
      </w:r>
    </w:p>
    <w:p w14:paraId="01A76B54" w14:textId="3234E5D9" w:rsidR="001525C6" w:rsidRPr="003650C8" w:rsidRDefault="001525C6" w:rsidP="001525C6">
      <m:oMath>
        <m:r>
          <w:rPr>
            <w:rFonts w:ascii="Cambria Math" w:hAnsi="Cambria Math"/>
          </w:rPr>
          <m:t>n</m:t>
        </m:r>
      </m:oMath>
      <w:r>
        <w:t xml:space="preserve"> was the number of pipe sections.</w:t>
      </w:r>
    </w:p>
    <w:p w14:paraId="2808DCF5" w14:textId="0F6931D6" w:rsidR="007D1339" w:rsidRPr="003650C8" w:rsidRDefault="007D1339" w:rsidP="000F16EB">
      <w:r w:rsidRPr="003650C8">
        <w:t xml:space="preserve">The energy balance over a network can be written as shown in Equation </w:t>
      </w:r>
      <w:r w:rsidRPr="003650C8">
        <w:fldChar w:fldCharType="begin"/>
      </w:r>
      <w:r w:rsidRPr="003650C8">
        <w:instrText xml:space="preserve"> REF _Ref534736038 \h </w:instrText>
      </w:r>
      <w:r w:rsidRPr="003650C8">
        <w:fldChar w:fldCharType="separate"/>
      </w:r>
      <w:r w:rsidR="00CB7456">
        <w:rPr>
          <w:noProof/>
        </w:rPr>
        <w:t>7</w:t>
      </w:r>
      <w:r w:rsidR="00CB7456" w:rsidRPr="003650C8">
        <w:t>.</w:t>
      </w:r>
      <w:r w:rsidR="00CB7456">
        <w:rPr>
          <w:noProof/>
        </w:rPr>
        <w:t>12</w:t>
      </w:r>
      <w:r w:rsidRPr="003650C8">
        <w:fldChar w:fldCharType="end"/>
      </w:r>
      <w:r w:rsidRPr="003650C8">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37"/>
        <w:gridCol w:w="518"/>
        <w:gridCol w:w="543"/>
      </w:tblGrid>
      <w:tr w:rsidR="007D1339" w:rsidRPr="003650C8" w14:paraId="0703DF31" w14:textId="77777777" w:rsidTr="007D1339">
        <w:tc>
          <w:tcPr>
            <w:tcW w:w="7137" w:type="dxa"/>
            <w:hideMark/>
          </w:tcPr>
          <w:p w14:paraId="676F58F5" w14:textId="4D4A745B" w:rsidR="007D1339" w:rsidRPr="003650C8" w:rsidRDefault="007D1339" w:rsidP="007D1339">
            <w:pPr>
              <w:keepNext/>
            </w:pPr>
            <m:oMathPara>
              <m:oMathParaPr>
                <m:jc m:val="left"/>
              </m:oMathParaPr>
              <m:oMath>
                <m:r>
                  <w:rPr>
                    <w:rFonts w:ascii="Cambria Math" w:hAnsi="Cambria Math"/>
                  </w:rPr>
                  <m:t>Q=</m:t>
                </m:r>
                <m:sSub>
                  <m:sSubPr>
                    <m:ctrlPr>
                      <w:rPr>
                        <w:rFonts w:ascii="Cambria Math" w:hAnsi="Cambria Math"/>
                        <w:i/>
                      </w:rPr>
                    </m:ctrlPr>
                  </m:sSubPr>
                  <m:e>
                    <m:acc>
                      <m:accPr>
                        <m:chr m:val="̇"/>
                        <m:ctrlPr>
                          <w:rPr>
                            <w:rFonts w:ascii="Cambria Math" w:hAnsi="Cambria Math"/>
                            <w:i/>
                          </w:rPr>
                        </m:ctrlPr>
                      </m:accPr>
                      <m:e>
                        <m:r>
                          <w:rPr>
                            <w:rFonts w:ascii="Cambria Math" w:hAnsi="Cambria Math"/>
                          </w:rPr>
                          <m:t>m</m:t>
                        </m:r>
                      </m:e>
                    </m:acc>
                  </m:e>
                  <m:sub>
                    <m:r>
                      <w:rPr>
                        <w:rFonts w:ascii="Cambria Math" w:hAnsi="Cambria Math"/>
                      </w:rPr>
                      <m:t>water</m:t>
                    </m:r>
                  </m:sub>
                </m:sSub>
                <m:sSub>
                  <m:sSubPr>
                    <m:ctrlPr>
                      <w:rPr>
                        <w:rFonts w:ascii="Cambria Math" w:hAnsi="Cambria Math"/>
                        <w:i/>
                      </w:rPr>
                    </m:ctrlPr>
                  </m:sSubPr>
                  <m:e>
                    <m:r>
                      <w:rPr>
                        <w:rFonts w:ascii="Cambria Math" w:hAnsi="Cambria Math"/>
                      </w:rPr>
                      <m:t>c</m:t>
                    </m:r>
                  </m:e>
                  <m:sub>
                    <m:r>
                      <w:rPr>
                        <w:rFonts w:ascii="Cambria Math" w:hAnsi="Cambria Math"/>
                      </w:rPr>
                      <m:t>P,water</m:t>
                    </m:r>
                  </m:sub>
                </m:sSub>
                <m:d>
                  <m:dPr>
                    <m:ctrlPr>
                      <w:rPr>
                        <w:rFonts w:ascii="Cambria Math" w:hAnsi="Cambria Math"/>
                        <w:i/>
                      </w:rPr>
                    </m:ctrlPr>
                  </m:dPr>
                  <m:e>
                    <m:sSub>
                      <m:sSubPr>
                        <m:ctrlPr>
                          <w:rPr>
                            <w:rFonts w:ascii="Cambria Math" w:hAnsi="Cambria Math"/>
                            <w:i/>
                          </w:rPr>
                        </m:ctrlPr>
                      </m:sSubPr>
                      <m:e>
                        <m:r>
                          <w:rPr>
                            <w:rFonts w:ascii="Cambria Math" w:hAnsi="Cambria Math"/>
                          </w:rPr>
                          <m:t>T</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r</m:t>
                        </m:r>
                      </m:sub>
                    </m:sSub>
                  </m:e>
                </m:d>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loss</m:t>
                    </m:r>
                  </m:sub>
                </m:sSub>
              </m:oMath>
            </m:oMathPara>
          </w:p>
        </w:tc>
        <w:tc>
          <w:tcPr>
            <w:tcW w:w="518" w:type="dxa"/>
          </w:tcPr>
          <w:p w14:paraId="35B48B17" w14:textId="77777777" w:rsidR="007D1339" w:rsidRPr="003650C8" w:rsidRDefault="007D1339" w:rsidP="007D1339">
            <w:pPr>
              <w:pStyle w:val="Caption"/>
              <w:jc w:val="right"/>
            </w:pPr>
          </w:p>
        </w:tc>
        <w:bookmarkStart w:id="781" w:name="_Ref534736038"/>
        <w:tc>
          <w:tcPr>
            <w:tcW w:w="543" w:type="dxa"/>
            <w:vAlign w:val="center"/>
          </w:tcPr>
          <w:p w14:paraId="6A48D442" w14:textId="66988A62" w:rsidR="007D1339" w:rsidRPr="003650C8" w:rsidRDefault="007D1339" w:rsidP="007D1339">
            <w:pPr>
              <w:pStyle w:val="Caption"/>
              <w:jc w:val="right"/>
              <w:rPr>
                <w:b w:val="0"/>
              </w:rPr>
            </w:pPr>
            <w:r w:rsidRPr="003650C8">
              <w:fldChar w:fldCharType="begin"/>
            </w:r>
            <w:r w:rsidRPr="003650C8">
              <w:instrText xml:space="preserve"> STYLEREF 1 \s </w:instrText>
            </w:r>
            <w:r w:rsidRPr="003650C8">
              <w:fldChar w:fldCharType="separate"/>
            </w:r>
            <w:r w:rsidR="00CB7456">
              <w:rPr>
                <w:noProof/>
              </w:rPr>
              <w:t>7</w:t>
            </w:r>
            <w:r w:rsidRPr="003650C8">
              <w:fldChar w:fldCharType="end"/>
            </w:r>
            <w:r w:rsidRPr="003650C8">
              <w:t>.</w:t>
            </w:r>
            <w:r w:rsidRPr="003650C8">
              <w:rPr>
                <w:noProof/>
              </w:rPr>
              <w:fldChar w:fldCharType="begin"/>
            </w:r>
            <w:r w:rsidRPr="003650C8">
              <w:rPr>
                <w:noProof/>
              </w:rPr>
              <w:instrText xml:space="preserve"> SEQ Equation \* ARABIC \s 1 </w:instrText>
            </w:r>
            <w:r w:rsidRPr="003650C8">
              <w:rPr>
                <w:noProof/>
              </w:rPr>
              <w:fldChar w:fldCharType="separate"/>
            </w:r>
            <w:r w:rsidR="00CB7456">
              <w:rPr>
                <w:noProof/>
              </w:rPr>
              <w:t>12</w:t>
            </w:r>
            <w:r w:rsidRPr="003650C8">
              <w:rPr>
                <w:noProof/>
              </w:rPr>
              <w:fldChar w:fldCharType="end"/>
            </w:r>
            <w:bookmarkEnd w:id="781"/>
          </w:p>
        </w:tc>
      </w:tr>
    </w:tbl>
    <w:p w14:paraId="225AD6D7" w14:textId="678F50E9" w:rsidR="007D1339" w:rsidRPr="003650C8" w:rsidRDefault="007D1339" w:rsidP="003650C8">
      <w:pPr>
        <w:pStyle w:val="NoSpacing"/>
      </w:pPr>
    </w:p>
    <w:p w14:paraId="076688E0" w14:textId="68688D42" w:rsidR="007D1339" w:rsidRPr="003650C8" w:rsidRDefault="00C73E04" w:rsidP="007D1339">
      <w:pPr>
        <w:pStyle w:val="NoSpacing"/>
      </w:pPr>
      <m:oMath>
        <m:sSub>
          <m:sSubPr>
            <m:ctrlPr>
              <w:rPr>
                <w:rFonts w:ascii="Cambria Math" w:hAnsi="Cambria Math"/>
                <w:i/>
              </w:rPr>
            </m:ctrlPr>
          </m:sSubPr>
          <m:e>
            <m:r>
              <w:rPr>
                <w:rFonts w:ascii="Cambria Math" w:hAnsi="Cambria Math"/>
              </w:rPr>
              <m:t>T</m:t>
            </m:r>
          </m:e>
          <m:sub>
            <m:r>
              <w:rPr>
                <w:rFonts w:ascii="Cambria Math" w:hAnsi="Cambria Math"/>
              </w:rPr>
              <m:t>s</m:t>
            </m:r>
          </m:sub>
        </m:sSub>
      </m:oMath>
      <w:r w:rsidR="007D1339" w:rsidRPr="003650C8">
        <w:t xml:space="preserve"> was the supply temperature of the DHN (K),</w:t>
      </w:r>
    </w:p>
    <w:p w14:paraId="039DB074" w14:textId="2F4662AA" w:rsidR="007D1339" w:rsidRPr="003650C8" w:rsidRDefault="00C73E04" w:rsidP="007D1339">
      <m:oMath>
        <m:sSub>
          <m:sSubPr>
            <m:ctrlPr>
              <w:rPr>
                <w:rFonts w:ascii="Cambria Math" w:hAnsi="Cambria Math"/>
                <w:i/>
              </w:rPr>
            </m:ctrlPr>
          </m:sSubPr>
          <m:e>
            <m:r>
              <w:rPr>
                <w:rFonts w:ascii="Cambria Math" w:hAnsi="Cambria Math"/>
              </w:rPr>
              <m:t>T</m:t>
            </m:r>
          </m:e>
          <m:sub>
            <m:r>
              <w:rPr>
                <w:rFonts w:ascii="Cambria Math" w:hAnsi="Cambria Math"/>
              </w:rPr>
              <m:t>r</m:t>
            </m:r>
          </m:sub>
        </m:sSub>
      </m:oMath>
      <w:r w:rsidR="007D1339" w:rsidRPr="003650C8">
        <w:t xml:space="preserve"> was the </w:t>
      </w:r>
      <w:r w:rsidR="00533B45" w:rsidRPr="003650C8">
        <w:t>return temperature of the DHN (K</w:t>
      </w:r>
      <w:r w:rsidR="007D1339" w:rsidRPr="003650C8">
        <w:t>).</w:t>
      </w:r>
    </w:p>
    <w:p w14:paraId="75BD05B7" w14:textId="4E99B2D5" w:rsidR="000F16EB" w:rsidRPr="003650C8" w:rsidRDefault="000F16EB" w:rsidP="000F16EB">
      <w:r w:rsidRPr="003650C8">
        <w:t xml:space="preserve">The energy balance, as shown in Equation </w:t>
      </w:r>
      <w:r w:rsidRPr="003650C8">
        <w:fldChar w:fldCharType="begin"/>
      </w:r>
      <w:r w:rsidRPr="003650C8">
        <w:instrText xml:space="preserve"> REF _Ref531103294 \h </w:instrText>
      </w:r>
      <w:r w:rsidRPr="003650C8">
        <w:fldChar w:fldCharType="separate"/>
      </w:r>
      <w:r w:rsidR="00CB7456">
        <w:rPr>
          <w:noProof/>
        </w:rPr>
        <w:t>7</w:t>
      </w:r>
      <w:r w:rsidR="00CB7456">
        <w:t>.</w:t>
      </w:r>
      <w:r w:rsidR="00CB7456">
        <w:rPr>
          <w:noProof/>
        </w:rPr>
        <w:t>1</w:t>
      </w:r>
      <w:r w:rsidRPr="003650C8">
        <w:fldChar w:fldCharType="end"/>
      </w:r>
      <w:r w:rsidRPr="003650C8">
        <w:t xml:space="preserve">, was broken down into equations for losses and TES, as shown in Equation </w:t>
      </w:r>
      <w:r w:rsidRPr="003650C8">
        <w:fldChar w:fldCharType="begin"/>
      </w:r>
      <w:r w:rsidRPr="003650C8">
        <w:instrText xml:space="preserve"> REF _Ref531103950 \h </w:instrText>
      </w:r>
      <w:r w:rsidRPr="003650C8">
        <w:fldChar w:fldCharType="separate"/>
      </w:r>
      <w:r w:rsidR="00CB7456">
        <w:rPr>
          <w:noProof/>
        </w:rPr>
        <w:t>7</w:t>
      </w:r>
      <w:r w:rsidR="00CB7456" w:rsidRPr="003650C8">
        <w:t>.</w:t>
      </w:r>
      <w:r w:rsidR="00CB7456">
        <w:rPr>
          <w:noProof/>
        </w:rPr>
        <w:t>13</w:t>
      </w:r>
      <w:r w:rsidRPr="003650C8">
        <w:fldChar w:fldCharType="end"/>
      </w:r>
      <w:r w:rsidRPr="003650C8">
        <w:t xml:space="preserve"> and Equation </w:t>
      </w:r>
      <w:r w:rsidRPr="003650C8">
        <w:fldChar w:fldCharType="begin"/>
      </w:r>
      <w:r w:rsidRPr="003650C8">
        <w:instrText xml:space="preserve"> REF _Ref531103995 \h </w:instrText>
      </w:r>
      <w:r w:rsidRPr="003650C8">
        <w:fldChar w:fldCharType="separate"/>
      </w:r>
      <w:r w:rsidR="00CB7456">
        <w:rPr>
          <w:noProof/>
        </w:rPr>
        <w:t>7</w:t>
      </w:r>
      <w:r w:rsidR="00CB7456" w:rsidRPr="003650C8">
        <w:t>.</w:t>
      </w:r>
      <w:r w:rsidR="00CB7456">
        <w:rPr>
          <w:noProof/>
        </w:rPr>
        <w:t>14</w:t>
      </w:r>
      <w:r w:rsidRPr="003650C8">
        <w:fldChar w:fldCharType="end"/>
      </w:r>
      <w:r w:rsidRPr="003650C8">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37"/>
        <w:gridCol w:w="518"/>
        <w:gridCol w:w="543"/>
      </w:tblGrid>
      <w:tr w:rsidR="000F16EB" w:rsidRPr="003650C8" w14:paraId="43D12A37" w14:textId="77777777" w:rsidTr="00A7521D">
        <w:tc>
          <w:tcPr>
            <w:tcW w:w="7137" w:type="dxa"/>
            <w:hideMark/>
          </w:tcPr>
          <w:p w14:paraId="6F913151" w14:textId="3BF5BF9B" w:rsidR="000F16EB" w:rsidRPr="003650C8" w:rsidRDefault="00C73E04" w:rsidP="00A7521D">
            <w:pPr>
              <w:keepNext/>
            </w:pPr>
            <m:oMathPara>
              <m:oMathParaPr>
                <m:jc m:val="left"/>
              </m:oMathParaPr>
              <m:oMath>
                <m:sSub>
                  <m:sSubPr>
                    <m:ctrlPr>
                      <w:rPr>
                        <w:rFonts w:ascii="Cambria Math" w:hAnsi="Cambria Math"/>
                        <w:i/>
                      </w:rPr>
                    </m:ctrlPr>
                  </m:sSubPr>
                  <m:e>
                    <m:r>
                      <w:rPr>
                        <w:rFonts w:ascii="Cambria Math" w:hAnsi="Cambria Math"/>
                      </w:rPr>
                      <m:t>Q</m:t>
                    </m:r>
                  </m:e>
                  <m:sub>
                    <m:r>
                      <w:rPr>
                        <w:rFonts w:ascii="Cambria Math" w:hAnsi="Cambria Math"/>
                      </w:rPr>
                      <m:t>loss</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net</m:t>
                    </m:r>
                  </m:sub>
                </m:sSub>
                <m:sSub>
                  <m:sSubPr>
                    <m:ctrlPr>
                      <w:rPr>
                        <w:rFonts w:ascii="Cambria Math" w:hAnsi="Cambria Math"/>
                        <w:i/>
                      </w:rPr>
                    </m:ctrlPr>
                  </m:sSubPr>
                  <m:e>
                    <m:r>
                      <w:rPr>
                        <w:rFonts w:ascii="Cambria Math" w:hAnsi="Cambria Math"/>
                      </w:rPr>
                      <m:t>A</m:t>
                    </m:r>
                  </m:e>
                  <m:sub>
                    <m:r>
                      <w:rPr>
                        <w:rFonts w:ascii="Cambria Math" w:hAnsi="Cambria Math"/>
                      </w:rPr>
                      <m:t>net</m:t>
                    </m:r>
                  </m:sub>
                </m:sSub>
                <m:d>
                  <m:dPr>
                    <m:ctrlPr>
                      <w:rPr>
                        <w:rFonts w:ascii="Cambria Math" w:hAnsi="Cambria Math"/>
                        <w:i/>
                      </w:rPr>
                    </m:ctrlPr>
                  </m:dPr>
                  <m:e>
                    <m:sSub>
                      <m:sSubPr>
                        <m:ctrlPr>
                          <w:rPr>
                            <w:rFonts w:ascii="Cambria Math" w:hAnsi="Cambria Math"/>
                            <w:i/>
                          </w:rPr>
                        </m:ctrlPr>
                      </m:sSubPr>
                      <m:e>
                        <m:r>
                          <w:rPr>
                            <w:rFonts w:ascii="Cambria Math" w:hAnsi="Cambria Math"/>
                          </w:rPr>
                          <m:t>T</m:t>
                        </m:r>
                      </m:e>
                      <m:sub>
                        <m:r>
                          <w:rPr>
                            <w:rFonts w:ascii="Cambria Math" w:hAnsi="Cambria Math"/>
                          </w:rPr>
                          <m:t>avg</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amb</m:t>
                        </m:r>
                      </m:sub>
                    </m:sSub>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m</m:t>
                        </m:r>
                      </m:e>
                    </m:acc>
                  </m:e>
                  <m:sub>
                    <m:r>
                      <w:rPr>
                        <w:rFonts w:ascii="Cambria Math" w:hAnsi="Cambria Math"/>
                      </w:rPr>
                      <m:t>water</m:t>
                    </m:r>
                  </m:sub>
                </m:sSub>
                <m:sSub>
                  <m:sSubPr>
                    <m:ctrlPr>
                      <w:rPr>
                        <w:rFonts w:ascii="Cambria Math" w:hAnsi="Cambria Math"/>
                        <w:i/>
                      </w:rPr>
                    </m:ctrlPr>
                  </m:sSubPr>
                  <m:e>
                    <m:r>
                      <w:rPr>
                        <w:rFonts w:ascii="Cambria Math" w:hAnsi="Cambria Math"/>
                      </w:rPr>
                      <m:t>c</m:t>
                    </m:r>
                  </m:e>
                  <m:sub>
                    <m:r>
                      <w:rPr>
                        <w:rFonts w:ascii="Cambria Math" w:hAnsi="Cambria Math"/>
                      </w:rPr>
                      <m:t>P,water</m:t>
                    </m:r>
                  </m:sub>
                </m:sSub>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T</m:t>
                            </m:r>
                          </m:e>
                        </m:acc>
                      </m:e>
                      <m:sub>
                        <m:r>
                          <w:rPr>
                            <w:rFonts w:ascii="Cambria Math" w:hAnsi="Cambria Math"/>
                          </w:rPr>
                          <m:t>avg</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amb</m:t>
                        </m:r>
                      </m:sub>
                    </m:sSub>
                  </m:e>
                </m:d>
              </m:oMath>
            </m:oMathPara>
          </w:p>
        </w:tc>
        <w:tc>
          <w:tcPr>
            <w:tcW w:w="518" w:type="dxa"/>
          </w:tcPr>
          <w:p w14:paraId="301DE9BC" w14:textId="77777777" w:rsidR="000F16EB" w:rsidRPr="003650C8" w:rsidRDefault="000F16EB" w:rsidP="00A7521D">
            <w:pPr>
              <w:pStyle w:val="Caption"/>
              <w:jc w:val="right"/>
            </w:pPr>
          </w:p>
        </w:tc>
        <w:bookmarkStart w:id="782" w:name="_Ref531103950"/>
        <w:tc>
          <w:tcPr>
            <w:tcW w:w="543" w:type="dxa"/>
            <w:vAlign w:val="center"/>
          </w:tcPr>
          <w:p w14:paraId="069CAE23" w14:textId="5A1A2DBD" w:rsidR="000F16EB" w:rsidRPr="003650C8" w:rsidRDefault="000F16EB" w:rsidP="00A7521D">
            <w:pPr>
              <w:pStyle w:val="Caption"/>
              <w:jc w:val="right"/>
              <w:rPr>
                <w:b w:val="0"/>
              </w:rPr>
            </w:pPr>
            <w:r w:rsidRPr="003650C8">
              <w:fldChar w:fldCharType="begin"/>
            </w:r>
            <w:r w:rsidRPr="003650C8">
              <w:instrText xml:space="preserve"> STYLEREF 1 \s </w:instrText>
            </w:r>
            <w:r w:rsidRPr="003650C8">
              <w:fldChar w:fldCharType="separate"/>
            </w:r>
            <w:r w:rsidR="00CB7456">
              <w:rPr>
                <w:noProof/>
              </w:rPr>
              <w:t>7</w:t>
            </w:r>
            <w:r w:rsidRPr="003650C8">
              <w:fldChar w:fldCharType="end"/>
            </w:r>
            <w:r w:rsidRPr="003650C8">
              <w:t>.</w:t>
            </w:r>
            <w:r w:rsidRPr="003650C8">
              <w:rPr>
                <w:noProof/>
              </w:rPr>
              <w:fldChar w:fldCharType="begin"/>
            </w:r>
            <w:r w:rsidRPr="003650C8">
              <w:rPr>
                <w:noProof/>
              </w:rPr>
              <w:instrText xml:space="preserve"> SEQ Equation \* ARABIC \s 1 </w:instrText>
            </w:r>
            <w:r w:rsidRPr="003650C8">
              <w:rPr>
                <w:noProof/>
              </w:rPr>
              <w:fldChar w:fldCharType="separate"/>
            </w:r>
            <w:r w:rsidR="00CB7456">
              <w:rPr>
                <w:noProof/>
              </w:rPr>
              <w:t>13</w:t>
            </w:r>
            <w:r w:rsidRPr="003650C8">
              <w:rPr>
                <w:noProof/>
              </w:rPr>
              <w:fldChar w:fldCharType="end"/>
            </w:r>
            <w:bookmarkEnd w:id="782"/>
          </w:p>
        </w:tc>
      </w:tr>
    </w:tbl>
    <w:p w14:paraId="4A4D4DFB" w14:textId="77777777" w:rsidR="000F16EB" w:rsidRPr="003650C8" w:rsidRDefault="000F16EB" w:rsidP="003650C8">
      <w:pPr>
        <w:pStyle w:val="NoSpacing"/>
      </w:pPr>
    </w:p>
    <w:p w14:paraId="0ED88CAB" w14:textId="77777777" w:rsidR="000F16EB" w:rsidRPr="003650C8" w:rsidRDefault="00C73E04" w:rsidP="000F16EB">
      <w:pPr>
        <w:pStyle w:val="NoSpacing"/>
      </w:pPr>
      <m:oMath>
        <m:sSub>
          <m:sSubPr>
            <m:ctrlPr>
              <w:rPr>
                <w:rFonts w:ascii="Cambria Math" w:hAnsi="Cambria Math"/>
                <w:i/>
              </w:rPr>
            </m:ctrlPr>
          </m:sSubPr>
          <m:e>
            <m:r>
              <w:rPr>
                <w:rFonts w:ascii="Cambria Math" w:hAnsi="Cambria Math"/>
              </w:rPr>
              <m:t>U</m:t>
            </m:r>
          </m:e>
          <m:sub>
            <m:r>
              <w:rPr>
                <w:rFonts w:ascii="Cambria Math" w:hAnsi="Cambria Math"/>
              </w:rPr>
              <m:t>net</m:t>
            </m:r>
          </m:sub>
        </m:sSub>
      </m:oMath>
      <w:r w:rsidR="000F16EB" w:rsidRPr="003650C8">
        <w:t xml:space="preserve"> was the HTC of the pipes in the DHN (MW/[m</w:t>
      </w:r>
      <w:r w:rsidR="000F16EB" w:rsidRPr="003650C8">
        <w:rPr>
          <w:vertAlign w:val="superscript"/>
        </w:rPr>
        <w:t>2</w:t>
      </w:r>
      <w:r w:rsidR="000F16EB" w:rsidRPr="003650C8">
        <w:t>K]),</w:t>
      </w:r>
    </w:p>
    <w:p w14:paraId="249934D8" w14:textId="77777777" w:rsidR="000F16EB" w:rsidRPr="003650C8" w:rsidRDefault="00C73E04" w:rsidP="000F16EB">
      <w:pPr>
        <w:pStyle w:val="NoSpacing"/>
      </w:pPr>
      <m:oMath>
        <m:sSub>
          <m:sSubPr>
            <m:ctrlPr>
              <w:rPr>
                <w:rFonts w:ascii="Cambria Math" w:hAnsi="Cambria Math"/>
                <w:i/>
              </w:rPr>
            </m:ctrlPr>
          </m:sSubPr>
          <m:e>
            <m:r>
              <w:rPr>
                <w:rFonts w:ascii="Cambria Math" w:hAnsi="Cambria Math"/>
              </w:rPr>
              <m:t>A</m:t>
            </m:r>
          </m:e>
          <m:sub>
            <m:r>
              <w:rPr>
                <w:rFonts w:ascii="Cambria Math" w:hAnsi="Cambria Math"/>
              </w:rPr>
              <m:t>net</m:t>
            </m:r>
          </m:sub>
        </m:sSub>
      </m:oMath>
      <w:r w:rsidR="000F16EB" w:rsidRPr="003650C8">
        <w:t xml:space="preserve"> was the SA of the pipes in the DHN (m</w:t>
      </w:r>
      <w:r w:rsidR="000F16EB" w:rsidRPr="003650C8">
        <w:rPr>
          <w:vertAlign w:val="superscript"/>
        </w:rPr>
        <w:t>2</w:t>
      </w:r>
      <w:r w:rsidR="000F16EB" w:rsidRPr="003650C8">
        <w:t>),</w:t>
      </w:r>
    </w:p>
    <w:p w14:paraId="248D0934" w14:textId="77777777" w:rsidR="000F16EB" w:rsidRPr="003650C8" w:rsidRDefault="00C73E04" w:rsidP="000F16EB">
      <m:oMath>
        <m:sSub>
          <m:sSubPr>
            <m:ctrlPr>
              <w:rPr>
                <w:rFonts w:ascii="Cambria Math" w:hAnsi="Cambria Math"/>
                <w:i/>
              </w:rPr>
            </m:ctrlPr>
          </m:sSubPr>
          <m:e>
            <m:r>
              <w:rPr>
                <w:rFonts w:ascii="Cambria Math" w:hAnsi="Cambria Math"/>
              </w:rPr>
              <m:t>T</m:t>
            </m:r>
          </m:e>
          <m:sub>
            <m:r>
              <w:rPr>
                <w:rFonts w:ascii="Cambria Math" w:hAnsi="Cambria Math"/>
              </w:rPr>
              <m:t>avg</m:t>
            </m:r>
          </m:sub>
        </m:sSub>
      </m:oMath>
      <w:r w:rsidR="000F16EB" w:rsidRPr="003650C8">
        <w:t xml:space="preserve"> was the temperature difference between the supply and return pipes in the DHN (K).</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37"/>
        <w:gridCol w:w="518"/>
        <w:gridCol w:w="543"/>
      </w:tblGrid>
      <w:tr w:rsidR="000F16EB" w:rsidRPr="003650C8" w14:paraId="3D15AD1A" w14:textId="77777777" w:rsidTr="00A7521D">
        <w:tc>
          <w:tcPr>
            <w:tcW w:w="7137" w:type="dxa"/>
            <w:hideMark/>
          </w:tcPr>
          <w:p w14:paraId="51A6D559" w14:textId="7CDEC9A0" w:rsidR="000F16EB" w:rsidRPr="003650C8" w:rsidRDefault="00C73E04" w:rsidP="00A7521D">
            <w:pPr>
              <w:keepNext/>
            </w:pPr>
            <m:oMathPara>
              <m:oMathParaPr>
                <m:jc m:val="left"/>
              </m:oMathParaPr>
              <m:oMath>
                <m:sSub>
                  <m:sSubPr>
                    <m:ctrlPr>
                      <w:rPr>
                        <w:rFonts w:ascii="Cambria Math" w:hAnsi="Cambria Math"/>
                        <w:i/>
                      </w:rPr>
                    </m:ctrlPr>
                  </m:sSubPr>
                  <m:e>
                    <m:r>
                      <w:rPr>
                        <w:rFonts w:ascii="Cambria Math" w:hAnsi="Cambria Math"/>
                      </w:rPr>
                      <m:t>Q</m:t>
                    </m:r>
                  </m:e>
                  <m:sub>
                    <m:r>
                      <w:rPr>
                        <w:rFonts w:ascii="Cambria Math" w:hAnsi="Cambria Math"/>
                      </w:rPr>
                      <m:t>stored</m:t>
                    </m:r>
                  </m:sub>
                </m:sSub>
                <m:r>
                  <w:rPr>
                    <w:rFonts w:ascii="Cambria Math" w:hAnsi="Cambria Math"/>
                  </w:rPr>
                  <m:t>=</m:t>
                </m:r>
                <m:sSub>
                  <m:sSubPr>
                    <m:ctrlPr>
                      <w:rPr>
                        <w:rFonts w:ascii="Cambria Math" w:hAnsi="Cambria Math"/>
                        <w:i/>
                      </w:rPr>
                    </m:ctrlPr>
                  </m:sSubPr>
                  <m:e>
                    <m:r>
                      <w:rPr>
                        <w:rFonts w:ascii="Cambria Math" w:hAnsi="Cambria Math"/>
                      </w:rPr>
                      <m:t>m</m:t>
                    </m:r>
                  </m:e>
                  <m:sub>
                    <m:r>
                      <w:rPr>
                        <w:rFonts w:ascii="Cambria Math" w:hAnsi="Cambria Math"/>
                      </w:rPr>
                      <m:t>water</m:t>
                    </m:r>
                  </m:sub>
                </m:sSub>
                <m:sSub>
                  <m:sSubPr>
                    <m:ctrlPr>
                      <w:rPr>
                        <w:rFonts w:ascii="Cambria Math" w:hAnsi="Cambria Math"/>
                        <w:i/>
                      </w:rPr>
                    </m:ctrlPr>
                  </m:sSubPr>
                  <m:e>
                    <m:r>
                      <w:rPr>
                        <w:rFonts w:ascii="Cambria Math" w:hAnsi="Cambria Math"/>
                      </w:rPr>
                      <m:t>c</m:t>
                    </m:r>
                  </m:e>
                  <m:sub>
                    <m:r>
                      <w:rPr>
                        <w:rFonts w:ascii="Cambria Math" w:hAnsi="Cambria Math"/>
                      </w:rPr>
                      <m:t>P,water</m:t>
                    </m:r>
                  </m:sub>
                </m:sSub>
                <m:d>
                  <m:dPr>
                    <m:ctrlPr>
                      <w:rPr>
                        <w:rFonts w:ascii="Cambria Math" w:hAnsi="Cambria Math"/>
                        <w:i/>
                      </w:rPr>
                    </m:ctrlPr>
                  </m:dPr>
                  <m:e>
                    <m:sSub>
                      <m:sSubPr>
                        <m:ctrlPr>
                          <w:rPr>
                            <w:rFonts w:ascii="Cambria Math" w:hAnsi="Cambria Math"/>
                            <w:i/>
                          </w:rPr>
                        </m:ctrlPr>
                      </m:sSubPr>
                      <m:e>
                        <m:r>
                          <w:rPr>
                            <w:rFonts w:ascii="Cambria Math" w:hAnsi="Cambria Math"/>
                          </w:rPr>
                          <m:t>T</m:t>
                        </m:r>
                      </m:e>
                      <m:sub>
                        <m:r>
                          <w:rPr>
                            <w:rFonts w:ascii="Cambria Math" w:hAnsi="Cambria Math"/>
                          </w:rPr>
                          <m:t>inc</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T</m:t>
                            </m:r>
                          </m:e>
                        </m:acc>
                      </m:e>
                      <m:sub>
                        <m:r>
                          <w:rPr>
                            <w:rFonts w:ascii="Cambria Math" w:hAnsi="Cambria Math"/>
                          </w:rPr>
                          <m:t>s</m:t>
                        </m:r>
                      </m:sub>
                    </m:sSub>
                  </m:e>
                </m:d>
              </m:oMath>
            </m:oMathPara>
          </w:p>
        </w:tc>
        <w:tc>
          <w:tcPr>
            <w:tcW w:w="518" w:type="dxa"/>
          </w:tcPr>
          <w:p w14:paraId="08539FC9" w14:textId="77777777" w:rsidR="000F16EB" w:rsidRPr="003650C8" w:rsidRDefault="000F16EB" w:rsidP="00A7521D">
            <w:pPr>
              <w:pStyle w:val="Caption"/>
              <w:jc w:val="right"/>
            </w:pPr>
          </w:p>
        </w:tc>
        <w:bookmarkStart w:id="783" w:name="_Ref531103995"/>
        <w:tc>
          <w:tcPr>
            <w:tcW w:w="543" w:type="dxa"/>
            <w:vAlign w:val="center"/>
          </w:tcPr>
          <w:p w14:paraId="0B259D71" w14:textId="7CC5470E" w:rsidR="000F16EB" w:rsidRPr="003650C8" w:rsidRDefault="000F16EB" w:rsidP="00A7521D">
            <w:pPr>
              <w:pStyle w:val="Caption"/>
              <w:jc w:val="right"/>
              <w:rPr>
                <w:b w:val="0"/>
              </w:rPr>
            </w:pPr>
            <w:r w:rsidRPr="003650C8">
              <w:fldChar w:fldCharType="begin"/>
            </w:r>
            <w:r w:rsidRPr="003650C8">
              <w:instrText xml:space="preserve"> STYLEREF 1 \s </w:instrText>
            </w:r>
            <w:r w:rsidRPr="003650C8">
              <w:fldChar w:fldCharType="separate"/>
            </w:r>
            <w:r w:rsidR="00CB7456">
              <w:rPr>
                <w:noProof/>
              </w:rPr>
              <w:t>7</w:t>
            </w:r>
            <w:r w:rsidRPr="003650C8">
              <w:fldChar w:fldCharType="end"/>
            </w:r>
            <w:r w:rsidRPr="003650C8">
              <w:t>.</w:t>
            </w:r>
            <w:r w:rsidRPr="003650C8">
              <w:rPr>
                <w:noProof/>
              </w:rPr>
              <w:fldChar w:fldCharType="begin"/>
            </w:r>
            <w:r w:rsidRPr="003650C8">
              <w:rPr>
                <w:noProof/>
              </w:rPr>
              <w:instrText xml:space="preserve"> SEQ Equation \* ARABIC \s 1 </w:instrText>
            </w:r>
            <w:r w:rsidRPr="003650C8">
              <w:rPr>
                <w:noProof/>
              </w:rPr>
              <w:fldChar w:fldCharType="separate"/>
            </w:r>
            <w:r w:rsidR="00CB7456">
              <w:rPr>
                <w:noProof/>
              </w:rPr>
              <w:t>14</w:t>
            </w:r>
            <w:r w:rsidRPr="003650C8">
              <w:rPr>
                <w:noProof/>
              </w:rPr>
              <w:fldChar w:fldCharType="end"/>
            </w:r>
            <w:bookmarkEnd w:id="783"/>
          </w:p>
        </w:tc>
      </w:tr>
    </w:tbl>
    <w:p w14:paraId="039E8901" w14:textId="77777777" w:rsidR="000F16EB" w:rsidRPr="003650C8" w:rsidRDefault="000F16EB" w:rsidP="003650C8">
      <w:pPr>
        <w:pStyle w:val="NoSpacing"/>
      </w:pPr>
    </w:p>
    <w:p w14:paraId="73FA9492" w14:textId="77777777" w:rsidR="000F16EB" w:rsidRPr="003650C8" w:rsidRDefault="00C73E04" w:rsidP="000F16EB">
      <w:pPr>
        <w:pStyle w:val="NoSpacing"/>
      </w:pPr>
      <m:oMath>
        <m:sSub>
          <m:sSubPr>
            <m:ctrlPr>
              <w:rPr>
                <w:rFonts w:ascii="Cambria Math" w:hAnsi="Cambria Math"/>
                <w:i/>
              </w:rPr>
            </m:ctrlPr>
          </m:sSubPr>
          <m:e>
            <m:acc>
              <m:accPr>
                <m:chr m:val="̇"/>
                <m:ctrlPr>
                  <w:rPr>
                    <w:rFonts w:ascii="Cambria Math" w:hAnsi="Cambria Math"/>
                    <w:i/>
                  </w:rPr>
                </m:ctrlPr>
              </m:accPr>
              <m:e>
                <m:r>
                  <w:rPr>
                    <w:rFonts w:ascii="Cambria Math" w:hAnsi="Cambria Math"/>
                  </w:rPr>
                  <m:t>m</m:t>
                </m:r>
              </m:e>
            </m:acc>
          </m:e>
          <m:sub>
            <m:r>
              <w:rPr>
                <w:rFonts w:ascii="Cambria Math" w:hAnsi="Cambria Math"/>
              </w:rPr>
              <m:t>water</m:t>
            </m:r>
          </m:sub>
        </m:sSub>
      </m:oMath>
      <w:r w:rsidR="000F16EB" w:rsidRPr="003650C8">
        <w:t xml:space="preserve"> was the mass flowrate of the water in pipes in the DHN (kg/s),</w:t>
      </w:r>
    </w:p>
    <w:p w14:paraId="6F22A17E" w14:textId="6241EBC1" w:rsidR="000F16EB" w:rsidRPr="003650C8" w:rsidRDefault="00C73E04" w:rsidP="000F16EB">
      <m:oMath>
        <m:sSub>
          <m:sSubPr>
            <m:ctrlPr>
              <w:rPr>
                <w:rFonts w:ascii="Cambria Math" w:hAnsi="Cambria Math"/>
                <w:i/>
              </w:rPr>
            </m:ctrlPr>
          </m:sSubPr>
          <m:e>
            <m:acc>
              <m:accPr>
                <m:chr m:val="̅"/>
                <m:ctrlPr>
                  <w:rPr>
                    <w:rFonts w:ascii="Cambria Math" w:hAnsi="Cambria Math"/>
                    <w:i/>
                  </w:rPr>
                </m:ctrlPr>
              </m:accPr>
              <m:e>
                <m:r>
                  <w:rPr>
                    <w:rFonts w:ascii="Cambria Math" w:hAnsi="Cambria Math"/>
                  </w:rPr>
                  <m:t>T</m:t>
                </m:r>
              </m:e>
            </m:acc>
          </m:e>
          <m:sub>
            <m:r>
              <w:rPr>
                <w:rFonts w:ascii="Cambria Math" w:hAnsi="Cambria Math"/>
              </w:rPr>
              <m:t>s</m:t>
            </m:r>
          </m:sub>
        </m:sSub>
      </m:oMath>
      <w:r w:rsidR="000F16EB" w:rsidRPr="003650C8">
        <w:t xml:space="preserve"> was the increased supply temperature of the supply pipes in the DHN (K).</w:t>
      </w:r>
    </w:p>
    <w:p w14:paraId="15FE3D62" w14:textId="2FDE4880" w:rsidR="00533B45" w:rsidRPr="003650C8" w:rsidRDefault="00533B45" w:rsidP="000F16EB">
      <w:r w:rsidRPr="003650C8">
        <w:t>Increasing the supply temperature of the water increased the amount of energy supplied to the network, showing how much energy can be stored in the network.</w:t>
      </w:r>
    </w:p>
    <w:p w14:paraId="1E9A53BD" w14:textId="69F1E938" w:rsidR="000F16EB" w:rsidRPr="003650C8" w:rsidRDefault="000F16EB" w:rsidP="000F16EB">
      <w:r>
        <w:t>Combining</w:t>
      </w:r>
      <w:r w:rsidRPr="001E66DC">
        <w:t xml:space="preserve"> </w:t>
      </w:r>
      <w:r>
        <w:t xml:space="preserve">Equation </w:t>
      </w:r>
      <w:r>
        <w:fldChar w:fldCharType="begin"/>
      </w:r>
      <w:r>
        <w:instrText xml:space="preserve"> REF _Ref531103294 \h </w:instrText>
      </w:r>
      <w:r>
        <w:fldChar w:fldCharType="separate"/>
      </w:r>
      <w:r w:rsidR="00CB7456">
        <w:rPr>
          <w:noProof/>
        </w:rPr>
        <w:t>7</w:t>
      </w:r>
      <w:r w:rsidR="00CB7456">
        <w:t>.</w:t>
      </w:r>
      <w:r w:rsidR="00CB7456">
        <w:rPr>
          <w:noProof/>
        </w:rPr>
        <w:t>1</w:t>
      </w:r>
      <w:r>
        <w:fldChar w:fldCharType="end"/>
      </w:r>
      <w:r>
        <w:t xml:space="preserve">, </w:t>
      </w:r>
      <w:r w:rsidRPr="003650C8">
        <w:t xml:space="preserve">Equation </w:t>
      </w:r>
      <w:r w:rsidRPr="003650C8">
        <w:fldChar w:fldCharType="begin"/>
      </w:r>
      <w:r w:rsidRPr="003650C8">
        <w:instrText xml:space="preserve"> REF _Ref531103950 \h </w:instrText>
      </w:r>
      <w:r w:rsidRPr="003650C8">
        <w:fldChar w:fldCharType="separate"/>
      </w:r>
      <w:r w:rsidR="00CB7456">
        <w:rPr>
          <w:noProof/>
        </w:rPr>
        <w:t>7</w:t>
      </w:r>
      <w:r w:rsidR="00CB7456" w:rsidRPr="003650C8">
        <w:t>.</w:t>
      </w:r>
      <w:r w:rsidR="00CB7456">
        <w:rPr>
          <w:noProof/>
        </w:rPr>
        <w:t>13</w:t>
      </w:r>
      <w:r w:rsidRPr="003650C8">
        <w:fldChar w:fldCharType="end"/>
      </w:r>
      <w:r w:rsidRPr="003650C8">
        <w:t xml:space="preserve"> and Equation </w:t>
      </w:r>
      <w:r w:rsidRPr="003650C8">
        <w:fldChar w:fldCharType="begin"/>
      </w:r>
      <w:r w:rsidRPr="003650C8">
        <w:instrText xml:space="preserve"> REF _Ref531103995 \h </w:instrText>
      </w:r>
      <w:r w:rsidRPr="003650C8">
        <w:fldChar w:fldCharType="separate"/>
      </w:r>
      <w:r w:rsidR="00CB7456">
        <w:rPr>
          <w:noProof/>
        </w:rPr>
        <w:t>7</w:t>
      </w:r>
      <w:r w:rsidR="00CB7456" w:rsidRPr="003650C8">
        <w:t>.</w:t>
      </w:r>
      <w:r w:rsidR="00CB7456">
        <w:rPr>
          <w:noProof/>
        </w:rPr>
        <w:t>14</w:t>
      </w:r>
      <w:r w:rsidRPr="003650C8">
        <w:fldChar w:fldCharType="end"/>
      </w:r>
      <w:r w:rsidRPr="003650C8">
        <w:t xml:space="preserve"> gave a detailed energy balance over the pipe network, as shown in Equation </w:t>
      </w:r>
      <w:r w:rsidRPr="003650C8">
        <w:fldChar w:fldCharType="begin"/>
      </w:r>
      <w:r w:rsidRPr="003650C8">
        <w:instrText xml:space="preserve"> REF _Ref531104128 \h </w:instrText>
      </w:r>
      <w:r w:rsidRPr="003650C8">
        <w:fldChar w:fldCharType="separate"/>
      </w:r>
      <w:r w:rsidR="00CB7456">
        <w:rPr>
          <w:noProof/>
        </w:rPr>
        <w:t>7</w:t>
      </w:r>
      <w:r w:rsidR="00CB7456" w:rsidRPr="003650C8">
        <w:t>.</w:t>
      </w:r>
      <w:r w:rsidR="00CB7456">
        <w:rPr>
          <w:noProof/>
        </w:rPr>
        <w:t>15</w:t>
      </w:r>
      <w:r w:rsidRPr="003650C8">
        <w:fldChar w:fldCharType="end"/>
      </w:r>
      <w:r w:rsidRPr="003650C8">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37"/>
        <w:gridCol w:w="239"/>
        <w:gridCol w:w="822"/>
      </w:tblGrid>
      <w:tr w:rsidR="000F16EB" w:rsidRPr="003650C8" w14:paraId="25E08DBB" w14:textId="77777777" w:rsidTr="00A7521D">
        <w:tc>
          <w:tcPr>
            <w:tcW w:w="7137" w:type="dxa"/>
            <w:hideMark/>
          </w:tcPr>
          <w:p w14:paraId="218B41F8" w14:textId="5EC8116A" w:rsidR="000F16EB" w:rsidRPr="003650C8" w:rsidRDefault="00C73E04" w:rsidP="00A7521D">
            <w:pPr>
              <w:keepNext/>
            </w:pPr>
            <m:oMathPara>
              <m:oMathParaPr>
                <m:jc m:val="left"/>
              </m:oMathParaPr>
              <m:oMath>
                <m:sSub>
                  <m:sSubPr>
                    <m:ctrlPr>
                      <w:rPr>
                        <w:rFonts w:ascii="Cambria Math" w:hAnsi="Cambria Math"/>
                        <w:i/>
                      </w:rPr>
                    </m:ctrlPr>
                  </m:sSubPr>
                  <m:e>
                    <m:acc>
                      <m:accPr>
                        <m:chr m:val="̇"/>
                        <m:ctrlPr>
                          <w:rPr>
                            <w:rFonts w:ascii="Cambria Math" w:hAnsi="Cambria Math"/>
                            <w:i/>
                          </w:rPr>
                        </m:ctrlPr>
                      </m:accPr>
                      <m:e>
                        <m:r>
                          <w:rPr>
                            <w:rFonts w:ascii="Cambria Math" w:hAnsi="Cambria Math"/>
                          </w:rPr>
                          <m:t>Q</m:t>
                        </m:r>
                      </m:e>
                    </m:acc>
                  </m:e>
                  <m:sub>
                    <m:r>
                      <w:rPr>
                        <w:rFonts w:ascii="Cambria Math" w:hAnsi="Cambria Math"/>
                      </w:rPr>
                      <m:t>produced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Q</m:t>
                        </m:r>
                      </m:e>
                    </m:acc>
                  </m:e>
                  <m:sub>
                    <m:r>
                      <w:rPr>
                        <w:rFonts w:ascii="Cambria Math" w:hAnsi="Cambria Math"/>
                      </w:rPr>
                      <m:t>consumed</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net</m:t>
                    </m:r>
                  </m:sub>
                </m:sSub>
                <m:sSub>
                  <m:sSubPr>
                    <m:ctrlPr>
                      <w:rPr>
                        <w:rFonts w:ascii="Cambria Math" w:hAnsi="Cambria Math"/>
                        <w:i/>
                      </w:rPr>
                    </m:ctrlPr>
                  </m:sSubPr>
                  <m:e>
                    <m:r>
                      <w:rPr>
                        <w:rFonts w:ascii="Cambria Math" w:hAnsi="Cambria Math"/>
                      </w:rPr>
                      <m:t>A</m:t>
                    </m:r>
                  </m:e>
                  <m:sub>
                    <m:r>
                      <w:rPr>
                        <w:rFonts w:ascii="Cambria Math" w:hAnsi="Cambria Math"/>
                      </w:rPr>
                      <m:t>net</m:t>
                    </m:r>
                  </m:sub>
                </m:sSub>
                <m:d>
                  <m:dPr>
                    <m:ctrlPr>
                      <w:rPr>
                        <w:rFonts w:ascii="Cambria Math" w:hAnsi="Cambria Math"/>
                        <w:i/>
                      </w:rPr>
                    </m:ctrlPr>
                  </m:dPr>
                  <m:e>
                    <m:sSub>
                      <m:sSubPr>
                        <m:ctrlPr>
                          <w:rPr>
                            <w:rFonts w:ascii="Cambria Math" w:hAnsi="Cambria Math"/>
                            <w:i/>
                          </w:rPr>
                        </m:ctrlPr>
                      </m:sSubPr>
                      <m:e>
                        <m:r>
                          <w:rPr>
                            <w:rFonts w:ascii="Cambria Math" w:hAnsi="Cambria Math"/>
                          </w:rPr>
                          <m:t>T</m:t>
                        </m:r>
                      </m:e>
                      <m:sub>
                        <m:r>
                          <w:rPr>
                            <w:rFonts w:ascii="Cambria Math" w:hAnsi="Cambria Math"/>
                          </w:rPr>
                          <m:t>avg</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amb</m:t>
                        </m:r>
                      </m:sub>
                    </m:sSub>
                  </m:e>
                </m:d>
                <m:r>
                  <w:rPr>
                    <w:rFonts w:ascii="Cambria Math" w:hAnsi="Cambria Math"/>
                  </w:rPr>
                  <m:t xml:space="preserve">                                        +</m:t>
                </m:r>
                <m:sSub>
                  <m:sSubPr>
                    <m:ctrlPr>
                      <w:rPr>
                        <w:rFonts w:ascii="Cambria Math" w:hAnsi="Cambria Math"/>
                        <w:i/>
                      </w:rPr>
                    </m:ctrlPr>
                  </m:sSubPr>
                  <m:e>
                    <m:acc>
                      <m:accPr>
                        <m:chr m:val="̇"/>
                        <m:ctrlPr>
                          <w:rPr>
                            <w:rFonts w:ascii="Cambria Math" w:hAnsi="Cambria Math"/>
                            <w:i/>
                          </w:rPr>
                        </m:ctrlPr>
                      </m:accPr>
                      <m:e>
                        <m:r>
                          <w:rPr>
                            <w:rFonts w:ascii="Cambria Math" w:hAnsi="Cambria Math"/>
                          </w:rPr>
                          <m:t>m</m:t>
                        </m:r>
                      </m:e>
                    </m:acc>
                  </m:e>
                  <m:sub>
                    <m:r>
                      <w:rPr>
                        <w:rFonts w:ascii="Cambria Math" w:hAnsi="Cambria Math"/>
                      </w:rPr>
                      <m:t>water</m:t>
                    </m:r>
                  </m:sub>
                </m:sSub>
                <m:sSub>
                  <m:sSubPr>
                    <m:ctrlPr>
                      <w:rPr>
                        <w:rFonts w:ascii="Cambria Math" w:hAnsi="Cambria Math"/>
                        <w:i/>
                      </w:rPr>
                    </m:ctrlPr>
                  </m:sSubPr>
                  <m:e>
                    <m:r>
                      <w:rPr>
                        <w:rFonts w:ascii="Cambria Math" w:hAnsi="Cambria Math"/>
                      </w:rPr>
                      <m:t>c</m:t>
                    </m:r>
                  </m:e>
                  <m:sub>
                    <m:r>
                      <w:rPr>
                        <w:rFonts w:ascii="Cambria Math" w:hAnsi="Cambria Math"/>
                      </w:rPr>
                      <m:t>P,water</m:t>
                    </m:r>
                  </m:sub>
                </m:sSub>
                <m:d>
                  <m:dPr>
                    <m:ctrlPr>
                      <w:rPr>
                        <w:rFonts w:ascii="Cambria Math" w:hAnsi="Cambria Math"/>
                        <w:i/>
                      </w:rPr>
                    </m:ctrlPr>
                  </m:dPr>
                  <m:e>
                    <m:sSub>
                      <m:sSubPr>
                        <m:ctrlPr>
                          <w:rPr>
                            <w:rFonts w:ascii="Cambria Math" w:hAnsi="Cambria Math"/>
                            <w:i/>
                          </w:rPr>
                        </m:ctrlPr>
                      </m:sSubPr>
                      <m:e>
                        <m:r>
                          <w:rPr>
                            <w:rFonts w:ascii="Cambria Math" w:hAnsi="Cambria Math"/>
                          </w:rPr>
                          <m:t>T</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r</m:t>
                        </m:r>
                      </m:sub>
                    </m:sSub>
                  </m:e>
                </m:d>
              </m:oMath>
            </m:oMathPara>
          </w:p>
        </w:tc>
        <w:tc>
          <w:tcPr>
            <w:tcW w:w="239" w:type="dxa"/>
          </w:tcPr>
          <w:p w14:paraId="766E856E" w14:textId="77777777" w:rsidR="000F16EB" w:rsidRPr="003650C8" w:rsidRDefault="000F16EB" w:rsidP="00A7521D">
            <w:pPr>
              <w:pStyle w:val="Caption"/>
              <w:jc w:val="right"/>
            </w:pPr>
            <w:r w:rsidRPr="003650C8">
              <w:t xml:space="preserve"> </w:t>
            </w:r>
          </w:p>
        </w:tc>
        <w:bookmarkStart w:id="784" w:name="_Ref531104128"/>
        <w:tc>
          <w:tcPr>
            <w:tcW w:w="822" w:type="dxa"/>
            <w:vAlign w:val="center"/>
          </w:tcPr>
          <w:p w14:paraId="0901D1F6" w14:textId="7DD3D295" w:rsidR="000F16EB" w:rsidRPr="003650C8" w:rsidRDefault="000F16EB" w:rsidP="00A7521D">
            <w:pPr>
              <w:pStyle w:val="Caption"/>
              <w:jc w:val="right"/>
              <w:rPr>
                <w:b w:val="0"/>
              </w:rPr>
            </w:pPr>
            <w:r w:rsidRPr="003650C8">
              <w:fldChar w:fldCharType="begin"/>
            </w:r>
            <w:r w:rsidRPr="003650C8">
              <w:instrText xml:space="preserve"> STYLEREF 1 \s </w:instrText>
            </w:r>
            <w:r w:rsidRPr="003650C8">
              <w:fldChar w:fldCharType="separate"/>
            </w:r>
            <w:r w:rsidR="00CB7456">
              <w:rPr>
                <w:noProof/>
              </w:rPr>
              <w:t>7</w:t>
            </w:r>
            <w:r w:rsidRPr="003650C8">
              <w:fldChar w:fldCharType="end"/>
            </w:r>
            <w:r w:rsidRPr="003650C8">
              <w:t>.</w:t>
            </w:r>
            <w:r w:rsidRPr="003650C8">
              <w:rPr>
                <w:noProof/>
              </w:rPr>
              <w:fldChar w:fldCharType="begin"/>
            </w:r>
            <w:r w:rsidRPr="003650C8">
              <w:rPr>
                <w:noProof/>
              </w:rPr>
              <w:instrText xml:space="preserve"> SEQ Equation \* ARABIC \s 1 </w:instrText>
            </w:r>
            <w:r w:rsidRPr="003650C8">
              <w:rPr>
                <w:noProof/>
              </w:rPr>
              <w:fldChar w:fldCharType="separate"/>
            </w:r>
            <w:r w:rsidR="00CB7456">
              <w:rPr>
                <w:noProof/>
              </w:rPr>
              <w:t>15</w:t>
            </w:r>
            <w:r w:rsidRPr="003650C8">
              <w:rPr>
                <w:noProof/>
              </w:rPr>
              <w:fldChar w:fldCharType="end"/>
            </w:r>
            <w:bookmarkEnd w:id="784"/>
          </w:p>
        </w:tc>
      </w:tr>
    </w:tbl>
    <w:p w14:paraId="32A9FDBA" w14:textId="157AD7E9" w:rsidR="000F16EB" w:rsidRDefault="000F16EB" w:rsidP="003650C8">
      <w:pPr>
        <w:pStyle w:val="NoSpacing"/>
      </w:pPr>
    </w:p>
    <w:p w14:paraId="24B9B47A" w14:textId="637AE4F8" w:rsidR="001525C6" w:rsidRDefault="001525C6" w:rsidP="005D542C">
      <w:r>
        <w:t xml:space="preserve">During the modelling of the </w:t>
      </w:r>
      <w:r w:rsidR="005D542C">
        <w:t>network-based</w:t>
      </w:r>
      <w:r>
        <w:t xml:space="preserve"> optimisation, a number of assumptions were made. It was assumed that no pumps or boilers will be needed to ensure suitable hydraulic conditions were maintained throughout the </w:t>
      </w:r>
      <w:r w:rsidR="005D542C">
        <w:t>DHN. As no pumps or boilers were needed, the costs of these technologies could be ignored in the optimisation.</w:t>
      </w:r>
    </w:p>
    <w:p w14:paraId="3E77844A" w14:textId="1000B950" w:rsidR="000F16EB" w:rsidRPr="003650C8" w:rsidRDefault="000F16EB" w:rsidP="000F16EB">
      <w:r w:rsidRPr="003650C8">
        <w:t>The methodology used in this thesis was suitable for use by a non-technical user because it only required a series of simple inputs. The bulk of the calculations were hidden in a series of locked Microsoft Excel spreadsheets that the user would not have access to. The inputs to the modelling work were simple to understand and obtain, including the temperature of the tank and outside air, mass flowrate in the pipes, and the pipe and tank physical characteristics. Several more complicated, harder to obtain inputs were also needed, such as heat capacities of the tanks and water, charging and discharging efficiencies, and the various HTCs. The more complicated inputs may have confused the non-technical user. However, these complicated inputs could be pre-set before the model is delivered to the client.</w:t>
      </w:r>
      <w:r w:rsidR="00533B45" w:rsidRPr="003650C8">
        <w:t xml:space="preserve"> The complicated inputs would be pre-set by a single technical individual before being </w:t>
      </w:r>
      <w:r w:rsidR="00533B45" w:rsidRPr="003650C8">
        <w:lastRenderedPageBreak/>
        <w:t xml:space="preserve">sent to all the users, reducing the number of technical individuals </w:t>
      </w:r>
      <w:r w:rsidR="00BA09FC">
        <w:t xml:space="preserve">required </w:t>
      </w:r>
      <w:r w:rsidR="00533B45" w:rsidRPr="003650C8">
        <w:t>to one, no matter how many model users there are.</w:t>
      </w:r>
    </w:p>
    <w:p w14:paraId="0A1ADBCF" w14:textId="77777777" w:rsidR="000F16EB" w:rsidRDefault="000F16EB" w:rsidP="000F16EB">
      <w:pPr>
        <w:pStyle w:val="Heading2"/>
      </w:pPr>
      <w:bookmarkStart w:id="785" w:name="_Toc525230029"/>
      <w:bookmarkStart w:id="786" w:name="_Toc7187556"/>
      <w:r>
        <w:t>Case Study and Scenarios</w:t>
      </w:r>
      <w:bookmarkEnd w:id="785"/>
      <w:bookmarkEnd w:id="786"/>
    </w:p>
    <w:p w14:paraId="436F4E45" w14:textId="7B774ADC" w:rsidR="000F16EB" w:rsidRDefault="000F16EB" w:rsidP="000F16EB">
      <w:r>
        <w:t xml:space="preserve">The optimisation work was carried out for the case study, based around HJE. The HD in the local area was calculated in chapter </w:t>
      </w:r>
      <w:r w:rsidR="00537667">
        <w:fldChar w:fldCharType="begin"/>
      </w:r>
      <w:r w:rsidR="00537667">
        <w:instrText xml:space="preserve"> REF _Ref531344568 \n \h </w:instrText>
      </w:r>
      <w:r w:rsidR="00537667">
        <w:fldChar w:fldCharType="separate"/>
      </w:r>
      <w:r w:rsidR="00CB7456">
        <w:t>6</w:t>
      </w:r>
      <w:r w:rsidR="00537667">
        <w:fldChar w:fldCharType="end"/>
      </w:r>
      <w:r>
        <w:t xml:space="preserve">. The variation in the heat supply and demand in the case study is shown in </w:t>
      </w:r>
      <w:r>
        <w:fldChar w:fldCharType="begin"/>
      </w:r>
      <w:r>
        <w:instrText xml:space="preserve"> REF _Ref525664173 \h </w:instrText>
      </w:r>
      <w:r>
        <w:fldChar w:fldCharType="separate"/>
      </w:r>
      <w:r w:rsidR="00CB7456">
        <w:t xml:space="preserve">Figure </w:t>
      </w:r>
      <w:r w:rsidR="00CB7456">
        <w:rPr>
          <w:noProof/>
        </w:rPr>
        <w:t>7</w:t>
      </w:r>
      <w:r w:rsidR="00CB7456">
        <w:t>.</w:t>
      </w:r>
      <w:r w:rsidR="00CB7456">
        <w:rPr>
          <w:noProof/>
        </w:rPr>
        <w:t>1</w:t>
      </w:r>
      <w:r>
        <w:fldChar w:fldCharType="end"/>
      </w:r>
      <w:r>
        <w:t>.</w:t>
      </w:r>
    </w:p>
    <w:p w14:paraId="201A7E24" w14:textId="77777777" w:rsidR="000F16EB" w:rsidRDefault="000F16EB" w:rsidP="000F16EB">
      <w:pPr>
        <w:keepNext/>
        <w:jc w:val="center"/>
      </w:pPr>
      <w:r>
        <w:rPr>
          <w:noProof/>
        </w:rPr>
        <w:drawing>
          <wp:inline distT="0" distB="0" distL="0" distR="0" wp14:anchorId="27BCD920" wp14:editId="12E26317">
            <wp:extent cx="3168000" cy="2620310"/>
            <wp:effectExtent l="19050" t="19050" r="13970" b="2794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just supply and demand.jpg"/>
                    <pic:cNvPicPr/>
                  </pic:nvPicPr>
                  <pic:blipFill rotWithShape="1">
                    <a:blip r:embed="rId53" cstate="print">
                      <a:extLst>
                        <a:ext uri="{28A0092B-C50C-407E-A947-70E740481C1C}">
                          <a14:useLocalDpi xmlns:a14="http://schemas.microsoft.com/office/drawing/2010/main" val="0"/>
                        </a:ext>
                      </a:extLst>
                    </a:blip>
                    <a:srcRect l="8432" t="8622" r="10876" b="4160"/>
                    <a:stretch/>
                  </pic:blipFill>
                  <pic:spPr bwMode="auto">
                    <a:xfrm>
                      <a:off x="0" y="0"/>
                      <a:ext cx="3168000" cy="262031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365F316" w14:textId="26AE7292" w:rsidR="000F16EB" w:rsidRDefault="000F16EB" w:rsidP="000F16EB">
      <w:pPr>
        <w:pStyle w:val="Caption"/>
      </w:pPr>
      <w:bookmarkStart w:id="787" w:name="_Ref525664173"/>
      <w:bookmarkStart w:id="788" w:name="_Toc525230106"/>
      <w:bookmarkStart w:id="789" w:name="_Ref525664170"/>
      <w:bookmarkStart w:id="790" w:name="_Toc7187654"/>
      <w:r>
        <w:t xml:space="preserve">Figure </w:t>
      </w:r>
      <w:fldSimple w:instr=" STYLEREF 1 \s ">
        <w:r w:rsidR="00CB7456">
          <w:rPr>
            <w:noProof/>
          </w:rPr>
          <w:t>7</w:t>
        </w:r>
      </w:fldSimple>
      <w:r w:rsidR="007B29C3">
        <w:t>.</w:t>
      </w:r>
      <w:fldSimple w:instr=" SEQ Figure \* ARABIC \s 1 ">
        <w:r w:rsidR="00CB7456">
          <w:rPr>
            <w:noProof/>
          </w:rPr>
          <w:t>1</w:t>
        </w:r>
      </w:fldSimple>
      <w:bookmarkEnd w:id="787"/>
      <w:r>
        <w:t>: The heat supply</w:t>
      </w:r>
      <w:r w:rsidR="005D542C">
        <w:t xml:space="preserve"> from the WHR source (only)</w:t>
      </w:r>
      <w:r>
        <w:t xml:space="preserve"> and </w:t>
      </w:r>
      <w:r w:rsidR="005D542C">
        <w:t xml:space="preserve">the heat </w:t>
      </w:r>
      <w:r>
        <w:t>demand variation in the case study area.</w:t>
      </w:r>
      <w:bookmarkEnd w:id="788"/>
      <w:bookmarkEnd w:id="789"/>
      <w:bookmarkEnd w:id="790"/>
    </w:p>
    <w:p w14:paraId="692B5BD2" w14:textId="77777777" w:rsidR="000F16EB" w:rsidRDefault="000F16EB" w:rsidP="000F16EB">
      <w:r>
        <w:t>Four TES scenarios were modelled:</w:t>
      </w:r>
      <w:r w:rsidRPr="00172361">
        <w:t xml:space="preserve"> </w:t>
      </w:r>
    </w:p>
    <w:p w14:paraId="3F6E7668" w14:textId="77777777" w:rsidR="000F16EB" w:rsidRDefault="000F16EB" w:rsidP="00202E44">
      <w:pPr>
        <w:pStyle w:val="ListParagraph"/>
        <w:numPr>
          <w:ilvl w:val="0"/>
          <w:numId w:val="25"/>
        </w:numPr>
      </w:pPr>
      <w:r>
        <w:t xml:space="preserve">A single, large HWT, which was sized to meet the maximum available energy in the case study. </w:t>
      </w:r>
    </w:p>
    <w:p w14:paraId="0BC15BEF" w14:textId="77777777" w:rsidR="000F16EB" w:rsidRDefault="000F16EB" w:rsidP="00202E44">
      <w:pPr>
        <w:pStyle w:val="ListParagraph"/>
        <w:numPr>
          <w:ilvl w:val="0"/>
          <w:numId w:val="25"/>
        </w:numPr>
      </w:pPr>
      <w:r>
        <w:t xml:space="preserve">A pair of smaller HWTs, which were sized together to meet the maximum available energy in the case study. </w:t>
      </w:r>
    </w:p>
    <w:p w14:paraId="13F0A5BC" w14:textId="77777777" w:rsidR="000F16EB" w:rsidRDefault="000F16EB" w:rsidP="00202E44">
      <w:pPr>
        <w:pStyle w:val="ListParagraph"/>
        <w:numPr>
          <w:ilvl w:val="0"/>
          <w:numId w:val="25"/>
        </w:numPr>
      </w:pPr>
      <w:r>
        <w:t>TES utilising the thermal inertia of the buildings connected to the DHN, which was sized based on the case study DHN.</w:t>
      </w:r>
    </w:p>
    <w:p w14:paraId="1212E2D5" w14:textId="77777777" w:rsidR="000F16EB" w:rsidRDefault="000F16EB" w:rsidP="00202E44">
      <w:pPr>
        <w:pStyle w:val="ListParagraph"/>
        <w:numPr>
          <w:ilvl w:val="0"/>
          <w:numId w:val="25"/>
        </w:numPr>
      </w:pPr>
      <w:r>
        <w:t xml:space="preserve">TES utilising the thermal inertia of the pipes in the DHN, which was sized based on the case study DHN. </w:t>
      </w:r>
    </w:p>
    <w:p w14:paraId="7994CE6E" w14:textId="7DDE4850" w:rsidR="000F16EB" w:rsidRDefault="000F16EB" w:rsidP="00682CF9">
      <w:r>
        <w:t xml:space="preserve">A reference, fifth, scenario was considered that did not use TES and did not have the necessary control systems needed to utilise the thermal inertia of the buildings or the pipe network. Instead, the reference scenario used a back-up, natural gas fired burner to match the heat supply and demand. All four TES based scenarios used the natural gas fired burner to match the heat supply and demand when the TES system was insufficient. The parameters of the HWTs, building energy storage and network energy storage are shown in </w:t>
      </w:r>
      <w:r w:rsidR="00682CF9">
        <w:fldChar w:fldCharType="begin"/>
      </w:r>
      <w:r w:rsidR="00682CF9">
        <w:instrText xml:space="preserve"> REF _Ref5788462 \h </w:instrText>
      </w:r>
      <w:r w:rsidR="00682CF9">
        <w:fldChar w:fldCharType="separate"/>
      </w:r>
      <w:r w:rsidR="00CB7456">
        <w:t xml:space="preserve">Table </w:t>
      </w:r>
      <w:r w:rsidR="00CB7456">
        <w:rPr>
          <w:noProof/>
        </w:rPr>
        <w:t>7</w:t>
      </w:r>
      <w:r w:rsidR="00CB7456">
        <w:t>.</w:t>
      </w:r>
      <w:r w:rsidR="00CB7456">
        <w:rPr>
          <w:noProof/>
        </w:rPr>
        <w:t>1</w:t>
      </w:r>
      <w:r w:rsidR="00682CF9">
        <w:fldChar w:fldCharType="end"/>
      </w:r>
      <w:r w:rsidR="00682CF9">
        <w:t xml:space="preserve"> to </w:t>
      </w:r>
      <w:r w:rsidR="00682CF9">
        <w:fldChar w:fldCharType="begin"/>
      </w:r>
      <w:r w:rsidR="00682CF9">
        <w:instrText xml:space="preserve"> REF _Ref523588359 \h </w:instrText>
      </w:r>
      <w:r w:rsidR="00682CF9">
        <w:fldChar w:fldCharType="separate"/>
      </w:r>
      <w:r w:rsidR="00CB7456">
        <w:t xml:space="preserve">Table </w:t>
      </w:r>
      <w:r w:rsidR="00CB7456">
        <w:rPr>
          <w:noProof/>
        </w:rPr>
        <w:t>7</w:t>
      </w:r>
      <w:r w:rsidR="00CB7456">
        <w:t>.</w:t>
      </w:r>
      <w:r w:rsidR="00CB7456">
        <w:rPr>
          <w:noProof/>
        </w:rPr>
        <w:t>3</w:t>
      </w:r>
      <w:r w:rsidR="00682CF9">
        <w:fldChar w:fldCharType="end"/>
      </w:r>
      <w:r w:rsidR="00682CF9">
        <w:t>.</w:t>
      </w:r>
      <w:r>
        <w:t xml:space="preserve"> </w:t>
      </w:r>
    </w:p>
    <w:p w14:paraId="00C5B6AD" w14:textId="77777777" w:rsidR="005D542C" w:rsidRDefault="005D542C">
      <w:pPr>
        <w:jc w:val="left"/>
        <w:rPr>
          <w:b/>
          <w:bCs/>
          <w:sz w:val="18"/>
          <w:szCs w:val="18"/>
        </w:rPr>
      </w:pPr>
      <w:bookmarkStart w:id="791" w:name="_Ref525664220"/>
      <w:bookmarkStart w:id="792" w:name="_Toc525230141"/>
      <w:r>
        <w:br w:type="page"/>
      </w:r>
    </w:p>
    <w:p w14:paraId="59AF807C" w14:textId="775C797F" w:rsidR="000F16EB" w:rsidRDefault="000F16EB" w:rsidP="000F16EB">
      <w:pPr>
        <w:pStyle w:val="Caption"/>
      </w:pPr>
      <w:bookmarkStart w:id="793" w:name="_Ref5788462"/>
      <w:bookmarkStart w:id="794" w:name="_Toc7187697"/>
      <w:r>
        <w:lastRenderedPageBreak/>
        <w:t xml:space="preserve">Table </w:t>
      </w:r>
      <w:fldSimple w:instr=" STYLEREF 1 \s ">
        <w:r w:rsidR="00CB7456">
          <w:rPr>
            <w:noProof/>
          </w:rPr>
          <w:t>7</w:t>
        </w:r>
      </w:fldSimple>
      <w:r w:rsidR="009E1A67">
        <w:t>.</w:t>
      </w:r>
      <w:fldSimple w:instr=" SEQ Table \* ARABIC \s 1 ">
        <w:r w:rsidR="00CB7456">
          <w:rPr>
            <w:noProof/>
          </w:rPr>
          <w:t>1</w:t>
        </w:r>
      </w:fldSimple>
      <w:bookmarkEnd w:id="791"/>
      <w:bookmarkEnd w:id="793"/>
      <w:r>
        <w:t>: The parameters used in the work for the scenarios 1) and 2), the HWT based options.</w:t>
      </w:r>
      <w:bookmarkEnd w:id="792"/>
      <w:bookmarkEnd w:id="794"/>
    </w:p>
    <w:tbl>
      <w:tblPr>
        <w:tblStyle w:val="TableGrid"/>
        <w:tblW w:w="8340" w:type="dxa"/>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38"/>
        <w:gridCol w:w="1465"/>
        <w:gridCol w:w="1465"/>
        <w:gridCol w:w="1572"/>
      </w:tblGrid>
      <w:tr w:rsidR="00533B45" w:rsidRPr="003650C8" w14:paraId="0F6F23A3" w14:textId="77777777" w:rsidTr="00533B45">
        <w:trPr>
          <w:jc w:val="center"/>
        </w:trPr>
        <w:tc>
          <w:tcPr>
            <w:tcW w:w="3838" w:type="dxa"/>
            <w:tcBorders>
              <w:bottom w:val="single" w:sz="4" w:space="0" w:color="auto"/>
            </w:tcBorders>
          </w:tcPr>
          <w:p w14:paraId="684A9766" w14:textId="77777777" w:rsidR="00533B45" w:rsidRPr="003650C8" w:rsidRDefault="00533B45" w:rsidP="00C97677">
            <w:pPr>
              <w:jc w:val="center"/>
            </w:pPr>
            <w:r w:rsidRPr="003650C8">
              <w:t>Parameter</w:t>
            </w:r>
          </w:p>
        </w:tc>
        <w:tc>
          <w:tcPr>
            <w:tcW w:w="1465" w:type="dxa"/>
            <w:tcBorders>
              <w:bottom w:val="single" w:sz="4" w:space="0" w:color="auto"/>
            </w:tcBorders>
          </w:tcPr>
          <w:p w14:paraId="109F07B6" w14:textId="77777777" w:rsidR="00533B45" w:rsidRPr="003650C8" w:rsidRDefault="00533B45" w:rsidP="00C97677">
            <w:pPr>
              <w:jc w:val="center"/>
            </w:pPr>
            <w:r w:rsidRPr="003650C8">
              <w:t>Symbol</w:t>
            </w:r>
          </w:p>
        </w:tc>
        <w:tc>
          <w:tcPr>
            <w:tcW w:w="1465" w:type="dxa"/>
            <w:tcBorders>
              <w:bottom w:val="single" w:sz="4" w:space="0" w:color="auto"/>
            </w:tcBorders>
          </w:tcPr>
          <w:p w14:paraId="3FF79AEC" w14:textId="77777777" w:rsidR="00533B45" w:rsidRPr="003650C8" w:rsidRDefault="00533B45" w:rsidP="00C97677">
            <w:pPr>
              <w:jc w:val="center"/>
            </w:pPr>
            <w:r w:rsidRPr="003650C8">
              <w:t>HWT (single)</w:t>
            </w:r>
          </w:p>
        </w:tc>
        <w:tc>
          <w:tcPr>
            <w:tcW w:w="1572" w:type="dxa"/>
            <w:tcBorders>
              <w:bottom w:val="single" w:sz="4" w:space="0" w:color="auto"/>
            </w:tcBorders>
          </w:tcPr>
          <w:p w14:paraId="18FF265B" w14:textId="77777777" w:rsidR="00533B45" w:rsidRPr="003650C8" w:rsidRDefault="00533B45" w:rsidP="00C97677">
            <w:pPr>
              <w:jc w:val="center"/>
            </w:pPr>
            <w:r w:rsidRPr="003650C8">
              <w:t>HWTs (double)</w:t>
            </w:r>
          </w:p>
        </w:tc>
      </w:tr>
      <w:tr w:rsidR="00533B45" w:rsidRPr="003650C8" w14:paraId="7F6840F5" w14:textId="77777777" w:rsidTr="00533B45">
        <w:trPr>
          <w:jc w:val="center"/>
        </w:trPr>
        <w:tc>
          <w:tcPr>
            <w:tcW w:w="3838" w:type="dxa"/>
            <w:tcBorders>
              <w:top w:val="single" w:sz="4" w:space="0" w:color="auto"/>
              <w:bottom w:val="nil"/>
            </w:tcBorders>
          </w:tcPr>
          <w:p w14:paraId="35B6EEFF" w14:textId="77777777" w:rsidR="00533B45" w:rsidRPr="003650C8" w:rsidRDefault="00533B45" w:rsidP="00C97677">
            <w:pPr>
              <w:jc w:val="center"/>
            </w:pPr>
            <w:r w:rsidRPr="003650C8">
              <w:t>Storage capacity (MWh)</w:t>
            </w:r>
          </w:p>
        </w:tc>
        <w:tc>
          <w:tcPr>
            <w:tcW w:w="1465" w:type="dxa"/>
            <w:tcBorders>
              <w:top w:val="single" w:sz="4" w:space="0" w:color="auto"/>
              <w:bottom w:val="nil"/>
            </w:tcBorders>
          </w:tcPr>
          <w:p w14:paraId="45FB6AC1" w14:textId="77777777" w:rsidR="00533B45" w:rsidRPr="003650C8" w:rsidRDefault="00C73E04" w:rsidP="00C97677">
            <w:pPr>
              <w:jc w:val="center"/>
            </w:pPr>
            <m:oMathPara>
              <m:oMath>
                <m:sSubSup>
                  <m:sSubSupPr>
                    <m:ctrlPr>
                      <w:rPr>
                        <w:rFonts w:ascii="Cambria Math" w:hAnsi="Cambria Math"/>
                        <w:i/>
                      </w:rPr>
                    </m:ctrlPr>
                  </m:sSubSupPr>
                  <m:e>
                    <m:r>
                      <w:rPr>
                        <w:rFonts w:ascii="Cambria Math" w:hAnsi="Cambria Math"/>
                      </w:rPr>
                      <m:t>Q</m:t>
                    </m:r>
                  </m:e>
                  <m:sub>
                    <m:r>
                      <w:rPr>
                        <w:rFonts w:ascii="Cambria Math" w:hAnsi="Cambria Math"/>
                      </w:rPr>
                      <m:t>cap</m:t>
                    </m:r>
                  </m:sub>
                  <m:sup>
                    <m:r>
                      <w:rPr>
                        <w:rFonts w:ascii="Cambria Math" w:hAnsi="Cambria Math"/>
                      </w:rPr>
                      <m:t>HWT</m:t>
                    </m:r>
                  </m:sup>
                </m:sSubSup>
              </m:oMath>
            </m:oMathPara>
          </w:p>
        </w:tc>
        <w:tc>
          <w:tcPr>
            <w:tcW w:w="1465" w:type="dxa"/>
            <w:tcBorders>
              <w:top w:val="single" w:sz="4" w:space="0" w:color="auto"/>
              <w:bottom w:val="nil"/>
            </w:tcBorders>
          </w:tcPr>
          <w:p w14:paraId="593B37D7" w14:textId="77777777" w:rsidR="00533B45" w:rsidRPr="003650C8" w:rsidRDefault="00533B45" w:rsidP="00C97677">
            <w:pPr>
              <w:jc w:val="center"/>
            </w:pPr>
            <w:r w:rsidRPr="003650C8">
              <w:t>3.6</w:t>
            </w:r>
          </w:p>
        </w:tc>
        <w:tc>
          <w:tcPr>
            <w:tcW w:w="1572" w:type="dxa"/>
            <w:tcBorders>
              <w:top w:val="single" w:sz="4" w:space="0" w:color="auto"/>
              <w:bottom w:val="nil"/>
            </w:tcBorders>
          </w:tcPr>
          <w:p w14:paraId="4FDA291E" w14:textId="77777777" w:rsidR="00533B45" w:rsidRPr="003650C8" w:rsidRDefault="00533B45" w:rsidP="00C97677">
            <w:pPr>
              <w:jc w:val="center"/>
            </w:pPr>
            <w:r w:rsidRPr="003650C8">
              <w:t>1.8</w:t>
            </w:r>
          </w:p>
        </w:tc>
      </w:tr>
      <w:tr w:rsidR="00533B45" w:rsidRPr="003650C8" w14:paraId="7E237627" w14:textId="77777777" w:rsidTr="00533B45">
        <w:trPr>
          <w:jc w:val="center"/>
        </w:trPr>
        <w:tc>
          <w:tcPr>
            <w:tcW w:w="3838" w:type="dxa"/>
          </w:tcPr>
          <w:p w14:paraId="5D90E7C5" w14:textId="77777777" w:rsidR="00533B45" w:rsidRPr="003650C8" w:rsidRDefault="00533B45" w:rsidP="00C97677">
            <w:pPr>
              <w:jc w:val="center"/>
            </w:pPr>
            <w:r w:rsidRPr="003650C8">
              <w:t>Charging/ discharging efficiencies (%)</w:t>
            </w:r>
          </w:p>
        </w:tc>
        <w:tc>
          <w:tcPr>
            <w:tcW w:w="1465" w:type="dxa"/>
          </w:tcPr>
          <w:p w14:paraId="1B1858A5" w14:textId="77777777" w:rsidR="00533B45" w:rsidRPr="003650C8" w:rsidRDefault="00C73E04" w:rsidP="00C97677">
            <w:pPr>
              <w:jc w:val="center"/>
            </w:pPr>
            <m:oMath>
              <m:sSub>
                <m:sSubPr>
                  <m:ctrlPr>
                    <w:rPr>
                      <w:rFonts w:ascii="Cambria Math" w:hAnsi="Cambria Math"/>
                      <w:i/>
                    </w:rPr>
                  </m:ctrlPr>
                </m:sSubPr>
                <m:e>
                  <m:r>
                    <w:rPr>
                      <w:rFonts w:ascii="Cambria Math" w:hAnsi="Cambria Math"/>
                    </w:rPr>
                    <m:t>η</m:t>
                  </m:r>
                </m:e>
                <m:sub>
                  <m:r>
                    <w:rPr>
                      <w:rFonts w:ascii="Cambria Math" w:hAnsi="Cambria Math"/>
                    </w:rPr>
                    <m:t>ch</m:t>
                  </m:r>
                </m:sub>
              </m:sSub>
            </m:oMath>
            <w:r w:rsidR="00533B45" w:rsidRPr="003650C8">
              <w:t xml:space="preserve">, </w:t>
            </w:r>
            <m:oMath>
              <m:sSub>
                <m:sSubPr>
                  <m:ctrlPr>
                    <w:rPr>
                      <w:rFonts w:ascii="Cambria Math" w:hAnsi="Cambria Math"/>
                      <w:i/>
                    </w:rPr>
                  </m:ctrlPr>
                </m:sSubPr>
                <m:e>
                  <m:r>
                    <w:rPr>
                      <w:rFonts w:ascii="Cambria Math" w:hAnsi="Cambria Math"/>
                    </w:rPr>
                    <m:t>η</m:t>
                  </m:r>
                </m:e>
                <m:sub>
                  <m:r>
                    <w:rPr>
                      <w:rFonts w:ascii="Cambria Math" w:hAnsi="Cambria Math"/>
                    </w:rPr>
                    <m:t>discch</m:t>
                  </m:r>
                </m:sub>
              </m:sSub>
            </m:oMath>
          </w:p>
        </w:tc>
        <w:tc>
          <w:tcPr>
            <w:tcW w:w="1465" w:type="dxa"/>
          </w:tcPr>
          <w:p w14:paraId="100D70E2" w14:textId="77777777" w:rsidR="00533B45" w:rsidRPr="003650C8" w:rsidRDefault="00533B45" w:rsidP="00C97677">
            <w:pPr>
              <w:jc w:val="center"/>
            </w:pPr>
            <w:r w:rsidRPr="003650C8">
              <w:t>95</w:t>
            </w:r>
          </w:p>
        </w:tc>
        <w:tc>
          <w:tcPr>
            <w:tcW w:w="1572" w:type="dxa"/>
          </w:tcPr>
          <w:p w14:paraId="6EB057C1" w14:textId="77777777" w:rsidR="00533B45" w:rsidRPr="003650C8" w:rsidRDefault="00533B45" w:rsidP="00C97677">
            <w:pPr>
              <w:jc w:val="center"/>
            </w:pPr>
            <w:r w:rsidRPr="003650C8">
              <w:t>95</w:t>
            </w:r>
          </w:p>
        </w:tc>
      </w:tr>
      <w:tr w:rsidR="00533B45" w:rsidRPr="003650C8" w14:paraId="12C1EA00" w14:textId="77777777" w:rsidTr="00533B45">
        <w:trPr>
          <w:jc w:val="center"/>
        </w:trPr>
        <w:tc>
          <w:tcPr>
            <w:tcW w:w="3838" w:type="dxa"/>
          </w:tcPr>
          <w:p w14:paraId="3178BDDD" w14:textId="77777777" w:rsidR="00533B45" w:rsidRPr="003650C8" w:rsidRDefault="00533B45" w:rsidP="00C97677">
            <w:pPr>
              <w:jc w:val="center"/>
            </w:pPr>
            <w:r w:rsidRPr="003650C8">
              <w:t>Tank volume (m</w:t>
            </w:r>
            <w:r w:rsidRPr="003650C8">
              <w:rPr>
                <w:vertAlign w:val="superscript"/>
              </w:rPr>
              <w:t>3</w:t>
            </w:r>
            <w:r w:rsidRPr="003650C8">
              <w:t>)</w:t>
            </w:r>
          </w:p>
        </w:tc>
        <w:tc>
          <w:tcPr>
            <w:tcW w:w="1465" w:type="dxa"/>
          </w:tcPr>
          <w:p w14:paraId="00189F55" w14:textId="77777777" w:rsidR="00533B45" w:rsidRPr="003650C8" w:rsidRDefault="00533B45" w:rsidP="00C97677">
            <w:pPr>
              <w:jc w:val="center"/>
            </w:pPr>
            <m:oMathPara>
              <m:oMath>
                <m:r>
                  <w:rPr>
                    <w:rFonts w:ascii="Cambria Math" w:hAnsi="Cambria Math"/>
                  </w:rPr>
                  <m:t>V</m:t>
                </m:r>
              </m:oMath>
            </m:oMathPara>
          </w:p>
        </w:tc>
        <w:tc>
          <w:tcPr>
            <w:tcW w:w="1465" w:type="dxa"/>
          </w:tcPr>
          <w:p w14:paraId="4BA51D66" w14:textId="77777777" w:rsidR="00533B45" w:rsidRPr="003650C8" w:rsidRDefault="00533B45" w:rsidP="00C97677">
            <w:pPr>
              <w:jc w:val="center"/>
            </w:pPr>
            <w:r w:rsidRPr="003650C8">
              <w:t>287</w:t>
            </w:r>
          </w:p>
        </w:tc>
        <w:tc>
          <w:tcPr>
            <w:tcW w:w="1572" w:type="dxa"/>
          </w:tcPr>
          <w:p w14:paraId="1865C1A1" w14:textId="77777777" w:rsidR="00533B45" w:rsidRPr="003650C8" w:rsidRDefault="00533B45" w:rsidP="00C97677">
            <w:pPr>
              <w:jc w:val="center"/>
            </w:pPr>
            <w:r w:rsidRPr="003650C8">
              <w:t>143</w:t>
            </w:r>
          </w:p>
        </w:tc>
      </w:tr>
      <w:tr w:rsidR="00533B45" w:rsidRPr="003650C8" w14:paraId="59991F5F" w14:textId="77777777" w:rsidTr="00533B45">
        <w:trPr>
          <w:jc w:val="center"/>
        </w:trPr>
        <w:tc>
          <w:tcPr>
            <w:tcW w:w="3838" w:type="dxa"/>
          </w:tcPr>
          <w:p w14:paraId="343AB16E" w14:textId="77777777" w:rsidR="00533B45" w:rsidRPr="003650C8" w:rsidRDefault="00533B45" w:rsidP="00C97677">
            <w:pPr>
              <w:jc w:val="center"/>
            </w:pPr>
            <w:r w:rsidRPr="003650C8">
              <w:t>Heat transfer coefficient (MW/[m</w:t>
            </w:r>
            <w:r w:rsidRPr="003650C8">
              <w:rPr>
                <w:vertAlign w:val="superscript"/>
              </w:rPr>
              <w:t>2</w:t>
            </w:r>
            <w:r w:rsidRPr="003650C8">
              <w:t>°C])</w:t>
            </w:r>
          </w:p>
        </w:tc>
        <w:tc>
          <w:tcPr>
            <w:tcW w:w="1465" w:type="dxa"/>
          </w:tcPr>
          <w:p w14:paraId="4AB5A1FA" w14:textId="77777777" w:rsidR="00533B45" w:rsidRPr="003650C8" w:rsidRDefault="00C73E04" w:rsidP="00C97677">
            <w:pPr>
              <w:jc w:val="center"/>
            </w:pPr>
            <m:oMathPara>
              <m:oMath>
                <m:sSub>
                  <m:sSubPr>
                    <m:ctrlPr>
                      <w:rPr>
                        <w:rFonts w:ascii="Cambria Math" w:hAnsi="Cambria Math"/>
                        <w:i/>
                      </w:rPr>
                    </m:ctrlPr>
                  </m:sSubPr>
                  <m:e>
                    <m:r>
                      <w:rPr>
                        <w:rFonts w:ascii="Cambria Math" w:hAnsi="Cambria Math"/>
                      </w:rPr>
                      <m:t>U</m:t>
                    </m:r>
                  </m:e>
                  <m:sub>
                    <m:r>
                      <w:rPr>
                        <w:rFonts w:ascii="Cambria Math" w:hAnsi="Cambria Math"/>
                      </w:rPr>
                      <m:t>HWT</m:t>
                    </m:r>
                  </m:sub>
                </m:sSub>
              </m:oMath>
            </m:oMathPara>
          </w:p>
        </w:tc>
        <w:tc>
          <w:tcPr>
            <w:tcW w:w="1465" w:type="dxa"/>
          </w:tcPr>
          <w:p w14:paraId="3513C591" w14:textId="77777777" w:rsidR="00533B45" w:rsidRPr="003650C8" w:rsidRDefault="00533B45" w:rsidP="00C97677">
            <w:pPr>
              <w:jc w:val="center"/>
              <w:rPr>
                <w:vertAlign w:val="superscript"/>
              </w:rPr>
            </w:pPr>
            <w:r w:rsidRPr="003650C8">
              <w:t>2.44x10</w:t>
            </w:r>
            <w:r w:rsidRPr="003650C8">
              <w:rPr>
                <w:vertAlign w:val="superscript"/>
              </w:rPr>
              <w:t>-5</w:t>
            </w:r>
          </w:p>
        </w:tc>
        <w:tc>
          <w:tcPr>
            <w:tcW w:w="1572" w:type="dxa"/>
          </w:tcPr>
          <w:p w14:paraId="528F2C08" w14:textId="77777777" w:rsidR="00533B45" w:rsidRPr="003650C8" w:rsidRDefault="00533B45" w:rsidP="00C97677">
            <w:pPr>
              <w:jc w:val="center"/>
            </w:pPr>
            <w:r w:rsidRPr="003650C8">
              <w:t>1.22x10</w:t>
            </w:r>
            <w:r w:rsidRPr="003650C8">
              <w:rPr>
                <w:vertAlign w:val="superscript"/>
              </w:rPr>
              <w:t>-5</w:t>
            </w:r>
          </w:p>
        </w:tc>
      </w:tr>
      <w:tr w:rsidR="00533B45" w:rsidRPr="003650C8" w14:paraId="0BEA5695" w14:textId="77777777" w:rsidTr="00533B45">
        <w:trPr>
          <w:jc w:val="center"/>
        </w:trPr>
        <w:tc>
          <w:tcPr>
            <w:tcW w:w="3838" w:type="dxa"/>
          </w:tcPr>
          <w:p w14:paraId="62557200" w14:textId="77777777" w:rsidR="00533B45" w:rsidRPr="003650C8" w:rsidRDefault="00533B45" w:rsidP="00C97677">
            <w:pPr>
              <w:jc w:val="center"/>
            </w:pPr>
            <w:r w:rsidRPr="003650C8">
              <w:t>Tank surface area (m</w:t>
            </w:r>
            <w:r w:rsidRPr="003650C8">
              <w:rPr>
                <w:vertAlign w:val="superscript"/>
              </w:rPr>
              <w:t>2</w:t>
            </w:r>
            <w:r w:rsidRPr="003650C8">
              <w:t>)</w:t>
            </w:r>
          </w:p>
        </w:tc>
        <w:tc>
          <w:tcPr>
            <w:tcW w:w="1465" w:type="dxa"/>
          </w:tcPr>
          <w:p w14:paraId="030358D3" w14:textId="77777777" w:rsidR="00533B45" w:rsidRPr="003650C8" w:rsidRDefault="00C73E04" w:rsidP="00C97677">
            <w:pPr>
              <w:jc w:val="center"/>
            </w:pPr>
            <m:oMathPara>
              <m:oMath>
                <m:sSub>
                  <m:sSubPr>
                    <m:ctrlPr>
                      <w:rPr>
                        <w:rFonts w:ascii="Cambria Math" w:hAnsi="Cambria Math"/>
                        <w:i/>
                      </w:rPr>
                    </m:ctrlPr>
                  </m:sSubPr>
                  <m:e>
                    <m:r>
                      <w:rPr>
                        <w:rFonts w:ascii="Cambria Math" w:hAnsi="Cambria Math"/>
                      </w:rPr>
                      <m:t>A</m:t>
                    </m:r>
                  </m:e>
                  <m:sub>
                    <m:r>
                      <w:rPr>
                        <w:rFonts w:ascii="Cambria Math" w:hAnsi="Cambria Math"/>
                      </w:rPr>
                      <m:t>HWT</m:t>
                    </m:r>
                  </m:sub>
                </m:sSub>
              </m:oMath>
            </m:oMathPara>
          </w:p>
        </w:tc>
        <w:tc>
          <w:tcPr>
            <w:tcW w:w="1465" w:type="dxa"/>
          </w:tcPr>
          <w:p w14:paraId="32733C91" w14:textId="77777777" w:rsidR="00533B45" w:rsidRPr="003650C8" w:rsidRDefault="00533B45" w:rsidP="00C97677">
            <w:pPr>
              <w:jc w:val="center"/>
            </w:pPr>
            <w:r w:rsidRPr="003650C8">
              <w:t>244</w:t>
            </w:r>
          </w:p>
        </w:tc>
        <w:tc>
          <w:tcPr>
            <w:tcW w:w="1572" w:type="dxa"/>
          </w:tcPr>
          <w:p w14:paraId="09E75D13" w14:textId="77777777" w:rsidR="00533B45" w:rsidRPr="003650C8" w:rsidRDefault="00533B45" w:rsidP="00C97677">
            <w:pPr>
              <w:jc w:val="center"/>
            </w:pPr>
            <w:r w:rsidRPr="003650C8">
              <w:t>153</w:t>
            </w:r>
          </w:p>
        </w:tc>
      </w:tr>
    </w:tbl>
    <w:p w14:paraId="5C76A784" w14:textId="072C3BE0" w:rsidR="000F16EB" w:rsidRDefault="000F16EB" w:rsidP="003650C8">
      <w:pPr>
        <w:pStyle w:val="NoSpacing"/>
      </w:pPr>
    </w:p>
    <w:p w14:paraId="16F2E050" w14:textId="66B4CD0E" w:rsidR="003650C8" w:rsidRDefault="00682CF9" w:rsidP="003650C8">
      <w:r>
        <w:fldChar w:fldCharType="begin"/>
      </w:r>
      <w:r>
        <w:instrText xml:space="preserve"> REF _Ref5788462 \h </w:instrText>
      </w:r>
      <w:r>
        <w:fldChar w:fldCharType="separate"/>
      </w:r>
      <w:r w:rsidR="00CB7456">
        <w:t xml:space="preserve">Table </w:t>
      </w:r>
      <w:r w:rsidR="00CB7456">
        <w:rPr>
          <w:noProof/>
        </w:rPr>
        <w:t>7</w:t>
      </w:r>
      <w:r w:rsidR="00CB7456">
        <w:t>.</w:t>
      </w:r>
      <w:r w:rsidR="00CB7456">
        <w:rPr>
          <w:noProof/>
        </w:rPr>
        <w:t>1</w:t>
      </w:r>
      <w:r>
        <w:fldChar w:fldCharType="end"/>
      </w:r>
      <w:r>
        <w:t xml:space="preserve"> </w:t>
      </w:r>
      <w:r w:rsidR="003650C8">
        <w:t xml:space="preserve">gives the parameters used in scenarios 1) and 2), the HWT based TES options. The maximum storage capacities of the tanks were scaled to meet the maximum available energy demand from the case study. The values for the charging and discharging efficiencies came from </w:t>
      </w:r>
      <w:proofErr w:type="spellStart"/>
      <w:r w:rsidR="003650C8">
        <w:t>Romanchenko</w:t>
      </w:r>
      <w:proofErr w:type="spellEnd"/>
      <w:r w:rsidR="003650C8">
        <w:t xml:space="preserve"> </w:t>
      </w:r>
      <w:r w:rsidR="003650C8" w:rsidRPr="006B360F">
        <w:rPr>
          <w:i/>
        </w:rPr>
        <w:t>et al</w:t>
      </w:r>
      <w:r w:rsidR="003650C8">
        <w:t xml:space="preserve">. </w:t>
      </w:r>
      <w:r w:rsidR="003650C8">
        <w:fldChar w:fldCharType="begin" w:fldLock="1"/>
      </w:r>
      <w:r w:rsidR="003650C8">
        <w:instrText>ADDIN CSL_CITATION {"citationItems":[{"id":"ITEM-1","itemData":{"DOI":"10.1016/j.enconman.2018.01.068","ISSN":"01968904","abstract":"Heat load variations in district heating systems lead to increased costs for heat generation and, in most cases, increased greenhouse gas emissions associated with the marginal use of fossil fuels. This work investigates the benefits of applying thermal energy storage in district heating systems to decrease heat load variations, comparing storage using a hot water tank and the thermal inertia of buildings (with similar storage capacity). A detailed techno-economic optimisation model is applied to the district heating system of Göteborg, Sweden. The results show that both the hot water tank and the thermal inertia of buildings benefit the operation of the district heating system and have similar dynamics of utilisation. However, compared to the thermal inertia of buildings, the hot water tank stores more than twice as much heat over the modelled year, owing to lower energy losses. For the same reason, only the hot water tank is used to store heat for periods longer than a few days. Furthermore, the hot water tank has its full capacity available for charging/discharging at all times, whereas the capacity of the thermal inertia of buildings depends on the heat transfer between the building core and its indoor air and internals. Finally, the total system yearly operating cost decreases by 1% when the thermal inertia of buildings and by 2% when the hot water tank is added to the district heating system, as compared to the scenario without any storage.","author":[{"dropping-particle":"","family":"Romanchenko","given":"Dmytro","non-dropping-particle":"","parse-names":false,"suffix":""},{"dropping-particle":"","family":"Kensby","given":"Johan","non-dropping-particle":"","parse-names":false,"suffix":""},{"dropping-particle":"","family":"Odenberger","given":"Mikael","non-dropping-particle":"","parse-names":false,"suffix":""},{"dropping-particle":"","family":"Johnsson","given":"Filip","non-dropping-particle":"","parse-names":false,"suffix":""}],"container-title":"Energy Conversion and Management","id":"ITEM-1","issue":"October 2017","issued":{"date-parts":[["2018"]]},"page":"26-38","publisher":"Elsevier","title":"Thermal energy storage in district heating: Centralised storage vs. storage in thermal inertia of buildings","type":"article-journal","volume":"162"},"uris":["http://www.mendeley.com/documents/?uuid=cb395029-5f1e-49b6-ba70-d706084d23e5"]}],"mendeley":{"formattedCitation":"(Romanchenko &lt;i&gt;et al.&lt;/i&gt;, 2018)","plainTextFormattedCitation":"(Romanchenko et al., 2018)","previouslyFormattedCitation":"(Romanchenko &lt;i&gt;et al.&lt;/i&gt;, 2018)"},"properties":{"noteIndex":0},"schema":"https://github.com/citation-style-language/schema/raw/master/csl-citation.json"}</w:instrText>
      </w:r>
      <w:r w:rsidR="003650C8">
        <w:fldChar w:fldCharType="separate"/>
      </w:r>
      <w:r w:rsidR="003650C8" w:rsidRPr="002A6A73">
        <w:rPr>
          <w:noProof/>
        </w:rPr>
        <w:t xml:space="preserve">(Romanchenko </w:t>
      </w:r>
      <w:r w:rsidR="003650C8" w:rsidRPr="002A6A73">
        <w:rPr>
          <w:i/>
          <w:noProof/>
        </w:rPr>
        <w:t>et al.</w:t>
      </w:r>
      <w:r w:rsidR="003650C8" w:rsidRPr="002A6A73">
        <w:rPr>
          <w:noProof/>
        </w:rPr>
        <w:t>, 2018)</w:t>
      </w:r>
      <w:r w:rsidR="003650C8">
        <w:fldChar w:fldCharType="end"/>
      </w:r>
      <w:r w:rsidR="003650C8">
        <w:t>. The volumes, SAs, and HTCs of the tanks were calculated in relation to the storage capacity needed.</w:t>
      </w:r>
    </w:p>
    <w:p w14:paraId="4F056BE3" w14:textId="71E56C43" w:rsidR="000F16EB" w:rsidRDefault="000F16EB" w:rsidP="000F16EB">
      <w:r>
        <w:fldChar w:fldCharType="begin"/>
      </w:r>
      <w:r>
        <w:instrText xml:space="preserve"> REF _Ref523588539 \h </w:instrText>
      </w:r>
      <w:r>
        <w:fldChar w:fldCharType="separate"/>
      </w:r>
      <w:r w:rsidR="00CB7456">
        <w:t xml:space="preserve">Table </w:t>
      </w:r>
      <w:r w:rsidR="00CB7456">
        <w:rPr>
          <w:noProof/>
        </w:rPr>
        <w:t>7</w:t>
      </w:r>
      <w:r w:rsidR="00CB7456">
        <w:t>.</w:t>
      </w:r>
      <w:r w:rsidR="00CB7456">
        <w:rPr>
          <w:noProof/>
        </w:rPr>
        <w:t>2</w:t>
      </w:r>
      <w:r>
        <w:fldChar w:fldCharType="end"/>
      </w:r>
      <w:r>
        <w:t xml:space="preserve"> gives the parameters used in scenario 3), the building TES. The parameters were based on the work by </w:t>
      </w:r>
      <w:proofErr w:type="spellStart"/>
      <w:r>
        <w:t>Romanchenko</w:t>
      </w:r>
      <w:proofErr w:type="spellEnd"/>
      <w:r>
        <w:t xml:space="preserve"> </w:t>
      </w:r>
      <w:r w:rsidRPr="006B360F">
        <w:rPr>
          <w:i/>
        </w:rPr>
        <w:t>et al</w:t>
      </w:r>
      <w:r>
        <w:t xml:space="preserve">. and </w:t>
      </w:r>
      <w:proofErr w:type="spellStart"/>
      <w:r>
        <w:t>Kensby</w:t>
      </w:r>
      <w:proofErr w:type="spellEnd"/>
      <w:r>
        <w:t xml:space="preserve"> </w:t>
      </w:r>
      <w:r w:rsidRPr="006B360F">
        <w:rPr>
          <w:i/>
        </w:rPr>
        <w:t>et al</w:t>
      </w:r>
      <w:r>
        <w:t xml:space="preserve">. </w:t>
      </w:r>
      <w:r>
        <w:fldChar w:fldCharType="begin" w:fldLock="1"/>
      </w:r>
      <w:r w:rsidR="0084719F">
        <w:instrText>ADDIN CSL_CITATION {"citationItems":[{"id":"ITEM-1","itemData":{"DOI":"10.1016/j.apenergy.2014.07.026","ISSN":"03062619","abstract":"Heat demand in a district heating system can have a significant variation within 1day, which produces problematic conditions for efficient heat generation. Short-term thermal energy storage can decrease this daily variation and make the conditions for generating heat more favorable. By periodically overheating and underheating buildings, causing small variations in indoor temperature, building thermal inertia can be utilized for thermal energy storage. This study presents the results from a pilot test where the potential to function as thermal energy storage was tested for five multifamily residential buildings in Gothenburg, Sweden. The signals from the outdoor temperature sensors were adjusted in different cycles during a total of 52weeks. The delivered heat and indoor temperature were measured during the test. The results indicate that heavy buildings, with a structural core of concrete, can tolerate relatively large variations in heat deliveries while still maintaining a good indoor climate. The study also demonstrated that a fixed time constant is not accurate enough to describe the variations in indoor temperature caused by the utilization of the buildings as short-term thermal energy storage. Degree hours is instead proposed as a simple yet adequate measurement for the thermal energy storage capacity in buildings. Storing 0.1kWh/m2floor area of heat will very rarely cause variations in indoor temperature larger than ±0.5°C in a heavy building.","author":[{"dropping-particle":"","family":"Kensby","given":"Johan","non-dropping-particle":"","parse-names":false,"suffix":""},{"dropping-particle":"","family":"Trüschel","given":"Anders","non-dropping-particle":"","parse-names":false,"suffix":""},{"dropping-particle":"","family":"Dalenbäck","given":"Jan Olof","non-dropping-particle":"","parse-names":false,"suffix":""}],"container-title":"Applied Energy","id":"ITEM-1","issued":{"date-parts":[["2015"]]},"page":"773-781","publisher":"Elsevier Ltd","title":"Potential of residential buildings as thermal energy storage in district heating systems - Results from a pilot test","type":"article-journal","volume":"137"},"uris":["http://www.mendeley.com/documents/?uuid=55db3604-10a2-4a05-9da3-f13d6496e0b7"]},{"id":"ITEM-2","itemData":{"DOI":"10.1016/j.enconman.2018.01.068","ISSN":"01968904","abstract":"Heat load variations in district heating systems lead to increased costs for heat generation and, in most cases, increased greenhouse gas emissions associated with the marginal use of fossil fuels. This work investigates the benefits of applying thermal energy storage in district heating systems to decrease heat load variations, comparing storage using a hot water tank and the thermal inertia of buildings (with similar storage capacity). A detailed techno-economic optimisation model is applied to the district heating system of Göteborg, Sweden. The results show that both the hot water tank and the thermal inertia of buildings benefit the operation of the district heating system and have similar dynamics of utilisation. However, compared to the thermal inertia of buildings, the hot water tank stores more than twice as much heat over the modelled year, owing to lower energy losses. For the same reason, only the hot water tank is used to store heat for periods longer than a few days. Furthermore, the hot water tank has its full capacity available for charging/discharging at all times, whereas the capacity of the thermal inertia of buildings depends on the heat transfer between the building core and its indoor air and internals. Finally, the total system yearly operating cost decreases by 1% when the thermal inertia of buildings and by 2% when the hot water tank is added to the district heating system, as compared to the scenario without any storage.","author":[{"dropping-particle":"","family":"Romanchenko","given":"Dmytro","non-dropping-particle":"","parse-names":false,"suffix":""},{"dropping-particle":"","family":"Kensby","given":"Johan","non-dropping-particle":"","parse-names":false,"suffix":""},{"dropping-particle":"","family":"Odenberger","given":"Mikael","non-dropping-particle":"","parse-names":false,"suffix":""},{"dropping-particle":"","family":"Johnsson","given":"Filip","non-dropping-particle":"","parse-names":false,"suffix":""}],"container-title":"Energy Conversion and Management","id":"ITEM-2","issue":"October 2017","issued":{"date-parts":[["2018"]]},"page":"26-38","publisher":"Elsevier","title":"Thermal energy storage in district heating: Centralised storage vs. storage in thermal inertia of buildings","type":"article-journal","volume":"162"},"uris":["http://www.mendeley.com/documents/?uuid=cb395029-5f1e-49b6-ba70-d706084d23e5"]}],"mendeley":{"formattedCitation":"(Kensby &lt;i&gt;et al.&lt;/i&gt;, 2015; Romanchenko &lt;i&gt;et al.&lt;/i&gt;, 2018)","plainTextFormattedCitation":"(Kensby et al., 2015; Romanchenko et al., 2018)","previouslyFormattedCitation":"(Kensby &lt;i&gt;et al.&lt;/i&gt;, 2015; Romanchenko &lt;i&gt;et al.&lt;/i&gt;, 2018)"},"properties":{"noteIndex":0},"schema":"https://github.com/citation-style-language/schema/raw/master/csl-citation.json"}</w:instrText>
      </w:r>
      <w:r>
        <w:fldChar w:fldCharType="separate"/>
      </w:r>
      <w:r w:rsidR="006B360F" w:rsidRPr="006B360F">
        <w:rPr>
          <w:noProof/>
        </w:rPr>
        <w:t xml:space="preserve">(Kensby </w:t>
      </w:r>
      <w:r w:rsidR="006B360F" w:rsidRPr="006B360F">
        <w:rPr>
          <w:i/>
          <w:noProof/>
        </w:rPr>
        <w:t>et al.</w:t>
      </w:r>
      <w:r w:rsidR="006B360F" w:rsidRPr="006B360F">
        <w:rPr>
          <w:noProof/>
        </w:rPr>
        <w:t xml:space="preserve">, 2015; Romanchenko </w:t>
      </w:r>
      <w:r w:rsidR="006B360F" w:rsidRPr="006B360F">
        <w:rPr>
          <w:i/>
          <w:noProof/>
        </w:rPr>
        <w:t>et al.</w:t>
      </w:r>
      <w:r w:rsidR="006B360F" w:rsidRPr="006B360F">
        <w:rPr>
          <w:noProof/>
        </w:rPr>
        <w:t>, 2018)</w:t>
      </w:r>
      <w:r>
        <w:fldChar w:fldCharType="end"/>
      </w:r>
      <w:r>
        <w:t xml:space="preserve">. </w:t>
      </w:r>
    </w:p>
    <w:p w14:paraId="1E08C3C0" w14:textId="257B33C5" w:rsidR="000F16EB" w:rsidRDefault="000F16EB" w:rsidP="000F16EB">
      <w:pPr>
        <w:pStyle w:val="Caption"/>
        <w:keepNext/>
      </w:pPr>
      <w:bookmarkStart w:id="795" w:name="_Ref523588539"/>
      <w:bookmarkStart w:id="796" w:name="_Toc525230142"/>
      <w:bookmarkStart w:id="797" w:name="_Toc7187698"/>
      <w:r>
        <w:t xml:space="preserve">Table </w:t>
      </w:r>
      <w:fldSimple w:instr=" STYLEREF 1 \s ">
        <w:r w:rsidR="00CB7456">
          <w:rPr>
            <w:noProof/>
          </w:rPr>
          <w:t>7</w:t>
        </w:r>
      </w:fldSimple>
      <w:r w:rsidR="009E1A67">
        <w:t>.</w:t>
      </w:r>
      <w:fldSimple w:instr=" SEQ Table \* ARABIC \s 1 ">
        <w:r w:rsidR="00CB7456">
          <w:rPr>
            <w:noProof/>
          </w:rPr>
          <w:t>2</w:t>
        </w:r>
      </w:fldSimple>
      <w:bookmarkEnd w:id="795"/>
      <w:r>
        <w:t>: The parameters used in the work for scenario 3), the building TES.</w:t>
      </w:r>
      <w:bookmarkEnd w:id="796"/>
      <w:bookmarkEnd w:id="797"/>
    </w:p>
    <w:tbl>
      <w:tblPr>
        <w:tblStyle w:val="TableGrid"/>
        <w:tblW w:w="8823" w:type="dxa"/>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0"/>
        <w:gridCol w:w="1743"/>
        <w:gridCol w:w="1743"/>
        <w:gridCol w:w="1517"/>
      </w:tblGrid>
      <w:tr w:rsidR="00533B45" w:rsidRPr="003650C8" w14:paraId="429FBEB8" w14:textId="77777777" w:rsidTr="00533B45">
        <w:trPr>
          <w:jc w:val="center"/>
        </w:trPr>
        <w:tc>
          <w:tcPr>
            <w:tcW w:w="3820" w:type="dxa"/>
            <w:tcBorders>
              <w:bottom w:val="single" w:sz="4" w:space="0" w:color="auto"/>
            </w:tcBorders>
          </w:tcPr>
          <w:p w14:paraId="3955071E" w14:textId="77777777" w:rsidR="00533B45" w:rsidRPr="003650C8" w:rsidRDefault="00533B45" w:rsidP="00C97677">
            <w:pPr>
              <w:jc w:val="center"/>
            </w:pPr>
            <w:r w:rsidRPr="003650C8">
              <w:t>Parameter</w:t>
            </w:r>
          </w:p>
        </w:tc>
        <w:tc>
          <w:tcPr>
            <w:tcW w:w="1743" w:type="dxa"/>
            <w:tcBorders>
              <w:bottom w:val="single" w:sz="4" w:space="0" w:color="auto"/>
            </w:tcBorders>
          </w:tcPr>
          <w:p w14:paraId="0DFEC94B" w14:textId="77777777" w:rsidR="00533B45" w:rsidRPr="003650C8" w:rsidRDefault="00533B45" w:rsidP="00C97677">
            <w:pPr>
              <w:jc w:val="center"/>
            </w:pPr>
            <w:r w:rsidRPr="003650C8">
              <w:t>Symbol</w:t>
            </w:r>
          </w:p>
        </w:tc>
        <w:tc>
          <w:tcPr>
            <w:tcW w:w="1743" w:type="dxa"/>
            <w:tcBorders>
              <w:bottom w:val="single" w:sz="4" w:space="0" w:color="auto"/>
            </w:tcBorders>
          </w:tcPr>
          <w:p w14:paraId="027CE8FD" w14:textId="77777777" w:rsidR="00533B45" w:rsidRPr="003650C8" w:rsidRDefault="00533B45" w:rsidP="00C97677">
            <w:pPr>
              <w:jc w:val="center"/>
            </w:pPr>
            <w:r w:rsidRPr="003650C8">
              <w:t>Shallow storage</w:t>
            </w:r>
          </w:p>
        </w:tc>
        <w:tc>
          <w:tcPr>
            <w:tcW w:w="1517" w:type="dxa"/>
            <w:tcBorders>
              <w:bottom w:val="single" w:sz="4" w:space="0" w:color="auto"/>
            </w:tcBorders>
          </w:tcPr>
          <w:p w14:paraId="0D02E1DE" w14:textId="77777777" w:rsidR="00533B45" w:rsidRPr="003650C8" w:rsidRDefault="00533B45" w:rsidP="00C97677">
            <w:pPr>
              <w:jc w:val="center"/>
            </w:pPr>
            <w:r w:rsidRPr="003650C8">
              <w:t>Deep storage</w:t>
            </w:r>
          </w:p>
        </w:tc>
      </w:tr>
      <w:tr w:rsidR="00533B45" w:rsidRPr="003650C8" w14:paraId="63F004CF" w14:textId="77777777" w:rsidTr="00533B45">
        <w:trPr>
          <w:jc w:val="center"/>
        </w:trPr>
        <w:tc>
          <w:tcPr>
            <w:tcW w:w="3820" w:type="dxa"/>
            <w:tcBorders>
              <w:top w:val="single" w:sz="4" w:space="0" w:color="auto"/>
              <w:bottom w:val="nil"/>
            </w:tcBorders>
          </w:tcPr>
          <w:p w14:paraId="056464BE" w14:textId="77777777" w:rsidR="00533B45" w:rsidRPr="003650C8" w:rsidRDefault="00533B45" w:rsidP="00C97677">
            <w:pPr>
              <w:jc w:val="center"/>
            </w:pPr>
            <w:r w:rsidRPr="003650C8">
              <w:t>Storage capacity (MWh)</w:t>
            </w:r>
          </w:p>
        </w:tc>
        <w:tc>
          <w:tcPr>
            <w:tcW w:w="1743" w:type="dxa"/>
            <w:tcBorders>
              <w:top w:val="single" w:sz="4" w:space="0" w:color="auto"/>
              <w:bottom w:val="nil"/>
            </w:tcBorders>
          </w:tcPr>
          <w:p w14:paraId="77797149" w14:textId="77777777" w:rsidR="00533B45" w:rsidRPr="003650C8" w:rsidRDefault="00C73E04" w:rsidP="00C97677">
            <w:pPr>
              <w:jc w:val="center"/>
            </w:pPr>
            <m:oMathPara>
              <m:oMath>
                <m:sSub>
                  <m:sSubPr>
                    <m:ctrlPr>
                      <w:rPr>
                        <w:rFonts w:ascii="Cambria Math" w:hAnsi="Cambria Math"/>
                        <w:i/>
                      </w:rPr>
                    </m:ctrlPr>
                  </m:sSubPr>
                  <m:e>
                    <m:r>
                      <w:rPr>
                        <w:rFonts w:ascii="Cambria Math" w:hAnsi="Cambria Math"/>
                      </w:rPr>
                      <m:t>Q</m:t>
                    </m:r>
                  </m:e>
                  <m:sub>
                    <m:r>
                      <w:rPr>
                        <w:rFonts w:ascii="Cambria Math" w:hAnsi="Cambria Math"/>
                      </w:rPr>
                      <m:t>cap</m:t>
                    </m:r>
                  </m:sub>
                </m:sSub>
              </m:oMath>
            </m:oMathPara>
          </w:p>
        </w:tc>
        <w:tc>
          <w:tcPr>
            <w:tcW w:w="1743" w:type="dxa"/>
            <w:tcBorders>
              <w:top w:val="single" w:sz="4" w:space="0" w:color="auto"/>
              <w:bottom w:val="nil"/>
            </w:tcBorders>
          </w:tcPr>
          <w:p w14:paraId="08FBFA6E" w14:textId="77777777" w:rsidR="00533B45" w:rsidRPr="003650C8" w:rsidRDefault="00533B45" w:rsidP="00C97677">
            <w:pPr>
              <w:jc w:val="center"/>
            </w:pPr>
            <w:r w:rsidRPr="003650C8">
              <w:t>1.725</w:t>
            </w:r>
          </w:p>
        </w:tc>
        <w:tc>
          <w:tcPr>
            <w:tcW w:w="1517" w:type="dxa"/>
            <w:tcBorders>
              <w:top w:val="single" w:sz="4" w:space="0" w:color="auto"/>
              <w:bottom w:val="nil"/>
            </w:tcBorders>
          </w:tcPr>
          <w:p w14:paraId="45C2F9A5" w14:textId="77777777" w:rsidR="00533B45" w:rsidRPr="003650C8" w:rsidRDefault="00533B45" w:rsidP="00C97677">
            <w:pPr>
              <w:jc w:val="center"/>
            </w:pPr>
            <w:r w:rsidRPr="003650C8">
              <w:t>0.278</w:t>
            </w:r>
          </w:p>
        </w:tc>
      </w:tr>
      <w:tr w:rsidR="00533B45" w:rsidRPr="003650C8" w14:paraId="6BCB1C1E" w14:textId="77777777" w:rsidTr="00533B45">
        <w:trPr>
          <w:jc w:val="center"/>
        </w:trPr>
        <w:tc>
          <w:tcPr>
            <w:tcW w:w="3820" w:type="dxa"/>
            <w:tcBorders>
              <w:top w:val="nil"/>
            </w:tcBorders>
          </w:tcPr>
          <w:p w14:paraId="09F55930" w14:textId="77777777" w:rsidR="00533B45" w:rsidRPr="003650C8" w:rsidRDefault="00533B45" w:rsidP="00C97677">
            <w:pPr>
              <w:jc w:val="center"/>
            </w:pPr>
            <w:r w:rsidRPr="003650C8">
              <w:t>Maximum energy addition (MWh/h)</w:t>
            </w:r>
          </w:p>
        </w:tc>
        <w:tc>
          <w:tcPr>
            <w:tcW w:w="1743" w:type="dxa"/>
            <w:tcBorders>
              <w:top w:val="nil"/>
            </w:tcBorders>
          </w:tcPr>
          <w:p w14:paraId="246B2DB4" w14:textId="77777777" w:rsidR="00533B45" w:rsidRPr="003650C8" w:rsidRDefault="00C73E04" w:rsidP="00C97677">
            <w:pPr>
              <w:jc w:val="center"/>
            </w:pPr>
            <m:oMathPara>
              <m:oMath>
                <m:sSub>
                  <m:sSubPr>
                    <m:ctrlPr>
                      <w:rPr>
                        <w:rFonts w:ascii="Cambria Math" w:hAnsi="Cambria Math"/>
                        <w:i/>
                      </w:rPr>
                    </m:ctrlPr>
                  </m:sSubPr>
                  <m:e>
                    <m:r>
                      <w:rPr>
                        <w:rFonts w:ascii="Cambria Math" w:hAnsi="Cambria Math"/>
                      </w:rPr>
                      <m:t>Q</m:t>
                    </m:r>
                  </m:e>
                  <m:sub>
                    <m:r>
                      <w:rPr>
                        <w:rFonts w:ascii="Cambria Math" w:hAnsi="Cambria Math"/>
                      </w:rPr>
                      <m:t>ch,max</m:t>
                    </m:r>
                  </m:sub>
                </m:sSub>
              </m:oMath>
            </m:oMathPara>
          </w:p>
        </w:tc>
        <w:tc>
          <w:tcPr>
            <w:tcW w:w="1743" w:type="dxa"/>
            <w:tcBorders>
              <w:top w:val="nil"/>
            </w:tcBorders>
          </w:tcPr>
          <w:p w14:paraId="3EC50CC3" w14:textId="77777777" w:rsidR="00533B45" w:rsidRPr="003650C8" w:rsidRDefault="00533B45" w:rsidP="00C97677">
            <w:pPr>
              <w:jc w:val="center"/>
            </w:pPr>
            <w:r w:rsidRPr="003650C8">
              <w:t>0-10</w:t>
            </w:r>
          </w:p>
        </w:tc>
        <w:tc>
          <w:tcPr>
            <w:tcW w:w="1517" w:type="dxa"/>
            <w:tcBorders>
              <w:top w:val="nil"/>
            </w:tcBorders>
          </w:tcPr>
          <w:p w14:paraId="28875B6D" w14:textId="77777777" w:rsidR="00533B45" w:rsidRPr="003650C8" w:rsidRDefault="00533B45" w:rsidP="00C97677">
            <w:pPr>
              <w:jc w:val="center"/>
            </w:pPr>
            <w:r w:rsidRPr="003650C8">
              <w:t>n/a</w:t>
            </w:r>
          </w:p>
        </w:tc>
      </w:tr>
      <w:tr w:rsidR="00533B45" w:rsidRPr="003650C8" w14:paraId="438B5B0B" w14:textId="77777777" w:rsidTr="00533B45">
        <w:trPr>
          <w:jc w:val="center"/>
        </w:trPr>
        <w:tc>
          <w:tcPr>
            <w:tcW w:w="3820" w:type="dxa"/>
          </w:tcPr>
          <w:p w14:paraId="6A029B97" w14:textId="77777777" w:rsidR="00533B45" w:rsidRPr="003650C8" w:rsidRDefault="00533B45" w:rsidP="00C97677">
            <w:pPr>
              <w:jc w:val="center"/>
            </w:pPr>
            <w:r w:rsidRPr="003650C8">
              <w:t>Maximum energy discharge (MWh/h)</w:t>
            </w:r>
          </w:p>
        </w:tc>
        <w:tc>
          <w:tcPr>
            <w:tcW w:w="1743" w:type="dxa"/>
          </w:tcPr>
          <w:p w14:paraId="0117D0E4" w14:textId="77777777" w:rsidR="00533B45" w:rsidRPr="003650C8" w:rsidRDefault="00C73E04" w:rsidP="00C97677">
            <w:pPr>
              <w:jc w:val="center"/>
            </w:pPr>
            <m:oMathPara>
              <m:oMath>
                <m:sSub>
                  <m:sSubPr>
                    <m:ctrlPr>
                      <w:rPr>
                        <w:rFonts w:ascii="Cambria Math" w:hAnsi="Cambria Math"/>
                        <w:i/>
                      </w:rPr>
                    </m:ctrlPr>
                  </m:sSubPr>
                  <m:e>
                    <m:r>
                      <w:rPr>
                        <w:rFonts w:ascii="Cambria Math" w:hAnsi="Cambria Math"/>
                      </w:rPr>
                      <m:t>Q</m:t>
                    </m:r>
                  </m:e>
                  <m:sub>
                    <m:r>
                      <w:rPr>
                        <w:rFonts w:ascii="Cambria Math" w:hAnsi="Cambria Math"/>
                      </w:rPr>
                      <m:t>disch,max</m:t>
                    </m:r>
                  </m:sub>
                </m:sSub>
              </m:oMath>
            </m:oMathPara>
          </w:p>
        </w:tc>
        <w:tc>
          <w:tcPr>
            <w:tcW w:w="1743" w:type="dxa"/>
          </w:tcPr>
          <w:p w14:paraId="09B576ED" w14:textId="77777777" w:rsidR="00533B45" w:rsidRPr="003650C8" w:rsidRDefault="00533B45" w:rsidP="00C97677">
            <w:pPr>
              <w:jc w:val="center"/>
            </w:pPr>
            <w:r w:rsidRPr="003650C8">
              <w:t>0-10</w:t>
            </w:r>
          </w:p>
        </w:tc>
        <w:tc>
          <w:tcPr>
            <w:tcW w:w="1517" w:type="dxa"/>
          </w:tcPr>
          <w:p w14:paraId="11A00924" w14:textId="77777777" w:rsidR="00533B45" w:rsidRPr="003650C8" w:rsidRDefault="00533B45" w:rsidP="00C97677">
            <w:pPr>
              <w:jc w:val="center"/>
            </w:pPr>
            <w:r w:rsidRPr="003650C8">
              <w:t>n/a</w:t>
            </w:r>
          </w:p>
        </w:tc>
      </w:tr>
      <w:tr w:rsidR="00533B45" w:rsidRPr="003650C8" w14:paraId="2ADE4034" w14:textId="77777777" w:rsidTr="00533B45">
        <w:trPr>
          <w:jc w:val="center"/>
        </w:trPr>
        <w:tc>
          <w:tcPr>
            <w:tcW w:w="3820" w:type="dxa"/>
          </w:tcPr>
          <w:p w14:paraId="54309697" w14:textId="77777777" w:rsidR="00533B45" w:rsidRPr="003650C8" w:rsidRDefault="00533B45" w:rsidP="00C97677">
            <w:pPr>
              <w:jc w:val="center"/>
            </w:pPr>
            <w:r w:rsidRPr="003650C8">
              <w:t>Heat loss coefficient</w:t>
            </w:r>
          </w:p>
        </w:tc>
        <w:tc>
          <w:tcPr>
            <w:tcW w:w="1743" w:type="dxa"/>
          </w:tcPr>
          <w:p w14:paraId="670DFC10" w14:textId="77777777" w:rsidR="00533B45" w:rsidRPr="003650C8" w:rsidRDefault="00C73E04" w:rsidP="00C97677">
            <w:pPr>
              <w:jc w:val="center"/>
            </w:pPr>
            <m:oMathPara>
              <m:oMath>
                <m:sSub>
                  <m:sSubPr>
                    <m:ctrlPr>
                      <w:rPr>
                        <w:rFonts w:ascii="Cambria Math" w:hAnsi="Cambria Math"/>
                        <w:i/>
                      </w:rPr>
                    </m:ctrlPr>
                  </m:sSubPr>
                  <m:e>
                    <m:r>
                      <w:rPr>
                        <w:rFonts w:ascii="Cambria Math" w:hAnsi="Cambria Math"/>
                      </w:rPr>
                      <m:t>H</m:t>
                    </m:r>
                  </m:e>
                  <m:sub>
                    <m:r>
                      <w:rPr>
                        <w:rFonts w:ascii="Cambria Math" w:hAnsi="Cambria Math"/>
                      </w:rPr>
                      <m:t>loss</m:t>
                    </m:r>
                  </m:sub>
                </m:sSub>
              </m:oMath>
            </m:oMathPara>
          </w:p>
        </w:tc>
        <w:tc>
          <w:tcPr>
            <w:tcW w:w="1743" w:type="dxa"/>
          </w:tcPr>
          <w:p w14:paraId="1E8BF085" w14:textId="77777777" w:rsidR="00533B45" w:rsidRPr="003650C8" w:rsidRDefault="00533B45" w:rsidP="00C97677">
            <w:pPr>
              <w:jc w:val="center"/>
            </w:pPr>
            <w:r w:rsidRPr="003650C8">
              <w:t>0.9913</w:t>
            </w:r>
          </w:p>
        </w:tc>
        <w:tc>
          <w:tcPr>
            <w:tcW w:w="1517" w:type="dxa"/>
          </w:tcPr>
          <w:p w14:paraId="7996D7B5" w14:textId="77777777" w:rsidR="00533B45" w:rsidRPr="003650C8" w:rsidRDefault="00533B45" w:rsidP="00C97677">
            <w:pPr>
              <w:jc w:val="center"/>
            </w:pPr>
            <w:r w:rsidRPr="003650C8">
              <w:t>0.9963</w:t>
            </w:r>
          </w:p>
        </w:tc>
      </w:tr>
      <w:tr w:rsidR="00533B45" w:rsidRPr="003650C8" w14:paraId="5A847883" w14:textId="77777777" w:rsidTr="00533B45">
        <w:trPr>
          <w:jc w:val="center"/>
        </w:trPr>
        <w:tc>
          <w:tcPr>
            <w:tcW w:w="3820" w:type="dxa"/>
          </w:tcPr>
          <w:p w14:paraId="2B51D1B3" w14:textId="39709208" w:rsidR="00533B45" w:rsidRPr="003650C8" w:rsidRDefault="00533B45" w:rsidP="00C97677">
            <w:pPr>
              <w:jc w:val="center"/>
            </w:pPr>
            <w:r w:rsidRPr="003650C8">
              <w:t>Maximum total building losses (</w:t>
            </w:r>
            <w:r w:rsidR="005D542C">
              <w:t>MW</w:t>
            </w:r>
            <w:r w:rsidRPr="003650C8">
              <w:t>)</w:t>
            </w:r>
          </w:p>
        </w:tc>
        <w:tc>
          <w:tcPr>
            <w:tcW w:w="1743" w:type="dxa"/>
          </w:tcPr>
          <w:p w14:paraId="7CE68C73" w14:textId="77777777" w:rsidR="00533B45" w:rsidRPr="003650C8" w:rsidRDefault="00C73E04" w:rsidP="00C97677">
            <w:pPr>
              <w:jc w:val="center"/>
            </w:pPr>
            <m:oMathPara>
              <m:oMath>
                <m:sSub>
                  <m:sSubPr>
                    <m:ctrlPr>
                      <w:rPr>
                        <w:rFonts w:ascii="Cambria Math" w:hAnsi="Cambria Math"/>
                        <w:i/>
                      </w:rPr>
                    </m:ctrlPr>
                  </m:sSubPr>
                  <m:e>
                    <m:r>
                      <w:rPr>
                        <w:rFonts w:ascii="Cambria Math" w:hAnsi="Cambria Math"/>
                      </w:rPr>
                      <m:t>Q</m:t>
                    </m:r>
                  </m:e>
                  <m:sub>
                    <m:r>
                      <w:rPr>
                        <w:rFonts w:ascii="Cambria Math" w:hAnsi="Cambria Math"/>
                      </w:rPr>
                      <m:t>loss,max</m:t>
                    </m:r>
                  </m:sub>
                </m:sSub>
              </m:oMath>
            </m:oMathPara>
          </w:p>
        </w:tc>
        <w:tc>
          <w:tcPr>
            <w:tcW w:w="1743" w:type="dxa"/>
          </w:tcPr>
          <w:p w14:paraId="33A72278" w14:textId="77777777" w:rsidR="00533B45" w:rsidRPr="003650C8" w:rsidRDefault="00533B45" w:rsidP="00C97677">
            <w:pPr>
              <w:jc w:val="center"/>
            </w:pPr>
            <w:r w:rsidRPr="003650C8">
              <w:t>5</w:t>
            </w:r>
          </w:p>
        </w:tc>
        <w:tc>
          <w:tcPr>
            <w:tcW w:w="1517" w:type="dxa"/>
          </w:tcPr>
          <w:p w14:paraId="2DE237D3" w14:textId="77777777" w:rsidR="00533B45" w:rsidRPr="003650C8" w:rsidRDefault="00533B45" w:rsidP="00C97677">
            <w:pPr>
              <w:jc w:val="center"/>
            </w:pPr>
            <w:r w:rsidRPr="003650C8">
              <w:t>-</w:t>
            </w:r>
          </w:p>
        </w:tc>
      </w:tr>
      <w:tr w:rsidR="00533B45" w:rsidRPr="003650C8" w14:paraId="5F32EB62" w14:textId="77777777" w:rsidTr="00533B45">
        <w:trPr>
          <w:jc w:val="center"/>
        </w:trPr>
        <w:tc>
          <w:tcPr>
            <w:tcW w:w="3820" w:type="dxa"/>
          </w:tcPr>
          <w:p w14:paraId="271011C8" w14:textId="77777777" w:rsidR="00533B45" w:rsidRPr="003650C8" w:rsidRDefault="00533B45" w:rsidP="00C97677">
            <w:pPr>
              <w:jc w:val="center"/>
            </w:pPr>
            <w:r w:rsidRPr="003650C8">
              <w:t>Heat transfer coefficient</w:t>
            </w:r>
          </w:p>
        </w:tc>
        <w:tc>
          <w:tcPr>
            <w:tcW w:w="1743" w:type="dxa"/>
          </w:tcPr>
          <w:p w14:paraId="2E86F77B" w14:textId="77777777" w:rsidR="00533B45" w:rsidRPr="003650C8" w:rsidRDefault="00C73E04" w:rsidP="00C97677">
            <w:pPr>
              <w:jc w:val="center"/>
            </w:pPr>
            <m:oMathPara>
              <m:oMath>
                <m:sSub>
                  <m:sSubPr>
                    <m:ctrlPr>
                      <w:rPr>
                        <w:rFonts w:ascii="Cambria Math" w:hAnsi="Cambria Math"/>
                        <w:i/>
                      </w:rPr>
                    </m:ctrlPr>
                  </m:sSubPr>
                  <m:e>
                    <m:r>
                      <w:rPr>
                        <w:rFonts w:ascii="Cambria Math" w:hAnsi="Cambria Math"/>
                      </w:rPr>
                      <m:t>H</m:t>
                    </m:r>
                  </m:e>
                  <m:sub>
                    <m:r>
                      <w:rPr>
                        <w:rFonts w:ascii="Cambria Math" w:hAnsi="Cambria Math"/>
                      </w:rPr>
                      <m:t>flow</m:t>
                    </m:r>
                  </m:sub>
                </m:sSub>
              </m:oMath>
            </m:oMathPara>
          </w:p>
        </w:tc>
        <w:tc>
          <w:tcPr>
            <w:tcW w:w="1743" w:type="dxa"/>
          </w:tcPr>
          <w:p w14:paraId="0AD0EAA6" w14:textId="77777777" w:rsidR="00533B45" w:rsidRPr="003650C8" w:rsidRDefault="00533B45" w:rsidP="00C97677">
            <w:pPr>
              <w:jc w:val="center"/>
            </w:pPr>
            <w:r w:rsidRPr="003650C8">
              <w:t>180</w:t>
            </w:r>
          </w:p>
        </w:tc>
        <w:tc>
          <w:tcPr>
            <w:tcW w:w="1517" w:type="dxa"/>
          </w:tcPr>
          <w:p w14:paraId="0BC6A84B" w14:textId="77777777" w:rsidR="00533B45" w:rsidRPr="003650C8" w:rsidRDefault="00533B45" w:rsidP="00C97677">
            <w:pPr>
              <w:jc w:val="center"/>
            </w:pPr>
            <w:r w:rsidRPr="003650C8">
              <w:t>-</w:t>
            </w:r>
          </w:p>
        </w:tc>
      </w:tr>
      <w:tr w:rsidR="00533B45" w:rsidRPr="003650C8" w14:paraId="0ACE0D0E" w14:textId="77777777" w:rsidTr="00533B45">
        <w:trPr>
          <w:jc w:val="center"/>
        </w:trPr>
        <w:tc>
          <w:tcPr>
            <w:tcW w:w="3820" w:type="dxa"/>
          </w:tcPr>
          <w:p w14:paraId="3F7CF9E6" w14:textId="77777777" w:rsidR="00533B45" w:rsidRPr="003650C8" w:rsidRDefault="00533B45" w:rsidP="00C97677">
            <w:pPr>
              <w:jc w:val="center"/>
            </w:pPr>
            <w:r w:rsidRPr="003650C8">
              <w:t>Ventilation flowrate (m</w:t>
            </w:r>
            <w:r w:rsidRPr="003650C8">
              <w:rPr>
                <w:vertAlign w:val="superscript"/>
              </w:rPr>
              <w:t>3</w:t>
            </w:r>
            <w:r w:rsidRPr="003650C8">
              <w:t>/[m</w:t>
            </w:r>
            <w:r w:rsidRPr="003650C8">
              <w:rPr>
                <w:vertAlign w:val="superscript"/>
              </w:rPr>
              <w:t>2</w:t>
            </w:r>
            <w:r w:rsidRPr="003650C8">
              <w:t>s])</w:t>
            </w:r>
          </w:p>
        </w:tc>
        <w:tc>
          <w:tcPr>
            <w:tcW w:w="1743" w:type="dxa"/>
          </w:tcPr>
          <w:p w14:paraId="388BCA97" w14:textId="77777777" w:rsidR="00533B45" w:rsidRPr="003650C8" w:rsidRDefault="00C73E04" w:rsidP="00C97677">
            <w:pPr>
              <w:jc w:val="center"/>
              <w:rPr>
                <w:rFonts w:ascii="Calibri" w:eastAsia="Times New Roman" w:hAnsi="Calibri" w:cs="Times New Roman"/>
              </w:rPr>
            </w:pPr>
            <m:oMathPara>
              <m:oMath>
                <m:acc>
                  <m:accPr>
                    <m:chr m:val="̇"/>
                    <m:ctrlPr>
                      <w:rPr>
                        <w:rFonts w:ascii="Cambria Math" w:eastAsia="Times New Roman" w:hAnsi="Cambria Math" w:cs="Times New Roman"/>
                        <w:i/>
                      </w:rPr>
                    </m:ctrlPr>
                  </m:accPr>
                  <m:e>
                    <m:r>
                      <w:rPr>
                        <w:rFonts w:ascii="Cambria Math" w:eastAsia="Times New Roman" w:hAnsi="Cambria Math" w:cs="Times New Roman"/>
                      </w:rPr>
                      <m:t>V</m:t>
                    </m:r>
                  </m:e>
                </m:acc>
              </m:oMath>
            </m:oMathPara>
          </w:p>
        </w:tc>
        <w:tc>
          <w:tcPr>
            <w:tcW w:w="3260" w:type="dxa"/>
            <w:gridSpan w:val="2"/>
          </w:tcPr>
          <w:p w14:paraId="65E7DB1E" w14:textId="77777777" w:rsidR="00533B45" w:rsidRPr="003650C8" w:rsidRDefault="00533B45" w:rsidP="00C97677">
            <w:pPr>
              <w:jc w:val="center"/>
            </w:pPr>
            <w:r w:rsidRPr="003650C8">
              <w:t>0.0035</w:t>
            </w:r>
          </w:p>
        </w:tc>
      </w:tr>
      <w:tr w:rsidR="00533B45" w:rsidRPr="003650C8" w14:paraId="3DAE80E9" w14:textId="77777777" w:rsidTr="00533B45">
        <w:trPr>
          <w:jc w:val="center"/>
        </w:trPr>
        <w:tc>
          <w:tcPr>
            <w:tcW w:w="3820" w:type="dxa"/>
          </w:tcPr>
          <w:p w14:paraId="1DD78EEE" w14:textId="77777777" w:rsidR="00533B45" w:rsidRPr="003650C8" w:rsidRDefault="00533B45" w:rsidP="00C97677">
            <w:pPr>
              <w:jc w:val="center"/>
            </w:pPr>
            <w:r w:rsidRPr="003650C8">
              <w:t>Building surface area (m</w:t>
            </w:r>
            <w:r w:rsidRPr="003650C8">
              <w:rPr>
                <w:vertAlign w:val="superscript"/>
              </w:rPr>
              <w:t>2</w:t>
            </w:r>
            <w:r w:rsidRPr="003650C8">
              <w:t>)</w:t>
            </w:r>
          </w:p>
        </w:tc>
        <w:tc>
          <w:tcPr>
            <w:tcW w:w="1743" w:type="dxa"/>
          </w:tcPr>
          <w:p w14:paraId="719306D1" w14:textId="77777777" w:rsidR="00533B45" w:rsidRPr="003650C8" w:rsidRDefault="00C73E04" w:rsidP="00C97677">
            <w:pPr>
              <w:jc w:val="center"/>
              <w:rPr>
                <w:rFonts w:ascii="Calibri" w:eastAsia="Times New Roman" w:hAnsi="Calibri" w:cs="Times New Roman"/>
              </w:rPr>
            </w:pPr>
            <m:oMathPara>
              <m:oMath>
                <m:sSub>
                  <m:sSubPr>
                    <m:ctrlPr>
                      <w:rPr>
                        <w:rFonts w:ascii="Cambria Math" w:eastAsia="Times New Roman" w:hAnsi="Cambria Math" w:cs="Times New Roman"/>
                        <w:i/>
                      </w:rPr>
                    </m:ctrlPr>
                  </m:sSubPr>
                  <m:e>
                    <m:r>
                      <w:rPr>
                        <w:rFonts w:ascii="Cambria Math" w:eastAsia="Times New Roman" w:hAnsi="Cambria Math" w:cs="Times New Roman"/>
                      </w:rPr>
                      <m:t>A</m:t>
                    </m:r>
                  </m:e>
                  <m:sub>
                    <m:r>
                      <w:rPr>
                        <w:rFonts w:ascii="Cambria Math" w:eastAsia="Times New Roman" w:hAnsi="Cambria Math" w:cs="Times New Roman"/>
                      </w:rPr>
                      <m:t>buildings</m:t>
                    </m:r>
                  </m:sub>
                </m:sSub>
              </m:oMath>
            </m:oMathPara>
          </w:p>
        </w:tc>
        <w:tc>
          <w:tcPr>
            <w:tcW w:w="3260" w:type="dxa"/>
            <w:gridSpan w:val="2"/>
          </w:tcPr>
          <w:p w14:paraId="30796F45" w14:textId="77777777" w:rsidR="00533B45" w:rsidRPr="003650C8" w:rsidRDefault="00533B45" w:rsidP="00C97677">
            <w:pPr>
              <w:jc w:val="center"/>
            </w:pPr>
            <w:r w:rsidRPr="003650C8">
              <w:rPr>
                <w:rFonts w:ascii="Calibri" w:hAnsi="Calibri" w:cs="Calibri"/>
              </w:rPr>
              <w:t>1,560</w:t>
            </w:r>
          </w:p>
        </w:tc>
      </w:tr>
    </w:tbl>
    <w:p w14:paraId="0A39C65D" w14:textId="77777777" w:rsidR="000F16EB" w:rsidRDefault="000F16EB" w:rsidP="003650C8">
      <w:pPr>
        <w:pStyle w:val="NoSpacing"/>
      </w:pPr>
    </w:p>
    <w:bookmarkStart w:id="798" w:name="_Ref516591063"/>
    <w:p w14:paraId="657B9FF2" w14:textId="1F514FA8" w:rsidR="000F16EB" w:rsidRDefault="000F16EB" w:rsidP="000F16EB">
      <w:r>
        <w:fldChar w:fldCharType="begin"/>
      </w:r>
      <w:r>
        <w:instrText xml:space="preserve"> REF _Ref531172061 \h </w:instrText>
      </w:r>
      <w:r>
        <w:fldChar w:fldCharType="separate"/>
      </w:r>
      <w:r w:rsidR="00CB7456">
        <w:t xml:space="preserve">Table </w:t>
      </w:r>
      <w:r w:rsidR="00CB7456">
        <w:rPr>
          <w:noProof/>
        </w:rPr>
        <w:t>7</w:t>
      </w:r>
      <w:r w:rsidR="00CB7456">
        <w:t>.</w:t>
      </w:r>
      <w:r w:rsidR="00CB7456">
        <w:rPr>
          <w:noProof/>
        </w:rPr>
        <w:t>3</w:t>
      </w:r>
      <w:r>
        <w:fldChar w:fldCharType="end"/>
      </w:r>
      <w:r>
        <w:t xml:space="preserve"> gives the parameters used in scenario 4), the network TES. The pipe lengths, internal pipe area, and mass flow rate in the pipes came from the case study. The HTC was calculated based on the remaining information.</w:t>
      </w:r>
      <w:bookmarkEnd w:id="798"/>
    </w:p>
    <w:p w14:paraId="5BFE240C" w14:textId="734D33D6" w:rsidR="000F16EB" w:rsidRDefault="000F16EB" w:rsidP="000F16EB">
      <w:pPr>
        <w:pStyle w:val="Caption"/>
        <w:keepNext/>
      </w:pPr>
      <w:bookmarkStart w:id="799" w:name="_Ref523588359"/>
      <w:bookmarkStart w:id="800" w:name="_Ref530578772"/>
      <w:bookmarkStart w:id="801" w:name="_Ref531172061"/>
      <w:bookmarkStart w:id="802" w:name="_Toc525230143"/>
      <w:bookmarkStart w:id="803" w:name="_Toc7187699"/>
      <w:r>
        <w:t xml:space="preserve">Table </w:t>
      </w:r>
      <w:fldSimple w:instr=" STYLEREF 1 \s ">
        <w:r w:rsidR="00CB7456">
          <w:rPr>
            <w:noProof/>
          </w:rPr>
          <w:t>7</w:t>
        </w:r>
      </w:fldSimple>
      <w:r w:rsidR="009E1A67">
        <w:t>.</w:t>
      </w:r>
      <w:fldSimple w:instr=" SEQ Table \* ARABIC \s 1 ">
        <w:r w:rsidR="00CB7456">
          <w:rPr>
            <w:noProof/>
          </w:rPr>
          <w:t>3</w:t>
        </w:r>
      </w:fldSimple>
      <w:bookmarkEnd w:id="799"/>
      <w:bookmarkEnd w:id="800"/>
      <w:bookmarkEnd w:id="801"/>
      <w:r>
        <w:rPr>
          <w:noProof/>
        </w:rPr>
        <w:t>:</w:t>
      </w:r>
      <w:r>
        <w:t xml:space="preserve"> The parameters used in the study for scenario 4), the network TES.</w:t>
      </w:r>
      <w:bookmarkEnd w:id="802"/>
      <w:bookmarkEnd w:id="803"/>
    </w:p>
    <w:tbl>
      <w:tblPr>
        <w:tblStyle w:val="TableGrid"/>
        <w:tblW w:w="5949" w:type="dxa"/>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53"/>
        <w:gridCol w:w="1148"/>
        <w:gridCol w:w="1148"/>
      </w:tblGrid>
      <w:tr w:rsidR="00533B45" w:rsidRPr="003650C8" w14:paraId="5B1AA968" w14:textId="77777777" w:rsidTr="00533B45">
        <w:trPr>
          <w:jc w:val="center"/>
        </w:trPr>
        <w:tc>
          <w:tcPr>
            <w:tcW w:w="3653" w:type="dxa"/>
            <w:tcBorders>
              <w:bottom w:val="single" w:sz="4" w:space="0" w:color="auto"/>
            </w:tcBorders>
          </w:tcPr>
          <w:p w14:paraId="42FA69F8" w14:textId="77777777" w:rsidR="00533B45" w:rsidRPr="003650C8" w:rsidRDefault="00533B45" w:rsidP="00C97677">
            <w:pPr>
              <w:jc w:val="center"/>
            </w:pPr>
            <w:r w:rsidRPr="003650C8">
              <w:t>Parameter</w:t>
            </w:r>
          </w:p>
        </w:tc>
        <w:tc>
          <w:tcPr>
            <w:tcW w:w="1148" w:type="dxa"/>
            <w:tcBorders>
              <w:bottom w:val="single" w:sz="4" w:space="0" w:color="auto"/>
            </w:tcBorders>
          </w:tcPr>
          <w:p w14:paraId="1BC015D4" w14:textId="77777777" w:rsidR="00533B45" w:rsidRPr="003650C8" w:rsidRDefault="00533B45" w:rsidP="00C97677">
            <w:pPr>
              <w:jc w:val="center"/>
            </w:pPr>
            <w:r w:rsidRPr="003650C8">
              <w:t>Symbol</w:t>
            </w:r>
          </w:p>
        </w:tc>
        <w:tc>
          <w:tcPr>
            <w:tcW w:w="1148" w:type="dxa"/>
            <w:tcBorders>
              <w:bottom w:val="single" w:sz="4" w:space="0" w:color="auto"/>
            </w:tcBorders>
          </w:tcPr>
          <w:p w14:paraId="33122B7A" w14:textId="77777777" w:rsidR="00533B45" w:rsidRPr="003650C8" w:rsidRDefault="00533B45" w:rsidP="00C97677">
            <w:pPr>
              <w:jc w:val="center"/>
            </w:pPr>
            <w:r w:rsidRPr="003650C8">
              <w:t>Network</w:t>
            </w:r>
          </w:p>
        </w:tc>
      </w:tr>
      <w:tr w:rsidR="00533B45" w:rsidRPr="003650C8" w14:paraId="2158D047" w14:textId="77777777" w:rsidTr="00533B45">
        <w:trPr>
          <w:jc w:val="center"/>
        </w:trPr>
        <w:tc>
          <w:tcPr>
            <w:tcW w:w="3653" w:type="dxa"/>
            <w:tcBorders>
              <w:top w:val="single" w:sz="4" w:space="0" w:color="auto"/>
              <w:bottom w:val="nil"/>
            </w:tcBorders>
          </w:tcPr>
          <w:p w14:paraId="28E1DC90" w14:textId="77777777" w:rsidR="00533B45" w:rsidRPr="003650C8" w:rsidRDefault="00533B45" w:rsidP="00C97677">
            <w:pPr>
              <w:jc w:val="center"/>
            </w:pPr>
            <w:r w:rsidRPr="003650C8">
              <w:t>Storage capacity (MWh)</w:t>
            </w:r>
          </w:p>
        </w:tc>
        <w:tc>
          <w:tcPr>
            <w:tcW w:w="1148" w:type="dxa"/>
            <w:tcBorders>
              <w:top w:val="single" w:sz="4" w:space="0" w:color="auto"/>
              <w:bottom w:val="nil"/>
            </w:tcBorders>
          </w:tcPr>
          <w:p w14:paraId="7BD75BB9" w14:textId="77777777" w:rsidR="00533B45" w:rsidRPr="003650C8" w:rsidRDefault="00C73E04" w:rsidP="00C97677">
            <w:pPr>
              <w:jc w:val="center"/>
            </w:pPr>
            <m:oMathPara>
              <m:oMath>
                <m:sSubSup>
                  <m:sSubSupPr>
                    <m:ctrlPr>
                      <w:rPr>
                        <w:rFonts w:ascii="Cambria Math" w:hAnsi="Cambria Math"/>
                        <w:i/>
                      </w:rPr>
                    </m:ctrlPr>
                  </m:sSubSupPr>
                  <m:e>
                    <m:r>
                      <w:rPr>
                        <w:rFonts w:ascii="Cambria Math" w:hAnsi="Cambria Math"/>
                      </w:rPr>
                      <m:t>Q</m:t>
                    </m:r>
                  </m:e>
                  <m:sub>
                    <m:r>
                      <w:rPr>
                        <w:rFonts w:ascii="Cambria Math" w:hAnsi="Cambria Math"/>
                      </w:rPr>
                      <m:t>cap</m:t>
                    </m:r>
                  </m:sub>
                  <m:sup>
                    <m:r>
                      <w:rPr>
                        <w:rFonts w:ascii="Cambria Math" w:hAnsi="Cambria Math"/>
                      </w:rPr>
                      <m:t>network</m:t>
                    </m:r>
                  </m:sup>
                </m:sSubSup>
              </m:oMath>
            </m:oMathPara>
          </w:p>
        </w:tc>
        <w:tc>
          <w:tcPr>
            <w:tcW w:w="1148" w:type="dxa"/>
            <w:tcBorders>
              <w:top w:val="single" w:sz="4" w:space="0" w:color="auto"/>
              <w:bottom w:val="nil"/>
            </w:tcBorders>
          </w:tcPr>
          <w:p w14:paraId="0FE6B921" w14:textId="77777777" w:rsidR="00533B45" w:rsidRPr="003650C8" w:rsidRDefault="00533B45" w:rsidP="00C97677">
            <w:pPr>
              <w:jc w:val="center"/>
            </w:pPr>
            <w:r w:rsidRPr="003650C8">
              <w:t>3.4</w:t>
            </w:r>
          </w:p>
        </w:tc>
      </w:tr>
      <w:tr w:rsidR="00533B45" w:rsidRPr="003650C8" w14:paraId="46B220AB" w14:textId="77777777" w:rsidTr="00533B45">
        <w:trPr>
          <w:jc w:val="center"/>
        </w:trPr>
        <w:tc>
          <w:tcPr>
            <w:tcW w:w="3653" w:type="dxa"/>
            <w:tcBorders>
              <w:top w:val="nil"/>
              <w:bottom w:val="nil"/>
            </w:tcBorders>
          </w:tcPr>
          <w:p w14:paraId="673AEA7D" w14:textId="77777777" w:rsidR="00533B45" w:rsidRPr="003650C8" w:rsidRDefault="00533B45" w:rsidP="00C97677">
            <w:pPr>
              <w:jc w:val="center"/>
            </w:pPr>
            <w:r w:rsidRPr="003650C8">
              <w:t>Length of supply pipe (m)</w:t>
            </w:r>
          </w:p>
        </w:tc>
        <w:tc>
          <w:tcPr>
            <w:tcW w:w="1148" w:type="dxa"/>
            <w:tcBorders>
              <w:top w:val="nil"/>
              <w:bottom w:val="nil"/>
            </w:tcBorders>
          </w:tcPr>
          <w:p w14:paraId="5A42AE2D" w14:textId="77777777" w:rsidR="00533B45" w:rsidRPr="003650C8" w:rsidRDefault="00C73E04" w:rsidP="00C97677">
            <w:pPr>
              <w:jc w:val="center"/>
            </w:pPr>
            <m:oMathPara>
              <m:oMath>
                <m:sSub>
                  <m:sSubPr>
                    <m:ctrlPr>
                      <w:rPr>
                        <w:rFonts w:ascii="Cambria Math" w:hAnsi="Cambria Math"/>
                        <w:i/>
                      </w:rPr>
                    </m:ctrlPr>
                  </m:sSubPr>
                  <m:e>
                    <m:r>
                      <w:rPr>
                        <w:rFonts w:ascii="Cambria Math" w:hAnsi="Cambria Math"/>
                      </w:rPr>
                      <m:t>L</m:t>
                    </m:r>
                  </m:e>
                  <m:sub>
                    <m:r>
                      <w:rPr>
                        <w:rFonts w:ascii="Cambria Math" w:hAnsi="Cambria Math"/>
                      </w:rPr>
                      <m:t>s</m:t>
                    </m:r>
                  </m:sub>
                </m:sSub>
              </m:oMath>
            </m:oMathPara>
          </w:p>
        </w:tc>
        <w:tc>
          <w:tcPr>
            <w:tcW w:w="1148" w:type="dxa"/>
            <w:tcBorders>
              <w:top w:val="nil"/>
              <w:bottom w:val="nil"/>
            </w:tcBorders>
          </w:tcPr>
          <w:p w14:paraId="4B20DC59" w14:textId="77777777" w:rsidR="00533B45" w:rsidRPr="003650C8" w:rsidRDefault="00533B45" w:rsidP="00C97677">
            <w:pPr>
              <w:jc w:val="center"/>
            </w:pPr>
            <w:r w:rsidRPr="003650C8">
              <w:t>1448.5</w:t>
            </w:r>
          </w:p>
        </w:tc>
      </w:tr>
      <w:tr w:rsidR="00533B45" w:rsidRPr="003650C8" w14:paraId="4A457CC2" w14:textId="77777777" w:rsidTr="00533B45">
        <w:trPr>
          <w:jc w:val="center"/>
        </w:trPr>
        <w:tc>
          <w:tcPr>
            <w:tcW w:w="3653" w:type="dxa"/>
            <w:tcBorders>
              <w:top w:val="nil"/>
            </w:tcBorders>
          </w:tcPr>
          <w:p w14:paraId="3A9C0DE6" w14:textId="77777777" w:rsidR="00533B45" w:rsidRPr="003650C8" w:rsidRDefault="00533B45" w:rsidP="00C97677">
            <w:pPr>
              <w:jc w:val="center"/>
            </w:pPr>
            <w:r w:rsidRPr="003650C8">
              <w:t>Length of return pipe (m)</w:t>
            </w:r>
          </w:p>
        </w:tc>
        <w:tc>
          <w:tcPr>
            <w:tcW w:w="1148" w:type="dxa"/>
            <w:tcBorders>
              <w:top w:val="nil"/>
            </w:tcBorders>
          </w:tcPr>
          <w:p w14:paraId="0FCDF8DD" w14:textId="77777777" w:rsidR="00533B45" w:rsidRPr="003650C8" w:rsidRDefault="00C73E04" w:rsidP="00C97677">
            <w:pPr>
              <w:jc w:val="center"/>
            </w:pPr>
            <m:oMathPara>
              <m:oMath>
                <m:sSub>
                  <m:sSubPr>
                    <m:ctrlPr>
                      <w:rPr>
                        <w:rFonts w:ascii="Cambria Math" w:hAnsi="Cambria Math"/>
                        <w:i/>
                      </w:rPr>
                    </m:ctrlPr>
                  </m:sSubPr>
                  <m:e>
                    <m:r>
                      <w:rPr>
                        <w:rFonts w:ascii="Cambria Math" w:hAnsi="Cambria Math"/>
                      </w:rPr>
                      <m:t>L</m:t>
                    </m:r>
                  </m:e>
                  <m:sub>
                    <m:r>
                      <w:rPr>
                        <w:rFonts w:ascii="Cambria Math" w:hAnsi="Cambria Math"/>
                      </w:rPr>
                      <m:t>r</m:t>
                    </m:r>
                  </m:sub>
                </m:sSub>
              </m:oMath>
            </m:oMathPara>
          </w:p>
        </w:tc>
        <w:tc>
          <w:tcPr>
            <w:tcW w:w="1148" w:type="dxa"/>
            <w:tcBorders>
              <w:top w:val="nil"/>
            </w:tcBorders>
          </w:tcPr>
          <w:p w14:paraId="6BD0F4A0" w14:textId="77777777" w:rsidR="00533B45" w:rsidRPr="003650C8" w:rsidRDefault="00533B45" w:rsidP="00C97677">
            <w:pPr>
              <w:jc w:val="center"/>
            </w:pPr>
            <w:r w:rsidRPr="003650C8">
              <w:t>1448.5</w:t>
            </w:r>
          </w:p>
        </w:tc>
      </w:tr>
      <w:tr w:rsidR="00533B45" w:rsidRPr="003650C8" w14:paraId="0431C82C" w14:textId="77777777" w:rsidTr="00533B45">
        <w:trPr>
          <w:jc w:val="center"/>
        </w:trPr>
        <w:tc>
          <w:tcPr>
            <w:tcW w:w="3653" w:type="dxa"/>
          </w:tcPr>
          <w:p w14:paraId="66D00833" w14:textId="77777777" w:rsidR="00533B45" w:rsidRPr="003650C8" w:rsidRDefault="00533B45" w:rsidP="00C97677">
            <w:pPr>
              <w:jc w:val="center"/>
            </w:pPr>
            <w:r w:rsidRPr="003650C8">
              <w:t>Heat transfer coefficient (MW/[m</w:t>
            </w:r>
            <w:r w:rsidRPr="003650C8">
              <w:rPr>
                <w:vertAlign w:val="superscript"/>
              </w:rPr>
              <w:t>2</w:t>
            </w:r>
            <w:r w:rsidRPr="003650C8">
              <w:t>°C])</w:t>
            </w:r>
          </w:p>
        </w:tc>
        <w:tc>
          <w:tcPr>
            <w:tcW w:w="1148" w:type="dxa"/>
          </w:tcPr>
          <w:p w14:paraId="55D771AE" w14:textId="77777777" w:rsidR="00533B45" w:rsidRPr="003650C8" w:rsidRDefault="00C73E04" w:rsidP="00C97677">
            <w:pPr>
              <w:jc w:val="center"/>
            </w:pPr>
            <m:oMathPara>
              <m:oMath>
                <m:sSub>
                  <m:sSubPr>
                    <m:ctrlPr>
                      <w:rPr>
                        <w:rFonts w:ascii="Cambria Math" w:hAnsi="Cambria Math"/>
                        <w:i/>
                      </w:rPr>
                    </m:ctrlPr>
                  </m:sSubPr>
                  <m:e>
                    <m:r>
                      <w:rPr>
                        <w:rFonts w:ascii="Cambria Math" w:hAnsi="Cambria Math"/>
                      </w:rPr>
                      <m:t>U</m:t>
                    </m:r>
                  </m:e>
                  <m:sub>
                    <m:r>
                      <w:rPr>
                        <w:rFonts w:ascii="Cambria Math" w:hAnsi="Cambria Math"/>
                      </w:rPr>
                      <m:t>net</m:t>
                    </m:r>
                  </m:sub>
                </m:sSub>
              </m:oMath>
            </m:oMathPara>
          </w:p>
        </w:tc>
        <w:tc>
          <w:tcPr>
            <w:tcW w:w="1148" w:type="dxa"/>
          </w:tcPr>
          <w:p w14:paraId="4531024B" w14:textId="77777777" w:rsidR="00533B45" w:rsidRPr="003650C8" w:rsidRDefault="00533B45" w:rsidP="00C97677">
            <w:pPr>
              <w:jc w:val="center"/>
              <w:rPr>
                <w:vertAlign w:val="superscript"/>
              </w:rPr>
            </w:pPr>
            <w:r w:rsidRPr="003650C8">
              <w:t>2.44x10</w:t>
            </w:r>
            <w:r w:rsidRPr="003650C8">
              <w:rPr>
                <w:vertAlign w:val="superscript"/>
              </w:rPr>
              <w:t>-4</w:t>
            </w:r>
          </w:p>
        </w:tc>
      </w:tr>
      <w:tr w:rsidR="00533B45" w:rsidRPr="003650C8" w14:paraId="411BBEC0" w14:textId="77777777" w:rsidTr="00533B45">
        <w:trPr>
          <w:jc w:val="center"/>
        </w:trPr>
        <w:tc>
          <w:tcPr>
            <w:tcW w:w="3653" w:type="dxa"/>
          </w:tcPr>
          <w:p w14:paraId="04D8FA0F" w14:textId="77777777" w:rsidR="00533B45" w:rsidRPr="003650C8" w:rsidRDefault="00533B45" w:rsidP="00C97677">
            <w:pPr>
              <w:jc w:val="center"/>
            </w:pPr>
            <w:r w:rsidRPr="003650C8">
              <w:t>Internal pipe area (m</w:t>
            </w:r>
            <w:r w:rsidRPr="003650C8">
              <w:rPr>
                <w:vertAlign w:val="superscript"/>
              </w:rPr>
              <w:t>2</w:t>
            </w:r>
            <w:r w:rsidRPr="003650C8">
              <w:t>)</w:t>
            </w:r>
          </w:p>
        </w:tc>
        <w:tc>
          <w:tcPr>
            <w:tcW w:w="1148" w:type="dxa"/>
          </w:tcPr>
          <w:p w14:paraId="12FDBC29" w14:textId="77777777" w:rsidR="00533B45" w:rsidRPr="003650C8" w:rsidRDefault="00C73E04" w:rsidP="00C97677">
            <w:pPr>
              <w:jc w:val="center"/>
            </w:pPr>
            <m:oMathPara>
              <m:oMath>
                <m:sSub>
                  <m:sSubPr>
                    <m:ctrlPr>
                      <w:rPr>
                        <w:rFonts w:ascii="Cambria Math" w:hAnsi="Cambria Math"/>
                        <w:i/>
                      </w:rPr>
                    </m:ctrlPr>
                  </m:sSubPr>
                  <m:e>
                    <m:r>
                      <w:rPr>
                        <w:rFonts w:ascii="Cambria Math" w:hAnsi="Cambria Math"/>
                      </w:rPr>
                      <m:t>A</m:t>
                    </m:r>
                  </m:e>
                  <m:sub>
                    <m:r>
                      <w:rPr>
                        <w:rFonts w:ascii="Cambria Math" w:hAnsi="Cambria Math"/>
                      </w:rPr>
                      <m:t>net</m:t>
                    </m:r>
                  </m:sub>
                </m:sSub>
              </m:oMath>
            </m:oMathPara>
          </w:p>
        </w:tc>
        <w:tc>
          <w:tcPr>
            <w:tcW w:w="1148" w:type="dxa"/>
          </w:tcPr>
          <w:p w14:paraId="2B2838E7" w14:textId="77777777" w:rsidR="00533B45" w:rsidRPr="003650C8" w:rsidRDefault="00533B45" w:rsidP="00C97677">
            <w:pPr>
              <w:jc w:val="center"/>
            </w:pPr>
            <w:r w:rsidRPr="003650C8">
              <w:t>5.10x10</w:t>
            </w:r>
            <w:r w:rsidRPr="003650C8">
              <w:rPr>
                <w:vertAlign w:val="superscript"/>
              </w:rPr>
              <w:t>-2</w:t>
            </w:r>
          </w:p>
        </w:tc>
      </w:tr>
      <w:tr w:rsidR="00533B45" w:rsidRPr="003650C8" w14:paraId="21410153" w14:textId="77777777" w:rsidTr="00533B45">
        <w:trPr>
          <w:jc w:val="center"/>
        </w:trPr>
        <w:tc>
          <w:tcPr>
            <w:tcW w:w="3653" w:type="dxa"/>
          </w:tcPr>
          <w:p w14:paraId="60719481" w14:textId="77777777" w:rsidR="00533B45" w:rsidRPr="003650C8" w:rsidRDefault="00533B45" w:rsidP="00C97677">
            <w:pPr>
              <w:jc w:val="center"/>
            </w:pPr>
            <w:r w:rsidRPr="003650C8">
              <w:t>Mass flow rate in the pipes (kg/s)</w:t>
            </w:r>
          </w:p>
        </w:tc>
        <w:tc>
          <w:tcPr>
            <w:tcW w:w="1148" w:type="dxa"/>
          </w:tcPr>
          <w:p w14:paraId="005B0105" w14:textId="77777777" w:rsidR="00533B45" w:rsidRPr="003650C8" w:rsidRDefault="00C73E04" w:rsidP="00C97677">
            <w:pPr>
              <w:jc w:val="center"/>
            </w:pPr>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m</m:t>
                        </m:r>
                      </m:e>
                    </m:acc>
                  </m:e>
                  <m:sub>
                    <m:r>
                      <w:rPr>
                        <w:rFonts w:ascii="Cambria Math" w:hAnsi="Cambria Math"/>
                      </w:rPr>
                      <m:t>water</m:t>
                    </m:r>
                  </m:sub>
                </m:sSub>
              </m:oMath>
            </m:oMathPara>
          </w:p>
        </w:tc>
        <w:tc>
          <w:tcPr>
            <w:tcW w:w="1148" w:type="dxa"/>
          </w:tcPr>
          <w:p w14:paraId="3E42BC5D" w14:textId="77777777" w:rsidR="00533B45" w:rsidRPr="003650C8" w:rsidRDefault="00533B45" w:rsidP="00C97677">
            <w:pPr>
              <w:jc w:val="center"/>
            </w:pPr>
            <w:r w:rsidRPr="003650C8">
              <w:t>15</w:t>
            </w:r>
          </w:p>
        </w:tc>
      </w:tr>
    </w:tbl>
    <w:p w14:paraId="2B6E4BCF" w14:textId="77777777" w:rsidR="000F16EB" w:rsidRDefault="000F16EB" w:rsidP="003650C8">
      <w:pPr>
        <w:pStyle w:val="NoSpacing"/>
      </w:pPr>
    </w:p>
    <w:p w14:paraId="415F0E27" w14:textId="77777777" w:rsidR="000F16EB" w:rsidRDefault="000F16EB" w:rsidP="000F16EB">
      <w:pPr>
        <w:pStyle w:val="Heading2"/>
      </w:pPr>
      <w:bookmarkStart w:id="804" w:name="_Toc525230030"/>
      <w:bookmarkStart w:id="805" w:name="_Toc7187557"/>
      <w:r>
        <w:t>Results</w:t>
      </w:r>
      <w:bookmarkEnd w:id="804"/>
      <w:bookmarkEnd w:id="805"/>
    </w:p>
    <w:p w14:paraId="76AED2B8" w14:textId="77777777" w:rsidR="000F16EB" w:rsidRDefault="000F16EB" w:rsidP="000F16EB">
      <w:r>
        <w:t xml:space="preserve">The four TES scenarios and the reference, fifth, case scenario </w:t>
      </w:r>
      <w:proofErr w:type="gramStart"/>
      <w:r>
        <w:t>were</w:t>
      </w:r>
      <w:proofErr w:type="gramEnd"/>
      <w:r>
        <w:t xml:space="preserve"> modelled for a year of operation with a time step of one hour. The results were used to analyse the case study and to see if generic rules could be drawn for future DH optimisation work.</w:t>
      </w:r>
    </w:p>
    <w:p w14:paraId="2BD6D3E8" w14:textId="77777777" w:rsidR="000F16EB" w:rsidRDefault="000F16EB" w:rsidP="000F16EB">
      <w:pPr>
        <w:pStyle w:val="Heading3"/>
      </w:pPr>
      <w:bookmarkStart w:id="806" w:name="_Toc525230031"/>
      <w:bookmarkStart w:id="807" w:name="_Toc7187558"/>
      <w:r>
        <w:lastRenderedPageBreak/>
        <w:t>Case Study Results</w:t>
      </w:r>
      <w:bookmarkEnd w:id="806"/>
      <w:bookmarkEnd w:id="807"/>
    </w:p>
    <w:p w14:paraId="6B8C36E2" w14:textId="41060297" w:rsidR="000F16EB" w:rsidRDefault="000F16EB" w:rsidP="000F16EB">
      <w:r>
        <w:t xml:space="preserve">A typical week of operation for the five case studies is shown in </w:t>
      </w:r>
      <w:r>
        <w:fldChar w:fldCharType="begin"/>
      </w:r>
      <w:r>
        <w:instrText xml:space="preserve"> REF _Ref523654230 \h </w:instrText>
      </w:r>
      <w:r>
        <w:fldChar w:fldCharType="separate"/>
      </w:r>
      <w:r w:rsidR="00CB7456">
        <w:t xml:space="preserve">Figure </w:t>
      </w:r>
      <w:r w:rsidR="00CB7456">
        <w:rPr>
          <w:noProof/>
        </w:rPr>
        <w:t>7</w:t>
      </w:r>
      <w:r w:rsidR="00CB7456">
        <w:t>.</w:t>
      </w:r>
      <w:r w:rsidR="00CB7456">
        <w:rPr>
          <w:noProof/>
        </w:rPr>
        <w:t>2</w:t>
      </w:r>
      <w:r>
        <w:fldChar w:fldCharType="end"/>
      </w:r>
      <w:r>
        <w:t xml:space="preserve">. </w:t>
      </w:r>
      <w:r>
        <w:fldChar w:fldCharType="begin"/>
      </w:r>
      <w:r>
        <w:instrText xml:space="preserve"> REF _Ref523654230 \h </w:instrText>
      </w:r>
      <w:r>
        <w:fldChar w:fldCharType="separate"/>
      </w:r>
      <w:r w:rsidR="00CB7456">
        <w:t xml:space="preserve">Figure </w:t>
      </w:r>
      <w:r w:rsidR="00CB7456">
        <w:rPr>
          <w:noProof/>
        </w:rPr>
        <w:t>7</w:t>
      </w:r>
      <w:r w:rsidR="00CB7456">
        <w:t>.</w:t>
      </w:r>
      <w:r w:rsidR="00CB7456">
        <w:rPr>
          <w:noProof/>
        </w:rPr>
        <w:t>2</w:t>
      </w:r>
      <w:r>
        <w:fldChar w:fldCharType="end"/>
      </w:r>
      <w:r>
        <w:t xml:space="preserve">a shows the typical week of operation of the reference scenario, that does not use TES; </w:t>
      </w:r>
      <w:proofErr w:type="gramStart"/>
      <w:r>
        <w:t>however</w:t>
      </w:r>
      <w:proofErr w:type="gramEnd"/>
      <w:r>
        <w:t xml:space="preserve"> the reference scenario used a back-up natural gas fired burner. </w:t>
      </w:r>
      <w:r>
        <w:fldChar w:fldCharType="begin"/>
      </w:r>
      <w:r>
        <w:instrText xml:space="preserve"> REF _Ref523654230 \h </w:instrText>
      </w:r>
      <w:r>
        <w:fldChar w:fldCharType="separate"/>
      </w:r>
      <w:r w:rsidR="00CB7456">
        <w:t xml:space="preserve">Figure </w:t>
      </w:r>
      <w:r w:rsidR="00CB7456">
        <w:rPr>
          <w:noProof/>
        </w:rPr>
        <w:t>7</w:t>
      </w:r>
      <w:r w:rsidR="00CB7456">
        <w:t>.</w:t>
      </w:r>
      <w:r w:rsidR="00CB7456">
        <w:rPr>
          <w:noProof/>
        </w:rPr>
        <w:t>2</w:t>
      </w:r>
      <w:r>
        <w:fldChar w:fldCharType="end"/>
      </w:r>
      <w:r>
        <w:t>a shows time periods during which the HD exceeded the heat supply and the back-up natural gas fired burner was required. The opposite is also shown, whereby there were periods where the heat supply exceeded the HD, during which a TES system could be utilised, reducing the use of the back</w:t>
      </w:r>
      <w:r>
        <w:noBreakHyphen/>
        <w:t xml:space="preserve">up burner. </w:t>
      </w:r>
    </w:p>
    <w:p w14:paraId="64B9DB58" w14:textId="6F7FA0C7" w:rsidR="005D542C" w:rsidRPr="003650C8" w:rsidRDefault="005D542C" w:rsidP="005D542C">
      <w:r w:rsidRPr="003650C8">
        <w:fldChar w:fldCharType="begin"/>
      </w:r>
      <w:r w:rsidRPr="003650C8">
        <w:instrText xml:space="preserve"> REF _Ref523654230 \h </w:instrText>
      </w:r>
      <w:r w:rsidRPr="003650C8">
        <w:fldChar w:fldCharType="separate"/>
      </w:r>
      <w:r w:rsidR="00CB7456">
        <w:t xml:space="preserve">Figure </w:t>
      </w:r>
      <w:r w:rsidR="00CB7456">
        <w:rPr>
          <w:noProof/>
        </w:rPr>
        <w:t>7</w:t>
      </w:r>
      <w:r w:rsidR="00CB7456">
        <w:t>.</w:t>
      </w:r>
      <w:r w:rsidR="00CB7456">
        <w:rPr>
          <w:noProof/>
        </w:rPr>
        <w:t>2</w:t>
      </w:r>
      <w:r w:rsidRPr="003650C8">
        <w:fldChar w:fldCharType="end"/>
      </w:r>
      <w:r w:rsidRPr="003650C8">
        <w:t xml:space="preserve">b shows the operation of scenario 1), where a 3.6 MWh HWT was used as the TES. During the time periods where the heat supply exceeded the demand, the HWT was charged and during the time periods where the HD exceeded the supply, the HWT was discharged. The use of the HWT partially reduced the need to use the back-up burner. A minor amount of burner displacement is shown by comparing the burner use in </w:t>
      </w:r>
      <w:r w:rsidRPr="003650C8">
        <w:fldChar w:fldCharType="begin"/>
      </w:r>
      <w:r w:rsidRPr="003650C8">
        <w:instrText xml:space="preserve"> REF _Ref523654230 \h </w:instrText>
      </w:r>
      <w:r w:rsidRPr="003650C8">
        <w:fldChar w:fldCharType="separate"/>
      </w:r>
      <w:r w:rsidR="00CB7456">
        <w:t xml:space="preserve">Figure </w:t>
      </w:r>
      <w:r w:rsidR="00CB7456">
        <w:rPr>
          <w:noProof/>
        </w:rPr>
        <w:t>7</w:t>
      </w:r>
      <w:r w:rsidR="00CB7456">
        <w:t>.</w:t>
      </w:r>
      <w:r w:rsidR="00CB7456">
        <w:rPr>
          <w:noProof/>
        </w:rPr>
        <w:t>2</w:t>
      </w:r>
      <w:r w:rsidRPr="003650C8">
        <w:fldChar w:fldCharType="end"/>
      </w:r>
      <w:r w:rsidRPr="003650C8">
        <w:t xml:space="preserve">a and </w:t>
      </w:r>
      <w:r w:rsidRPr="003650C8">
        <w:fldChar w:fldCharType="begin"/>
      </w:r>
      <w:r w:rsidRPr="003650C8">
        <w:instrText xml:space="preserve"> REF _Ref523654230 \h </w:instrText>
      </w:r>
      <w:r w:rsidRPr="003650C8">
        <w:fldChar w:fldCharType="separate"/>
      </w:r>
      <w:r w:rsidR="00CB7456">
        <w:t xml:space="preserve">Figure </w:t>
      </w:r>
      <w:r w:rsidR="00CB7456">
        <w:rPr>
          <w:noProof/>
        </w:rPr>
        <w:t>7</w:t>
      </w:r>
      <w:r w:rsidR="00CB7456">
        <w:t>.</w:t>
      </w:r>
      <w:r w:rsidR="00CB7456">
        <w:rPr>
          <w:noProof/>
        </w:rPr>
        <w:t>2</w:t>
      </w:r>
      <w:r w:rsidRPr="003650C8">
        <w:fldChar w:fldCharType="end"/>
      </w:r>
      <w:r w:rsidRPr="003650C8">
        <w:t xml:space="preserve">b, noting the missing peaks in </w:t>
      </w:r>
      <w:r w:rsidRPr="003650C8">
        <w:fldChar w:fldCharType="begin"/>
      </w:r>
      <w:r w:rsidRPr="003650C8">
        <w:instrText xml:space="preserve"> REF _Ref523654230 \h </w:instrText>
      </w:r>
      <w:r w:rsidRPr="003650C8">
        <w:fldChar w:fldCharType="separate"/>
      </w:r>
      <w:r w:rsidR="00CB7456">
        <w:t xml:space="preserve">Figure </w:t>
      </w:r>
      <w:r w:rsidR="00CB7456">
        <w:rPr>
          <w:noProof/>
        </w:rPr>
        <w:t>7</w:t>
      </w:r>
      <w:r w:rsidR="00CB7456">
        <w:t>.</w:t>
      </w:r>
      <w:r w:rsidR="00CB7456">
        <w:rPr>
          <w:noProof/>
        </w:rPr>
        <w:t>2</w:t>
      </w:r>
      <w:r w:rsidRPr="003650C8">
        <w:fldChar w:fldCharType="end"/>
      </w:r>
      <w:r w:rsidRPr="003650C8">
        <w:t xml:space="preserve">b. </w:t>
      </w:r>
      <w:bookmarkStart w:id="808" w:name="_Hlk534736080"/>
      <w:r w:rsidRPr="003650C8">
        <w:t>However, due to the minor levels of burner displacement, more analysis will be needed to see the effects that installing HWTs has on the performance of the DHN</w:t>
      </w:r>
      <w:bookmarkEnd w:id="808"/>
      <w:r w:rsidRPr="003650C8">
        <w:t xml:space="preserve">. The 3.6 MWh HWT was the correct size for the DHN studied, as the tank was large enough to store all of the excess TE in the case study. Using a larger HWT would not allow for further reduction of the back-up </w:t>
      </w:r>
      <w:proofErr w:type="gramStart"/>
      <w:r w:rsidRPr="003650C8">
        <w:t>burner</w:t>
      </w:r>
      <w:proofErr w:type="gramEnd"/>
      <w:r w:rsidRPr="003650C8">
        <w:t xml:space="preserve"> however, would increase the system costs. </w:t>
      </w:r>
    </w:p>
    <w:p w14:paraId="4920B954" w14:textId="7B45D397" w:rsidR="005D542C" w:rsidRDefault="005D542C" w:rsidP="005D542C">
      <w:r>
        <w:fldChar w:fldCharType="begin"/>
      </w:r>
      <w:r>
        <w:instrText xml:space="preserve"> REF _Ref523654230 \h </w:instrText>
      </w:r>
      <w:r>
        <w:fldChar w:fldCharType="separate"/>
      </w:r>
      <w:r w:rsidR="00CB7456">
        <w:t xml:space="preserve">Figure </w:t>
      </w:r>
      <w:r w:rsidR="00CB7456">
        <w:rPr>
          <w:noProof/>
        </w:rPr>
        <w:t>7</w:t>
      </w:r>
      <w:r w:rsidR="00CB7456">
        <w:t>.</w:t>
      </w:r>
      <w:r w:rsidR="00CB7456">
        <w:rPr>
          <w:noProof/>
        </w:rPr>
        <w:t>2</w:t>
      </w:r>
      <w:r>
        <w:fldChar w:fldCharType="end"/>
      </w:r>
      <w:r>
        <w:t>c shows the operation of scenario 2), where two 1.8 MWh HWTs were used as the TES. HWT-1 was set as the primary tank, while HWT-2 was set as the secondary tank. HWT</w:t>
      </w:r>
      <w:r>
        <w:noBreakHyphen/>
        <w:t>2 was only charged when HWT</w:t>
      </w:r>
      <w:r>
        <w:noBreakHyphen/>
        <w:t xml:space="preserve">1 was full, and the heat supply still exceeded the demand; </w:t>
      </w:r>
      <w:proofErr w:type="gramStart"/>
      <w:r>
        <w:t>similarly</w:t>
      </w:r>
      <w:proofErr w:type="gramEnd"/>
      <w:r>
        <w:t xml:space="preserve"> HWT</w:t>
      </w:r>
      <w:r>
        <w:noBreakHyphen/>
        <w:t>2 was only discharged when HWT</w:t>
      </w:r>
      <w:r>
        <w:noBreakHyphen/>
        <w:t xml:space="preserve">1 was empty, and the HD still exceeded the supply. A comparison of </w:t>
      </w:r>
      <w:r>
        <w:fldChar w:fldCharType="begin"/>
      </w:r>
      <w:r>
        <w:instrText xml:space="preserve"> REF _Ref523654230 \h </w:instrText>
      </w:r>
      <w:r>
        <w:fldChar w:fldCharType="separate"/>
      </w:r>
      <w:r w:rsidR="00CB7456">
        <w:t xml:space="preserve">Figure </w:t>
      </w:r>
      <w:r w:rsidR="00CB7456">
        <w:rPr>
          <w:noProof/>
        </w:rPr>
        <w:t>7</w:t>
      </w:r>
      <w:r w:rsidR="00CB7456">
        <w:t>.</w:t>
      </w:r>
      <w:r w:rsidR="00CB7456">
        <w:rPr>
          <w:noProof/>
        </w:rPr>
        <w:t>2</w:t>
      </w:r>
      <w:r>
        <w:fldChar w:fldCharType="end"/>
      </w:r>
      <w:r>
        <w:t xml:space="preserve">c and </w:t>
      </w:r>
      <w:r>
        <w:fldChar w:fldCharType="begin"/>
      </w:r>
      <w:r>
        <w:instrText xml:space="preserve"> REF _Ref523654230 \h </w:instrText>
      </w:r>
      <w:r>
        <w:fldChar w:fldCharType="separate"/>
      </w:r>
      <w:r w:rsidR="00CB7456">
        <w:t xml:space="preserve">Figure </w:t>
      </w:r>
      <w:r w:rsidR="00CB7456">
        <w:rPr>
          <w:noProof/>
        </w:rPr>
        <w:t>7</w:t>
      </w:r>
      <w:r w:rsidR="00CB7456">
        <w:t>.</w:t>
      </w:r>
      <w:r w:rsidR="00CB7456">
        <w:rPr>
          <w:noProof/>
        </w:rPr>
        <w:t>2</w:t>
      </w:r>
      <w:r>
        <w:fldChar w:fldCharType="end"/>
      </w:r>
      <w:r>
        <w:t>b does not show the effect that using two HWTs instead of one has on the reduction of the back-up burner. More analysis was needed to assess the differences, if any, between scenarios 1) and 2). The further analysis focused on the difference between the costs and the environmental effects of the scenarios.</w:t>
      </w:r>
    </w:p>
    <w:p w14:paraId="077296BF" w14:textId="4B97C0E2" w:rsidR="005D542C" w:rsidRPr="003650C8" w:rsidRDefault="005D542C" w:rsidP="005D542C">
      <w:r w:rsidRPr="003650C8">
        <w:fldChar w:fldCharType="begin"/>
      </w:r>
      <w:r w:rsidRPr="003650C8">
        <w:instrText xml:space="preserve"> REF _Ref523654230 \h </w:instrText>
      </w:r>
      <w:r w:rsidRPr="003650C8">
        <w:fldChar w:fldCharType="separate"/>
      </w:r>
      <w:r w:rsidR="00CB7456">
        <w:t xml:space="preserve">Figure </w:t>
      </w:r>
      <w:r w:rsidR="00CB7456">
        <w:rPr>
          <w:noProof/>
        </w:rPr>
        <w:t>7</w:t>
      </w:r>
      <w:r w:rsidR="00CB7456">
        <w:t>.</w:t>
      </w:r>
      <w:r w:rsidR="00CB7456">
        <w:rPr>
          <w:noProof/>
        </w:rPr>
        <w:t>2</w:t>
      </w:r>
      <w:r w:rsidRPr="003650C8">
        <w:fldChar w:fldCharType="end"/>
      </w:r>
      <w:r w:rsidRPr="003650C8">
        <w:t xml:space="preserve">d shows the operation of scenario 3), where the thermal inertia of the buildings connected to the DHN were utilised as the TES. Due to the small number of buildings connected to the DHN, the maximum energy storage capacity was limited. Comparing the curves of the back-up burner in </w:t>
      </w:r>
      <w:r w:rsidRPr="003650C8">
        <w:fldChar w:fldCharType="begin"/>
      </w:r>
      <w:r w:rsidRPr="003650C8">
        <w:instrText xml:space="preserve"> REF _Ref523654230 \h </w:instrText>
      </w:r>
      <w:r w:rsidRPr="003650C8">
        <w:fldChar w:fldCharType="separate"/>
      </w:r>
      <w:r w:rsidR="00CB7456">
        <w:t xml:space="preserve">Figure </w:t>
      </w:r>
      <w:r w:rsidR="00CB7456">
        <w:rPr>
          <w:noProof/>
        </w:rPr>
        <w:t>7</w:t>
      </w:r>
      <w:r w:rsidR="00CB7456">
        <w:t>.</w:t>
      </w:r>
      <w:r w:rsidR="00CB7456">
        <w:rPr>
          <w:noProof/>
        </w:rPr>
        <w:t>2</w:t>
      </w:r>
      <w:r w:rsidRPr="003650C8">
        <w:fldChar w:fldCharType="end"/>
      </w:r>
      <w:r w:rsidRPr="003650C8">
        <w:t xml:space="preserve">d to </w:t>
      </w:r>
      <w:r w:rsidRPr="003650C8">
        <w:fldChar w:fldCharType="begin"/>
      </w:r>
      <w:r w:rsidRPr="003650C8">
        <w:instrText xml:space="preserve"> REF _Ref523654230 \h </w:instrText>
      </w:r>
      <w:r w:rsidRPr="003650C8">
        <w:fldChar w:fldCharType="separate"/>
      </w:r>
      <w:r w:rsidR="00CB7456">
        <w:t xml:space="preserve">Figure </w:t>
      </w:r>
      <w:r w:rsidR="00CB7456">
        <w:rPr>
          <w:noProof/>
        </w:rPr>
        <w:t>7</w:t>
      </w:r>
      <w:r w:rsidR="00CB7456">
        <w:t>.</w:t>
      </w:r>
      <w:r w:rsidR="00CB7456">
        <w:rPr>
          <w:noProof/>
        </w:rPr>
        <w:t>2</w:t>
      </w:r>
      <w:r w:rsidRPr="003650C8">
        <w:fldChar w:fldCharType="end"/>
      </w:r>
      <w:r w:rsidRPr="003650C8">
        <w:t xml:space="preserve">b and </w:t>
      </w:r>
      <w:r w:rsidRPr="003650C8">
        <w:fldChar w:fldCharType="begin"/>
      </w:r>
      <w:r w:rsidRPr="003650C8">
        <w:instrText xml:space="preserve"> REF _Ref523654230 \h </w:instrText>
      </w:r>
      <w:r w:rsidRPr="003650C8">
        <w:fldChar w:fldCharType="separate"/>
      </w:r>
      <w:r w:rsidR="00CB7456">
        <w:t xml:space="preserve">Figure </w:t>
      </w:r>
      <w:r w:rsidR="00CB7456">
        <w:rPr>
          <w:noProof/>
        </w:rPr>
        <w:t>7</w:t>
      </w:r>
      <w:r w:rsidR="00CB7456">
        <w:t>.</w:t>
      </w:r>
      <w:r w:rsidR="00CB7456">
        <w:rPr>
          <w:noProof/>
        </w:rPr>
        <w:t>2</w:t>
      </w:r>
      <w:r w:rsidRPr="003650C8">
        <w:fldChar w:fldCharType="end"/>
      </w:r>
      <w:r w:rsidRPr="003650C8">
        <w:t xml:space="preserve">c shows the limited ability of scenario 3) to reduce the use of the back-up burner. Again, the differences between the scenarios </w:t>
      </w:r>
      <w:r>
        <w:t>we</w:t>
      </w:r>
      <w:r w:rsidRPr="003650C8">
        <w:t xml:space="preserve">re only minor and more assessment will be needed. The maximum energy storage capacity was approximately 2 MWh, which was less than the maximum energy storage available in the case study. The limited energy storage capacity of scenario 3) explains the limited potential to reduce the use of the back-up burner. </w:t>
      </w:r>
    </w:p>
    <w:p w14:paraId="7FD446C0" w14:textId="550FB98A" w:rsidR="000F16EB" w:rsidRDefault="007164D8" w:rsidP="000F16EB">
      <w:pPr>
        <w:keepNext/>
        <w:jc w:val="center"/>
      </w:pPr>
      <w:r>
        <w:rPr>
          <w:noProof/>
        </w:rPr>
        <w:lastRenderedPageBreak/>
        <w:drawing>
          <wp:inline distT="0" distB="0" distL="0" distR="0" wp14:anchorId="574DB5DA" wp14:editId="0C25CFDA">
            <wp:extent cx="3096000" cy="7564090"/>
            <wp:effectExtent l="19050" t="19050" r="28575" b="184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lowRoot157-0.png"/>
                    <pic:cNvPicPr/>
                  </pic:nvPicPr>
                  <pic:blipFill>
                    <a:blip r:embed="rId54">
                      <a:extLst>
                        <a:ext uri="{28A0092B-C50C-407E-A947-70E740481C1C}">
                          <a14:useLocalDpi xmlns:a14="http://schemas.microsoft.com/office/drawing/2010/main" val="0"/>
                        </a:ext>
                      </a:extLst>
                    </a:blip>
                    <a:stretch>
                      <a:fillRect/>
                    </a:stretch>
                  </pic:blipFill>
                  <pic:spPr>
                    <a:xfrm>
                      <a:off x="0" y="0"/>
                      <a:ext cx="3096000" cy="7564090"/>
                    </a:xfrm>
                    <a:prstGeom prst="rect">
                      <a:avLst/>
                    </a:prstGeom>
                    <a:ln>
                      <a:solidFill>
                        <a:schemeClr val="tx1"/>
                      </a:solidFill>
                    </a:ln>
                  </pic:spPr>
                </pic:pic>
              </a:graphicData>
            </a:graphic>
          </wp:inline>
        </w:drawing>
      </w:r>
    </w:p>
    <w:p w14:paraId="0DAB3DC5" w14:textId="69CE1E33" w:rsidR="000F16EB" w:rsidRDefault="000F16EB" w:rsidP="000F16EB">
      <w:pPr>
        <w:pStyle w:val="Caption"/>
      </w:pPr>
      <w:bookmarkStart w:id="809" w:name="_Ref523654230"/>
      <w:bookmarkStart w:id="810" w:name="_Toc525230107"/>
      <w:bookmarkStart w:id="811" w:name="_Toc7187655"/>
      <w:r>
        <w:t xml:space="preserve">Figure </w:t>
      </w:r>
      <w:fldSimple w:instr=" STYLEREF 1 \s ">
        <w:r w:rsidR="00CB7456">
          <w:rPr>
            <w:noProof/>
          </w:rPr>
          <w:t>7</w:t>
        </w:r>
      </w:fldSimple>
      <w:r w:rsidR="007B29C3">
        <w:t>.</w:t>
      </w:r>
      <w:fldSimple w:instr=" SEQ Figure \* ARABIC \s 1 ">
        <w:r w:rsidR="00CB7456">
          <w:rPr>
            <w:noProof/>
          </w:rPr>
          <w:t>2</w:t>
        </w:r>
      </w:fldSimple>
      <w:bookmarkEnd w:id="809"/>
      <w:r>
        <w:rPr>
          <w:noProof/>
        </w:rPr>
        <w:t>:</w:t>
      </w:r>
      <w:r>
        <w:t xml:space="preserve"> Example of a standard week of operation</w:t>
      </w:r>
      <w:r w:rsidRPr="00D150D9">
        <w:t xml:space="preserve"> for the </w:t>
      </w:r>
      <w:r>
        <w:t>five scenarios, showing the variations in the</w:t>
      </w:r>
      <w:r w:rsidRPr="00D150D9">
        <w:t xml:space="preserve"> power supply</w:t>
      </w:r>
      <w:r>
        <w:t xml:space="preserve"> (full red line)</w:t>
      </w:r>
      <w:r w:rsidRPr="00D150D9">
        <w:t xml:space="preserve"> and demand</w:t>
      </w:r>
      <w:r>
        <w:t xml:space="preserve"> (full blue line)</w:t>
      </w:r>
      <w:r w:rsidRPr="00D150D9">
        <w:t xml:space="preserve"> on the DHN, the power level needed for the back-up burner</w:t>
      </w:r>
      <w:r>
        <w:t xml:space="preserve"> (full green line),</w:t>
      </w:r>
      <w:r w:rsidRPr="00D150D9">
        <w:t xml:space="preserve"> and the </w:t>
      </w:r>
      <w:r>
        <w:t>power</w:t>
      </w:r>
      <w:r w:rsidRPr="00D150D9">
        <w:t xml:space="preserve"> supply to the customer (the sum of the power levels of the supply</w:t>
      </w:r>
      <w:r>
        <w:t xml:space="preserve"> (dashed grey line),</w:t>
      </w:r>
      <w:r w:rsidRPr="00D150D9">
        <w:t xml:space="preserve"> </w:t>
      </w:r>
      <w:r>
        <w:t>the</w:t>
      </w:r>
      <w:r w:rsidRPr="00D150D9">
        <w:t xml:space="preserve"> burner</w:t>
      </w:r>
      <w:r>
        <w:t xml:space="preserve"> (full green line), and TES (full and dashed black lines)</w:t>
      </w:r>
      <w:r w:rsidRPr="00D150D9">
        <w:t>)</w:t>
      </w:r>
      <w:r>
        <w:t xml:space="preserve"> as well as the energy levels in the TES system(s)</w:t>
      </w:r>
      <w:r w:rsidRPr="00D150D9">
        <w:t>.</w:t>
      </w:r>
      <w:r>
        <w:t xml:space="preserve"> (a) Example of a standard week of operation</w:t>
      </w:r>
      <w:r w:rsidRPr="00D150D9">
        <w:t xml:space="preserve"> </w:t>
      </w:r>
      <w:r>
        <w:t>for the reference scenario with no TES. (b) Example of a standard week of operation for scenario 1), with the single 3.6 MWh HWT. (c)</w:t>
      </w:r>
      <w:r w:rsidRPr="00EB4C16">
        <w:t xml:space="preserve"> </w:t>
      </w:r>
      <w:r>
        <w:t>Example of a standard week of operation</w:t>
      </w:r>
      <w:r w:rsidRPr="00D150D9">
        <w:t xml:space="preserve"> </w:t>
      </w:r>
      <w:r>
        <w:t>for scenario 2), with the pair of 1.8 MWh HWTs.</w:t>
      </w:r>
      <w:bookmarkEnd w:id="811"/>
      <w:r>
        <w:t xml:space="preserve"> </w:t>
      </w:r>
      <w:bookmarkEnd w:id="810"/>
    </w:p>
    <w:p w14:paraId="7F5D9615" w14:textId="77777777" w:rsidR="007164D8" w:rsidRDefault="007164D8" w:rsidP="007164D8">
      <w:pPr>
        <w:keepNext/>
        <w:jc w:val="center"/>
      </w:pPr>
      <w:r>
        <w:rPr>
          <w:noProof/>
        </w:rPr>
        <w:lastRenderedPageBreak/>
        <w:drawing>
          <wp:inline distT="0" distB="0" distL="0" distR="0" wp14:anchorId="43A48AA1" wp14:editId="2A25BA4F">
            <wp:extent cx="3096000" cy="5128846"/>
            <wp:effectExtent l="19050" t="19050" r="28575" b="1524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flowRoot157-06.png"/>
                    <pic:cNvPicPr/>
                  </pic:nvPicPr>
                  <pic:blipFill>
                    <a:blip r:embed="rId55">
                      <a:extLst>
                        <a:ext uri="{28A0092B-C50C-407E-A947-70E740481C1C}">
                          <a14:useLocalDpi xmlns:a14="http://schemas.microsoft.com/office/drawing/2010/main" val="0"/>
                        </a:ext>
                      </a:extLst>
                    </a:blip>
                    <a:stretch>
                      <a:fillRect/>
                    </a:stretch>
                  </pic:blipFill>
                  <pic:spPr>
                    <a:xfrm>
                      <a:off x="0" y="0"/>
                      <a:ext cx="3096000" cy="5128846"/>
                    </a:xfrm>
                    <a:prstGeom prst="rect">
                      <a:avLst/>
                    </a:prstGeom>
                    <a:ln>
                      <a:solidFill>
                        <a:schemeClr val="tx1"/>
                      </a:solidFill>
                    </a:ln>
                  </pic:spPr>
                </pic:pic>
              </a:graphicData>
            </a:graphic>
          </wp:inline>
        </w:drawing>
      </w:r>
    </w:p>
    <w:p w14:paraId="254CE339" w14:textId="5B399640" w:rsidR="00682CF9" w:rsidRDefault="009B5D43" w:rsidP="00682CF9">
      <w:pPr>
        <w:pStyle w:val="Caption"/>
      </w:pPr>
      <w:r>
        <w:rPr>
          <w:noProof/>
        </w:rPr>
        <w:fldChar w:fldCharType="begin"/>
      </w:r>
      <w:r>
        <w:rPr>
          <w:noProof/>
        </w:rPr>
        <w:instrText xml:space="preserve"> REF _Ref523654230 \h </w:instrText>
      </w:r>
      <w:r>
        <w:rPr>
          <w:noProof/>
        </w:rPr>
      </w:r>
      <w:r>
        <w:rPr>
          <w:noProof/>
        </w:rPr>
        <w:fldChar w:fldCharType="separate"/>
      </w:r>
      <w:r w:rsidR="00CB7456">
        <w:t xml:space="preserve">Figure </w:t>
      </w:r>
      <w:r w:rsidR="00CB7456">
        <w:rPr>
          <w:noProof/>
        </w:rPr>
        <w:t>7</w:t>
      </w:r>
      <w:r w:rsidR="00CB7456">
        <w:t>.</w:t>
      </w:r>
      <w:r w:rsidR="00CB7456">
        <w:rPr>
          <w:noProof/>
        </w:rPr>
        <w:t>2</w:t>
      </w:r>
      <w:r>
        <w:rPr>
          <w:noProof/>
        </w:rPr>
        <w:fldChar w:fldCharType="end"/>
      </w:r>
      <w:r>
        <w:rPr>
          <w:noProof/>
        </w:rPr>
        <w:t xml:space="preserve"> (continued)</w:t>
      </w:r>
      <w:r w:rsidR="00682CF9">
        <w:rPr>
          <w:noProof/>
        </w:rPr>
        <w:t>:</w:t>
      </w:r>
      <w:r w:rsidR="00682CF9">
        <w:t xml:space="preserve"> (</w:t>
      </w:r>
      <w:r>
        <w:t>d</w:t>
      </w:r>
      <w:r w:rsidR="00682CF9">
        <w:t>) Example of a standard week of operation</w:t>
      </w:r>
      <w:r w:rsidR="00682CF9" w:rsidRPr="00D150D9">
        <w:t xml:space="preserve"> </w:t>
      </w:r>
      <w:r w:rsidR="00682CF9">
        <w:t>for scenario 3), utilising the thermal inertia of the buildings on the network, showing the storage levels of the shallow and the deep building components. (</w:t>
      </w:r>
      <w:r>
        <w:t>e</w:t>
      </w:r>
      <w:r w:rsidR="00682CF9">
        <w:t>)</w:t>
      </w:r>
      <w:r w:rsidR="00682CF9" w:rsidRPr="00EB4C16">
        <w:t xml:space="preserve"> </w:t>
      </w:r>
      <w:r w:rsidR="00682CF9">
        <w:t>Example of a standard week of operation</w:t>
      </w:r>
      <w:r w:rsidR="00682CF9" w:rsidRPr="00D150D9">
        <w:t xml:space="preserve"> </w:t>
      </w:r>
      <w:r w:rsidR="00682CF9">
        <w:t>for scenario 4), utilising the thermal inertia of the pipe network.</w:t>
      </w:r>
    </w:p>
    <w:p w14:paraId="6BB56ADE" w14:textId="678D3A16" w:rsidR="000F16EB" w:rsidRPr="003650C8" w:rsidRDefault="000F16EB" w:rsidP="000F16EB">
      <w:r w:rsidRPr="003650C8">
        <w:fldChar w:fldCharType="begin"/>
      </w:r>
      <w:r w:rsidRPr="003650C8">
        <w:instrText xml:space="preserve"> REF _Ref523654230 \h </w:instrText>
      </w:r>
      <w:r w:rsidRPr="003650C8">
        <w:fldChar w:fldCharType="separate"/>
      </w:r>
      <w:r w:rsidR="00CB7456">
        <w:t xml:space="preserve">Figure </w:t>
      </w:r>
      <w:r w:rsidR="00CB7456">
        <w:rPr>
          <w:noProof/>
        </w:rPr>
        <w:t>7</w:t>
      </w:r>
      <w:r w:rsidR="00CB7456">
        <w:t>.</w:t>
      </w:r>
      <w:r w:rsidR="00CB7456">
        <w:rPr>
          <w:noProof/>
        </w:rPr>
        <w:t>2</w:t>
      </w:r>
      <w:r w:rsidRPr="003650C8">
        <w:fldChar w:fldCharType="end"/>
      </w:r>
      <w:r w:rsidRPr="003650C8">
        <w:t xml:space="preserve">e shows the operation of scenario 4), where the thermal inertia of the pipes in the DHN are utilised as the TES. </w:t>
      </w:r>
      <w:proofErr w:type="gramStart"/>
      <w:r w:rsidRPr="003650C8">
        <w:t>Similarly</w:t>
      </w:r>
      <w:proofErr w:type="gramEnd"/>
      <w:r w:rsidRPr="003650C8">
        <w:t xml:space="preserve"> to scenario 3), the maximum energy storage potential of scenario 4) was limited by the size of the pipe network. The maximum energy storage capacity was 3.4 MWh, which was marginally less than the maximum energy available in the case study. Comparing </w:t>
      </w:r>
      <w:r w:rsidRPr="003650C8">
        <w:fldChar w:fldCharType="begin"/>
      </w:r>
      <w:r w:rsidRPr="003650C8">
        <w:instrText xml:space="preserve"> REF _Ref523654230 \h </w:instrText>
      </w:r>
      <w:r w:rsidRPr="003650C8">
        <w:fldChar w:fldCharType="separate"/>
      </w:r>
      <w:r w:rsidR="00CB7456">
        <w:t xml:space="preserve">Figure </w:t>
      </w:r>
      <w:r w:rsidR="00CB7456">
        <w:rPr>
          <w:noProof/>
        </w:rPr>
        <w:t>7</w:t>
      </w:r>
      <w:r w:rsidR="00CB7456">
        <w:t>.</w:t>
      </w:r>
      <w:r w:rsidR="00CB7456">
        <w:rPr>
          <w:noProof/>
        </w:rPr>
        <w:t>2</w:t>
      </w:r>
      <w:r w:rsidRPr="003650C8">
        <w:fldChar w:fldCharType="end"/>
      </w:r>
      <w:r w:rsidRPr="003650C8">
        <w:t xml:space="preserve">e and </w:t>
      </w:r>
      <w:r w:rsidRPr="003650C8">
        <w:fldChar w:fldCharType="begin"/>
      </w:r>
      <w:r w:rsidRPr="003650C8">
        <w:instrText xml:space="preserve"> REF _Ref523654230 \h </w:instrText>
      </w:r>
      <w:r w:rsidRPr="003650C8">
        <w:fldChar w:fldCharType="separate"/>
      </w:r>
      <w:r w:rsidR="00CB7456">
        <w:t xml:space="preserve">Figure </w:t>
      </w:r>
      <w:r w:rsidR="00CB7456">
        <w:rPr>
          <w:noProof/>
        </w:rPr>
        <w:t>7</w:t>
      </w:r>
      <w:r w:rsidR="00CB7456">
        <w:t>.</w:t>
      </w:r>
      <w:r w:rsidR="00CB7456">
        <w:rPr>
          <w:noProof/>
        </w:rPr>
        <w:t>2</w:t>
      </w:r>
      <w:r w:rsidRPr="003650C8">
        <w:fldChar w:fldCharType="end"/>
      </w:r>
      <w:r w:rsidRPr="003650C8">
        <w:t>d shows that scenario 4) was more effective at displacing the use of the back-up burner than scenario 3).</w:t>
      </w:r>
      <w:r w:rsidR="00C97677" w:rsidRPr="003650C8">
        <w:t xml:space="preserve"> Again, the difference between the scenarios </w:t>
      </w:r>
      <w:r w:rsidR="00BA09FC">
        <w:t>was</w:t>
      </w:r>
      <w:r w:rsidR="00C97677" w:rsidRPr="003650C8">
        <w:t xml:space="preserve"> only minor and more assessment will be needed.</w:t>
      </w:r>
      <w:r w:rsidRPr="003650C8">
        <w:t xml:space="preserve"> The 3.4 MWh capacity of scenario 4) was similar to the maximum energy available in the system, showing that the network was close to being fully optimised.</w:t>
      </w:r>
    </w:p>
    <w:p w14:paraId="29D1BDDC" w14:textId="4D7000A3" w:rsidR="000F16EB" w:rsidRDefault="000F16EB" w:rsidP="000F16EB">
      <w:r>
        <w:t xml:space="preserve">More analysis was needed to further elaborate on the differences between the TES scenarios, particularly on the ability of each scenario to reduce the use of the back-up burner. </w:t>
      </w:r>
      <w:r>
        <w:fldChar w:fldCharType="begin"/>
      </w:r>
      <w:r>
        <w:instrText xml:space="preserve"> REF _Ref523655753 \h </w:instrText>
      </w:r>
      <w:r>
        <w:fldChar w:fldCharType="separate"/>
      </w:r>
      <w:r w:rsidR="00CB7456">
        <w:t xml:space="preserve">Table </w:t>
      </w:r>
      <w:r w:rsidR="00CB7456">
        <w:rPr>
          <w:noProof/>
        </w:rPr>
        <w:t>7</w:t>
      </w:r>
      <w:r w:rsidR="00CB7456">
        <w:t>.</w:t>
      </w:r>
      <w:r w:rsidR="00CB7456">
        <w:rPr>
          <w:noProof/>
        </w:rPr>
        <w:t>4</w:t>
      </w:r>
      <w:r>
        <w:fldChar w:fldCharType="end"/>
      </w:r>
      <w:r>
        <w:t xml:space="preserve"> </w:t>
      </w:r>
      <w:r w:rsidRPr="00D150D9">
        <w:t xml:space="preserve">shows the </w:t>
      </w:r>
      <w:r>
        <w:t>average storage levels for each TES scenario as well as the frequency of each one reaching a variety of levels of state of charge (SOC).</w:t>
      </w:r>
      <w:r w:rsidRPr="00D150D9">
        <w:t xml:space="preserve"> </w:t>
      </w:r>
      <w:r>
        <w:t xml:space="preserve">A SOC is a comparison between the amount of heat stored in the TES compared to the maximum storage level possible. </w:t>
      </w:r>
      <w:r w:rsidRPr="00D150D9">
        <w:t xml:space="preserve">The </w:t>
      </w:r>
      <w:r>
        <w:t xml:space="preserve">SOC </w:t>
      </w:r>
      <w:r>
        <w:lastRenderedPageBreak/>
        <w:t>frequencies</w:t>
      </w:r>
      <w:r w:rsidRPr="00D150D9">
        <w:t xml:space="preserve"> show how the operating schedules of the different scenarios differ, </w:t>
      </w:r>
      <w:r>
        <w:t>showing</w:t>
      </w:r>
      <w:r w:rsidRPr="00D150D9">
        <w:t xml:space="preserve"> the</w:t>
      </w:r>
      <w:r>
        <w:t xml:space="preserve"> combined</w:t>
      </w:r>
      <w:r w:rsidRPr="00D150D9">
        <w:t xml:space="preserve"> frequency of charging and discharging. </w:t>
      </w:r>
    </w:p>
    <w:p w14:paraId="6E6D7A75" w14:textId="6A429C3D" w:rsidR="000F16EB" w:rsidRDefault="000F16EB" w:rsidP="000F16EB">
      <w:pPr>
        <w:pStyle w:val="Caption"/>
        <w:keepNext/>
      </w:pPr>
      <w:bookmarkStart w:id="812" w:name="_Ref523655753"/>
      <w:bookmarkStart w:id="813" w:name="_Toc525230144"/>
      <w:bookmarkStart w:id="814" w:name="_Toc7187700"/>
      <w:r>
        <w:t xml:space="preserve">Table </w:t>
      </w:r>
      <w:fldSimple w:instr=" STYLEREF 1 \s ">
        <w:r w:rsidR="00CB7456">
          <w:rPr>
            <w:noProof/>
          </w:rPr>
          <w:t>7</w:t>
        </w:r>
      </w:fldSimple>
      <w:r w:rsidR="009E1A67">
        <w:t>.</w:t>
      </w:r>
      <w:fldSimple w:instr=" SEQ Table \* ARABIC \s 1 ">
        <w:r w:rsidR="00CB7456">
          <w:rPr>
            <w:noProof/>
          </w:rPr>
          <w:t>4</w:t>
        </w:r>
      </w:fldSimple>
      <w:bookmarkEnd w:id="812"/>
      <w:r>
        <w:rPr>
          <w:noProof/>
        </w:rPr>
        <w:t>:</w:t>
      </w:r>
      <w:r>
        <w:t xml:space="preserve"> </w:t>
      </w:r>
      <w:r w:rsidRPr="00D150D9">
        <w:t>The average storage level</w:t>
      </w:r>
      <w:r>
        <w:t>s</w:t>
      </w:r>
      <w:r w:rsidRPr="00D150D9">
        <w:t xml:space="preserve"> for each of the TES scenarios</w:t>
      </w:r>
      <w:r>
        <w:t xml:space="preserve"> and </w:t>
      </w:r>
      <w:r w:rsidRPr="00071530">
        <w:t xml:space="preserve">the number times that </w:t>
      </w:r>
      <w:r>
        <w:t>each</w:t>
      </w:r>
      <w:r w:rsidRPr="00071530">
        <w:t xml:space="preserve"> scenario reaches a </w:t>
      </w:r>
      <w:r>
        <w:t>range of</w:t>
      </w:r>
      <w:r w:rsidRPr="00071530">
        <w:t xml:space="preserve"> level</w:t>
      </w:r>
      <w:r>
        <w:t>s</w:t>
      </w:r>
      <w:r w:rsidRPr="00071530">
        <w:t xml:space="preserve"> of SOC.</w:t>
      </w:r>
      <w:bookmarkEnd w:id="813"/>
      <w:bookmarkEnd w:id="814"/>
    </w:p>
    <w:tbl>
      <w:tblPr>
        <w:tblStyle w:val="TableGrid"/>
        <w:tblW w:w="8080" w:type="dxa"/>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2"/>
        <w:gridCol w:w="1702"/>
        <w:gridCol w:w="1134"/>
        <w:gridCol w:w="1134"/>
        <w:gridCol w:w="1134"/>
        <w:gridCol w:w="1134"/>
      </w:tblGrid>
      <w:tr w:rsidR="000F16EB" w:rsidRPr="008F7B2C" w14:paraId="18065313" w14:textId="77777777" w:rsidTr="00A7521D">
        <w:trPr>
          <w:jc w:val="center"/>
        </w:trPr>
        <w:tc>
          <w:tcPr>
            <w:tcW w:w="1842" w:type="dxa"/>
            <w:vMerge w:val="restart"/>
            <w:tcBorders>
              <w:top w:val="single" w:sz="4" w:space="0" w:color="auto"/>
            </w:tcBorders>
          </w:tcPr>
          <w:p w14:paraId="78FFDD07" w14:textId="77777777" w:rsidR="000F16EB" w:rsidRPr="008F7B2C" w:rsidRDefault="000F16EB" w:rsidP="00A7521D">
            <w:pPr>
              <w:jc w:val="center"/>
              <w:rPr>
                <w:color w:val="000000" w:themeColor="text1"/>
              </w:rPr>
            </w:pPr>
            <w:r w:rsidRPr="008F7B2C">
              <w:rPr>
                <w:color w:val="000000" w:themeColor="text1"/>
              </w:rPr>
              <w:t>TES scenario</w:t>
            </w:r>
            <w:r>
              <w:rPr>
                <w:color w:val="000000" w:themeColor="text1"/>
              </w:rPr>
              <w:softHyphen/>
            </w:r>
          </w:p>
        </w:tc>
        <w:tc>
          <w:tcPr>
            <w:tcW w:w="1702" w:type="dxa"/>
            <w:vMerge w:val="restart"/>
            <w:tcBorders>
              <w:top w:val="single" w:sz="4" w:space="0" w:color="auto"/>
            </w:tcBorders>
          </w:tcPr>
          <w:p w14:paraId="0ACF3F92" w14:textId="77777777" w:rsidR="000F16EB" w:rsidRPr="00D150D9" w:rsidRDefault="000F16EB" w:rsidP="00A7521D">
            <w:pPr>
              <w:jc w:val="center"/>
            </w:pPr>
            <w:r w:rsidRPr="00D150D9">
              <w:t>Average storage level (MWh)</w:t>
            </w:r>
          </w:p>
        </w:tc>
        <w:tc>
          <w:tcPr>
            <w:tcW w:w="4536" w:type="dxa"/>
            <w:gridSpan w:val="4"/>
            <w:tcBorders>
              <w:top w:val="single" w:sz="4" w:space="0" w:color="auto"/>
              <w:bottom w:val="nil"/>
            </w:tcBorders>
          </w:tcPr>
          <w:p w14:paraId="4BC6786A" w14:textId="77777777" w:rsidR="000F16EB" w:rsidRPr="008F7B2C" w:rsidRDefault="000F16EB" w:rsidP="00A7521D">
            <w:pPr>
              <w:jc w:val="center"/>
              <w:rPr>
                <w:color w:val="000000" w:themeColor="text1"/>
              </w:rPr>
            </w:pPr>
            <w:r>
              <w:rPr>
                <w:color w:val="000000" w:themeColor="text1"/>
              </w:rPr>
              <w:t>Number of times that the scenario reaches:</w:t>
            </w:r>
          </w:p>
        </w:tc>
      </w:tr>
      <w:tr w:rsidR="000F16EB" w:rsidRPr="008F7B2C" w14:paraId="37F21404" w14:textId="77777777" w:rsidTr="00A7521D">
        <w:trPr>
          <w:jc w:val="center"/>
        </w:trPr>
        <w:tc>
          <w:tcPr>
            <w:tcW w:w="1842" w:type="dxa"/>
            <w:vMerge/>
            <w:tcBorders>
              <w:bottom w:val="single" w:sz="4" w:space="0" w:color="auto"/>
            </w:tcBorders>
          </w:tcPr>
          <w:p w14:paraId="45ADCE34" w14:textId="77777777" w:rsidR="000F16EB" w:rsidRPr="008F7B2C" w:rsidRDefault="000F16EB" w:rsidP="00A7521D">
            <w:pPr>
              <w:jc w:val="center"/>
              <w:rPr>
                <w:color w:val="000000" w:themeColor="text1"/>
              </w:rPr>
            </w:pPr>
          </w:p>
        </w:tc>
        <w:tc>
          <w:tcPr>
            <w:tcW w:w="1702" w:type="dxa"/>
            <w:vMerge/>
            <w:tcBorders>
              <w:bottom w:val="single" w:sz="4" w:space="0" w:color="auto"/>
            </w:tcBorders>
          </w:tcPr>
          <w:p w14:paraId="37CC739D" w14:textId="77777777" w:rsidR="000F16EB" w:rsidRPr="00D150D9" w:rsidRDefault="000F16EB" w:rsidP="00A7521D">
            <w:pPr>
              <w:jc w:val="center"/>
            </w:pPr>
          </w:p>
        </w:tc>
        <w:tc>
          <w:tcPr>
            <w:tcW w:w="1134" w:type="dxa"/>
            <w:tcBorders>
              <w:top w:val="nil"/>
              <w:bottom w:val="single" w:sz="4" w:space="0" w:color="auto"/>
            </w:tcBorders>
          </w:tcPr>
          <w:p w14:paraId="397C15E4" w14:textId="77777777" w:rsidR="000F16EB" w:rsidRPr="00D150D9" w:rsidRDefault="000F16EB" w:rsidP="00A7521D">
            <w:pPr>
              <w:jc w:val="center"/>
            </w:pPr>
            <w:r>
              <w:t>100% SOC</w:t>
            </w:r>
          </w:p>
        </w:tc>
        <w:tc>
          <w:tcPr>
            <w:tcW w:w="1134" w:type="dxa"/>
            <w:tcBorders>
              <w:top w:val="nil"/>
              <w:bottom w:val="single" w:sz="4" w:space="0" w:color="auto"/>
            </w:tcBorders>
          </w:tcPr>
          <w:p w14:paraId="6860AD15" w14:textId="77777777" w:rsidR="000F16EB" w:rsidRPr="008F7B2C" w:rsidRDefault="000F16EB" w:rsidP="00A7521D">
            <w:pPr>
              <w:jc w:val="center"/>
              <w:rPr>
                <w:color w:val="000000" w:themeColor="text1"/>
              </w:rPr>
            </w:pPr>
            <w:r>
              <w:rPr>
                <w:color w:val="000000" w:themeColor="text1"/>
              </w:rPr>
              <w:t>90% SOC</w:t>
            </w:r>
          </w:p>
        </w:tc>
        <w:tc>
          <w:tcPr>
            <w:tcW w:w="1134" w:type="dxa"/>
            <w:tcBorders>
              <w:top w:val="nil"/>
              <w:bottom w:val="single" w:sz="4" w:space="0" w:color="auto"/>
            </w:tcBorders>
          </w:tcPr>
          <w:p w14:paraId="5FDCF5FD" w14:textId="77777777" w:rsidR="000F16EB" w:rsidRPr="008F7B2C" w:rsidRDefault="000F16EB" w:rsidP="00A7521D">
            <w:pPr>
              <w:jc w:val="center"/>
              <w:rPr>
                <w:color w:val="000000" w:themeColor="text1"/>
              </w:rPr>
            </w:pPr>
            <w:r>
              <w:rPr>
                <w:color w:val="000000" w:themeColor="text1"/>
              </w:rPr>
              <w:t>80% SOC</w:t>
            </w:r>
          </w:p>
        </w:tc>
        <w:tc>
          <w:tcPr>
            <w:tcW w:w="1134" w:type="dxa"/>
            <w:tcBorders>
              <w:top w:val="nil"/>
              <w:bottom w:val="single" w:sz="4" w:space="0" w:color="auto"/>
            </w:tcBorders>
          </w:tcPr>
          <w:p w14:paraId="3AD5D250" w14:textId="77777777" w:rsidR="000F16EB" w:rsidRPr="008F7B2C" w:rsidRDefault="000F16EB" w:rsidP="00A7521D">
            <w:pPr>
              <w:jc w:val="center"/>
              <w:rPr>
                <w:color w:val="000000" w:themeColor="text1"/>
              </w:rPr>
            </w:pPr>
            <w:r>
              <w:rPr>
                <w:color w:val="000000" w:themeColor="text1"/>
              </w:rPr>
              <w:t>70% SOC</w:t>
            </w:r>
          </w:p>
        </w:tc>
      </w:tr>
      <w:tr w:rsidR="000F16EB" w:rsidRPr="008F7B2C" w14:paraId="2CF1BA53" w14:textId="77777777" w:rsidTr="00A7521D">
        <w:trPr>
          <w:jc w:val="center"/>
        </w:trPr>
        <w:tc>
          <w:tcPr>
            <w:tcW w:w="1842" w:type="dxa"/>
            <w:tcBorders>
              <w:top w:val="single" w:sz="4" w:space="0" w:color="auto"/>
              <w:bottom w:val="nil"/>
            </w:tcBorders>
          </w:tcPr>
          <w:p w14:paraId="5CF6A5D5" w14:textId="77777777" w:rsidR="000F16EB" w:rsidRPr="008F7B2C" w:rsidRDefault="000F16EB" w:rsidP="00A7521D">
            <w:pPr>
              <w:tabs>
                <w:tab w:val="left" w:pos="1942"/>
              </w:tabs>
              <w:jc w:val="center"/>
              <w:rPr>
                <w:color w:val="000000" w:themeColor="text1"/>
              </w:rPr>
            </w:pPr>
            <w:r>
              <w:rPr>
                <w:color w:val="000000" w:themeColor="text1"/>
              </w:rPr>
              <w:t xml:space="preserve">1) </w:t>
            </w:r>
            <w:r w:rsidRPr="008F7B2C">
              <w:rPr>
                <w:color w:val="000000" w:themeColor="text1"/>
              </w:rPr>
              <w:t>1 x 3.6 MWh HWT</w:t>
            </w:r>
          </w:p>
        </w:tc>
        <w:tc>
          <w:tcPr>
            <w:tcW w:w="1702" w:type="dxa"/>
            <w:tcBorders>
              <w:top w:val="single" w:sz="4" w:space="0" w:color="auto"/>
              <w:bottom w:val="nil"/>
            </w:tcBorders>
          </w:tcPr>
          <w:p w14:paraId="7D44C80C" w14:textId="77777777" w:rsidR="000F16EB" w:rsidRPr="00D150D9" w:rsidRDefault="000F16EB" w:rsidP="00A7521D">
            <w:pPr>
              <w:jc w:val="center"/>
            </w:pPr>
            <w:r w:rsidRPr="00D150D9">
              <w:t>0.438</w:t>
            </w:r>
          </w:p>
        </w:tc>
        <w:tc>
          <w:tcPr>
            <w:tcW w:w="1134" w:type="dxa"/>
            <w:tcBorders>
              <w:top w:val="single" w:sz="4" w:space="0" w:color="auto"/>
              <w:bottom w:val="nil"/>
            </w:tcBorders>
          </w:tcPr>
          <w:p w14:paraId="52BB753C" w14:textId="77777777" w:rsidR="000F16EB" w:rsidRPr="00D150D9" w:rsidRDefault="000F16EB" w:rsidP="00A7521D">
            <w:pPr>
              <w:jc w:val="center"/>
            </w:pPr>
            <w:r w:rsidRPr="00D150D9">
              <w:t>0</w:t>
            </w:r>
          </w:p>
        </w:tc>
        <w:tc>
          <w:tcPr>
            <w:tcW w:w="1134" w:type="dxa"/>
            <w:tcBorders>
              <w:top w:val="single" w:sz="4" w:space="0" w:color="auto"/>
              <w:bottom w:val="nil"/>
            </w:tcBorders>
          </w:tcPr>
          <w:p w14:paraId="7C8D68D1" w14:textId="77777777" w:rsidR="000F16EB" w:rsidRPr="008F7B2C" w:rsidRDefault="000F16EB" w:rsidP="00A7521D">
            <w:pPr>
              <w:jc w:val="center"/>
              <w:rPr>
                <w:color w:val="000000" w:themeColor="text1"/>
              </w:rPr>
            </w:pPr>
            <w:r w:rsidRPr="008F7B2C">
              <w:rPr>
                <w:color w:val="000000" w:themeColor="text1"/>
              </w:rPr>
              <w:t>96</w:t>
            </w:r>
          </w:p>
        </w:tc>
        <w:tc>
          <w:tcPr>
            <w:tcW w:w="1134" w:type="dxa"/>
            <w:tcBorders>
              <w:top w:val="single" w:sz="4" w:space="0" w:color="auto"/>
              <w:bottom w:val="nil"/>
            </w:tcBorders>
          </w:tcPr>
          <w:p w14:paraId="57FB1AF4" w14:textId="77777777" w:rsidR="000F16EB" w:rsidRPr="008F7B2C" w:rsidRDefault="000F16EB" w:rsidP="00A7521D">
            <w:pPr>
              <w:jc w:val="center"/>
              <w:rPr>
                <w:color w:val="000000" w:themeColor="text1"/>
              </w:rPr>
            </w:pPr>
            <w:r w:rsidRPr="008F7B2C">
              <w:rPr>
                <w:color w:val="000000" w:themeColor="text1"/>
              </w:rPr>
              <w:t>255</w:t>
            </w:r>
          </w:p>
        </w:tc>
        <w:tc>
          <w:tcPr>
            <w:tcW w:w="1134" w:type="dxa"/>
            <w:tcBorders>
              <w:top w:val="single" w:sz="4" w:space="0" w:color="auto"/>
              <w:bottom w:val="nil"/>
            </w:tcBorders>
          </w:tcPr>
          <w:p w14:paraId="5745D463" w14:textId="77777777" w:rsidR="000F16EB" w:rsidRPr="008F7B2C" w:rsidRDefault="000F16EB" w:rsidP="00A7521D">
            <w:pPr>
              <w:jc w:val="center"/>
              <w:rPr>
                <w:color w:val="000000" w:themeColor="text1"/>
              </w:rPr>
            </w:pPr>
            <w:r w:rsidRPr="008F7B2C">
              <w:rPr>
                <w:color w:val="000000" w:themeColor="text1"/>
              </w:rPr>
              <w:t>260</w:t>
            </w:r>
          </w:p>
        </w:tc>
      </w:tr>
      <w:tr w:rsidR="000F16EB" w:rsidRPr="008F7B2C" w14:paraId="07945A9F" w14:textId="77777777" w:rsidTr="00A7521D">
        <w:trPr>
          <w:jc w:val="center"/>
        </w:trPr>
        <w:tc>
          <w:tcPr>
            <w:tcW w:w="1842" w:type="dxa"/>
            <w:tcBorders>
              <w:top w:val="nil"/>
            </w:tcBorders>
          </w:tcPr>
          <w:p w14:paraId="5085CC41" w14:textId="77777777" w:rsidR="000F16EB" w:rsidRPr="008F7B2C" w:rsidRDefault="000F16EB" w:rsidP="00A7521D">
            <w:pPr>
              <w:jc w:val="center"/>
              <w:rPr>
                <w:color w:val="000000" w:themeColor="text1"/>
              </w:rPr>
            </w:pPr>
            <w:r>
              <w:rPr>
                <w:color w:val="000000" w:themeColor="text1"/>
              </w:rPr>
              <w:t xml:space="preserve">2) </w:t>
            </w:r>
            <w:r w:rsidRPr="008F7B2C">
              <w:rPr>
                <w:color w:val="000000" w:themeColor="text1"/>
              </w:rPr>
              <w:t>2 x 1.8 MWh HWTs</w:t>
            </w:r>
          </w:p>
        </w:tc>
        <w:tc>
          <w:tcPr>
            <w:tcW w:w="1702" w:type="dxa"/>
            <w:tcBorders>
              <w:top w:val="nil"/>
            </w:tcBorders>
          </w:tcPr>
          <w:p w14:paraId="37F9CC1B" w14:textId="77777777" w:rsidR="000F16EB" w:rsidRPr="00D150D9" w:rsidRDefault="000F16EB" w:rsidP="00A7521D">
            <w:pPr>
              <w:jc w:val="center"/>
            </w:pPr>
            <w:r w:rsidRPr="00D150D9">
              <w:t>0.492</w:t>
            </w:r>
          </w:p>
        </w:tc>
        <w:tc>
          <w:tcPr>
            <w:tcW w:w="1134" w:type="dxa"/>
            <w:tcBorders>
              <w:top w:val="nil"/>
            </w:tcBorders>
          </w:tcPr>
          <w:p w14:paraId="0517F045" w14:textId="77777777" w:rsidR="000F16EB" w:rsidRPr="00D150D9" w:rsidRDefault="000F16EB" w:rsidP="00A7521D">
            <w:pPr>
              <w:jc w:val="center"/>
            </w:pPr>
            <w:r w:rsidRPr="00D150D9">
              <w:t>0</w:t>
            </w:r>
          </w:p>
        </w:tc>
        <w:tc>
          <w:tcPr>
            <w:tcW w:w="1134" w:type="dxa"/>
            <w:tcBorders>
              <w:top w:val="nil"/>
            </w:tcBorders>
          </w:tcPr>
          <w:p w14:paraId="02692CFC" w14:textId="77777777" w:rsidR="000F16EB" w:rsidRPr="008F7B2C" w:rsidRDefault="000F16EB" w:rsidP="00A7521D">
            <w:pPr>
              <w:jc w:val="center"/>
              <w:rPr>
                <w:color w:val="000000" w:themeColor="text1"/>
              </w:rPr>
            </w:pPr>
            <w:r w:rsidRPr="008F7B2C">
              <w:rPr>
                <w:color w:val="000000" w:themeColor="text1"/>
              </w:rPr>
              <w:t>260</w:t>
            </w:r>
          </w:p>
        </w:tc>
        <w:tc>
          <w:tcPr>
            <w:tcW w:w="1134" w:type="dxa"/>
            <w:tcBorders>
              <w:top w:val="nil"/>
            </w:tcBorders>
          </w:tcPr>
          <w:p w14:paraId="17EF6F94" w14:textId="77777777" w:rsidR="000F16EB" w:rsidRPr="008F7B2C" w:rsidRDefault="000F16EB" w:rsidP="00A7521D">
            <w:pPr>
              <w:jc w:val="center"/>
              <w:rPr>
                <w:color w:val="000000" w:themeColor="text1"/>
              </w:rPr>
            </w:pPr>
            <w:r w:rsidRPr="008F7B2C">
              <w:rPr>
                <w:color w:val="000000" w:themeColor="text1"/>
              </w:rPr>
              <w:t>260</w:t>
            </w:r>
          </w:p>
        </w:tc>
        <w:tc>
          <w:tcPr>
            <w:tcW w:w="1134" w:type="dxa"/>
            <w:tcBorders>
              <w:top w:val="nil"/>
            </w:tcBorders>
          </w:tcPr>
          <w:p w14:paraId="579844CD" w14:textId="77777777" w:rsidR="000F16EB" w:rsidRPr="008F7B2C" w:rsidRDefault="000F16EB" w:rsidP="00A7521D">
            <w:pPr>
              <w:jc w:val="center"/>
              <w:rPr>
                <w:color w:val="000000" w:themeColor="text1"/>
              </w:rPr>
            </w:pPr>
            <w:r w:rsidRPr="008F7B2C">
              <w:rPr>
                <w:color w:val="000000" w:themeColor="text1"/>
              </w:rPr>
              <w:t>260</w:t>
            </w:r>
          </w:p>
        </w:tc>
      </w:tr>
      <w:tr w:rsidR="000F16EB" w:rsidRPr="008F7B2C" w14:paraId="28679000" w14:textId="77777777" w:rsidTr="00A7521D">
        <w:trPr>
          <w:jc w:val="center"/>
        </w:trPr>
        <w:tc>
          <w:tcPr>
            <w:tcW w:w="1842" w:type="dxa"/>
          </w:tcPr>
          <w:p w14:paraId="616539AF" w14:textId="77777777" w:rsidR="000F16EB" w:rsidRPr="008F7B2C" w:rsidRDefault="000F16EB" w:rsidP="00A7521D">
            <w:pPr>
              <w:jc w:val="center"/>
              <w:rPr>
                <w:color w:val="000000" w:themeColor="text1"/>
              </w:rPr>
            </w:pPr>
            <w:r>
              <w:rPr>
                <w:color w:val="000000" w:themeColor="text1"/>
              </w:rPr>
              <w:t xml:space="preserve">3) </w:t>
            </w:r>
            <w:r w:rsidRPr="008F7B2C">
              <w:rPr>
                <w:color w:val="000000" w:themeColor="text1"/>
              </w:rPr>
              <w:t>Thermal inertia of buildings</w:t>
            </w:r>
          </w:p>
        </w:tc>
        <w:tc>
          <w:tcPr>
            <w:tcW w:w="1702" w:type="dxa"/>
          </w:tcPr>
          <w:p w14:paraId="0362EA0F" w14:textId="77777777" w:rsidR="000F16EB" w:rsidRPr="00D150D9" w:rsidRDefault="000F16EB" w:rsidP="00A7521D">
            <w:pPr>
              <w:jc w:val="center"/>
            </w:pPr>
            <w:r w:rsidRPr="00D150D9">
              <w:t>0.224</w:t>
            </w:r>
          </w:p>
        </w:tc>
        <w:tc>
          <w:tcPr>
            <w:tcW w:w="1134" w:type="dxa"/>
          </w:tcPr>
          <w:p w14:paraId="04BA021E" w14:textId="77777777" w:rsidR="000F16EB" w:rsidRPr="00D150D9" w:rsidRDefault="000F16EB" w:rsidP="00A7521D">
            <w:pPr>
              <w:jc w:val="center"/>
            </w:pPr>
            <w:r w:rsidRPr="00D150D9">
              <w:t>0</w:t>
            </w:r>
          </w:p>
        </w:tc>
        <w:tc>
          <w:tcPr>
            <w:tcW w:w="1134" w:type="dxa"/>
          </w:tcPr>
          <w:p w14:paraId="6EEFE301" w14:textId="77777777" w:rsidR="000F16EB" w:rsidRPr="008F7B2C" w:rsidRDefault="000F16EB" w:rsidP="00A7521D">
            <w:pPr>
              <w:jc w:val="center"/>
              <w:rPr>
                <w:color w:val="000000" w:themeColor="text1"/>
              </w:rPr>
            </w:pPr>
            <w:r w:rsidRPr="008F7B2C">
              <w:rPr>
                <w:color w:val="000000" w:themeColor="text1"/>
              </w:rPr>
              <w:t>0</w:t>
            </w:r>
          </w:p>
        </w:tc>
        <w:tc>
          <w:tcPr>
            <w:tcW w:w="1134" w:type="dxa"/>
          </w:tcPr>
          <w:p w14:paraId="03E4A0B7" w14:textId="77777777" w:rsidR="000F16EB" w:rsidRPr="008F7B2C" w:rsidRDefault="000F16EB" w:rsidP="00A7521D">
            <w:pPr>
              <w:jc w:val="center"/>
              <w:rPr>
                <w:color w:val="000000" w:themeColor="text1"/>
              </w:rPr>
            </w:pPr>
            <w:r w:rsidRPr="008F7B2C">
              <w:rPr>
                <w:color w:val="000000" w:themeColor="text1"/>
              </w:rPr>
              <w:t>260</w:t>
            </w:r>
          </w:p>
        </w:tc>
        <w:tc>
          <w:tcPr>
            <w:tcW w:w="1134" w:type="dxa"/>
          </w:tcPr>
          <w:p w14:paraId="74F64FFD" w14:textId="77777777" w:rsidR="000F16EB" w:rsidRPr="008F7B2C" w:rsidRDefault="000F16EB" w:rsidP="00A7521D">
            <w:pPr>
              <w:jc w:val="center"/>
              <w:rPr>
                <w:color w:val="000000" w:themeColor="text1"/>
              </w:rPr>
            </w:pPr>
            <w:r w:rsidRPr="008F7B2C">
              <w:rPr>
                <w:color w:val="000000" w:themeColor="text1"/>
              </w:rPr>
              <w:t>260</w:t>
            </w:r>
          </w:p>
        </w:tc>
      </w:tr>
      <w:tr w:rsidR="000F16EB" w:rsidRPr="008F7B2C" w14:paraId="0B011E73" w14:textId="77777777" w:rsidTr="00A7521D">
        <w:trPr>
          <w:jc w:val="center"/>
        </w:trPr>
        <w:tc>
          <w:tcPr>
            <w:tcW w:w="1842" w:type="dxa"/>
          </w:tcPr>
          <w:p w14:paraId="280C29D7" w14:textId="77777777" w:rsidR="000F16EB" w:rsidRPr="008F7B2C" w:rsidRDefault="000F16EB" w:rsidP="00A7521D">
            <w:pPr>
              <w:jc w:val="center"/>
              <w:rPr>
                <w:color w:val="000000" w:themeColor="text1"/>
              </w:rPr>
            </w:pPr>
            <w:r>
              <w:rPr>
                <w:color w:val="000000" w:themeColor="text1"/>
              </w:rPr>
              <w:t xml:space="preserve">4) </w:t>
            </w:r>
            <w:r w:rsidRPr="008F7B2C">
              <w:rPr>
                <w:color w:val="000000" w:themeColor="text1"/>
              </w:rPr>
              <w:t>Thermal inertia of the network</w:t>
            </w:r>
          </w:p>
        </w:tc>
        <w:tc>
          <w:tcPr>
            <w:tcW w:w="1702" w:type="dxa"/>
          </w:tcPr>
          <w:p w14:paraId="75ADEEC6" w14:textId="77777777" w:rsidR="000F16EB" w:rsidRPr="00D150D9" w:rsidRDefault="000F16EB" w:rsidP="00A7521D">
            <w:pPr>
              <w:jc w:val="center"/>
            </w:pPr>
            <w:r w:rsidRPr="00D150D9">
              <w:t>0.514</w:t>
            </w:r>
          </w:p>
        </w:tc>
        <w:tc>
          <w:tcPr>
            <w:tcW w:w="1134" w:type="dxa"/>
          </w:tcPr>
          <w:p w14:paraId="2CAE21AF" w14:textId="77777777" w:rsidR="000F16EB" w:rsidRPr="00D150D9" w:rsidRDefault="000F16EB" w:rsidP="00A7521D">
            <w:pPr>
              <w:jc w:val="center"/>
            </w:pPr>
            <w:r w:rsidRPr="00D150D9">
              <w:t>0</w:t>
            </w:r>
          </w:p>
        </w:tc>
        <w:tc>
          <w:tcPr>
            <w:tcW w:w="1134" w:type="dxa"/>
          </w:tcPr>
          <w:p w14:paraId="2F4F04E0" w14:textId="77777777" w:rsidR="000F16EB" w:rsidRPr="008F7B2C" w:rsidRDefault="000F16EB" w:rsidP="00A7521D">
            <w:pPr>
              <w:jc w:val="center"/>
              <w:rPr>
                <w:color w:val="000000" w:themeColor="text1"/>
              </w:rPr>
            </w:pPr>
            <w:r w:rsidRPr="008F7B2C">
              <w:rPr>
                <w:color w:val="000000" w:themeColor="text1"/>
              </w:rPr>
              <w:t>260</w:t>
            </w:r>
          </w:p>
        </w:tc>
        <w:tc>
          <w:tcPr>
            <w:tcW w:w="1134" w:type="dxa"/>
          </w:tcPr>
          <w:p w14:paraId="057AD81A" w14:textId="77777777" w:rsidR="000F16EB" w:rsidRPr="008F7B2C" w:rsidRDefault="000F16EB" w:rsidP="00A7521D">
            <w:pPr>
              <w:jc w:val="center"/>
              <w:rPr>
                <w:color w:val="000000" w:themeColor="text1"/>
              </w:rPr>
            </w:pPr>
            <w:r w:rsidRPr="008F7B2C">
              <w:rPr>
                <w:color w:val="000000" w:themeColor="text1"/>
              </w:rPr>
              <w:t>260</w:t>
            </w:r>
          </w:p>
        </w:tc>
        <w:tc>
          <w:tcPr>
            <w:tcW w:w="1134" w:type="dxa"/>
          </w:tcPr>
          <w:p w14:paraId="54C0FEF0" w14:textId="77777777" w:rsidR="000F16EB" w:rsidRPr="008F7B2C" w:rsidRDefault="000F16EB" w:rsidP="00A7521D">
            <w:pPr>
              <w:jc w:val="center"/>
              <w:rPr>
                <w:color w:val="000000" w:themeColor="text1"/>
              </w:rPr>
            </w:pPr>
            <w:r w:rsidRPr="008F7B2C">
              <w:rPr>
                <w:color w:val="000000" w:themeColor="text1"/>
              </w:rPr>
              <w:t>260</w:t>
            </w:r>
          </w:p>
        </w:tc>
      </w:tr>
    </w:tbl>
    <w:p w14:paraId="44F9CC69" w14:textId="77777777" w:rsidR="000F16EB" w:rsidRDefault="000F16EB" w:rsidP="003650C8">
      <w:pPr>
        <w:pStyle w:val="NoSpacing"/>
      </w:pPr>
      <w:r>
        <w:softHyphen/>
      </w:r>
    </w:p>
    <w:p w14:paraId="3E23BF8C" w14:textId="221CE9B3" w:rsidR="000F16EB" w:rsidRDefault="000F16EB" w:rsidP="000F16EB">
      <w:r>
        <w:fldChar w:fldCharType="begin"/>
      </w:r>
      <w:r>
        <w:instrText xml:space="preserve"> REF _Ref523655753 \h </w:instrText>
      </w:r>
      <w:r>
        <w:fldChar w:fldCharType="separate"/>
      </w:r>
      <w:r w:rsidR="00CB7456">
        <w:t xml:space="preserve">Table </w:t>
      </w:r>
      <w:r w:rsidR="00CB7456">
        <w:rPr>
          <w:noProof/>
        </w:rPr>
        <w:t>7</w:t>
      </w:r>
      <w:r w:rsidR="00CB7456">
        <w:t>.</w:t>
      </w:r>
      <w:r w:rsidR="00CB7456">
        <w:rPr>
          <w:noProof/>
        </w:rPr>
        <w:t>4</w:t>
      </w:r>
      <w:r>
        <w:fldChar w:fldCharType="end"/>
      </w:r>
      <w:r>
        <w:t xml:space="preserve"> shows that scenario 4) had the highest average storage level of 0.514 MWh, followed by scenario 2) with 0.492 MWh, scenario 1) with 0.438 MWh and scenario 3) with 0.224 MWh. The difference between the average storage levels of scenarios 1) and 2) was negligible, for the purposes of a simple optimisation, with only a 10% difference. The reason for the difference was likely to be due to the modelling process instead of any differences between the scenarios themselves. Particularly, the differences were likely to be due to the scheduling in the optimisation algorithms. </w:t>
      </w:r>
    </w:p>
    <w:p w14:paraId="7C782ACF" w14:textId="664054C3" w:rsidR="000F16EB" w:rsidRDefault="000F16EB" w:rsidP="000F16EB">
      <w:r>
        <w:fldChar w:fldCharType="begin"/>
      </w:r>
      <w:r>
        <w:instrText xml:space="preserve"> REF _Ref523655753 \h </w:instrText>
      </w:r>
      <w:r>
        <w:fldChar w:fldCharType="separate"/>
      </w:r>
      <w:r w:rsidR="00CB7456">
        <w:t xml:space="preserve">Table </w:t>
      </w:r>
      <w:r w:rsidR="00CB7456">
        <w:rPr>
          <w:noProof/>
        </w:rPr>
        <w:t>7</w:t>
      </w:r>
      <w:r w:rsidR="00CB7456">
        <w:t>.</w:t>
      </w:r>
      <w:r w:rsidR="00CB7456">
        <w:rPr>
          <w:noProof/>
        </w:rPr>
        <w:t>4</w:t>
      </w:r>
      <w:r>
        <w:fldChar w:fldCharType="end"/>
      </w:r>
      <w:r>
        <w:t xml:space="preserve"> shows that none of the TES scenarios reach 100% SOC. A more useful comparison is the frequency that each scenario reaches 70, 80, and 90% SOC. All four scenarios reached 70 and 80% SOC a similar number of times, suggesting that all four scenarios had similar operating schedules. Scenario 4), utilising the thermal inertia of the pipe network, and scenario 2), utilising the pair of HWTs, reached 80 and 90% SOC most frequently. It is expected that scenarios 2) and 4) reached 80 and 90% SOC the most frequently as the maximum storage potentials of the scenarios were close to the maximum storage level available in the case study. </w:t>
      </w:r>
    </w:p>
    <w:p w14:paraId="290F35F2" w14:textId="2D0F7D8A" w:rsidR="000F16EB" w:rsidRDefault="000F16EB" w:rsidP="000F16EB">
      <w:r>
        <w:t xml:space="preserve">Both HWT based scenarios, scenarios 1) and 2), reached 70% SOC an identical number of times, 80% SOC a similar number of times, and 90% SOC a significantly different number of times. Again, the reason for the difference was more likely to be due to the modelling and allocation processed rather than differences between using a single or a pair of HWTs. The extent of the difference was acceptable for the purposes of a simple optimisation, where the goal was to suggest which TES scenario is the best, not accurately model the scenarios. Scenario 3), utilising the thermal inertia of the buildings on the network, did not regularly reach 80 and 90% SOC. It was likely that the failure to reach 80 and 90% SOC was due to energy losses that occurred when transferring TE from the shallow to the deep components. </w:t>
      </w:r>
      <w:r>
        <w:fldChar w:fldCharType="begin"/>
      </w:r>
      <w:r>
        <w:instrText xml:space="preserve"> REF _Ref523655753 \h </w:instrText>
      </w:r>
      <w:r>
        <w:fldChar w:fldCharType="separate"/>
      </w:r>
      <w:r w:rsidR="00CB7456">
        <w:t xml:space="preserve">Table </w:t>
      </w:r>
      <w:r w:rsidR="00CB7456">
        <w:rPr>
          <w:noProof/>
        </w:rPr>
        <w:t>7</w:t>
      </w:r>
      <w:r w:rsidR="00CB7456">
        <w:t>.</w:t>
      </w:r>
      <w:r w:rsidR="00CB7456">
        <w:rPr>
          <w:noProof/>
        </w:rPr>
        <w:t>4</w:t>
      </w:r>
      <w:r>
        <w:fldChar w:fldCharType="end"/>
      </w:r>
      <w:r>
        <w:t xml:space="preserve"> suggests that the best option for the TES system was scenario 4), followed by scenario 2), scenario 1), and scenario 3).</w:t>
      </w:r>
    </w:p>
    <w:p w14:paraId="47954A5F" w14:textId="77777777" w:rsidR="000F16EB" w:rsidRDefault="000F16EB" w:rsidP="000F16EB">
      <w:pPr>
        <w:jc w:val="center"/>
      </w:pPr>
      <w:r>
        <w:rPr>
          <w:noProof/>
        </w:rPr>
        <w:lastRenderedPageBreak/>
        <w:drawing>
          <wp:inline distT="0" distB="0" distL="0" distR="0" wp14:anchorId="2359D8AA" wp14:editId="48D9AFB9">
            <wp:extent cx="3168000" cy="2762959"/>
            <wp:effectExtent l="19050" t="19050" r="13970" b="1841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Length of charge cycles greater than 1 MW.jpg"/>
                    <pic:cNvPicPr/>
                  </pic:nvPicPr>
                  <pic:blipFill rotWithShape="1">
                    <a:blip r:embed="rId56" cstate="print">
                      <a:extLst>
                        <a:ext uri="{28A0092B-C50C-407E-A947-70E740481C1C}">
                          <a14:useLocalDpi xmlns:a14="http://schemas.microsoft.com/office/drawing/2010/main" val="0"/>
                        </a:ext>
                      </a:extLst>
                    </a:blip>
                    <a:srcRect l="8051" t="4782" r="11808" b="3874"/>
                    <a:stretch/>
                  </pic:blipFill>
                  <pic:spPr bwMode="auto">
                    <a:xfrm>
                      <a:off x="0" y="0"/>
                      <a:ext cx="3168000" cy="276295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55306F6" w14:textId="1948CBD8" w:rsidR="000F16EB" w:rsidRDefault="000F16EB" w:rsidP="000F16EB">
      <w:pPr>
        <w:pStyle w:val="Caption"/>
      </w:pPr>
      <w:bookmarkStart w:id="815" w:name="_Ref523656910"/>
      <w:bookmarkStart w:id="816" w:name="_Toc525230108"/>
      <w:bookmarkStart w:id="817" w:name="_Toc7187656"/>
      <w:r>
        <w:t xml:space="preserve">Figure </w:t>
      </w:r>
      <w:fldSimple w:instr=" STYLEREF 1 \s ">
        <w:r w:rsidR="00CB7456">
          <w:rPr>
            <w:noProof/>
          </w:rPr>
          <w:t>7</w:t>
        </w:r>
      </w:fldSimple>
      <w:r w:rsidR="007B29C3">
        <w:t>.</w:t>
      </w:r>
      <w:fldSimple w:instr=" SEQ Figure \* ARABIC \s 1 ">
        <w:r w:rsidR="00CB7456">
          <w:rPr>
            <w:noProof/>
          </w:rPr>
          <w:t>3</w:t>
        </w:r>
      </w:fldSimple>
      <w:bookmarkEnd w:id="815"/>
      <w:r>
        <w:rPr>
          <w:noProof/>
        </w:rPr>
        <w:t>:</w:t>
      </w:r>
      <w:r>
        <w:t xml:space="preserve"> The length and number of times that each TES scenario is charged to over 1 MWh.</w:t>
      </w:r>
      <w:bookmarkEnd w:id="816"/>
      <w:bookmarkEnd w:id="817"/>
    </w:p>
    <w:p w14:paraId="793A22AC" w14:textId="455C09BA" w:rsidR="00C97677" w:rsidRPr="003650C8" w:rsidRDefault="000F16EB" w:rsidP="00C97677">
      <w:r w:rsidRPr="003650C8">
        <w:t xml:space="preserve">It was also important to study the length and number of times each TES scenario was charged to over 1 MWh, as shown in </w:t>
      </w:r>
      <w:r w:rsidRPr="003650C8">
        <w:fldChar w:fldCharType="begin"/>
      </w:r>
      <w:r w:rsidRPr="003650C8">
        <w:instrText xml:space="preserve"> REF _Ref523656910 \h </w:instrText>
      </w:r>
      <w:r w:rsidRPr="003650C8">
        <w:fldChar w:fldCharType="separate"/>
      </w:r>
      <w:r w:rsidR="00CB7456">
        <w:t xml:space="preserve">Figure </w:t>
      </w:r>
      <w:r w:rsidR="00CB7456">
        <w:rPr>
          <w:noProof/>
        </w:rPr>
        <w:t>7</w:t>
      </w:r>
      <w:r w:rsidR="00CB7456">
        <w:t>.</w:t>
      </w:r>
      <w:r w:rsidR="00CB7456">
        <w:rPr>
          <w:noProof/>
        </w:rPr>
        <w:t>3</w:t>
      </w:r>
      <w:r w:rsidRPr="003650C8">
        <w:fldChar w:fldCharType="end"/>
      </w:r>
      <w:r w:rsidRPr="003650C8">
        <w:t>. It is shown that scenario 4), utilising the thermal inertia of the pipe network, could store TE for the longest period of time, eight hours. The ability of scenario 4) to store TE for the longest period of time suggested that scenario 4) was the best TES option. None of the TES scenarios could store TE for longer than eight hours, showing that none of the scenarios were capable of storing energy to meet weekly, or longer HD variations. Again, scenario 2), with two HWTs, was slightly better than scenario 1), with the single HWT.</w:t>
      </w:r>
      <w:r w:rsidR="00C97677" w:rsidRPr="003650C8">
        <w:t xml:space="preserve"> Multiple bars are shown for each of the TES scenarios, most clearly for scenario 1), as the scenarios were not always charged for the same length of time. On a fairly frequent basis scenario 1) was changed for only 4 hours.</w:t>
      </w:r>
    </w:p>
    <w:p w14:paraId="121CA638" w14:textId="29EDD85E" w:rsidR="000F16EB" w:rsidRDefault="000F16EB" w:rsidP="000F16EB">
      <w:pPr>
        <w:rPr>
          <w:rFonts w:ascii="Calibri" w:hAnsi="Calibri" w:cs="Calibri"/>
          <w:color w:val="000000" w:themeColor="text1"/>
        </w:rPr>
      </w:pPr>
      <w:r>
        <w:t xml:space="preserve">The main advantage of TES is that it can ‘smooth out’ variations in HD, lessening relative variations. To measure the ability of each TES scenario to lessen relative variations, </w:t>
      </w:r>
      <w:r w:rsidRPr="008F7B2C">
        <w:rPr>
          <w:color w:val="000000" w:themeColor="text1"/>
        </w:rPr>
        <w:t xml:space="preserve">relative daily mean load variations (RDMLVs) and relative weekly mean load variations (RWMLVs) in the amount of power from the back-up burner </w:t>
      </w:r>
      <w:r>
        <w:rPr>
          <w:color w:val="000000" w:themeColor="text1"/>
        </w:rPr>
        <w:t>we</w:t>
      </w:r>
      <w:r w:rsidRPr="008F7B2C">
        <w:rPr>
          <w:color w:val="000000" w:themeColor="text1"/>
        </w:rPr>
        <w:t>re calculated</w:t>
      </w:r>
      <w:r>
        <w:rPr>
          <w:color w:val="000000" w:themeColor="text1"/>
        </w:rPr>
        <w:t xml:space="preserve">. The calculation was based on equations shown by </w:t>
      </w:r>
      <w:proofErr w:type="spellStart"/>
      <w:r>
        <w:rPr>
          <w:color w:val="000000" w:themeColor="text1"/>
        </w:rPr>
        <w:t>R</w:t>
      </w:r>
      <w:r w:rsidRPr="008F7B2C">
        <w:rPr>
          <w:color w:val="000000" w:themeColor="text1"/>
        </w:rPr>
        <w:t>omanchenko</w:t>
      </w:r>
      <w:proofErr w:type="spellEnd"/>
      <w:r w:rsidRPr="008F7B2C">
        <w:rPr>
          <w:rFonts w:ascii="Calibri" w:hAnsi="Calibri" w:cs="Calibri"/>
          <w:color w:val="000000" w:themeColor="text1"/>
        </w:rPr>
        <w:t xml:space="preserve"> </w:t>
      </w:r>
      <w:r w:rsidRPr="006B360F">
        <w:rPr>
          <w:rFonts w:ascii="Calibri" w:hAnsi="Calibri" w:cs="Calibri"/>
          <w:i/>
          <w:color w:val="000000" w:themeColor="text1"/>
        </w:rPr>
        <w:t>et al</w:t>
      </w:r>
      <w:r w:rsidRPr="008F7B2C">
        <w:rPr>
          <w:rFonts w:ascii="Calibri" w:hAnsi="Calibri" w:cs="Calibri"/>
          <w:color w:val="000000" w:themeColor="text1"/>
        </w:rPr>
        <w:t xml:space="preserve">. </w:t>
      </w:r>
      <w:r w:rsidRPr="008F7B2C">
        <w:rPr>
          <w:rFonts w:ascii="Calibri" w:hAnsi="Calibri" w:cs="Calibri"/>
          <w:color w:val="000000" w:themeColor="text1"/>
        </w:rPr>
        <w:fldChar w:fldCharType="begin" w:fldLock="1"/>
      </w:r>
      <w:r w:rsidR="002A6A73">
        <w:rPr>
          <w:rFonts w:ascii="Calibri" w:hAnsi="Calibri" w:cs="Calibri"/>
          <w:color w:val="000000" w:themeColor="text1"/>
        </w:rPr>
        <w:instrText>ADDIN CSL_CITATION {"citationItems":[{"id":"ITEM-1","itemData":{"DOI":"10.1016/j.enconman.2018.01.068","ISSN":"01968904","abstract":"Heat load variations in district heating systems lead to increased costs for heat generation and, in most cases, increased greenhouse gas emissions associated with the marginal use of fossil fuels. This work investigates the benefits of applying thermal energy storage in district heating systems to decrease heat load variations, comparing storage using a hot water tank and the thermal inertia of buildings (with similar storage capacity). A detailed techno-economic optimisation model is applied to the district heating system of Göteborg, Sweden. The results show that both the hot water tank and the thermal inertia of buildings benefit the operation of the district heating system and have similar dynamics of utilisation. However, compared to the thermal inertia of buildings, the hot water tank stores more than twice as much heat over the modelled year, owing to lower energy losses. For the same reason, only the hot water tank is used to store heat for periods longer than a few days. Furthermore, the hot water tank has its full capacity available for charging/discharging at all times, whereas the capacity of the thermal inertia of buildings depends on the heat transfer between the building core and its indoor air and internals. Finally, the total system yearly operating cost decreases by 1% when the thermal inertia of buildings and by 2% when the hot water tank is added to the district heating system, as compared to the scenario without any storage.","author":[{"dropping-particle":"","family":"Romanchenko","given":"Dmytro","non-dropping-particle":"","parse-names":false,"suffix":""},{"dropping-particle":"","family":"Kensby","given":"Johan","non-dropping-particle":"","parse-names":false,"suffix":""},{"dropping-particle":"","family":"Odenberger","given":"Mikael","non-dropping-particle":"","parse-names":false,"suffix":""},{"dropping-particle":"","family":"Johnsson","given":"Filip","non-dropping-particle":"","parse-names":false,"suffix":""}],"container-title":"Energy Conversion and Management","id":"ITEM-1","issue":"October 2017","issued":{"date-parts":[["2018"]]},"page":"26-38","publisher":"Elsevier","title":"Thermal energy storage in district heating: Centralised storage vs. storage in thermal inertia of buildings","type":"article-journal","volume":"162"},"uris":["http://www.mendeley.com/documents/?uuid=cb395029-5f1e-49b6-ba70-d706084d23e5"]}],"mendeley":{"formattedCitation":"(Romanchenko &lt;i&gt;et al.&lt;/i&gt;, 2018)","plainTextFormattedCitation":"(Romanchenko et al., 2018)","previouslyFormattedCitation":"(Romanchenko &lt;i&gt;et al.&lt;/i&gt;, 2018)"},"properties":{"noteIndex":0},"schema":"https://github.com/citation-style-language/schema/raw/master/csl-citation.json"}</w:instrText>
      </w:r>
      <w:r w:rsidRPr="008F7B2C">
        <w:rPr>
          <w:rFonts w:ascii="Calibri" w:hAnsi="Calibri" w:cs="Calibri"/>
          <w:color w:val="000000" w:themeColor="text1"/>
        </w:rPr>
        <w:fldChar w:fldCharType="separate"/>
      </w:r>
      <w:r w:rsidR="002A6A73" w:rsidRPr="002A6A73">
        <w:rPr>
          <w:rFonts w:ascii="Calibri" w:hAnsi="Calibri" w:cs="Calibri"/>
          <w:noProof/>
          <w:color w:val="000000" w:themeColor="text1"/>
        </w:rPr>
        <w:t xml:space="preserve">(Romanchenko </w:t>
      </w:r>
      <w:r w:rsidR="002A6A73" w:rsidRPr="002A6A73">
        <w:rPr>
          <w:rFonts w:ascii="Calibri" w:hAnsi="Calibri" w:cs="Calibri"/>
          <w:i/>
          <w:noProof/>
          <w:color w:val="000000" w:themeColor="text1"/>
        </w:rPr>
        <w:t>et al.</w:t>
      </w:r>
      <w:r w:rsidR="002A6A73" w:rsidRPr="002A6A73">
        <w:rPr>
          <w:rFonts w:ascii="Calibri" w:hAnsi="Calibri" w:cs="Calibri"/>
          <w:noProof/>
          <w:color w:val="000000" w:themeColor="text1"/>
        </w:rPr>
        <w:t>, 2018)</w:t>
      </w:r>
      <w:r w:rsidRPr="008F7B2C">
        <w:rPr>
          <w:rFonts w:ascii="Calibri" w:hAnsi="Calibri" w:cs="Calibri"/>
          <w:color w:val="000000" w:themeColor="text1"/>
        </w:rPr>
        <w:fldChar w:fldCharType="end"/>
      </w:r>
      <w:r w:rsidRPr="008F7B2C">
        <w:rPr>
          <w:rFonts w:ascii="Calibri" w:hAnsi="Calibri" w:cs="Calibri"/>
          <w:color w:val="000000" w:themeColor="text1"/>
        </w:rPr>
        <w:t>.</w:t>
      </w:r>
      <w:r>
        <w:rPr>
          <w:rFonts w:ascii="Calibri" w:hAnsi="Calibri" w:cs="Calibri"/>
          <w:color w:val="000000" w:themeColor="text1"/>
        </w:rPr>
        <w:t xml:space="preserve"> </w:t>
      </w:r>
      <w:r w:rsidRPr="008F7B2C">
        <w:rPr>
          <w:rFonts w:ascii="Calibri" w:hAnsi="Calibri" w:cs="Calibri"/>
          <w:color w:val="000000" w:themeColor="text1"/>
        </w:rPr>
        <w:t>The calculations for the RDMLVs and RWMLVs are shown in</w:t>
      </w:r>
      <w:r>
        <w:rPr>
          <w:rFonts w:ascii="Calibri" w:hAnsi="Calibri" w:cs="Calibri"/>
          <w:color w:val="000000" w:themeColor="text1"/>
        </w:rPr>
        <w:t xml:space="preserve"> Equation 8.14 and Equation </w:t>
      </w:r>
      <w:r>
        <w:rPr>
          <w:rFonts w:ascii="Calibri" w:hAnsi="Calibri" w:cs="Calibri"/>
          <w:color w:val="000000" w:themeColor="text1"/>
        </w:rPr>
        <w:fldChar w:fldCharType="begin"/>
      </w:r>
      <w:r>
        <w:rPr>
          <w:rFonts w:ascii="Calibri" w:hAnsi="Calibri" w:cs="Calibri"/>
          <w:color w:val="000000" w:themeColor="text1"/>
        </w:rPr>
        <w:instrText xml:space="preserve"> REF _Ref531104227 \h </w:instrText>
      </w:r>
      <w:r>
        <w:rPr>
          <w:rFonts w:ascii="Calibri" w:hAnsi="Calibri" w:cs="Calibri"/>
          <w:color w:val="000000" w:themeColor="text1"/>
        </w:rPr>
      </w:r>
      <w:r>
        <w:rPr>
          <w:rFonts w:ascii="Calibri" w:hAnsi="Calibri" w:cs="Calibri"/>
          <w:color w:val="000000" w:themeColor="text1"/>
        </w:rPr>
        <w:fldChar w:fldCharType="separate"/>
      </w:r>
      <w:r w:rsidR="00CB7456">
        <w:rPr>
          <w:noProof/>
        </w:rPr>
        <w:t>7</w:t>
      </w:r>
      <w:r w:rsidR="00CB7456">
        <w:t>.</w:t>
      </w:r>
      <w:r w:rsidR="00CB7456">
        <w:rPr>
          <w:noProof/>
        </w:rPr>
        <w:t>17</w:t>
      </w:r>
      <w:r>
        <w:rPr>
          <w:rFonts w:ascii="Calibri" w:hAnsi="Calibri" w:cs="Calibri"/>
          <w:color w:val="000000" w:themeColor="text1"/>
        </w:rPr>
        <w:fldChar w:fldCharType="end"/>
      </w:r>
      <w:r>
        <w:rPr>
          <w:rFonts w:ascii="Calibri" w:hAnsi="Calibri" w:cs="Calibri"/>
          <w:color w:val="000000" w:themeColor="text1"/>
        </w:rP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37"/>
        <w:gridCol w:w="239"/>
        <w:gridCol w:w="822"/>
      </w:tblGrid>
      <w:tr w:rsidR="000F16EB" w14:paraId="5A4C86E5" w14:textId="77777777" w:rsidTr="00A7521D">
        <w:tc>
          <w:tcPr>
            <w:tcW w:w="7137" w:type="dxa"/>
            <w:hideMark/>
          </w:tcPr>
          <w:p w14:paraId="70217CE5" w14:textId="15EC35EC" w:rsidR="000F16EB" w:rsidRDefault="002F69A7" w:rsidP="00A7521D">
            <w:pPr>
              <w:keepNext/>
            </w:pPr>
            <m:oMathPara>
              <m:oMathParaPr>
                <m:jc m:val="left"/>
              </m:oMathParaPr>
              <m:oMath>
                <m:r>
                  <m:rPr>
                    <m:nor/>
                  </m:rPr>
                  <w:rPr>
                    <w:rFonts w:ascii="Cambria Math" w:hAnsi="Cambria Math"/>
                    <w:color w:val="000000" w:themeColor="text1"/>
                  </w:rPr>
                  <m:t>RDMLV</m:t>
                </m:r>
                <m:r>
                  <w:rPr>
                    <w:rFonts w:ascii="Cambria Math" w:hAnsi="Cambria Math"/>
                    <w:color w:val="000000" w:themeColor="text1"/>
                  </w:rPr>
                  <m:t>=</m:t>
                </m:r>
                <m:f>
                  <m:fPr>
                    <m:ctrlPr>
                      <w:rPr>
                        <w:rFonts w:ascii="Cambria Math" w:hAnsi="Cambria Math"/>
                        <w:i/>
                        <w:color w:val="000000" w:themeColor="text1"/>
                      </w:rPr>
                    </m:ctrlPr>
                  </m:fPr>
                  <m:num>
                    <m:f>
                      <m:fPr>
                        <m:type m:val="lin"/>
                        <m:ctrlPr>
                          <w:rPr>
                            <w:rFonts w:ascii="Cambria Math" w:hAnsi="Cambria Math"/>
                            <w:i/>
                            <w:color w:val="000000" w:themeColor="text1"/>
                          </w:rPr>
                        </m:ctrlPr>
                      </m:fPr>
                      <m:num>
                        <m:r>
                          <w:rPr>
                            <w:rFonts w:ascii="Cambria Math" w:hAnsi="Cambria Math"/>
                            <w:color w:val="000000" w:themeColor="text1"/>
                          </w:rPr>
                          <m:t>1</m:t>
                        </m:r>
                      </m:num>
                      <m:den>
                        <m:r>
                          <w:rPr>
                            <w:rFonts w:ascii="Cambria Math" w:hAnsi="Cambria Math"/>
                            <w:color w:val="000000" w:themeColor="text1"/>
                          </w:rPr>
                          <m:t>2</m:t>
                        </m:r>
                      </m:den>
                    </m:f>
                    <m:nary>
                      <m:naryPr>
                        <m:chr m:val="∑"/>
                        <m:limLoc m:val="subSup"/>
                        <m:ctrlPr>
                          <w:rPr>
                            <w:rFonts w:ascii="Cambria Math" w:hAnsi="Cambria Math"/>
                            <w:i/>
                            <w:color w:val="000000" w:themeColor="text1"/>
                          </w:rPr>
                        </m:ctrlPr>
                      </m:naryPr>
                      <m:sub>
                        <m:r>
                          <w:rPr>
                            <w:rFonts w:ascii="Cambria Math" w:hAnsi="Cambria Math"/>
                            <w:color w:val="000000" w:themeColor="text1"/>
                          </w:rPr>
                          <m:t>h=1</m:t>
                        </m:r>
                      </m:sub>
                      <m:sup>
                        <m:r>
                          <w:rPr>
                            <w:rFonts w:ascii="Cambria Math" w:hAnsi="Cambria Math"/>
                            <w:color w:val="000000" w:themeColor="text1"/>
                          </w:rPr>
                          <m:t>24</m:t>
                        </m:r>
                      </m:sup>
                      <m:e>
                        <m:d>
                          <m:dPr>
                            <m:begChr m:val="|"/>
                            <m:endChr m:val="|"/>
                            <m:ctrlPr>
                              <w:rPr>
                                <w:rFonts w:ascii="Cambria Math" w:hAnsi="Cambria Math"/>
                                <w:i/>
                                <w:color w:val="000000" w:themeColor="text1"/>
                              </w:rPr>
                            </m:ctrlPr>
                          </m:dPr>
                          <m:e>
                            <m:sSub>
                              <m:sSubPr>
                                <m:ctrlPr>
                                  <w:rPr>
                                    <w:rFonts w:ascii="Cambria Math" w:hAnsi="Cambria Math"/>
                                    <w:i/>
                                    <w:color w:val="000000" w:themeColor="text1"/>
                                  </w:rPr>
                                </m:ctrlPr>
                              </m:sSubPr>
                              <m:e>
                                <m:r>
                                  <m:rPr>
                                    <m:nor/>
                                  </m:rPr>
                                  <w:rPr>
                                    <w:rFonts w:ascii="Cambria Math" w:hAnsi="Cambria Math"/>
                                    <w:color w:val="000000" w:themeColor="text1"/>
                                  </w:rPr>
                                  <m:t>Mean load</m:t>
                                </m:r>
                              </m:e>
                              <m:sub>
                                <m:r>
                                  <w:rPr>
                                    <w:rFonts w:ascii="Cambria Math" w:hAnsi="Cambria Math"/>
                                    <w:color w:val="000000" w:themeColor="text1"/>
                                  </w:rPr>
                                  <m:t>h</m:t>
                                </m:r>
                              </m:sub>
                            </m:sSub>
                            <m:r>
                              <w:rPr>
                                <w:rFonts w:ascii="Cambria Math" w:hAnsi="Cambria Math"/>
                                <w:color w:val="000000" w:themeColor="text1"/>
                              </w:rPr>
                              <m:t>-</m:t>
                            </m:r>
                            <m:sSub>
                              <m:sSubPr>
                                <m:ctrlPr>
                                  <w:rPr>
                                    <w:rFonts w:ascii="Cambria Math" w:hAnsi="Cambria Math"/>
                                    <w:i/>
                                    <w:color w:val="000000" w:themeColor="text1"/>
                                  </w:rPr>
                                </m:ctrlPr>
                              </m:sSubPr>
                              <m:e>
                                <m:r>
                                  <m:rPr>
                                    <m:nor/>
                                  </m:rPr>
                                  <w:rPr>
                                    <w:rFonts w:ascii="Cambria Math" w:hAnsi="Cambria Math"/>
                                    <w:color w:val="000000" w:themeColor="text1"/>
                                  </w:rPr>
                                  <m:t>Mean load</m:t>
                                </m:r>
                              </m:e>
                              <m:sub>
                                <m:r>
                                  <w:rPr>
                                    <w:rFonts w:ascii="Cambria Math" w:hAnsi="Cambria Math"/>
                                    <w:color w:val="000000" w:themeColor="text1"/>
                                  </w:rPr>
                                  <m:t>d</m:t>
                                </m:r>
                              </m:sub>
                            </m:sSub>
                          </m:e>
                        </m:d>
                      </m:e>
                    </m:nary>
                  </m:num>
                  <m:den>
                    <m:sSub>
                      <m:sSubPr>
                        <m:ctrlPr>
                          <w:rPr>
                            <w:rFonts w:ascii="Cambria Math" w:hAnsi="Cambria Math"/>
                            <w:i/>
                            <w:color w:val="000000" w:themeColor="text1"/>
                          </w:rPr>
                        </m:ctrlPr>
                      </m:sSubPr>
                      <m:e>
                        <m:r>
                          <m:rPr>
                            <m:nor/>
                          </m:rPr>
                          <w:rPr>
                            <w:rFonts w:ascii="Cambria Math" w:hAnsi="Cambria Math"/>
                            <w:color w:val="000000" w:themeColor="text1"/>
                          </w:rPr>
                          <m:t>Mean load</m:t>
                        </m:r>
                      </m:e>
                      <m:sub>
                        <m:r>
                          <w:rPr>
                            <w:rFonts w:ascii="Cambria Math" w:hAnsi="Cambria Math"/>
                            <w:color w:val="000000" w:themeColor="text1"/>
                          </w:rPr>
                          <m:t>yr</m:t>
                        </m:r>
                      </m:sub>
                    </m:sSub>
                    <m:r>
                      <w:rPr>
                        <w:rFonts w:ascii="Cambria Math" w:hAnsi="Cambria Math"/>
                        <w:color w:val="000000" w:themeColor="text1"/>
                      </w:rPr>
                      <m:t>24</m:t>
                    </m:r>
                  </m:den>
                </m:f>
              </m:oMath>
            </m:oMathPara>
          </w:p>
        </w:tc>
        <w:tc>
          <w:tcPr>
            <w:tcW w:w="239" w:type="dxa"/>
          </w:tcPr>
          <w:p w14:paraId="4FC15321" w14:textId="77777777" w:rsidR="000F16EB" w:rsidRDefault="000F16EB" w:rsidP="00A7521D">
            <w:pPr>
              <w:pStyle w:val="Caption"/>
              <w:jc w:val="right"/>
            </w:pPr>
            <w:r>
              <w:t xml:space="preserve"> </w:t>
            </w:r>
          </w:p>
        </w:tc>
        <w:tc>
          <w:tcPr>
            <w:tcW w:w="822" w:type="dxa"/>
            <w:vAlign w:val="center"/>
          </w:tcPr>
          <w:p w14:paraId="469EEF3B" w14:textId="3F22F838" w:rsidR="000F16EB" w:rsidRPr="000C6BA1" w:rsidRDefault="000F16EB" w:rsidP="00A7521D">
            <w:pPr>
              <w:pStyle w:val="Caption"/>
              <w:jc w:val="right"/>
              <w:rPr>
                <w:b w:val="0"/>
              </w:rPr>
            </w:pPr>
            <w:r>
              <w:rPr>
                <w:noProof/>
              </w:rPr>
              <w:fldChar w:fldCharType="begin"/>
            </w:r>
            <w:r>
              <w:rPr>
                <w:noProof/>
              </w:rPr>
              <w:instrText xml:space="preserve"> STYLEREF 1 \s </w:instrText>
            </w:r>
            <w:r>
              <w:rPr>
                <w:noProof/>
              </w:rPr>
              <w:fldChar w:fldCharType="separate"/>
            </w:r>
            <w:r w:rsidR="00CB7456">
              <w:rPr>
                <w:noProof/>
              </w:rPr>
              <w:t>7</w:t>
            </w:r>
            <w:r>
              <w:rPr>
                <w:noProof/>
              </w:rPr>
              <w:fldChar w:fldCharType="end"/>
            </w:r>
            <w:r>
              <w:t>.</w:t>
            </w:r>
            <w:r>
              <w:rPr>
                <w:noProof/>
              </w:rPr>
              <w:fldChar w:fldCharType="begin"/>
            </w:r>
            <w:r>
              <w:rPr>
                <w:noProof/>
              </w:rPr>
              <w:instrText xml:space="preserve"> SEQ Equation \* ARABIC \s 1 </w:instrText>
            </w:r>
            <w:r>
              <w:rPr>
                <w:noProof/>
              </w:rPr>
              <w:fldChar w:fldCharType="separate"/>
            </w:r>
            <w:r w:rsidR="00CB7456">
              <w:rPr>
                <w:noProof/>
              </w:rPr>
              <w:t>16</w:t>
            </w:r>
            <w:r>
              <w:rPr>
                <w:noProof/>
              </w:rPr>
              <w:fldChar w:fldCharType="end"/>
            </w:r>
          </w:p>
        </w:tc>
      </w:tr>
    </w:tbl>
    <w:p w14:paraId="44DFDE93" w14:textId="77777777" w:rsidR="000F16EB" w:rsidRPr="00FA7FDA" w:rsidRDefault="000F16EB" w:rsidP="003650C8">
      <w:pPr>
        <w:pStyle w:val="NoSpacing"/>
      </w:pPr>
    </w:p>
    <w:p w14:paraId="5B6A9002" w14:textId="2A2F3D23" w:rsidR="000F16EB" w:rsidRDefault="002F69A7" w:rsidP="000F16EB">
      <w:pPr>
        <w:pStyle w:val="NoSpacing"/>
      </w:pPr>
      <m:oMath>
        <m:r>
          <m:rPr>
            <m:nor/>
          </m:rPr>
          <w:rPr>
            <w:rFonts w:ascii="Cambria Math" w:hAnsi="Cambria Math"/>
          </w:rPr>
          <m:t>RDMLV</m:t>
        </m:r>
      </m:oMath>
      <w:r w:rsidR="000F16EB">
        <w:t xml:space="preserve"> was the relative </w:t>
      </w:r>
      <w:r w:rsidR="000F16EB" w:rsidRPr="008F7B2C">
        <w:t>daily mean load variation</w:t>
      </w:r>
      <w:r w:rsidR="000F16EB">
        <w:t xml:space="preserve"> in the power demand of the back-up burner,</w:t>
      </w:r>
    </w:p>
    <w:p w14:paraId="22237811" w14:textId="17B49A46" w:rsidR="000F16EB" w:rsidRDefault="00C73E04" w:rsidP="000F16EB">
      <w:pPr>
        <w:pStyle w:val="NoSpacing"/>
      </w:pPr>
      <m:oMath>
        <m:sSub>
          <m:sSubPr>
            <m:ctrlPr>
              <w:rPr>
                <w:rFonts w:ascii="Cambria Math" w:hAnsi="Cambria Math"/>
                <w:i/>
              </w:rPr>
            </m:ctrlPr>
          </m:sSubPr>
          <m:e>
            <m:r>
              <m:rPr>
                <m:nor/>
              </m:rPr>
              <w:rPr>
                <w:rFonts w:ascii="Cambria Math" w:hAnsi="Cambria Math"/>
              </w:rPr>
              <m:t>Mean load</m:t>
            </m:r>
          </m:e>
          <m:sub>
            <m:r>
              <w:rPr>
                <w:rFonts w:ascii="Cambria Math" w:hAnsi="Cambria Math"/>
              </w:rPr>
              <m:t>h</m:t>
            </m:r>
          </m:sub>
        </m:sSub>
      </m:oMath>
      <w:r w:rsidR="000F16EB">
        <w:t xml:space="preserve"> was the mean load of the back-up burner over hour, </w:t>
      </w:r>
      <w:r w:rsidR="000F16EB">
        <w:rPr>
          <w:i/>
        </w:rPr>
        <w:t>h</w:t>
      </w:r>
      <w:r w:rsidR="000F16EB">
        <w:t xml:space="preserve"> (MW),</w:t>
      </w:r>
    </w:p>
    <w:p w14:paraId="45C1E7C3" w14:textId="19A77BC8" w:rsidR="000F16EB" w:rsidRDefault="00C73E04" w:rsidP="000F16EB">
      <w:pPr>
        <w:pStyle w:val="NoSpacing"/>
      </w:pPr>
      <m:oMath>
        <m:sSub>
          <m:sSubPr>
            <m:ctrlPr>
              <w:rPr>
                <w:rFonts w:ascii="Cambria Math" w:hAnsi="Cambria Math"/>
                <w:i/>
              </w:rPr>
            </m:ctrlPr>
          </m:sSubPr>
          <m:e>
            <m:r>
              <m:rPr>
                <m:nor/>
              </m:rPr>
              <w:rPr>
                <w:rFonts w:ascii="Cambria Math" w:hAnsi="Cambria Math"/>
              </w:rPr>
              <m:t>Mean load</m:t>
            </m:r>
          </m:e>
          <m:sub>
            <m:r>
              <w:rPr>
                <w:rFonts w:ascii="Cambria Math" w:hAnsi="Cambria Math"/>
              </w:rPr>
              <m:t>d</m:t>
            </m:r>
          </m:sub>
        </m:sSub>
      </m:oMath>
      <w:r w:rsidR="000F16EB">
        <w:t xml:space="preserve"> was the mean load of the back-up burner over day, </w:t>
      </w:r>
      <w:r w:rsidR="000F16EB">
        <w:rPr>
          <w:i/>
        </w:rPr>
        <w:t>d</w:t>
      </w:r>
      <w:r w:rsidR="000F16EB">
        <w:t xml:space="preserve"> (MW),</w:t>
      </w:r>
    </w:p>
    <w:p w14:paraId="3AE4F789" w14:textId="05224C53" w:rsidR="000F16EB" w:rsidRDefault="00C73E04" w:rsidP="000F16EB">
      <w:pPr>
        <w:rPr>
          <w:color w:val="000000" w:themeColor="text1"/>
        </w:rPr>
      </w:pPr>
      <m:oMath>
        <m:sSub>
          <m:sSubPr>
            <m:ctrlPr>
              <w:rPr>
                <w:rFonts w:ascii="Cambria Math" w:hAnsi="Cambria Math"/>
                <w:i/>
                <w:color w:val="000000" w:themeColor="text1"/>
              </w:rPr>
            </m:ctrlPr>
          </m:sSubPr>
          <m:e>
            <m:r>
              <m:rPr>
                <m:nor/>
              </m:rPr>
              <w:rPr>
                <w:rFonts w:ascii="Cambria Math" w:hAnsi="Cambria Math"/>
                <w:color w:val="000000" w:themeColor="text1"/>
              </w:rPr>
              <m:t>Mean load</m:t>
            </m:r>
          </m:e>
          <m:sub>
            <m:r>
              <w:rPr>
                <w:rFonts w:ascii="Cambria Math" w:hAnsi="Cambria Math"/>
                <w:color w:val="000000" w:themeColor="text1"/>
              </w:rPr>
              <m:t>yr</m:t>
            </m:r>
          </m:sub>
        </m:sSub>
      </m:oMath>
      <w:r w:rsidR="000F16EB">
        <w:rPr>
          <w:color w:val="000000" w:themeColor="text1"/>
        </w:rPr>
        <w:t xml:space="preserve"> was the mean load </w:t>
      </w:r>
      <w:r w:rsidR="000F16EB">
        <w:t xml:space="preserve">of the back-up burner over </w:t>
      </w:r>
      <w:r w:rsidR="000F16EB">
        <w:rPr>
          <w:color w:val="000000" w:themeColor="text1"/>
        </w:rPr>
        <w:t xml:space="preserve">the year </w:t>
      </w:r>
      <w:r w:rsidR="000F16EB">
        <w:t>(MW)</w:t>
      </w:r>
      <w:r w:rsidR="000F16EB">
        <w:rPr>
          <w:color w:val="000000" w:themeColor="text1"/>
        </w:rP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37"/>
        <w:gridCol w:w="239"/>
        <w:gridCol w:w="822"/>
      </w:tblGrid>
      <w:tr w:rsidR="000F16EB" w14:paraId="14964F72" w14:textId="77777777" w:rsidTr="00A7521D">
        <w:tc>
          <w:tcPr>
            <w:tcW w:w="7137" w:type="dxa"/>
            <w:hideMark/>
          </w:tcPr>
          <w:p w14:paraId="7CF9187C" w14:textId="4E9726E5" w:rsidR="000F16EB" w:rsidRDefault="002F69A7" w:rsidP="00A7521D">
            <w:pPr>
              <w:keepNext/>
            </w:pPr>
            <m:oMathPara>
              <m:oMathParaPr>
                <m:jc m:val="left"/>
              </m:oMathParaPr>
              <m:oMath>
                <m:r>
                  <m:rPr>
                    <m:nor/>
                  </m:rPr>
                  <w:rPr>
                    <w:rFonts w:ascii="Cambria Math" w:hAnsi="Cambria Math"/>
                    <w:color w:val="000000" w:themeColor="text1"/>
                  </w:rPr>
                  <m:t>RWMLV</m:t>
                </m:r>
                <m:r>
                  <w:rPr>
                    <w:rFonts w:ascii="Cambria Math" w:hAnsi="Cambria Math"/>
                    <w:color w:val="000000" w:themeColor="text1"/>
                  </w:rPr>
                  <m:t>=</m:t>
                </m:r>
                <m:f>
                  <m:fPr>
                    <m:ctrlPr>
                      <w:rPr>
                        <w:rFonts w:ascii="Cambria Math" w:hAnsi="Cambria Math"/>
                        <w:i/>
                        <w:color w:val="000000" w:themeColor="text1"/>
                      </w:rPr>
                    </m:ctrlPr>
                  </m:fPr>
                  <m:num>
                    <m:f>
                      <m:fPr>
                        <m:type m:val="lin"/>
                        <m:ctrlPr>
                          <w:rPr>
                            <w:rFonts w:ascii="Cambria Math" w:hAnsi="Cambria Math"/>
                            <w:i/>
                            <w:color w:val="000000" w:themeColor="text1"/>
                          </w:rPr>
                        </m:ctrlPr>
                      </m:fPr>
                      <m:num>
                        <m:r>
                          <w:rPr>
                            <w:rFonts w:ascii="Cambria Math" w:hAnsi="Cambria Math"/>
                            <w:color w:val="000000" w:themeColor="text1"/>
                          </w:rPr>
                          <m:t>1</m:t>
                        </m:r>
                      </m:num>
                      <m:den>
                        <m:r>
                          <w:rPr>
                            <w:rFonts w:ascii="Cambria Math" w:hAnsi="Cambria Math"/>
                            <w:color w:val="000000" w:themeColor="text1"/>
                          </w:rPr>
                          <m:t>2</m:t>
                        </m:r>
                      </m:den>
                    </m:f>
                    <m:nary>
                      <m:naryPr>
                        <m:chr m:val="∑"/>
                        <m:limLoc m:val="subSup"/>
                        <m:ctrlPr>
                          <w:rPr>
                            <w:rFonts w:ascii="Cambria Math" w:hAnsi="Cambria Math"/>
                            <w:i/>
                            <w:color w:val="000000" w:themeColor="text1"/>
                          </w:rPr>
                        </m:ctrlPr>
                      </m:naryPr>
                      <m:sub>
                        <m:r>
                          <w:rPr>
                            <w:rFonts w:ascii="Cambria Math" w:hAnsi="Cambria Math"/>
                            <w:color w:val="000000" w:themeColor="text1"/>
                          </w:rPr>
                          <m:t>h=1</m:t>
                        </m:r>
                      </m:sub>
                      <m:sup>
                        <m:r>
                          <w:rPr>
                            <w:rFonts w:ascii="Cambria Math" w:hAnsi="Cambria Math"/>
                            <w:color w:val="000000" w:themeColor="text1"/>
                          </w:rPr>
                          <m:t>24.7</m:t>
                        </m:r>
                      </m:sup>
                      <m:e>
                        <m:d>
                          <m:dPr>
                            <m:begChr m:val="|"/>
                            <m:endChr m:val="|"/>
                            <m:ctrlPr>
                              <w:rPr>
                                <w:rFonts w:ascii="Cambria Math" w:hAnsi="Cambria Math"/>
                                <w:i/>
                                <w:color w:val="000000" w:themeColor="text1"/>
                              </w:rPr>
                            </m:ctrlPr>
                          </m:dPr>
                          <m:e>
                            <m:sSub>
                              <m:sSubPr>
                                <m:ctrlPr>
                                  <w:rPr>
                                    <w:rFonts w:ascii="Cambria Math" w:hAnsi="Cambria Math"/>
                                    <w:i/>
                                    <w:color w:val="000000" w:themeColor="text1"/>
                                  </w:rPr>
                                </m:ctrlPr>
                              </m:sSubPr>
                              <m:e>
                                <m:r>
                                  <m:rPr>
                                    <m:nor/>
                                  </m:rPr>
                                  <w:rPr>
                                    <w:rFonts w:ascii="Cambria Math" w:hAnsi="Cambria Math"/>
                                    <w:color w:val="000000" w:themeColor="text1"/>
                                  </w:rPr>
                                  <m:t>Mean</m:t>
                                </m:r>
                                <m:r>
                                  <w:rPr>
                                    <w:rFonts w:ascii="Cambria Math" w:hAnsi="Cambria Math"/>
                                    <w:color w:val="000000" w:themeColor="text1"/>
                                  </w:rPr>
                                  <m:t xml:space="preserve"> </m:t>
                                </m:r>
                                <m:r>
                                  <m:rPr>
                                    <m:nor/>
                                  </m:rPr>
                                  <w:rPr>
                                    <w:rFonts w:ascii="Cambria Math" w:hAnsi="Cambria Math"/>
                                    <w:color w:val="000000" w:themeColor="text1"/>
                                  </w:rPr>
                                  <m:t>load</m:t>
                                </m:r>
                              </m:e>
                              <m:sub>
                                <m:r>
                                  <w:rPr>
                                    <w:rFonts w:ascii="Cambria Math" w:hAnsi="Cambria Math"/>
                                    <w:color w:val="000000" w:themeColor="text1"/>
                                  </w:rPr>
                                  <m:t>h</m:t>
                                </m:r>
                              </m:sub>
                            </m:sSub>
                            <m:r>
                              <w:rPr>
                                <w:rFonts w:ascii="Cambria Math" w:hAnsi="Cambria Math"/>
                                <w:color w:val="000000" w:themeColor="text1"/>
                              </w:rPr>
                              <m:t>-</m:t>
                            </m:r>
                            <m:sSub>
                              <m:sSubPr>
                                <m:ctrlPr>
                                  <w:rPr>
                                    <w:rFonts w:ascii="Cambria Math" w:hAnsi="Cambria Math"/>
                                    <w:i/>
                                    <w:color w:val="000000" w:themeColor="text1"/>
                                  </w:rPr>
                                </m:ctrlPr>
                              </m:sSubPr>
                              <m:e>
                                <m:r>
                                  <m:rPr>
                                    <m:nor/>
                                  </m:rPr>
                                  <w:rPr>
                                    <w:rFonts w:ascii="Cambria Math" w:hAnsi="Cambria Math"/>
                                    <w:color w:val="000000" w:themeColor="text1"/>
                                  </w:rPr>
                                  <m:t>Mean</m:t>
                                </m:r>
                                <m:r>
                                  <w:rPr>
                                    <w:rFonts w:ascii="Cambria Math" w:hAnsi="Cambria Math"/>
                                    <w:color w:val="000000" w:themeColor="text1"/>
                                  </w:rPr>
                                  <m:t xml:space="preserve"> </m:t>
                                </m:r>
                                <m:r>
                                  <m:rPr>
                                    <m:nor/>
                                  </m:rPr>
                                  <w:rPr>
                                    <w:rFonts w:ascii="Cambria Math" w:hAnsi="Cambria Math"/>
                                    <w:color w:val="000000" w:themeColor="text1"/>
                                  </w:rPr>
                                  <m:t>load</m:t>
                                </m:r>
                              </m:e>
                              <m:sub>
                                <m:r>
                                  <w:rPr>
                                    <w:rFonts w:ascii="Cambria Math" w:hAnsi="Cambria Math"/>
                                    <w:color w:val="000000" w:themeColor="text1"/>
                                  </w:rPr>
                                  <m:t>w</m:t>
                                </m:r>
                              </m:sub>
                            </m:sSub>
                          </m:e>
                        </m:d>
                      </m:e>
                    </m:nary>
                  </m:num>
                  <m:den>
                    <m:sSub>
                      <m:sSubPr>
                        <m:ctrlPr>
                          <w:rPr>
                            <w:rFonts w:ascii="Cambria Math" w:hAnsi="Cambria Math"/>
                            <w:i/>
                            <w:color w:val="000000" w:themeColor="text1"/>
                          </w:rPr>
                        </m:ctrlPr>
                      </m:sSubPr>
                      <m:e>
                        <m:r>
                          <m:rPr>
                            <m:nor/>
                          </m:rPr>
                          <w:rPr>
                            <w:rFonts w:ascii="Cambria Math" w:hAnsi="Cambria Math"/>
                            <w:color w:val="000000" w:themeColor="text1"/>
                          </w:rPr>
                          <m:t>Mean</m:t>
                        </m:r>
                        <m:r>
                          <w:rPr>
                            <w:rFonts w:ascii="Cambria Math" w:hAnsi="Cambria Math"/>
                            <w:color w:val="000000" w:themeColor="text1"/>
                          </w:rPr>
                          <m:t xml:space="preserve"> </m:t>
                        </m:r>
                        <m:r>
                          <m:rPr>
                            <m:nor/>
                          </m:rPr>
                          <w:rPr>
                            <w:rFonts w:ascii="Cambria Math" w:hAnsi="Cambria Math"/>
                            <w:color w:val="000000" w:themeColor="text1"/>
                          </w:rPr>
                          <m:t>load</m:t>
                        </m:r>
                      </m:e>
                      <m:sub>
                        <m:r>
                          <w:rPr>
                            <w:rFonts w:ascii="Cambria Math" w:hAnsi="Cambria Math"/>
                            <w:color w:val="000000" w:themeColor="text1"/>
                          </w:rPr>
                          <m:t>yr</m:t>
                        </m:r>
                      </m:sub>
                    </m:sSub>
                    <m:r>
                      <w:rPr>
                        <w:rFonts w:ascii="Cambria Math" w:hAnsi="Cambria Math"/>
                        <w:color w:val="000000" w:themeColor="text1"/>
                      </w:rPr>
                      <m:t>24.7</m:t>
                    </m:r>
                  </m:den>
                </m:f>
              </m:oMath>
            </m:oMathPara>
          </w:p>
        </w:tc>
        <w:tc>
          <w:tcPr>
            <w:tcW w:w="239" w:type="dxa"/>
          </w:tcPr>
          <w:p w14:paraId="7B2D4574" w14:textId="77777777" w:rsidR="000F16EB" w:rsidRDefault="000F16EB" w:rsidP="00A7521D">
            <w:pPr>
              <w:pStyle w:val="Caption"/>
              <w:jc w:val="right"/>
            </w:pPr>
            <w:r>
              <w:t xml:space="preserve"> </w:t>
            </w:r>
          </w:p>
        </w:tc>
        <w:bookmarkStart w:id="818" w:name="_Ref531104227"/>
        <w:tc>
          <w:tcPr>
            <w:tcW w:w="822" w:type="dxa"/>
            <w:vAlign w:val="center"/>
          </w:tcPr>
          <w:p w14:paraId="12CE6F73" w14:textId="6B4E1919" w:rsidR="000F16EB" w:rsidRPr="000C6BA1" w:rsidRDefault="000F16EB" w:rsidP="00A7521D">
            <w:pPr>
              <w:pStyle w:val="Caption"/>
              <w:jc w:val="right"/>
              <w:rPr>
                <w:b w:val="0"/>
              </w:rPr>
            </w:pPr>
            <w:r>
              <w:fldChar w:fldCharType="begin"/>
            </w:r>
            <w:r>
              <w:instrText xml:space="preserve"> STYLEREF 1 \s </w:instrText>
            </w:r>
            <w:r>
              <w:fldChar w:fldCharType="separate"/>
            </w:r>
            <w:r w:rsidR="00CB7456">
              <w:rPr>
                <w:noProof/>
              </w:rPr>
              <w:t>7</w:t>
            </w:r>
            <w:r>
              <w:fldChar w:fldCharType="end"/>
            </w:r>
            <w:r>
              <w:t>.</w:t>
            </w:r>
            <w:r>
              <w:rPr>
                <w:noProof/>
              </w:rPr>
              <w:fldChar w:fldCharType="begin"/>
            </w:r>
            <w:r>
              <w:rPr>
                <w:noProof/>
              </w:rPr>
              <w:instrText xml:space="preserve"> SEQ Equation \* ARABIC \s 1 </w:instrText>
            </w:r>
            <w:r>
              <w:rPr>
                <w:noProof/>
              </w:rPr>
              <w:fldChar w:fldCharType="separate"/>
            </w:r>
            <w:r w:rsidR="00CB7456">
              <w:rPr>
                <w:noProof/>
              </w:rPr>
              <w:t>17</w:t>
            </w:r>
            <w:r>
              <w:rPr>
                <w:noProof/>
              </w:rPr>
              <w:fldChar w:fldCharType="end"/>
            </w:r>
            <w:bookmarkEnd w:id="818"/>
          </w:p>
        </w:tc>
      </w:tr>
    </w:tbl>
    <w:p w14:paraId="65727286" w14:textId="77777777" w:rsidR="000F16EB" w:rsidRPr="009948FC" w:rsidRDefault="000F16EB" w:rsidP="003650C8">
      <w:pPr>
        <w:pStyle w:val="NoSpacing"/>
      </w:pPr>
    </w:p>
    <w:p w14:paraId="72A05BAA" w14:textId="5478BC30" w:rsidR="000F16EB" w:rsidRDefault="002F69A7" w:rsidP="000F16EB">
      <w:pPr>
        <w:pStyle w:val="NoSpacing"/>
      </w:pPr>
      <m:oMath>
        <m:r>
          <m:rPr>
            <m:nor/>
          </m:rPr>
          <w:rPr>
            <w:rFonts w:ascii="Cambria Math" w:hAnsi="Cambria Math"/>
          </w:rPr>
          <w:lastRenderedPageBreak/>
          <m:t>RWMLV</m:t>
        </m:r>
      </m:oMath>
      <w:r w:rsidR="000F16EB">
        <w:t xml:space="preserve"> were the relative weekly</w:t>
      </w:r>
      <w:r w:rsidR="000F16EB" w:rsidRPr="008F7B2C">
        <w:t xml:space="preserve"> mean load variations</w:t>
      </w:r>
      <w:r w:rsidR="000F16EB">
        <w:t xml:space="preserve"> in the power demand of the back</w:t>
      </w:r>
      <w:r w:rsidR="000F16EB">
        <w:noBreakHyphen/>
        <w:t>up burner,</w:t>
      </w:r>
    </w:p>
    <w:p w14:paraId="0CE9728F" w14:textId="46AACF96" w:rsidR="000F16EB" w:rsidRDefault="00C73E04" w:rsidP="000F16EB">
      <w:pPr>
        <w:rPr>
          <w:color w:val="000000" w:themeColor="text1"/>
        </w:rPr>
      </w:pPr>
      <m:oMath>
        <m:sSub>
          <m:sSubPr>
            <m:ctrlPr>
              <w:rPr>
                <w:rFonts w:ascii="Cambria Math" w:hAnsi="Cambria Math"/>
                <w:i/>
                <w:color w:val="000000" w:themeColor="text1"/>
              </w:rPr>
            </m:ctrlPr>
          </m:sSubPr>
          <m:e>
            <m:r>
              <m:rPr>
                <m:nor/>
              </m:rPr>
              <w:rPr>
                <w:rFonts w:ascii="Cambria Math" w:hAnsi="Cambria Math"/>
                <w:color w:val="000000" w:themeColor="text1"/>
              </w:rPr>
              <m:t>Mean load</m:t>
            </m:r>
          </m:e>
          <m:sub>
            <m:r>
              <w:rPr>
                <w:rFonts w:ascii="Cambria Math" w:hAnsi="Cambria Math"/>
                <w:color w:val="000000" w:themeColor="text1"/>
              </w:rPr>
              <m:t>w</m:t>
            </m:r>
          </m:sub>
        </m:sSub>
      </m:oMath>
      <w:r w:rsidR="000F16EB">
        <w:rPr>
          <w:color w:val="000000" w:themeColor="text1"/>
        </w:rPr>
        <w:t xml:space="preserve"> was the mean load </w:t>
      </w:r>
      <w:r w:rsidR="000F16EB">
        <w:t xml:space="preserve">of the back-up burner over </w:t>
      </w:r>
      <w:r w:rsidR="000F16EB">
        <w:rPr>
          <w:color w:val="000000" w:themeColor="text1"/>
        </w:rPr>
        <w:t xml:space="preserve">week, </w:t>
      </w:r>
      <w:r w:rsidR="000F16EB">
        <w:rPr>
          <w:i/>
          <w:color w:val="000000" w:themeColor="text1"/>
        </w:rPr>
        <w:t>w</w:t>
      </w:r>
      <w:r w:rsidR="000F16EB">
        <w:rPr>
          <w:color w:val="000000" w:themeColor="text1"/>
        </w:rPr>
        <w:t xml:space="preserve"> </w:t>
      </w:r>
      <w:r w:rsidR="000F16EB">
        <w:t>(MW)</w:t>
      </w:r>
      <w:r w:rsidR="000F16EB">
        <w:rPr>
          <w:color w:val="000000" w:themeColor="text1"/>
        </w:rPr>
        <w:t>.</w:t>
      </w:r>
    </w:p>
    <w:p w14:paraId="72DC9DB4" w14:textId="183D231F" w:rsidR="000F16EB" w:rsidRDefault="000F16EB" w:rsidP="000F16EB">
      <w:pPr>
        <w:rPr>
          <w:color w:val="000000" w:themeColor="text1"/>
        </w:rPr>
      </w:pPr>
      <w:r w:rsidRPr="008F7B2C">
        <w:rPr>
          <w:color w:val="000000" w:themeColor="text1"/>
        </w:rPr>
        <w:t>The RDMLVs</w:t>
      </w:r>
      <w:r>
        <w:rPr>
          <w:color w:val="000000" w:themeColor="text1"/>
        </w:rPr>
        <w:t xml:space="preserve"> and the RWMLVs</w:t>
      </w:r>
      <w:r w:rsidRPr="008F7B2C">
        <w:rPr>
          <w:color w:val="000000" w:themeColor="text1"/>
        </w:rPr>
        <w:t xml:space="preserve"> are shown in</w:t>
      </w:r>
      <w:r>
        <w:rPr>
          <w:color w:val="000000" w:themeColor="text1"/>
        </w:rPr>
        <w:t xml:space="preserve"> </w:t>
      </w:r>
      <w:r>
        <w:rPr>
          <w:color w:val="000000" w:themeColor="text1"/>
        </w:rPr>
        <w:fldChar w:fldCharType="begin"/>
      </w:r>
      <w:r>
        <w:rPr>
          <w:color w:val="000000" w:themeColor="text1"/>
        </w:rPr>
        <w:instrText xml:space="preserve"> REF _Ref523657981 \h </w:instrText>
      </w:r>
      <w:r>
        <w:rPr>
          <w:color w:val="000000" w:themeColor="text1"/>
        </w:rPr>
      </w:r>
      <w:r>
        <w:rPr>
          <w:color w:val="000000" w:themeColor="text1"/>
        </w:rPr>
        <w:fldChar w:fldCharType="separate"/>
      </w:r>
      <w:r w:rsidR="00CB7456">
        <w:t xml:space="preserve">Figure </w:t>
      </w:r>
      <w:r w:rsidR="00CB7456">
        <w:rPr>
          <w:noProof/>
        </w:rPr>
        <w:t>7</w:t>
      </w:r>
      <w:r w:rsidR="00CB7456">
        <w:t>.</w:t>
      </w:r>
      <w:r w:rsidR="00CB7456">
        <w:rPr>
          <w:noProof/>
        </w:rPr>
        <w:t>4</w:t>
      </w:r>
      <w:r>
        <w:rPr>
          <w:color w:val="000000" w:themeColor="text1"/>
        </w:rPr>
        <w:fldChar w:fldCharType="end"/>
      </w:r>
      <w:r>
        <w:rPr>
          <w:color w:val="000000" w:themeColor="text1"/>
        </w:rPr>
        <w:t xml:space="preserve">. </w:t>
      </w:r>
      <w:r>
        <w:rPr>
          <w:color w:val="000000" w:themeColor="text1"/>
        </w:rPr>
        <w:fldChar w:fldCharType="begin"/>
      </w:r>
      <w:r>
        <w:rPr>
          <w:color w:val="000000" w:themeColor="text1"/>
        </w:rPr>
        <w:instrText xml:space="preserve"> REF _Ref523657981 \h </w:instrText>
      </w:r>
      <w:r>
        <w:rPr>
          <w:color w:val="000000" w:themeColor="text1"/>
        </w:rPr>
      </w:r>
      <w:r>
        <w:rPr>
          <w:color w:val="000000" w:themeColor="text1"/>
        </w:rPr>
        <w:fldChar w:fldCharType="separate"/>
      </w:r>
      <w:r w:rsidR="00CB7456">
        <w:t xml:space="preserve">Figure </w:t>
      </w:r>
      <w:r w:rsidR="00CB7456">
        <w:rPr>
          <w:noProof/>
        </w:rPr>
        <w:t>7</w:t>
      </w:r>
      <w:r w:rsidR="00CB7456">
        <w:t>.</w:t>
      </w:r>
      <w:r w:rsidR="00CB7456">
        <w:rPr>
          <w:noProof/>
        </w:rPr>
        <w:t>4</w:t>
      </w:r>
      <w:r>
        <w:rPr>
          <w:color w:val="000000" w:themeColor="text1"/>
        </w:rPr>
        <w:fldChar w:fldCharType="end"/>
      </w:r>
      <w:r>
        <w:rPr>
          <w:color w:val="000000" w:themeColor="text1"/>
        </w:rPr>
        <w:t xml:space="preserve">a shows that scenarios 1) and 2), the HWT based TES scenarios, significantly reduced the RDMLVs when compared to the reference scenario. Scenarios 3) and 4), utilising the thermal inertia of the buildings and the pipe network, were shown to slightly increase the RDMLVs when compared to the reference scenario. </w:t>
      </w:r>
      <w:r>
        <w:rPr>
          <w:color w:val="000000" w:themeColor="text1"/>
        </w:rPr>
        <w:fldChar w:fldCharType="begin"/>
      </w:r>
      <w:r>
        <w:rPr>
          <w:color w:val="000000" w:themeColor="text1"/>
        </w:rPr>
        <w:instrText xml:space="preserve"> REF _Ref523657981 \h </w:instrText>
      </w:r>
      <w:r>
        <w:rPr>
          <w:color w:val="000000" w:themeColor="text1"/>
        </w:rPr>
      </w:r>
      <w:r>
        <w:rPr>
          <w:color w:val="000000" w:themeColor="text1"/>
        </w:rPr>
        <w:fldChar w:fldCharType="separate"/>
      </w:r>
      <w:r w:rsidR="00CB7456">
        <w:t xml:space="preserve">Figure </w:t>
      </w:r>
      <w:r w:rsidR="00CB7456">
        <w:rPr>
          <w:noProof/>
        </w:rPr>
        <w:t>7</w:t>
      </w:r>
      <w:r w:rsidR="00CB7456">
        <w:t>.</w:t>
      </w:r>
      <w:r w:rsidR="00CB7456">
        <w:rPr>
          <w:noProof/>
        </w:rPr>
        <w:t>4</w:t>
      </w:r>
      <w:r>
        <w:rPr>
          <w:color w:val="000000" w:themeColor="text1"/>
        </w:rPr>
        <w:fldChar w:fldCharType="end"/>
      </w:r>
      <w:r>
        <w:rPr>
          <w:color w:val="000000" w:themeColor="text1"/>
        </w:rPr>
        <w:t>a shows that the best TES options to reduce the RDMLVs were scenarios 1) and 2).</w:t>
      </w:r>
    </w:p>
    <w:p w14:paraId="0D024DF3" w14:textId="77777777" w:rsidR="000F16EB" w:rsidRDefault="000F16EB" w:rsidP="000F16EB">
      <w:pPr>
        <w:jc w:val="center"/>
      </w:pPr>
      <w:r>
        <w:rPr>
          <w:noProof/>
        </w:rPr>
        <w:drawing>
          <wp:inline distT="0" distB="0" distL="0" distR="0" wp14:anchorId="62372E5D" wp14:editId="79FA7DAC">
            <wp:extent cx="3168000" cy="5615676"/>
            <wp:effectExtent l="19050" t="19050" r="13970" b="2349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ombined 2.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168000" cy="5615676"/>
                    </a:xfrm>
                    <a:prstGeom prst="rect">
                      <a:avLst/>
                    </a:prstGeom>
                    <a:ln>
                      <a:solidFill>
                        <a:schemeClr val="tx1"/>
                      </a:solidFill>
                    </a:ln>
                  </pic:spPr>
                </pic:pic>
              </a:graphicData>
            </a:graphic>
          </wp:inline>
        </w:drawing>
      </w:r>
    </w:p>
    <w:p w14:paraId="2C751781" w14:textId="78167661" w:rsidR="000F16EB" w:rsidRDefault="000F16EB" w:rsidP="000F16EB">
      <w:pPr>
        <w:pStyle w:val="Caption"/>
      </w:pPr>
      <w:bookmarkStart w:id="819" w:name="_Ref523657981"/>
      <w:bookmarkStart w:id="820" w:name="_Toc525230109"/>
      <w:bookmarkStart w:id="821" w:name="_Toc7187657"/>
      <w:r>
        <w:t xml:space="preserve">Figure </w:t>
      </w:r>
      <w:fldSimple w:instr=" STYLEREF 1 \s ">
        <w:r w:rsidR="00CB7456">
          <w:rPr>
            <w:noProof/>
          </w:rPr>
          <w:t>7</w:t>
        </w:r>
      </w:fldSimple>
      <w:r w:rsidR="007B29C3">
        <w:t>.</w:t>
      </w:r>
      <w:fldSimple w:instr=" SEQ Figure \* ARABIC \s 1 ">
        <w:r w:rsidR="00CB7456">
          <w:rPr>
            <w:noProof/>
          </w:rPr>
          <w:t>4</w:t>
        </w:r>
      </w:fldSimple>
      <w:bookmarkEnd w:id="819"/>
      <w:r>
        <w:t xml:space="preserve">: (a) </w:t>
      </w:r>
      <w:r w:rsidRPr="00181369">
        <w:t xml:space="preserve">The </w:t>
      </w:r>
      <w:r>
        <w:t>RDMLVs</w:t>
      </w:r>
      <w:r w:rsidRPr="00181369">
        <w:t xml:space="preserve"> of the different TES scenarios </w:t>
      </w:r>
      <w:r w:rsidRPr="008F7B2C">
        <w:t>required</w:t>
      </w:r>
      <w:r w:rsidRPr="00181369">
        <w:t xml:space="preserve"> use of the back-up burner.</w:t>
      </w:r>
      <w:r>
        <w:t xml:space="preserve"> (b) </w:t>
      </w:r>
      <w:r w:rsidRPr="00181369">
        <w:t xml:space="preserve">The </w:t>
      </w:r>
      <w:r>
        <w:t>RWMLVs</w:t>
      </w:r>
      <w:r w:rsidRPr="00181369">
        <w:t xml:space="preserve"> of the different TES scenarios </w:t>
      </w:r>
      <w:r w:rsidRPr="008F7B2C">
        <w:t>required</w:t>
      </w:r>
      <w:r w:rsidRPr="00181369">
        <w:t xml:space="preserve"> use of the back-up burner.</w:t>
      </w:r>
      <w:bookmarkEnd w:id="820"/>
      <w:bookmarkEnd w:id="821"/>
    </w:p>
    <w:p w14:paraId="3C1092FE" w14:textId="10303F92" w:rsidR="003650C8" w:rsidRDefault="003650C8" w:rsidP="003650C8">
      <w:r>
        <w:rPr>
          <w:color w:val="000000" w:themeColor="text1"/>
        </w:rPr>
        <w:fldChar w:fldCharType="begin"/>
      </w:r>
      <w:r>
        <w:rPr>
          <w:color w:val="000000" w:themeColor="text1"/>
        </w:rPr>
        <w:instrText xml:space="preserve"> REF _Ref523657981 \h </w:instrText>
      </w:r>
      <w:r>
        <w:rPr>
          <w:color w:val="000000" w:themeColor="text1"/>
        </w:rPr>
      </w:r>
      <w:r>
        <w:rPr>
          <w:color w:val="000000" w:themeColor="text1"/>
        </w:rPr>
        <w:fldChar w:fldCharType="separate"/>
      </w:r>
      <w:r w:rsidR="00CB7456">
        <w:t xml:space="preserve">Figure </w:t>
      </w:r>
      <w:r w:rsidR="00CB7456">
        <w:rPr>
          <w:noProof/>
        </w:rPr>
        <w:t>7</w:t>
      </w:r>
      <w:r w:rsidR="00CB7456">
        <w:t>.</w:t>
      </w:r>
      <w:r w:rsidR="00CB7456">
        <w:rPr>
          <w:noProof/>
        </w:rPr>
        <w:t>4</w:t>
      </w:r>
      <w:r>
        <w:rPr>
          <w:color w:val="000000" w:themeColor="text1"/>
        </w:rPr>
        <w:fldChar w:fldCharType="end"/>
      </w:r>
      <w:r>
        <w:rPr>
          <w:color w:val="000000" w:themeColor="text1"/>
        </w:rPr>
        <w:t xml:space="preserve">b shows the RWMLVs of all four TES scenarios compared to the reference scenario. It is clearly shown that all four TES scenarios increased the RWMLVs when compared to the </w:t>
      </w:r>
      <w:r>
        <w:rPr>
          <w:color w:val="000000" w:themeColor="text1"/>
        </w:rPr>
        <w:lastRenderedPageBreak/>
        <w:t xml:space="preserve">reference scenario. As all scenarios increased the RWMLVs, was further proven that none of the TES scenarios should be used to meet </w:t>
      </w:r>
      <w:r>
        <w:t xml:space="preserve">weekly, or longer HD variations. </w:t>
      </w:r>
    </w:p>
    <w:p w14:paraId="23137A7E" w14:textId="43713557" w:rsidR="000F16EB" w:rsidRDefault="000F16EB" w:rsidP="000F16EB">
      <w:pPr>
        <w:rPr>
          <w:color w:val="000000" w:themeColor="text1"/>
        </w:rPr>
      </w:pPr>
      <w:r>
        <w:t>The most important metric for failure and success of a DHN is how it performs on economic and environmental scales. To analyse the economic and environmental savings of each scenario, the amount of natural gas that each scenario saved, with respect to the reference scenario, was compared. The techno-economic and environmental assessments were based on a number of assumptions. According to the National Renewable Energy Laboratory (NREL)</w:t>
      </w:r>
      <w:r>
        <w:rPr>
          <w:color w:val="000000" w:themeColor="text1"/>
        </w:rPr>
        <w:t>, the typical efficiency of a natural gas burner is 79%</w:t>
      </w:r>
      <w:r w:rsidR="006B360F">
        <w:rPr>
          <w:color w:val="000000" w:themeColor="text1"/>
        </w:rPr>
        <w:t xml:space="preserve"> </w:t>
      </w:r>
      <w:r w:rsidR="006B360F">
        <w:rPr>
          <w:color w:val="000000" w:themeColor="text1"/>
        </w:rPr>
        <w:fldChar w:fldCharType="begin" w:fldLock="1"/>
      </w:r>
      <w:r w:rsidR="006B360F">
        <w:rPr>
          <w:color w:val="000000" w:themeColor="text1"/>
        </w:rPr>
        <w:instrText>ADDIN CSL_CITATION {"citationItems":[{"id":"ITEM-1","itemData":{"author":[{"dropping-particle":"","family":"NREL","given":"","non-dropping-particle":"","parse-names":false,"suffix":""}],"id":"ITEM-1","issue":"April","issued":{"date-parts":[["2004"]]},"number-of-pages":"24-25","publisher-place":"Washington, USA","title":"Upgrade Boilers with Energy-Efficient Burners Background","type":"report"},"uris":["http://www.mendeley.com/documents/?uuid=9156491f-3c0c-4c49-90f6-07e368037023"]}],"mendeley":{"formattedCitation":"(NREL, 2004)","plainTextFormattedCitation":"(NREL, 2004)","previouslyFormattedCitation":"(NREL, 2004)"},"properties":{"noteIndex":0},"schema":"https://github.com/citation-style-language/schema/raw/master/csl-citation.json"}</w:instrText>
      </w:r>
      <w:r w:rsidR="006B360F">
        <w:rPr>
          <w:color w:val="000000" w:themeColor="text1"/>
        </w:rPr>
        <w:fldChar w:fldCharType="separate"/>
      </w:r>
      <w:r w:rsidR="006B360F" w:rsidRPr="002A6A73">
        <w:rPr>
          <w:noProof/>
          <w:color w:val="000000" w:themeColor="text1"/>
        </w:rPr>
        <w:t>(NREL, 2004)</w:t>
      </w:r>
      <w:r w:rsidR="006B360F">
        <w:rPr>
          <w:color w:val="000000" w:themeColor="text1"/>
        </w:rPr>
        <w:fldChar w:fldCharType="end"/>
      </w:r>
      <w:r>
        <w:rPr>
          <w:color w:val="000000" w:themeColor="text1"/>
        </w:rPr>
        <w:t>. Therefore, every MWh of natural gas saved will reduce the use of the natural gas by a factor of 1.27. in the UK, natural gas costs are £30 /MWh and the CAPEX</w:t>
      </w:r>
      <w:r w:rsidRPr="008F7B2C">
        <w:rPr>
          <w:color w:val="000000" w:themeColor="text1"/>
        </w:rPr>
        <w:t xml:space="preserve"> of buying HWTs is £2</w:t>
      </w:r>
      <w:r>
        <w:rPr>
          <w:color w:val="000000" w:themeColor="text1"/>
        </w:rPr>
        <w:t>,</w:t>
      </w:r>
      <w:r w:rsidRPr="008F7B2C">
        <w:rPr>
          <w:color w:val="000000" w:themeColor="text1"/>
        </w:rPr>
        <w:t>100 /</w:t>
      </w:r>
      <w:r>
        <w:rPr>
          <w:color w:val="000000" w:themeColor="text1"/>
        </w:rPr>
        <w:t>m</w:t>
      </w:r>
      <w:r w:rsidRPr="008F7B2C">
        <w:rPr>
          <w:color w:val="000000" w:themeColor="text1"/>
          <w:vertAlign w:val="superscript"/>
        </w:rPr>
        <w:t>3</w:t>
      </w:r>
      <w:r w:rsidRPr="008F7B2C">
        <w:rPr>
          <w:color w:val="000000" w:themeColor="text1"/>
        </w:rPr>
        <w:t>.</w:t>
      </w:r>
      <w:r>
        <w:rPr>
          <w:color w:val="000000" w:themeColor="text1"/>
        </w:rPr>
        <w:t xml:space="preserve"> </w:t>
      </w:r>
    </w:p>
    <w:p w14:paraId="3D4F0A51" w14:textId="4D6B3485" w:rsidR="000F16EB" w:rsidRDefault="000F16EB" w:rsidP="000F16EB">
      <w:r>
        <w:rPr>
          <w:color w:val="000000" w:themeColor="text1"/>
        </w:rPr>
        <w:t xml:space="preserve">According to Raine </w:t>
      </w:r>
      <w:r w:rsidRPr="006B360F">
        <w:rPr>
          <w:i/>
          <w:color w:val="000000" w:themeColor="text1"/>
        </w:rPr>
        <w:t>et al</w:t>
      </w:r>
      <w:r>
        <w:rPr>
          <w:color w:val="000000" w:themeColor="text1"/>
        </w:rPr>
        <w:t xml:space="preserve">., the embodied emissions associated with combustion of natural gas are </w:t>
      </w:r>
      <w:r w:rsidRPr="00A2302B">
        <w:t>0.183</w:t>
      </w:r>
      <w:r>
        <w:t> </w:t>
      </w:r>
      <w:r w:rsidRPr="00A2302B">
        <w:t>kg</w:t>
      </w:r>
      <w:r>
        <w:t> </w:t>
      </w:r>
      <w:r w:rsidRPr="00A2302B">
        <w:t>CO</w:t>
      </w:r>
      <w:r w:rsidRPr="00A2302B">
        <w:rPr>
          <w:vertAlign w:val="subscript"/>
        </w:rPr>
        <w:t>2</w:t>
      </w:r>
      <w:r w:rsidRPr="00A2302B">
        <w:t>e/kWh</w:t>
      </w:r>
      <w:r w:rsidR="006B360F">
        <w:t xml:space="preserve"> </w:t>
      </w:r>
      <w:r w:rsidR="006B360F" w:rsidRPr="008F7B2C">
        <w:rPr>
          <w:color w:val="000000" w:themeColor="text1"/>
        </w:rPr>
        <w:fldChar w:fldCharType="begin" w:fldLock="1"/>
      </w:r>
      <w:r w:rsidR="006B360F">
        <w:rPr>
          <w:color w:val="000000" w:themeColor="text1"/>
        </w:rPr>
        <w:instrText>ADDIN CSL_CITATION {"citationItems":[{"id":"ITEM-1","itemData":{"DOI":"10.1016/j.enconman.2014.07.022","ISBN":"0196-8904","ISSN":"01968904","abstract":"Reducing carbon emissions from buildings is vital to achieve goals for avoiding dangerous climate change, and supplying them with low-carbon heat is essential. In the UK, the development of heat networks for supplying low-carbon heat is being encouraged for urban areas where there is high heat demand density. This paper investigates heat demand variability, the role of heat networks and combined heat and power (CHP) in satisfying this demand, and finally the advantages of using heat storage in the system. Building heat demands from 50 buildings were analysed at a half-hour resolution with modelling to determine CHP operation patterns with and without heat storage. Daily total heat demand was found to vary from 25% of the full-year average in summer months up to 235% of the average on the coldest days in winter. The heat demand was shown to correlate to outdoor temperatures measured with the degree-day parameter, except for approximately 100 days during the warmest part of the year falling outside the heating season. Sharp spikes in heat demand were seen at the half-hourly time scale coinciding with the switching on of heating systems in some buildings with consequences for building energy supply options. It was shown that for an annual heat demand of 40,000 MW h, the use of thermal storage can significantly increase the running time of a CHP energy centre with 4 MW capacity designed to supply this demand. The cost savings resulting from increased on-site heat and electricity production resulted in a payback period for heat storage investment of under four years with further benefits if it can assist other heat sources on the heat network. Environmental advantages of using heat storage included further carbon dioxide emission reductions of 1000-1500 tonnes per year depending upon the CHP configuration. ?? 2014 Elsevier Ltd. All rights reserved.","author":[{"dropping-particle":"","family":"Raine","given":"Robert D.","non-dropping-particle":"","parse-names":false,"suffix":""},{"dropping-particle":"","family":"Sharifi","given":"Vida N.","non-dropping-particle":"","parse-names":false,"suffix":""},{"dropping-particle":"","family":"Swithenbank","given":"Jim","non-dropping-particle":"","parse-names":false,"suffix":""}],"container-title":"Energy Conversion and Management","id":"ITEM-1","issued":{"date-parts":[["2014"]]},"page":"164-174","publisher":"Elsevier Ltd","title":"Optimisation of combined heat and power production for buildings using heat storage","type":"article-journal","volume":"87"},"uris":["http://www.mendeley.com/documents/?uuid=4966985d-d2df-489f-9d6f-6c5b6e16040a"]}],"mendeley":{"formattedCitation":"(Raine &lt;i&gt;et al.&lt;/i&gt;, 2014)","plainTextFormattedCitation":"(Raine et al., 2014)","previouslyFormattedCitation":"(Raine &lt;i&gt;et al.&lt;/i&gt;, 2014)"},"properties":{"noteIndex":0},"schema":"https://github.com/citation-style-language/schema/raw/master/csl-citation.json"}</w:instrText>
      </w:r>
      <w:r w:rsidR="006B360F" w:rsidRPr="008F7B2C">
        <w:rPr>
          <w:color w:val="000000" w:themeColor="text1"/>
        </w:rPr>
        <w:fldChar w:fldCharType="separate"/>
      </w:r>
      <w:r w:rsidR="006B360F" w:rsidRPr="005F544E">
        <w:rPr>
          <w:noProof/>
          <w:color w:val="000000" w:themeColor="text1"/>
        </w:rPr>
        <w:t xml:space="preserve">(Raine </w:t>
      </w:r>
      <w:r w:rsidR="006B360F" w:rsidRPr="005F544E">
        <w:rPr>
          <w:i/>
          <w:noProof/>
          <w:color w:val="000000" w:themeColor="text1"/>
        </w:rPr>
        <w:t>et al.</w:t>
      </w:r>
      <w:r w:rsidR="006B360F" w:rsidRPr="005F544E">
        <w:rPr>
          <w:noProof/>
          <w:color w:val="000000" w:themeColor="text1"/>
        </w:rPr>
        <w:t>, 2014)</w:t>
      </w:r>
      <w:r w:rsidR="006B360F" w:rsidRPr="008F7B2C">
        <w:rPr>
          <w:color w:val="000000" w:themeColor="text1"/>
        </w:rPr>
        <w:fldChar w:fldCharType="end"/>
      </w:r>
      <w:r>
        <w:t>.</w:t>
      </w:r>
      <w:r>
        <w:rPr>
          <w:color w:val="000000" w:themeColor="text1"/>
        </w:rPr>
        <w:t xml:space="preserve"> </w:t>
      </w:r>
      <w:r w:rsidRPr="008F7B2C">
        <w:rPr>
          <w:color w:val="000000" w:themeColor="text1"/>
        </w:rPr>
        <w:t xml:space="preserve">According to </w:t>
      </w:r>
      <w:r w:rsidRPr="00CE403A">
        <w:rPr>
          <w:noProof/>
          <w:color w:val="000000" w:themeColor="text1"/>
        </w:rPr>
        <w:t>Dominković</w:t>
      </w:r>
      <w:r w:rsidRPr="008F7B2C">
        <w:rPr>
          <w:color w:val="000000" w:themeColor="text1"/>
        </w:rPr>
        <w:t xml:space="preserve"> </w:t>
      </w:r>
      <w:r w:rsidRPr="006B360F">
        <w:rPr>
          <w:i/>
          <w:color w:val="000000" w:themeColor="text1"/>
        </w:rPr>
        <w:t>et al</w:t>
      </w:r>
      <w:r>
        <w:rPr>
          <w:color w:val="000000" w:themeColor="text1"/>
        </w:rPr>
        <w:t>., the cost per building to connect the control systems necessary for building thermal inertia-based TES systems are £230</w:t>
      </w:r>
      <w:r w:rsidR="006B360F">
        <w:rPr>
          <w:color w:val="000000" w:themeColor="text1"/>
        </w:rPr>
        <w:t xml:space="preserve"> </w:t>
      </w:r>
      <w:r w:rsidR="006B360F" w:rsidRPr="008F7B2C">
        <w:rPr>
          <w:color w:val="000000" w:themeColor="text1"/>
        </w:rPr>
        <w:fldChar w:fldCharType="begin" w:fldLock="1"/>
      </w:r>
      <w:r w:rsidR="006B360F">
        <w:rPr>
          <w:color w:val="000000" w:themeColor="text1"/>
        </w:rPr>
        <w:instrText>ADDIN CSL_CITATION {"citationItems":[{"id":"ITEM-1","itemData":{"DOI":"10.1016/j.energy.2018.04.093","ISSN":"03605442","author":[{"dropping-particle":"","family":"Dominković","given":"D.F.","non-dropping-particle":"","parse-names":false,"suffix":""},{"dropping-particle":"","family":"Gianniou","given":"P.","non-dropping-particle":"","parse-names":false,"suffix":""},{"dropping-particle":"","family":"Münster","given":"M.","non-dropping-particle":"","parse-names":false,"suffix":""},{"dropping-particle":"","family":"Heller","given":"A.","non-dropping-particle":"","parse-names":false,"suffix":""},{"dropping-particle":"","family":"Rode","given":"C.","non-dropping-particle":"","parse-names":false,"suffix":""}],"container-title":"Energy","id":"ITEM-1","issued":{"date-parts":[["2018"]]},"title":"Utilizing thermal building mass for storage in district heating systems: combined building level simulations and system level optimization","type":"article-journal","volume":"153"},"uris":["http://www.mendeley.com/documents/?uuid=7b9aa445-96ee-4117-a077-d3af63c506e0"]}],"mendeley":{"formattedCitation":"(Dominković &lt;i&gt;et al.&lt;/i&gt;, 2018)","plainTextFormattedCitation":"(Dominković et al., 2018)","previouslyFormattedCitation":"(Dominković &lt;i&gt;et al.&lt;/i&gt;, 2018)"},"properties":{"noteIndex":0},"schema":"https://github.com/citation-style-language/schema/raw/master/csl-citation.json"}</w:instrText>
      </w:r>
      <w:r w:rsidR="006B360F" w:rsidRPr="008F7B2C">
        <w:rPr>
          <w:color w:val="000000" w:themeColor="text1"/>
        </w:rPr>
        <w:fldChar w:fldCharType="separate"/>
      </w:r>
      <w:r w:rsidR="006B360F" w:rsidRPr="002A6A73">
        <w:rPr>
          <w:noProof/>
          <w:color w:val="000000" w:themeColor="text1"/>
        </w:rPr>
        <w:t xml:space="preserve">(Dominković </w:t>
      </w:r>
      <w:r w:rsidR="006B360F" w:rsidRPr="002A6A73">
        <w:rPr>
          <w:i/>
          <w:noProof/>
          <w:color w:val="000000" w:themeColor="text1"/>
        </w:rPr>
        <w:t>et al.</w:t>
      </w:r>
      <w:r w:rsidR="006B360F" w:rsidRPr="002A6A73">
        <w:rPr>
          <w:noProof/>
          <w:color w:val="000000" w:themeColor="text1"/>
        </w:rPr>
        <w:t>, 2018)</w:t>
      </w:r>
      <w:r w:rsidR="006B360F" w:rsidRPr="008F7B2C">
        <w:rPr>
          <w:color w:val="000000" w:themeColor="text1"/>
        </w:rPr>
        <w:fldChar w:fldCharType="end"/>
      </w:r>
      <w:r w:rsidRPr="008F7B2C">
        <w:rPr>
          <w:color w:val="000000" w:themeColor="text1"/>
        </w:rPr>
        <w:t xml:space="preserve">. According to </w:t>
      </w:r>
      <w:r w:rsidRPr="00CE403A">
        <w:rPr>
          <w:noProof/>
          <w:color w:val="000000" w:themeColor="text1"/>
        </w:rPr>
        <w:t>Basciotti</w:t>
      </w:r>
      <w:r w:rsidRPr="008F7B2C">
        <w:rPr>
          <w:color w:val="000000" w:themeColor="text1"/>
        </w:rPr>
        <w:t xml:space="preserve"> </w:t>
      </w:r>
      <w:r w:rsidRPr="006B360F">
        <w:rPr>
          <w:i/>
          <w:color w:val="000000" w:themeColor="text1"/>
        </w:rPr>
        <w:t>et al</w:t>
      </w:r>
      <w:r w:rsidRPr="008F7B2C">
        <w:rPr>
          <w:color w:val="000000" w:themeColor="text1"/>
        </w:rPr>
        <w:t>.</w:t>
      </w:r>
      <w:r>
        <w:rPr>
          <w:color w:val="000000" w:themeColor="text1"/>
        </w:rPr>
        <w:t>, no additional costs are needed for the control systems associated with network thermal inertia-based systems</w:t>
      </w:r>
      <w:r w:rsidR="006B360F">
        <w:rPr>
          <w:color w:val="000000" w:themeColor="text1"/>
        </w:rPr>
        <w:t xml:space="preserve"> </w:t>
      </w:r>
      <w:r w:rsidR="006B360F" w:rsidRPr="008F7B2C">
        <w:rPr>
          <w:color w:val="000000" w:themeColor="text1"/>
        </w:rPr>
        <w:fldChar w:fldCharType="begin" w:fldLock="1"/>
      </w:r>
      <w:r w:rsidR="006B360F">
        <w:rPr>
          <w:color w:val="000000" w:themeColor="text1"/>
        </w:rPr>
        <w:instrText>ADDIN CSL_CITATION {"citationItems":[{"id":"ITEM-1","itemData":{"author":[{"dropping-particle":"","family":"Basciotti","given":"Daniele","non-dropping-particle":"","parse-names":false,"suffix":""},{"dropping-particle":"","family":"Judex","given":"Florian","non-dropping-particle":"","parse-names":false,"suffix":""},{"dropping-particle":"","family":"Pol","given":"Olivier","non-dropping-particle":"","parse-names":false,"suffix":""},{"dropping-particle":"","family":"Schmidt","given":"Ralf-roman","non-dropping-particle":"","parse-names":false,"suffix":""}],"container-title":"6th international renewable energy storage conference IRES","id":"ITEM-1","issue":"June","issued":{"date-parts":[["2011"]]},"publisher":"Eurosolar","publisher-place":"Berlin, Germany","title":"Sensible heat storage in district heating networks : a novel control strategy using the network as storage","type":"paper-conference"},"uris":["http://www.mendeley.com/documents/?uuid=706ddf9b-d5cd-480b-bc89-55bc587f4f5d"]}],"mendeley":{"formattedCitation":"(Basciotti &lt;i&gt;et al.&lt;/i&gt;, 2011)","plainTextFormattedCitation":"(Basciotti et al., 2011)","previouslyFormattedCitation":"(Basciotti &lt;i&gt;et al.&lt;/i&gt;, 2011)"},"properties":{"noteIndex":0},"schema":"https://github.com/citation-style-language/schema/raw/master/csl-citation.json"}</w:instrText>
      </w:r>
      <w:r w:rsidR="006B360F" w:rsidRPr="008F7B2C">
        <w:rPr>
          <w:color w:val="000000" w:themeColor="text1"/>
        </w:rPr>
        <w:fldChar w:fldCharType="separate"/>
      </w:r>
      <w:r w:rsidR="006B360F" w:rsidRPr="002A6A73">
        <w:rPr>
          <w:noProof/>
          <w:color w:val="000000" w:themeColor="text1"/>
        </w:rPr>
        <w:t xml:space="preserve">(Basciotti </w:t>
      </w:r>
      <w:r w:rsidR="006B360F" w:rsidRPr="002A6A73">
        <w:rPr>
          <w:i/>
          <w:noProof/>
          <w:color w:val="000000" w:themeColor="text1"/>
        </w:rPr>
        <w:t>et al.</w:t>
      </w:r>
      <w:r w:rsidR="006B360F" w:rsidRPr="002A6A73">
        <w:rPr>
          <w:noProof/>
          <w:color w:val="000000" w:themeColor="text1"/>
        </w:rPr>
        <w:t>, 2011)</w:t>
      </w:r>
      <w:r w:rsidR="006B360F" w:rsidRPr="008F7B2C">
        <w:rPr>
          <w:color w:val="000000" w:themeColor="text1"/>
        </w:rPr>
        <w:fldChar w:fldCharType="end"/>
      </w:r>
      <w:r w:rsidRPr="008F7B2C">
        <w:rPr>
          <w:color w:val="000000" w:themeColor="text1"/>
        </w:rPr>
        <w:t>.</w:t>
      </w:r>
      <w:r w:rsidRPr="00A2302B">
        <w:t xml:space="preserve"> According to Martin and Thornley</w:t>
      </w:r>
      <w:r>
        <w:t xml:space="preserve">, </w:t>
      </w:r>
      <w:r w:rsidRPr="00A2302B">
        <w:t>the associated CO</w:t>
      </w:r>
      <w:r w:rsidRPr="00A2302B">
        <w:rPr>
          <w:vertAlign w:val="subscript"/>
        </w:rPr>
        <w:t>2</w:t>
      </w:r>
      <w:r w:rsidRPr="00A2302B">
        <w:t>e emissions</w:t>
      </w:r>
      <w:r>
        <w:t xml:space="preserve"> with the construction of the single, 287</w:t>
      </w:r>
      <w:r w:rsidRPr="00A2302B">
        <w:t xml:space="preserve"> m</w:t>
      </w:r>
      <w:r w:rsidRPr="00A2302B">
        <w:rPr>
          <w:vertAlign w:val="superscript"/>
        </w:rPr>
        <w:t>3</w:t>
      </w:r>
      <w:r>
        <w:t>,</w:t>
      </w:r>
      <w:r w:rsidRPr="00A2302B">
        <w:t xml:space="preserve"> HWT and the </w:t>
      </w:r>
      <w:r>
        <w:t>pair of, 143</w:t>
      </w:r>
      <w:r w:rsidRPr="00A2302B">
        <w:t xml:space="preserve"> m</w:t>
      </w:r>
      <w:r w:rsidRPr="00A2302B">
        <w:rPr>
          <w:vertAlign w:val="superscript"/>
        </w:rPr>
        <w:t>3</w:t>
      </w:r>
      <w:r>
        <w:t>,</w:t>
      </w:r>
      <w:r w:rsidRPr="00A2302B">
        <w:t xml:space="preserve"> HWTs are</w:t>
      </w:r>
      <w:r>
        <w:t xml:space="preserve"> both</w:t>
      </w:r>
      <w:r w:rsidRPr="00A2302B">
        <w:t xml:space="preserve"> </w:t>
      </w:r>
      <w:r>
        <w:t>221 </w:t>
      </w:r>
      <w:r w:rsidRPr="00A2302B">
        <w:t>tonnes CO</w:t>
      </w:r>
      <w:r w:rsidRPr="00A2302B">
        <w:rPr>
          <w:vertAlign w:val="subscript"/>
        </w:rPr>
        <w:t>2</w:t>
      </w:r>
      <w:r w:rsidRPr="00A2302B">
        <w:t>e</w:t>
      </w:r>
      <w:r w:rsidR="006B360F">
        <w:t xml:space="preserve"> </w:t>
      </w:r>
      <w:r w:rsidR="006B360F" w:rsidRPr="00A2302B">
        <w:fldChar w:fldCharType="begin" w:fldLock="1"/>
      </w:r>
      <w:r w:rsidR="006B360F">
        <w:instrText>ADDIN CSL_CITATION {"citationItems":[{"id":"ITEM-1","itemData":{"DOI":"10.1016/j.applthermaleng.2015.04.030","ISBN":"0306-2619","ISSN":"03062619","author":[{"dropping-particle":"","family":"Martin","given":"Michael","non-dropping-particle":"","parse-names":false,"suffix":""},{"dropping-particle":"","family":"Thornley","given":"Patricia","non-dropping-particle":"","parse-names":false,"suffix":""}],"id":"ITEM-1","issue":"2","issued":{"date-parts":[["2013"]]},"publisher-place":"Manchester, England","title":"The potential for thermal storage to reduce the overall carbon emissions from district heating systems","type":"report"},"uris":["http://www.mendeley.com/documents/?uuid=3ff52d9a-e08a-4f5d-afb1-5db5a1c8b0e9"]}],"mendeley":{"formattedCitation":"(Martin and Thornley, 2013)","plainTextFormattedCitation":"(Martin and Thornley, 2013)","previouslyFormattedCitation":"(Martin and Thornley, 2013)"},"properties":{"noteIndex":0},"schema":"https://github.com/citation-style-language/schema/raw/master/csl-citation.json"}</w:instrText>
      </w:r>
      <w:r w:rsidR="006B360F" w:rsidRPr="00A2302B">
        <w:fldChar w:fldCharType="separate"/>
      </w:r>
      <w:r w:rsidR="006B360F" w:rsidRPr="002A6A73">
        <w:rPr>
          <w:noProof/>
        </w:rPr>
        <w:t>(Martin and Thornley, 2013)</w:t>
      </w:r>
      <w:r w:rsidR="006B360F" w:rsidRPr="00A2302B">
        <w:fldChar w:fldCharType="end"/>
      </w:r>
      <w:r>
        <w:t>.</w:t>
      </w:r>
    </w:p>
    <w:p w14:paraId="1C4B9766" w14:textId="10227C7F" w:rsidR="000F16EB" w:rsidRDefault="000F16EB" w:rsidP="000F16EB">
      <w:pPr>
        <w:rPr>
          <w:color w:val="000000" w:themeColor="text1"/>
        </w:rPr>
      </w:pPr>
      <w:r>
        <w:t xml:space="preserve">The techno-economic and environmental assessments are shown in </w:t>
      </w:r>
      <w:r>
        <w:fldChar w:fldCharType="begin"/>
      </w:r>
      <w:r>
        <w:instrText xml:space="preserve"> REF _Ref523659193 \h </w:instrText>
      </w:r>
      <w:r>
        <w:fldChar w:fldCharType="separate"/>
      </w:r>
      <w:r w:rsidR="00CB7456">
        <w:t xml:space="preserve">Table </w:t>
      </w:r>
      <w:r w:rsidR="00CB7456">
        <w:rPr>
          <w:noProof/>
        </w:rPr>
        <w:t>7</w:t>
      </w:r>
      <w:r w:rsidR="00CB7456">
        <w:t>.</w:t>
      </w:r>
      <w:r w:rsidR="00CB7456">
        <w:rPr>
          <w:noProof/>
        </w:rPr>
        <w:t>5</w:t>
      </w:r>
      <w:r>
        <w:fldChar w:fldCharType="end"/>
      </w:r>
      <w:r>
        <w:t xml:space="preserve">. All scenarios, including the reference one, had a peak use of the natural gas burner of 9 MW. As all scenarios had the same peak burner use, the economic and environmental costs of buying the burner were the same and </w:t>
      </w:r>
      <w:r w:rsidRPr="008F7B2C">
        <w:rPr>
          <w:color w:val="000000" w:themeColor="text1"/>
        </w:rPr>
        <w:t>will not</w:t>
      </w:r>
      <w:r>
        <w:rPr>
          <w:color w:val="000000" w:themeColor="text1"/>
        </w:rPr>
        <w:t xml:space="preserve"> be considered in the </w:t>
      </w:r>
      <w:r>
        <w:t>techno-economic and the</w:t>
      </w:r>
      <w:r w:rsidRPr="008F7B2C">
        <w:rPr>
          <w:color w:val="000000" w:themeColor="text1"/>
        </w:rPr>
        <w:t xml:space="preserve"> environmental analysis</w:t>
      </w:r>
      <w:r>
        <w:rPr>
          <w:color w:val="000000" w:themeColor="text1"/>
        </w:rPr>
        <w:t>.</w:t>
      </w:r>
    </w:p>
    <w:p w14:paraId="4EA45EBF" w14:textId="631A80BB" w:rsidR="000F16EB" w:rsidRDefault="000F16EB" w:rsidP="000F16EB">
      <w:pPr>
        <w:pStyle w:val="Caption"/>
        <w:keepNext/>
      </w:pPr>
      <w:bookmarkStart w:id="822" w:name="_Ref523659193"/>
      <w:bookmarkStart w:id="823" w:name="_Toc525230145"/>
      <w:bookmarkStart w:id="824" w:name="_Toc7187701"/>
      <w:r>
        <w:t xml:space="preserve">Table </w:t>
      </w:r>
      <w:fldSimple w:instr=" STYLEREF 1 \s ">
        <w:r w:rsidR="00CB7456">
          <w:rPr>
            <w:noProof/>
          </w:rPr>
          <w:t>7</w:t>
        </w:r>
      </w:fldSimple>
      <w:r w:rsidR="009E1A67">
        <w:t>.</w:t>
      </w:r>
      <w:fldSimple w:instr=" SEQ Table \* ARABIC \s 1 ">
        <w:r w:rsidR="00CB7456">
          <w:rPr>
            <w:noProof/>
          </w:rPr>
          <w:t>5</w:t>
        </w:r>
      </w:fldSimple>
      <w:bookmarkEnd w:id="822"/>
      <w:r>
        <w:t>: Economic and environmental analysis of the TES scenarios.</w:t>
      </w:r>
      <w:bookmarkEnd w:id="823"/>
      <w:bookmarkEnd w:id="824"/>
    </w:p>
    <w:tbl>
      <w:tblPr>
        <w:tblStyle w:val="TableGrid"/>
        <w:tblW w:w="8883" w:type="dxa"/>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65"/>
        <w:gridCol w:w="1134"/>
        <w:gridCol w:w="1358"/>
        <w:gridCol w:w="1396"/>
        <w:gridCol w:w="938"/>
        <w:gridCol w:w="992"/>
      </w:tblGrid>
      <w:tr w:rsidR="000F16EB" w:rsidRPr="003650C8" w14:paraId="1F609AF7" w14:textId="77777777" w:rsidTr="00A7521D">
        <w:trPr>
          <w:jc w:val="center"/>
        </w:trPr>
        <w:tc>
          <w:tcPr>
            <w:tcW w:w="3065" w:type="dxa"/>
            <w:tcBorders>
              <w:bottom w:val="single" w:sz="4" w:space="0" w:color="auto"/>
            </w:tcBorders>
          </w:tcPr>
          <w:p w14:paraId="12D392A4" w14:textId="77777777" w:rsidR="000F16EB" w:rsidRPr="003650C8" w:rsidRDefault="000F16EB" w:rsidP="00A7521D">
            <w:pPr>
              <w:jc w:val="center"/>
            </w:pPr>
          </w:p>
        </w:tc>
        <w:tc>
          <w:tcPr>
            <w:tcW w:w="1134" w:type="dxa"/>
            <w:tcBorders>
              <w:bottom w:val="single" w:sz="4" w:space="0" w:color="auto"/>
            </w:tcBorders>
          </w:tcPr>
          <w:p w14:paraId="59AD5B78" w14:textId="77777777" w:rsidR="000F16EB" w:rsidRPr="003650C8" w:rsidRDefault="000F16EB" w:rsidP="00A7521D">
            <w:pPr>
              <w:jc w:val="center"/>
            </w:pPr>
            <w:r w:rsidRPr="003650C8">
              <w:t>Reference scenario</w:t>
            </w:r>
          </w:p>
        </w:tc>
        <w:tc>
          <w:tcPr>
            <w:tcW w:w="1358" w:type="dxa"/>
            <w:tcBorders>
              <w:bottom w:val="single" w:sz="4" w:space="0" w:color="auto"/>
            </w:tcBorders>
          </w:tcPr>
          <w:p w14:paraId="6A9AE5C7" w14:textId="77777777" w:rsidR="000F16EB" w:rsidRPr="003650C8" w:rsidRDefault="000F16EB" w:rsidP="00A7521D">
            <w:pPr>
              <w:jc w:val="center"/>
            </w:pPr>
            <w:r w:rsidRPr="003650C8">
              <w:t>1 x 3.6 MWh HWT</w:t>
            </w:r>
          </w:p>
        </w:tc>
        <w:tc>
          <w:tcPr>
            <w:tcW w:w="1396" w:type="dxa"/>
            <w:tcBorders>
              <w:bottom w:val="single" w:sz="4" w:space="0" w:color="auto"/>
            </w:tcBorders>
          </w:tcPr>
          <w:p w14:paraId="536E05AB" w14:textId="77777777" w:rsidR="000F16EB" w:rsidRPr="003650C8" w:rsidRDefault="000F16EB" w:rsidP="00A7521D">
            <w:pPr>
              <w:jc w:val="center"/>
            </w:pPr>
            <w:r w:rsidRPr="003650C8">
              <w:t>2 x 1.8 MWh HWTs</w:t>
            </w:r>
          </w:p>
        </w:tc>
        <w:tc>
          <w:tcPr>
            <w:tcW w:w="938" w:type="dxa"/>
            <w:tcBorders>
              <w:bottom w:val="single" w:sz="4" w:space="0" w:color="auto"/>
            </w:tcBorders>
          </w:tcPr>
          <w:p w14:paraId="3EDC4D0F" w14:textId="77777777" w:rsidR="000F16EB" w:rsidRPr="003650C8" w:rsidRDefault="000F16EB" w:rsidP="00A7521D">
            <w:pPr>
              <w:jc w:val="center"/>
            </w:pPr>
            <w:r w:rsidRPr="003650C8">
              <w:t>Building TES</w:t>
            </w:r>
          </w:p>
        </w:tc>
        <w:tc>
          <w:tcPr>
            <w:tcW w:w="992" w:type="dxa"/>
            <w:tcBorders>
              <w:bottom w:val="single" w:sz="4" w:space="0" w:color="auto"/>
            </w:tcBorders>
          </w:tcPr>
          <w:p w14:paraId="24850D6B" w14:textId="77777777" w:rsidR="000F16EB" w:rsidRPr="003650C8" w:rsidRDefault="000F16EB" w:rsidP="00A7521D">
            <w:pPr>
              <w:jc w:val="center"/>
            </w:pPr>
            <w:r w:rsidRPr="003650C8">
              <w:t>Network TES</w:t>
            </w:r>
          </w:p>
        </w:tc>
      </w:tr>
      <w:tr w:rsidR="00C97677" w:rsidRPr="003650C8" w14:paraId="74140778" w14:textId="77777777" w:rsidTr="00A7521D">
        <w:trPr>
          <w:jc w:val="center"/>
        </w:trPr>
        <w:tc>
          <w:tcPr>
            <w:tcW w:w="3065" w:type="dxa"/>
            <w:tcBorders>
              <w:top w:val="nil"/>
            </w:tcBorders>
          </w:tcPr>
          <w:p w14:paraId="65D347E8" w14:textId="77777777" w:rsidR="00C97677" w:rsidRPr="003650C8" w:rsidRDefault="00C97677" w:rsidP="00C97677">
            <w:pPr>
              <w:jc w:val="center"/>
            </w:pPr>
            <w:r w:rsidRPr="003650C8">
              <w:t>Annual natural gas input to the burner (MWh)</w:t>
            </w:r>
          </w:p>
        </w:tc>
        <w:tc>
          <w:tcPr>
            <w:tcW w:w="1134" w:type="dxa"/>
            <w:tcBorders>
              <w:top w:val="nil"/>
            </w:tcBorders>
          </w:tcPr>
          <w:p w14:paraId="757A6FC9" w14:textId="284CBBB0" w:rsidR="00C97677" w:rsidRPr="003650C8" w:rsidRDefault="00C97677" w:rsidP="00C97677">
            <w:pPr>
              <w:jc w:val="center"/>
            </w:pPr>
            <w:r w:rsidRPr="003650C8">
              <w:t>34,381</w:t>
            </w:r>
          </w:p>
        </w:tc>
        <w:tc>
          <w:tcPr>
            <w:tcW w:w="1358" w:type="dxa"/>
            <w:tcBorders>
              <w:top w:val="nil"/>
            </w:tcBorders>
          </w:tcPr>
          <w:p w14:paraId="751F706C" w14:textId="1995D2D2" w:rsidR="00C97677" w:rsidRPr="003650C8" w:rsidRDefault="00C97677" w:rsidP="00C97677">
            <w:pPr>
              <w:jc w:val="center"/>
            </w:pPr>
            <w:r w:rsidRPr="003650C8">
              <w:t>34,438</w:t>
            </w:r>
          </w:p>
        </w:tc>
        <w:tc>
          <w:tcPr>
            <w:tcW w:w="1396" w:type="dxa"/>
            <w:tcBorders>
              <w:top w:val="nil"/>
            </w:tcBorders>
          </w:tcPr>
          <w:p w14:paraId="5228C98F" w14:textId="6D2EE4BD" w:rsidR="00C97677" w:rsidRPr="003650C8" w:rsidRDefault="00C97677" w:rsidP="00C97677">
            <w:pPr>
              <w:jc w:val="center"/>
            </w:pPr>
            <w:r w:rsidRPr="003650C8">
              <w:t>33,332</w:t>
            </w:r>
          </w:p>
        </w:tc>
        <w:tc>
          <w:tcPr>
            <w:tcW w:w="938" w:type="dxa"/>
            <w:tcBorders>
              <w:top w:val="nil"/>
            </w:tcBorders>
          </w:tcPr>
          <w:p w14:paraId="01C94334" w14:textId="0C9EFF59" w:rsidR="00C97677" w:rsidRPr="003650C8" w:rsidRDefault="00C97677" w:rsidP="00C97677">
            <w:pPr>
              <w:jc w:val="center"/>
            </w:pPr>
            <w:r w:rsidRPr="003650C8">
              <w:t>33,811</w:t>
            </w:r>
          </w:p>
        </w:tc>
        <w:tc>
          <w:tcPr>
            <w:tcW w:w="992" w:type="dxa"/>
            <w:tcBorders>
              <w:top w:val="nil"/>
            </w:tcBorders>
          </w:tcPr>
          <w:p w14:paraId="2123C39C" w14:textId="5CD3F596" w:rsidR="00C97677" w:rsidRPr="003650C8" w:rsidRDefault="00C97677" w:rsidP="00C97677">
            <w:pPr>
              <w:jc w:val="center"/>
            </w:pPr>
            <w:r w:rsidRPr="003650C8">
              <w:t>33,264</w:t>
            </w:r>
          </w:p>
        </w:tc>
      </w:tr>
      <w:tr w:rsidR="00C97677" w:rsidRPr="003650C8" w14:paraId="659138C7" w14:textId="77777777" w:rsidTr="00A7521D">
        <w:trPr>
          <w:jc w:val="center"/>
        </w:trPr>
        <w:tc>
          <w:tcPr>
            <w:tcW w:w="3065" w:type="dxa"/>
          </w:tcPr>
          <w:p w14:paraId="3F6F8898" w14:textId="77777777" w:rsidR="00C97677" w:rsidRPr="003650C8" w:rsidRDefault="00C97677" w:rsidP="00C97677">
            <w:pPr>
              <w:jc w:val="center"/>
            </w:pPr>
            <w:r w:rsidRPr="003650C8">
              <w:t>Annual natural gas costs (£1,000)</w:t>
            </w:r>
          </w:p>
        </w:tc>
        <w:tc>
          <w:tcPr>
            <w:tcW w:w="1134" w:type="dxa"/>
          </w:tcPr>
          <w:p w14:paraId="34D80EC1" w14:textId="601ABF62" w:rsidR="00C97677" w:rsidRPr="003650C8" w:rsidRDefault="00C97677" w:rsidP="00C97677">
            <w:pPr>
              <w:jc w:val="center"/>
            </w:pPr>
            <w:r w:rsidRPr="003650C8">
              <w:t>1,031</w:t>
            </w:r>
          </w:p>
        </w:tc>
        <w:tc>
          <w:tcPr>
            <w:tcW w:w="1358" w:type="dxa"/>
          </w:tcPr>
          <w:p w14:paraId="5FBACC4A" w14:textId="42B0779B" w:rsidR="00C97677" w:rsidRPr="003650C8" w:rsidRDefault="00C97677" w:rsidP="00C97677">
            <w:pPr>
              <w:jc w:val="center"/>
            </w:pPr>
            <w:r w:rsidRPr="003650C8">
              <w:t>1,001</w:t>
            </w:r>
          </w:p>
        </w:tc>
        <w:tc>
          <w:tcPr>
            <w:tcW w:w="1396" w:type="dxa"/>
          </w:tcPr>
          <w:p w14:paraId="1C3C2C58" w14:textId="4079EBDF" w:rsidR="00C97677" w:rsidRPr="003650C8" w:rsidRDefault="00C97677" w:rsidP="00C97677">
            <w:pPr>
              <w:jc w:val="center"/>
            </w:pPr>
            <w:r w:rsidRPr="003650C8">
              <w:t>1,000</w:t>
            </w:r>
          </w:p>
        </w:tc>
        <w:tc>
          <w:tcPr>
            <w:tcW w:w="938" w:type="dxa"/>
          </w:tcPr>
          <w:p w14:paraId="4B7DF04E" w14:textId="515527F8" w:rsidR="00C97677" w:rsidRPr="003650C8" w:rsidRDefault="00C97677" w:rsidP="00C97677">
            <w:pPr>
              <w:jc w:val="center"/>
            </w:pPr>
            <w:r w:rsidRPr="003650C8">
              <w:t>1,014</w:t>
            </w:r>
          </w:p>
        </w:tc>
        <w:tc>
          <w:tcPr>
            <w:tcW w:w="992" w:type="dxa"/>
          </w:tcPr>
          <w:p w14:paraId="3978ACFD" w14:textId="3C0F9183" w:rsidR="00C97677" w:rsidRPr="003650C8" w:rsidRDefault="00C97677" w:rsidP="00C97677">
            <w:pPr>
              <w:jc w:val="center"/>
            </w:pPr>
            <w:r w:rsidRPr="003650C8">
              <w:t>998</w:t>
            </w:r>
          </w:p>
        </w:tc>
      </w:tr>
      <w:tr w:rsidR="00C97677" w:rsidRPr="003650C8" w14:paraId="5CD7B62D" w14:textId="77777777" w:rsidTr="00A7521D">
        <w:trPr>
          <w:jc w:val="center"/>
        </w:trPr>
        <w:tc>
          <w:tcPr>
            <w:tcW w:w="3065" w:type="dxa"/>
          </w:tcPr>
          <w:p w14:paraId="0F3C2674" w14:textId="77777777" w:rsidR="00C97677" w:rsidRPr="003650C8" w:rsidRDefault="00C97677" w:rsidP="00C97677">
            <w:pPr>
              <w:jc w:val="center"/>
            </w:pPr>
            <w:r w:rsidRPr="003650C8">
              <w:t>CAPEX of the TES system (£1,000)</w:t>
            </w:r>
          </w:p>
        </w:tc>
        <w:tc>
          <w:tcPr>
            <w:tcW w:w="1134" w:type="dxa"/>
          </w:tcPr>
          <w:p w14:paraId="119BE2CC" w14:textId="1E85C938" w:rsidR="00C97677" w:rsidRPr="003650C8" w:rsidRDefault="00C97677" w:rsidP="00C97677">
            <w:pPr>
              <w:jc w:val="center"/>
            </w:pPr>
            <w:r w:rsidRPr="003650C8">
              <w:t>0</w:t>
            </w:r>
          </w:p>
        </w:tc>
        <w:tc>
          <w:tcPr>
            <w:tcW w:w="1358" w:type="dxa"/>
          </w:tcPr>
          <w:p w14:paraId="2458577F" w14:textId="4A920937" w:rsidR="00C97677" w:rsidRPr="003650C8" w:rsidRDefault="00C97677" w:rsidP="00C97677">
            <w:pPr>
              <w:jc w:val="center"/>
            </w:pPr>
            <w:r w:rsidRPr="003650C8">
              <w:t>652</w:t>
            </w:r>
          </w:p>
        </w:tc>
        <w:tc>
          <w:tcPr>
            <w:tcW w:w="1396" w:type="dxa"/>
          </w:tcPr>
          <w:p w14:paraId="6C215D21" w14:textId="268541DC" w:rsidR="00C97677" w:rsidRPr="003650C8" w:rsidRDefault="00C97677" w:rsidP="00C97677">
            <w:pPr>
              <w:jc w:val="center"/>
            </w:pPr>
            <w:r w:rsidRPr="003650C8">
              <w:t>652</w:t>
            </w:r>
          </w:p>
        </w:tc>
        <w:tc>
          <w:tcPr>
            <w:tcW w:w="938" w:type="dxa"/>
          </w:tcPr>
          <w:p w14:paraId="56FEAB74" w14:textId="65B4490C" w:rsidR="00C97677" w:rsidRPr="003650C8" w:rsidRDefault="00C97677" w:rsidP="00C97677">
            <w:pPr>
              <w:jc w:val="center"/>
            </w:pPr>
            <w:r w:rsidRPr="003650C8">
              <w:t>3.22</w:t>
            </w:r>
          </w:p>
        </w:tc>
        <w:tc>
          <w:tcPr>
            <w:tcW w:w="992" w:type="dxa"/>
          </w:tcPr>
          <w:p w14:paraId="030473B6" w14:textId="07F01008" w:rsidR="00C97677" w:rsidRPr="003650C8" w:rsidRDefault="00C97677" w:rsidP="00C97677">
            <w:pPr>
              <w:jc w:val="center"/>
            </w:pPr>
            <w:r w:rsidRPr="003650C8">
              <w:t>0</w:t>
            </w:r>
          </w:p>
        </w:tc>
      </w:tr>
      <w:tr w:rsidR="00C97677" w:rsidRPr="003650C8" w14:paraId="4136F995" w14:textId="77777777" w:rsidTr="00A7521D">
        <w:trPr>
          <w:jc w:val="center"/>
        </w:trPr>
        <w:tc>
          <w:tcPr>
            <w:tcW w:w="3065" w:type="dxa"/>
            <w:tcBorders>
              <w:bottom w:val="single" w:sz="4" w:space="0" w:color="auto"/>
            </w:tcBorders>
          </w:tcPr>
          <w:p w14:paraId="5A74CADE" w14:textId="77777777" w:rsidR="00C97677" w:rsidRPr="003650C8" w:rsidRDefault="00C97677" w:rsidP="00C97677">
            <w:pPr>
              <w:jc w:val="center"/>
            </w:pPr>
            <w:r w:rsidRPr="003650C8">
              <w:t>Number of years to reach economic payback</w:t>
            </w:r>
          </w:p>
        </w:tc>
        <w:tc>
          <w:tcPr>
            <w:tcW w:w="1134" w:type="dxa"/>
            <w:tcBorders>
              <w:bottom w:val="single" w:sz="4" w:space="0" w:color="auto"/>
            </w:tcBorders>
          </w:tcPr>
          <w:p w14:paraId="4D97946B" w14:textId="64D273B4" w:rsidR="00C97677" w:rsidRPr="003650C8" w:rsidRDefault="00C97677" w:rsidP="00C97677">
            <w:pPr>
              <w:jc w:val="center"/>
            </w:pPr>
            <w:r w:rsidRPr="003650C8">
              <w:t>n/a</w:t>
            </w:r>
          </w:p>
        </w:tc>
        <w:tc>
          <w:tcPr>
            <w:tcW w:w="1358" w:type="dxa"/>
            <w:tcBorders>
              <w:bottom w:val="single" w:sz="4" w:space="0" w:color="auto"/>
            </w:tcBorders>
          </w:tcPr>
          <w:p w14:paraId="4B25AAAE" w14:textId="3C88DB7A" w:rsidR="00C97677" w:rsidRPr="003650C8" w:rsidRDefault="00C97677" w:rsidP="00C97677">
            <w:pPr>
              <w:jc w:val="center"/>
            </w:pPr>
            <w:r w:rsidRPr="003650C8">
              <w:t>22</w:t>
            </w:r>
          </w:p>
        </w:tc>
        <w:tc>
          <w:tcPr>
            <w:tcW w:w="1396" w:type="dxa"/>
            <w:tcBorders>
              <w:bottom w:val="single" w:sz="4" w:space="0" w:color="auto"/>
            </w:tcBorders>
          </w:tcPr>
          <w:p w14:paraId="7F11BEEE" w14:textId="0B603A42" w:rsidR="00C97677" w:rsidRPr="003650C8" w:rsidRDefault="00C97677" w:rsidP="00C97677">
            <w:pPr>
              <w:jc w:val="center"/>
            </w:pPr>
            <w:r w:rsidRPr="003650C8">
              <w:t>21</w:t>
            </w:r>
          </w:p>
        </w:tc>
        <w:tc>
          <w:tcPr>
            <w:tcW w:w="938" w:type="dxa"/>
            <w:tcBorders>
              <w:bottom w:val="single" w:sz="4" w:space="0" w:color="auto"/>
            </w:tcBorders>
          </w:tcPr>
          <w:p w14:paraId="66D6BBFA" w14:textId="0D924801" w:rsidR="00C97677" w:rsidRPr="003650C8" w:rsidRDefault="00C97677" w:rsidP="00C97677">
            <w:pPr>
              <w:jc w:val="center"/>
            </w:pPr>
            <w:r w:rsidRPr="003650C8">
              <w:t>1</w:t>
            </w:r>
          </w:p>
        </w:tc>
        <w:tc>
          <w:tcPr>
            <w:tcW w:w="992" w:type="dxa"/>
            <w:tcBorders>
              <w:bottom w:val="single" w:sz="4" w:space="0" w:color="auto"/>
            </w:tcBorders>
          </w:tcPr>
          <w:p w14:paraId="56F6480D" w14:textId="3632E53A" w:rsidR="00C97677" w:rsidRPr="003650C8" w:rsidRDefault="00C97677" w:rsidP="00C97677">
            <w:pPr>
              <w:jc w:val="center"/>
            </w:pPr>
            <w:r w:rsidRPr="003650C8">
              <w:t>1</w:t>
            </w:r>
          </w:p>
        </w:tc>
      </w:tr>
      <w:tr w:rsidR="00C97677" w:rsidRPr="003650C8" w14:paraId="2604EF11" w14:textId="77777777" w:rsidTr="00A7521D">
        <w:trPr>
          <w:jc w:val="center"/>
        </w:trPr>
        <w:tc>
          <w:tcPr>
            <w:tcW w:w="3065" w:type="dxa"/>
            <w:tcBorders>
              <w:top w:val="single" w:sz="4" w:space="0" w:color="auto"/>
              <w:bottom w:val="nil"/>
            </w:tcBorders>
          </w:tcPr>
          <w:p w14:paraId="7511A151" w14:textId="77777777" w:rsidR="00C97677" w:rsidRPr="003650C8" w:rsidRDefault="00C97677" w:rsidP="00C97677">
            <w:pPr>
              <w:jc w:val="center"/>
            </w:pPr>
            <w:r w:rsidRPr="003650C8">
              <w:t>Annual emissions associated with annual natural gas (tonnes CO</w:t>
            </w:r>
            <w:r w:rsidRPr="003650C8">
              <w:rPr>
                <w:vertAlign w:val="subscript"/>
              </w:rPr>
              <w:t>2</w:t>
            </w:r>
            <w:r w:rsidRPr="003650C8">
              <w:t>e)</w:t>
            </w:r>
          </w:p>
        </w:tc>
        <w:tc>
          <w:tcPr>
            <w:tcW w:w="1134" w:type="dxa"/>
            <w:tcBorders>
              <w:top w:val="single" w:sz="4" w:space="0" w:color="auto"/>
              <w:bottom w:val="nil"/>
            </w:tcBorders>
          </w:tcPr>
          <w:p w14:paraId="4066989C" w14:textId="1ECAFF3C" w:rsidR="00C97677" w:rsidRPr="003650C8" w:rsidRDefault="00C97677" w:rsidP="00C97677">
            <w:pPr>
              <w:jc w:val="center"/>
            </w:pPr>
            <w:r w:rsidRPr="003650C8">
              <w:t>6,292</w:t>
            </w:r>
          </w:p>
        </w:tc>
        <w:tc>
          <w:tcPr>
            <w:tcW w:w="1358" w:type="dxa"/>
            <w:tcBorders>
              <w:top w:val="single" w:sz="4" w:space="0" w:color="auto"/>
              <w:bottom w:val="nil"/>
            </w:tcBorders>
          </w:tcPr>
          <w:p w14:paraId="3AF98000" w14:textId="79F1AFEC" w:rsidR="00C97677" w:rsidRPr="003650C8" w:rsidRDefault="00C97677" w:rsidP="00C97677">
            <w:pPr>
              <w:jc w:val="center"/>
            </w:pPr>
            <w:r w:rsidRPr="003650C8">
              <w:t>6,119</w:t>
            </w:r>
          </w:p>
        </w:tc>
        <w:tc>
          <w:tcPr>
            <w:tcW w:w="1396" w:type="dxa"/>
            <w:tcBorders>
              <w:top w:val="single" w:sz="4" w:space="0" w:color="auto"/>
              <w:bottom w:val="nil"/>
            </w:tcBorders>
          </w:tcPr>
          <w:p w14:paraId="10B045FC" w14:textId="663887EF" w:rsidR="00C97677" w:rsidRPr="003650C8" w:rsidRDefault="00C97677" w:rsidP="00C97677">
            <w:pPr>
              <w:jc w:val="center"/>
            </w:pPr>
            <w:r w:rsidRPr="003650C8">
              <w:t>6,105</w:t>
            </w:r>
          </w:p>
        </w:tc>
        <w:tc>
          <w:tcPr>
            <w:tcW w:w="938" w:type="dxa"/>
            <w:tcBorders>
              <w:top w:val="single" w:sz="4" w:space="0" w:color="auto"/>
              <w:bottom w:val="nil"/>
            </w:tcBorders>
          </w:tcPr>
          <w:p w14:paraId="5579A10C" w14:textId="6FBD82A8" w:rsidR="00C97677" w:rsidRPr="003650C8" w:rsidRDefault="00C97677" w:rsidP="00C97677">
            <w:pPr>
              <w:jc w:val="center"/>
            </w:pPr>
            <w:r w:rsidRPr="003650C8">
              <w:t>6,187</w:t>
            </w:r>
          </w:p>
        </w:tc>
        <w:tc>
          <w:tcPr>
            <w:tcW w:w="992" w:type="dxa"/>
            <w:tcBorders>
              <w:top w:val="single" w:sz="4" w:space="0" w:color="auto"/>
              <w:bottom w:val="nil"/>
            </w:tcBorders>
          </w:tcPr>
          <w:p w14:paraId="362434A8" w14:textId="4153C96A" w:rsidR="00C97677" w:rsidRPr="003650C8" w:rsidRDefault="00C97677" w:rsidP="00C97677">
            <w:pPr>
              <w:jc w:val="center"/>
            </w:pPr>
            <w:r w:rsidRPr="003650C8">
              <w:t>6,103</w:t>
            </w:r>
          </w:p>
        </w:tc>
      </w:tr>
      <w:tr w:rsidR="00C97677" w:rsidRPr="003650C8" w14:paraId="0EC01665" w14:textId="77777777" w:rsidTr="00A7521D">
        <w:trPr>
          <w:jc w:val="center"/>
        </w:trPr>
        <w:tc>
          <w:tcPr>
            <w:tcW w:w="3065" w:type="dxa"/>
            <w:tcBorders>
              <w:top w:val="nil"/>
            </w:tcBorders>
          </w:tcPr>
          <w:p w14:paraId="26543771" w14:textId="77777777" w:rsidR="00C97677" w:rsidRPr="003650C8" w:rsidRDefault="00C97677" w:rsidP="00C97677">
            <w:pPr>
              <w:jc w:val="center"/>
            </w:pPr>
            <w:r w:rsidRPr="003650C8">
              <w:t>Emissions associated with the TES system (tonnes CO</w:t>
            </w:r>
            <w:r w:rsidRPr="003650C8">
              <w:rPr>
                <w:vertAlign w:val="subscript"/>
              </w:rPr>
              <w:t>2</w:t>
            </w:r>
            <w:r w:rsidRPr="003650C8">
              <w:t>e)</w:t>
            </w:r>
          </w:p>
        </w:tc>
        <w:tc>
          <w:tcPr>
            <w:tcW w:w="1134" w:type="dxa"/>
            <w:tcBorders>
              <w:top w:val="nil"/>
            </w:tcBorders>
          </w:tcPr>
          <w:p w14:paraId="07DFC2D8" w14:textId="5586662B" w:rsidR="00C97677" w:rsidRPr="003650C8" w:rsidRDefault="00C97677" w:rsidP="00C97677">
            <w:pPr>
              <w:jc w:val="center"/>
            </w:pPr>
            <w:r w:rsidRPr="003650C8">
              <w:t>0</w:t>
            </w:r>
          </w:p>
        </w:tc>
        <w:tc>
          <w:tcPr>
            <w:tcW w:w="1358" w:type="dxa"/>
            <w:tcBorders>
              <w:top w:val="nil"/>
            </w:tcBorders>
          </w:tcPr>
          <w:p w14:paraId="2E429550" w14:textId="47D4B883" w:rsidR="00C97677" w:rsidRPr="003650C8" w:rsidRDefault="00C97677" w:rsidP="00C97677">
            <w:pPr>
              <w:jc w:val="center"/>
            </w:pPr>
            <w:r w:rsidRPr="003650C8">
              <w:t>221</w:t>
            </w:r>
          </w:p>
        </w:tc>
        <w:tc>
          <w:tcPr>
            <w:tcW w:w="1396" w:type="dxa"/>
            <w:tcBorders>
              <w:top w:val="nil"/>
            </w:tcBorders>
          </w:tcPr>
          <w:p w14:paraId="4B66E46B" w14:textId="04ABF63F" w:rsidR="00C97677" w:rsidRPr="003650C8" w:rsidRDefault="00C97677" w:rsidP="00C97677">
            <w:pPr>
              <w:jc w:val="center"/>
            </w:pPr>
            <w:r w:rsidRPr="003650C8">
              <w:t>220</w:t>
            </w:r>
          </w:p>
        </w:tc>
        <w:tc>
          <w:tcPr>
            <w:tcW w:w="938" w:type="dxa"/>
            <w:tcBorders>
              <w:top w:val="nil"/>
            </w:tcBorders>
          </w:tcPr>
          <w:p w14:paraId="4555CC37" w14:textId="63A76C66" w:rsidR="00C97677" w:rsidRPr="003650C8" w:rsidRDefault="00C97677" w:rsidP="00C97677">
            <w:pPr>
              <w:jc w:val="center"/>
            </w:pPr>
            <w:r w:rsidRPr="003650C8">
              <w:t>0</w:t>
            </w:r>
          </w:p>
        </w:tc>
        <w:tc>
          <w:tcPr>
            <w:tcW w:w="992" w:type="dxa"/>
            <w:tcBorders>
              <w:top w:val="nil"/>
            </w:tcBorders>
          </w:tcPr>
          <w:p w14:paraId="078830AD" w14:textId="0EFC64DC" w:rsidR="00C97677" w:rsidRPr="003650C8" w:rsidRDefault="00C97677" w:rsidP="00C97677">
            <w:pPr>
              <w:jc w:val="center"/>
            </w:pPr>
            <w:r w:rsidRPr="003650C8">
              <w:t>0</w:t>
            </w:r>
          </w:p>
        </w:tc>
      </w:tr>
      <w:tr w:rsidR="00C97677" w:rsidRPr="003650C8" w14:paraId="167286BA" w14:textId="77777777" w:rsidTr="00A7521D">
        <w:trPr>
          <w:jc w:val="center"/>
        </w:trPr>
        <w:tc>
          <w:tcPr>
            <w:tcW w:w="3065" w:type="dxa"/>
          </w:tcPr>
          <w:p w14:paraId="7A27E758" w14:textId="77777777" w:rsidR="00C97677" w:rsidRPr="003650C8" w:rsidRDefault="00C97677" w:rsidP="00C97677">
            <w:pPr>
              <w:jc w:val="center"/>
            </w:pPr>
            <w:r w:rsidRPr="003650C8">
              <w:t>Number of years to reach environmental payback</w:t>
            </w:r>
          </w:p>
        </w:tc>
        <w:tc>
          <w:tcPr>
            <w:tcW w:w="1134" w:type="dxa"/>
          </w:tcPr>
          <w:p w14:paraId="67E3262F" w14:textId="761CB45B" w:rsidR="00C97677" w:rsidRPr="003650C8" w:rsidRDefault="00C97677" w:rsidP="00C97677">
            <w:pPr>
              <w:jc w:val="center"/>
            </w:pPr>
            <w:r w:rsidRPr="003650C8">
              <w:t>n/a</w:t>
            </w:r>
          </w:p>
        </w:tc>
        <w:tc>
          <w:tcPr>
            <w:tcW w:w="1358" w:type="dxa"/>
          </w:tcPr>
          <w:p w14:paraId="103CC5CC" w14:textId="202A1543" w:rsidR="00C97677" w:rsidRPr="003650C8" w:rsidRDefault="00C97677" w:rsidP="00C97677">
            <w:pPr>
              <w:jc w:val="center"/>
            </w:pPr>
            <w:r w:rsidRPr="003650C8">
              <w:t>2</w:t>
            </w:r>
          </w:p>
        </w:tc>
        <w:tc>
          <w:tcPr>
            <w:tcW w:w="1396" w:type="dxa"/>
          </w:tcPr>
          <w:p w14:paraId="067CEC18" w14:textId="50616596" w:rsidR="00C97677" w:rsidRPr="003650C8" w:rsidRDefault="00C97677" w:rsidP="00C97677">
            <w:pPr>
              <w:jc w:val="center"/>
            </w:pPr>
            <w:r w:rsidRPr="003650C8">
              <w:t>2</w:t>
            </w:r>
          </w:p>
        </w:tc>
        <w:tc>
          <w:tcPr>
            <w:tcW w:w="938" w:type="dxa"/>
          </w:tcPr>
          <w:p w14:paraId="017A050D" w14:textId="183913F8" w:rsidR="00C97677" w:rsidRPr="003650C8" w:rsidRDefault="00C97677" w:rsidP="00C97677">
            <w:pPr>
              <w:jc w:val="center"/>
            </w:pPr>
            <w:r w:rsidRPr="003650C8">
              <w:t>1</w:t>
            </w:r>
          </w:p>
        </w:tc>
        <w:tc>
          <w:tcPr>
            <w:tcW w:w="992" w:type="dxa"/>
          </w:tcPr>
          <w:p w14:paraId="41207D45" w14:textId="3C6B5298" w:rsidR="00C97677" w:rsidRPr="003650C8" w:rsidRDefault="00C97677" w:rsidP="00C97677">
            <w:pPr>
              <w:jc w:val="center"/>
            </w:pPr>
            <w:r w:rsidRPr="003650C8">
              <w:t>1</w:t>
            </w:r>
          </w:p>
        </w:tc>
      </w:tr>
    </w:tbl>
    <w:p w14:paraId="42A75786" w14:textId="2FFA2C57" w:rsidR="000F16EB" w:rsidRDefault="000F16EB" w:rsidP="000F16EB"/>
    <w:p w14:paraId="28A1760A" w14:textId="2A89ADD5" w:rsidR="00C97677" w:rsidRDefault="00C97677" w:rsidP="00C97677">
      <w:r>
        <w:lastRenderedPageBreak/>
        <w:fldChar w:fldCharType="begin"/>
      </w:r>
      <w:r>
        <w:instrText xml:space="preserve"> REF _Ref523659193 \h </w:instrText>
      </w:r>
      <w:r>
        <w:fldChar w:fldCharType="separate"/>
      </w:r>
      <w:r w:rsidR="00CB7456">
        <w:t xml:space="preserve">Table </w:t>
      </w:r>
      <w:r w:rsidR="00CB7456">
        <w:rPr>
          <w:noProof/>
        </w:rPr>
        <w:t>7</w:t>
      </w:r>
      <w:r w:rsidR="00CB7456">
        <w:t>.</w:t>
      </w:r>
      <w:r w:rsidR="00CB7456">
        <w:rPr>
          <w:noProof/>
        </w:rPr>
        <w:t>5</w:t>
      </w:r>
      <w:r>
        <w:fldChar w:fldCharType="end"/>
      </w:r>
      <w:r>
        <w:t xml:space="preserve"> shows that scenario 4), utilising the thermal inertia of the pipe network, required the smallest annual </w:t>
      </w:r>
      <w:r w:rsidR="000C4723">
        <w:t>natural gas input into the</w:t>
      </w:r>
      <w:r>
        <w:t xml:space="preserve"> burner and the smallest annual OPEX. The annual energy use from the natural gas burner in scenario 4) was </w:t>
      </w:r>
      <w:r w:rsidR="000C4723">
        <w:t>33,264</w:t>
      </w:r>
      <w:r>
        <w:t xml:space="preserve"> MWh, with </w:t>
      </w:r>
      <w:r w:rsidRPr="00A2302B">
        <w:t xml:space="preserve">annual </w:t>
      </w:r>
      <w:r>
        <w:t>OPEX of</w:t>
      </w:r>
      <w:r w:rsidRPr="00A2302B">
        <w:t xml:space="preserve"> </w:t>
      </w:r>
      <w:r>
        <w:t>£998,000</w:t>
      </w:r>
      <w:r w:rsidRPr="00A2302B">
        <w:t>.</w:t>
      </w:r>
      <w:r>
        <w:t xml:space="preserve"> Scenario 4) was followed by scenario 2), with annual OPEX of £1,000,000, then scenario 1) with OPEX of £1,00</w:t>
      </w:r>
      <w:r w:rsidR="000C4723">
        <w:t>1</w:t>
      </w:r>
      <w:r>
        <w:t xml:space="preserve">,000 and scenario 3), with OPEX of £1,014,000. The thermal inertia-based scenarios, 3) and 4), had the shortest economic payback periods, of one year. The short payback periods were due to the insignificantly low costs of the technologies. The HWT based scenarios, 1) and 2), had payback periods of 22 and 20 years respectively. </w:t>
      </w:r>
    </w:p>
    <w:p w14:paraId="28D5943C" w14:textId="1F90437A" w:rsidR="000F16EB" w:rsidRDefault="000F16EB" w:rsidP="000F16EB">
      <w:r>
        <w:fldChar w:fldCharType="begin"/>
      </w:r>
      <w:r>
        <w:instrText xml:space="preserve"> REF _Ref523659193 \h </w:instrText>
      </w:r>
      <w:r>
        <w:fldChar w:fldCharType="separate"/>
      </w:r>
      <w:r w:rsidR="00CB7456">
        <w:t xml:space="preserve">Table </w:t>
      </w:r>
      <w:r w:rsidR="00CB7456">
        <w:rPr>
          <w:noProof/>
        </w:rPr>
        <w:t>7</w:t>
      </w:r>
      <w:r w:rsidR="00CB7456">
        <w:t>.</w:t>
      </w:r>
      <w:r w:rsidR="00CB7456">
        <w:rPr>
          <w:noProof/>
        </w:rPr>
        <w:t>5</w:t>
      </w:r>
      <w:r>
        <w:fldChar w:fldCharType="end"/>
      </w:r>
      <w:r>
        <w:t xml:space="preserve"> shows that the greatest environmental savings came from scenario 4), utilising the thermal inertia of the pipe network. Scenario 4) had yearly emissions of 6,</w:t>
      </w:r>
      <w:r w:rsidR="000C4723">
        <w:t>103</w:t>
      </w:r>
      <w:r w:rsidRPr="00A2302B">
        <w:t xml:space="preserve"> tonnes CO</w:t>
      </w:r>
      <w:r w:rsidRPr="00A2302B">
        <w:rPr>
          <w:vertAlign w:val="subscript"/>
        </w:rPr>
        <w:t>2</w:t>
      </w:r>
      <w:r w:rsidRPr="00A2302B">
        <w:t>e</w:t>
      </w:r>
      <w:r>
        <w:t>. Scenario 4) was followed by scenario 2), with yearly emissions</w:t>
      </w:r>
      <w:r w:rsidRPr="00A2302B">
        <w:t xml:space="preserve"> of </w:t>
      </w:r>
      <w:r>
        <w:t>6,10</w:t>
      </w:r>
      <w:r w:rsidR="000C4723">
        <w:t>5</w:t>
      </w:r>
      <w:r>
        <w:t> tonnes </w:t>
      </w:r>
      <w:r w:rsidRPr="00A2302B">
        <w:t>CO</w:t>
      </w:r>
      <w:r w:rsidRPr="00A2302B">
        <w:rPr>
          <w:vertAlign w:val="subscript"/>
        </w:rPr>
        <w:t>2</w:t>
      </w:r>
      <w:r w:rsidRPr="00A2302B">
        <w:t>e</w:t>
      </w:r>
      <w:r>
        <w:t>, then scenario 1) with yearly emissions of 6,119 tonnes </w:t>
      </w:r>
      <w:r w:rsidRPr="00A2302B">
        <w:t>CO</w:t>
      </w:r>
      <w:r w:rsidRPr="00A2302B">
        <w:rPr>
          <w:vertAlign w:val="subscript"/>
        </w:rPr>
        <w:t>2</w:t>
      </w:r>
      <w:r w:rsidRPr="00A2302B">
        <w:t>e</w:t>
      </w:r>
      <w:r>
        <w:t xml:space="preserve"> and scenario 3), with yearly emissions of 6,187 tonnes </w:t>
      </w:r>
      <w:r w:rsidRPr="00A2302B">
        <w:t>CO</w:t>
      </w:r>
      <w:r w:rsidRPr="00A2302B">
        <w:rPr>
          <w:vertAlign w:val="subscript"/>
        </w:rPr>
        <w:t>2</w:t>
      </w:r>
      <w:r w:rsidRPr="00A2302B">
        <w:t>e</w:t>
      </w:r>
      <w:r>
        <w:t xml:space="preserve">. </w:t>
      </w:r>
      <w:r>
        <w:fldChar w:fldCharType="begin"/>
      </w:r>
      <w:r>
        <w:instrText xml:space="preserve"> REF _Ref523659193 \h </w:instrText>
      </w:r>
      <w:r>
        <w:fldChar w:fldCharType="separate"/>
      </w:r>
      <w:r w:rsidR="00CB7456">
        <w:t xml:space="preserve">Table </w:t>
      </w:r>
      <w:r w:rsidR="00CB7456">
        <w:rPr>
          <w:noProof/>
        </w:rPr>
        <w:t>7</w:t>
      </w:r>
      <w:r w:rsidR="00CB7456">
        <w:t>.</w:t>
      </w:r>
      <w:r w:rsidR="00CB7456">
        <w:rPr>
          <w:noProof/>
        </w:rPr>
        <w:t>5</w:t>
      </w:r>
      <w:r>
        <w:fldChar w:fldCharType="end"/>
      </w:r>
      <w:r>
        <w:t xml:space="preserve"> shows that, from an environmental perspective, scenario 4) was the best option.</w:t>
      </w:r>
      <w:r w:rsidRPr="007F2846">
        <w:t xml:space="preserve"> </w:t>
      </w:r>
      <w:r>
        <w:t>Once again, the differences between scenarios 1) and 2) were shown to be insignificant, less than 1%.</w:t>
      </w:r>
    </w:p>
    <w:p w14:paraId="24A4927F" w14:textId="404DA841" w:rsidR="000F16EB" w:rsidRDefault="000F16EB" w:rsidP="000F16EB">
      <w:r>
        <w:t xml:space="preserve">In nearly all of the assessments, the best TES scenario was 4), utilising the thermal inertia of the pipes in the DHN. Scenario 4) was shown to have the </w:t>
      </w:r>
      <w:r w:rsidRPr="00E409C0">
        <w:t xml:space="preserve">smallest yearly use of natural gas, resulting in the smallest annual </w:t>
      </w:r>
      <w:r>
        <w:t>OPEX</w:t>
      </w:r>
      <w:r w:rsidRPr="00E409C0">
        <w:t xml:space="preserve"> and the fewest annual associated CO</w:t>
      </w:r>
      <w:r w:rsidRPr="00E409C0">
        <w:rPr>
          <w:vertAlign w:val="subscript"/>
        </w:rPr>
        <w:t>2</w:t>
      </w:r>
      <w:r w:rsidRPr="00E409C0">
        <w:t>e emissions.</w:t>
      </w:r>
      <w:r>
        <w:t xml:space="preserve"> It was the best option </w:t>
      </w:r>
      <w:r w:rsidRPr="00E409C0">
        <w:t>from both an environmental</w:t>
      </w:r>
      <w:r>
        <w:t xml:space="preserve"> and</w:t>
      </w:r>
      <w:r w:rsidRPr="00E409C0">
        <w:t xml:space="preserve"> an economic view regardless of the timescale considered</w:t>
      </w:r>
      <w:r>
        <w:t>, was shown to store energy for the longest, and reached high levels of SOC most frequently</w:t>
      </w:r>
      <w:r w:rsidRPr="00E409C0">
        <w:t>.</w:t>
      </w:r>
      <w:r>
        <w:t xml:space="preserve"> It is likely that scenario 4) was the best TES option as the 3.4 MWh maximum energy storage capacity of the TES was close to the 3.6 MWh of energy available from the case study. Therefore, scenario 4) was coincidentally optimised for the case study. When compared to the TES options using the HWTs, scenarios 1) and 2), the network-based TES had a lower rate of energy losses from the </w:t>
      </w:r>
      <w:r w:rsidRPr="00E409C0">
        <w:t>network</w:t>
      </w:r>
      <w:r w:rsidR="000C4723">
        <w:t xml:space="preserve">. It is likely that the network-based TES had lower </w:t>
      </w:r>
      <w:r w:rsidRPr="00E409C0">
        <w:t>exergy losses through the mixing of the water.</w:t>
      </w:r>
      <w:r>
        <w:t xml:space="preserve"> In future work, when network-based TES is optimised for the particular case, it should be chosen as the best TES option.</w:t>
      </w:r>
    </w:p>
    <w:p w14:paraId="5894DDAA" w14:textId="65292096" w:rsidR="000F16EB" w:rsidRDefault="000F16EB" w:rsidP="000F16EB">
      <w:r>
        <w:t xml:space="preserve">The two HWT based scenarios, scenarios 1) and 2), were shown to have similar results in almost every assessment. Particularly in the techno-economic and environmental analysis and the RDMLVs and RWMLVs. Greater differences were found in the average storage levels and SOC assessments, but differences tended to be 10% or less. The differences were less than the 24% industrial reported variation </w:t>
      </w:r>
      <w:r>
        <w:fldChar w:fldCharType="begin" w:fldLock="1"/>
      </w:r>
      <w:r w:rsidR="002A6A73">
        <w:instrText>ADDIN CSL_CITATION {"citationItems":[{"id":"ITEM-1","itemData":{"author":[{"dropping-particle":"","family":"Parsons Brinckerhoff","given":"","non-dropping-particle":"","parse-names":false,"suffix":""}],"id":"ITEM-1","issue":"May","issued":{"date-parts":[["2011"]]},"publisher-place":"London, England","title":"A District Heating Utility for the Tees Valley: Study into the strategic use of waste heat and supply of private sector customers","type":"report"},"uris":["http://www.mendeley.com/documents/?uuid=5e08822c-bb7b-4846-8fd8-71bc94ccfc29"]}],"mendeley":{"formattedCitation":"(Parsons Brinckerhoff, 2011)","plainTextFormattedCitation":"(Parsons Brinckerhoff, 2011)","previouslyFormattedCitation":"(Parsons Brinckerhoff, 2011)"},"properties":{"noteIndex":0},"schema":"https://github.com/citation-style-language/schema/raw/master/csl-citation.json"}</w:instrText>
      </w:r>
      <w:r>
        <w:fldChar w:fldCharType="separate"/>
      </w:r>
      <w:r w:rsidR="002A6A73" w:rsidRPr="002A6A73">
        <w:rPr>
          <w:noProof/>
        </w:rPr>
        <w:t>(Parsons Brinckerhoff, 2011)</w:t>
      </w:r>
      <w:r>
        <w:fldChar w:fldCharType="end"/>
      </w:r>
      <w:r>
        <w:t>, so therefore can be considered insignificant in a simple optimisation. The insignificant differences are likely to be due to the methodology used rather than inherent differences between the different sized HWTs. Therefore, it is likely that both scenarios were identically as effective at optimising TES in a DHN, provided the total volumes and maximum energy storage capacities of the tanks were identical. As both scenarios were identically as effective, either could be used in DH optimisation, giving increased flexibility to the network operator. Due to network to network differences, particularly geographical ones, sometimes it would be more desirable to have a single, large HWT and sometimes it would be better to have a pair of smaller tanks. The choice of which number of HWTs to use could be left to the user.</w:t>
      </w:r>
    </w:p>
    <w:p w14:paraId="6208A031" w14:textId="77777777" w:rsidR="000F16EB" w:rsidRDefault="000F16EB" w:rsidP="000F16EB">
      <w:r>
        <w:lastRenderedPageBreak/>
        <w:t xml:space="preserve">The performance of scenario 3), utilising the thermal inertia of the buildings connected to the DHN, was the worst of the four, </w:t>
      </w:r>
      <w:r w:rsidRPr="00FF7473">
        <w:t xml:space="preserve">with only </w:t>
      </w:r>
      <w:r>
        <w:t>minor</w:t>
      </w:r>
      <w:r w:rsidRPr="00FF7473">
        <w:t xml:space="preserve"> improvements when compared to the reference scenario.</w:t>
      </w:r>
      <w:r>
        <w:t xml:space="preserve"> Building based TES only resulted in </w:t>
      </w:r>
      <w:r w:rsidRPr="00FF7473">
        <w:t>annual economic savings of £5,000 and emission savings of 26 tonnes CO</w:t>
      </w:r>
      <w:r w:rsidRPr="00FF7473">
        <w:rPr>
          <w:vertAlign w:val="subscript"/>
        </w:rPr>
        <w:t>2</w:t>
      </w:r>
      <w:r w:rsidRPr="00FF7473">
        <w:t>e.</w:t>
      </w:r>
      <w:r>
        <w:t xml:space="preserve"> The reason for the poor performance was due to the small size of the case study DHN only providing a small number of buildings that could be utilised in the TES. Therefore, there was only a small volume of building mass that could be used as the thermal inertia in the TES. In future small case </w:t>
      </w:r>
      <w:proofErr w:type="gramStart"/>
      <w:r>
        <w:t>studies</w:t>
      </w:r>
      <w:proofErr w:type="gramEnd"/>
      <w:r>
        <w:t xml:space="preserve"> it is likely that TES in the thermal inertia of the buildings would be the least viable option.</w:t>
      </w:r>
    </w:p>
    <w:p w14:paraId="7FF6650B" w14:textId="77777777" w:rsidR="000F16EB" w:rsidRDefault="000F16EB" w:rsidP="000F16EB">
      <w:r>
        <w:t>All of the TES scenarios increased the RWMLVs and were unable to store TE for longer than eight hours, proving that none of the scenarios should be used for longer than daily energy storage needs.</w:t>
      </w:r>
    </w:p>
    <w:p w14:paraId="2A8F50C2" w14:textId="4D536F81" w:rsidR="000F16EB" w:rsidRPr="00FA6D37" w:rsidRDefault="000F16EB" w:rsidP="000F16EB">
      <w:r>
        <w:t xml:space="preserve">It is worth noting that the economic performance of each TES scenario was similar with differences in the annual </w:t>
      </w:r>
      <w:r w:rsidR="00C72679">
        <w:t>OPEXs</w:t>
      </w:r>
      <w:r>
        <w:t xml:space="preserve"> of £16,000. The difference in the environmental assessment was larger, with differences in the annual emission savings of 99 tonnes of CO</w:t>
      </w:r>
      <w:r>
        <w:rPr>
          <w:vertAlign w:val="subscript"/>
        </w:rPr>
        <w:t>2</w:t>
      </w:r>
      <w:r>
        <w:t>e. An advantage of the similarity in the TES scenarios, considering that each scenario performed better than the reference scenario, is that it offers more flexibility to the non-technical user. It is possible that hidden costs will emerge later in the DH design work making the chosen scenario more expensive. In a situation such as that, the operator will be able to use a different, but similarly well performing, TES technology.</w:t>
      </w:r>
    </w:p>
    <w:p w14:paraId="5719DC65" w14:textId="77777777" w:rsidR="000F16EB" w:rsidRDefault="000F16EB" w:rsidP="000F16EB">
      <w:pPr>
        <w:pStyle w:val="Heading3"/>
      </w:pPr>
      <w:bookmarkStart w:id="825" w:name="_Toc525230032"/>
      <w:bookmarkStart w:id="826" w:name="_Toc7187559"/>
      <w:r>
        <w:t>Lessons for Future DH Optimisation Work</w:t>
      </w:r>
      <w:bookmarkEnd w:id="825"/>
      <w:bookmarkEnd w:id="826"/>
    </w:p>
    <w:p w14:paraId="1628F831" w14:textId="49D70DB3" w:rsidR="000F16EB" w:rsidRDefault="000F16EB" w:rsidP="000F16EB">
      <w:pPr>
        <w:rPr>
          <w:color w:val="000000" w:themeColor="text1"/>
        </w:rPr>
      </w:pPr>
      <w:r>
        <w:t xml:space="preserve">The work done so far in this chapter shows that, under the conditions of the case study, the best TES scenario was scenario 4), TES utilising the thermal inertia of the pipe network. In other </w:t>
      </w:r>
      <w:proofErr w:type="gramStart"/>
      <w:r>
        <w:t>cases</w:t>
      </w:r>
      <w:proofErr w:type="gramEnd"/>
      <w:r>
        <w:t xml:space="preserve"> a different TES scenario might be better. It would be useful to repeat the work with a range of different heat supply to HD ratios, so that generic rules can be drawn that can be used in any case. Therefore, the work done so far in this chapter was repeated at a range of different heat supply to HD ratios, as shown in </w:t>
      </w:r>
      <w:r>
        <w:fldChar w:fldCharType="begin"/>
      </w:r>
      <w:r>
        <w:instrText xml:space="preserve"> REF _Ref531103372 \h </w:instrText>
      </w:r>
      <w:r>
        <w:fldChar w:fldCharType="separate"/>
      </w:r>
      <w:r w:rsidR="00CB7456">
        <w:t xml:space="preserve">Figure </w:t>
      </w:r>
      <w:r w:rsidR="00CB7456">
        <w:rPr>
          <w:noProof/>
        </w:rPr>
        <w:t>7</w:t>
      </w:r>
      <w:r w:rsidR="00CB7456">
        <w:t>.</w:t>
      </w:r>
      <w:r w:rsidR="00CB7456">
        <w:rPr>
          <w:noProof/>
        </w:rPr>
        <w:t>5</w:t>
      </w:r>
      <w:r>
        <w:fldChar w:fldCharType="end"/>
      </w:r>
      <w:r>
        <w:t xml:space="preserve"> and </w:t>
      </w:r>
      <w:r>
        <w:fldChar w:fldCharType="begin"/>
      </w:r>
      <w:r>
        <w:instrText xml:space="preserve"> REF _Ref523662483 \h </w:instrText>
      </w:r>
      <w:r>
        <w:fldChar w:fldCharType="separate"/>
      </w:r>
      <w:r w:rsidR="00CB7456">
        <w:t xml:space="preserve">Table </w:t>
      </w:r>
      <w:r w:rsidR="00CB7456">
        <w:rPr>
          <w:noProof/>
        </w:rPr>
        <w:t>7</w:t>
      </w:r>
      <w:r w:rsidR="00CB7456">
        <w:t>.</w:t>
      </w:r>
      <w:r w:rsidR="00CB7456">
        <w:rPr>
          <w:noProof/>
        </w:rPr>
        <w:t>6</w:t>
      </w:r>
      <w:r>
        <w:fldChar w:fldCharType="end"/>
      </w:r>
      <w:r>
        <w:t xml:space="preserve">. </w:t>
      </w:r>
      <w:r>
        <w:fldChar w:fldCharType="begin"/>
      </w:r>
      <w:r>
        <w:instrText xml:space="preserve"> REF _Ref523662483 \h </w:instrText>
      </w:r>
      <w:r>
        <w:fldChar w:fldCharType="separate"/>
      </w:r>
      <w:r w:rsidR="00CB7456">
        <w:t xml:space="preserve">Table </w:t>
      </w:r>
      <w:r w:rsidR="00CB7456">
        <w:rPr>
          <w:noProof/>
        </w:rPr>
        <w:t>7</w:t>
      </w:r>
      <w:r w:rsidR="00CB7456">
        <w:t>.</w:t>
      </w:r>
      <w:r w:rsidR="00CB7456">
        <w:rPr>
          <w:noProof/>
        </w:rPr>
        <w:t>6</w:t>
      </w:r>
      <w:r>
        <w:fldChar w:fldCharType="end"/>
      </w:r>
      <w:r>
        <w:rPr>
          <w:color w:val="000000" w:themeColor="text1"/>
        </w:rPr>
        <w:t xml:space="preserve"> shows that as the heat supply increased, the ratio of peak supply maxima to the peak demand maxima decreased.</w:t>
      </w:r>
    </w:p>
    <w:p w14:paraId="3CC6400D" w14:textId="77777777" w:rsidR="000F16EB" w:rsidRDefault="000F16EB" w:rsidP="000F16EB">
      <w:pPr>
        <w:keepNext/>
        <w:jc w:val="center"/>
      </w:pPr>
      <w:r>
        <w:rPr>
          <w:noProof/>
        </w:rPr>
        <w:drawing>
          <wp:inline distT="0" distB="0" distL="0" distR="0" wp14:anchorId="19B43229" wp14:editId="30F52058">
            <wp:extent cx="3168000" cy="2355621"/>
            <wp:effectExtent l="19050" t="19050" r="13970" b="2603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Just supply and demand, for a range of different supplies.jpg"/>
                    <pic:cNvPicPr/>
                  </pic:nvPicPr>
                  <pic:blipFill rotWithShape="1">
                    <a:blip r:embed="rId58" cstate="print">
                      <a:extLst>
                        <a:ext uri="{28A0092B-C50C-407E-A947-70E740481C1C}">
                          <a14:useLocalDpi xmlns:a14="http://schemas.microsoft.com/office/drawing/2010/main" val="0"/>
                        </a:ext>
                      </a:extLst>
                    </a:blip>
                    <a:srcRect r="1759" b="4534"/>
                    <a:stretch/>
                  </pic:blipFill>
                  <pic:spPr bwMode="auto">
                    <a:xfrm>
                      <a:off x="0" y="0"/>
                      <a:ext cx="3168000" cy="235562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C93FACE" w14:textId="0A779037" w:rsidR="000F16EB" w:rsidRPr="002205C1" w:rsidRDefault="000F16EB" w:rsidP="000F16EB">
      <w:pPr>
        <w:pStyle w:val="Caption"/>
        <w:rPr>
          <w:color w:val="000000" w:themeColor="text1"/>
        </w:rPr>
      </w:pPr>
      <w:bookmarkStart w:id="827" w:name="_Ref531103372"/>
      <w:bookmarkStart w:id="828" w:name="_Toc7187658"/>
      <w:r>
        <w:t xml:space="preserve">Figure </w:t>
      </w:r>
      <w:fldSimple w:instr=" STYLEREF 1 \s ">
        <w:r w:rsidR="00CB7456">
          <w:rPr>
            <w:noProof/>
          </w:rPr>
          <w:t>7</w:t>
        </w:r>
      </w:fldSimple>
      <w:r w:rsidR="007B29C3">
        <w:t>.</w:t>
      </w:r>
      <w:fldSimple w:instr=" SEQ Figure \* ARABIC \s 1 ">
        <w:r w:rsidR="00CB7456">
          <w:rPr>
            <w:noProof/>
          </w:rPr>
          <w:t>5</w:t>
        </w:r>
      </w:fldSimple>
      <w:bookmarkEnd w:id="827"/>
      <w:r>
        <w:t>: The heat supplies and demands for the new DH optimisation calculations.</w:t>
      </w:r>
      <w:bookmarkEnd w:id="828"/>
    </w:p>
    <w:p w14:paraId="740980A2" w14:textId="5BCEAD29" w:rsidR="000F16EB" w:rsidRDefault="000F16EB" w:rsidP="000F16EB">
      <w:pPr>
        <w:pStyle w:val="Caption"/>
        <w:keepNext/>
      </w:pPr>
      <w:bookmarkStart w:id="829" w:name="_Ref523662483"/>
      <w:bookmarkStart w:id="830" w:name="_Toc525230146"/>
      <w:bookmarkStart w:id="831" w:name="_Toc7187702"/>
      <w:r>
        <w:lastRenderedPageBreak/>
        <w:t xml:space="preserve">Table </w:t>
      </w:r>
      <w:fldSimple w:instr=" STYLEREF 1 \s ">
        <w:r w:rsidR="00CB7456">
          <w:rPr>
            <w:noProof/>
          </w:rPr>
          <w:t>7</w:t>
        </w:r>
      </w:fldSimple>
      <w:r w:rsidR="009E1A67">
        <w:t>.</w:t>
      </w:r>
      <w:fldSimple w:instr=" SEQ Table \* ARABIC \s 1 ">
        <w:r w:rsidR="00CB7456">
          <w:rPr>
            <w:noProof/>
          </w:rPr>
          <w:t>6</w:t>
        </w:r>
      </w:fldSimple>
      <w:bookmarkEnd w:id="829"/>
      <w:r>
        <w:t>: Important parameters for the new DH optimisation calculations.</w:t>
      </w:r>
      <w:bookmarkEnd w:id="830"/>
      <w:bookmarkEnd w:id="831"/>
    </w:p>
    <w:tbl>
      <w:tblPr>
        <w:tblStyle w:val="TableGrid"/>
        <w:tblW w:w="8364" w:type="dxa"/>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0"/>
        <w:gridCol w:w="1807"/>
        <w:gridCol w:w="1671"/>
        <w:gridCol w:w="2526"/>
      </w:tblGrid>
      <w:tr w:rsidR="000F16EB" w14:paraId="15175DB4" w14:textId="77777777" w:rsidTr="00A7521D">
        <w:trPr>
          <w:jc w:val="center"/>
        </w:trPr>
        <w:tc>
          <w:tcPr>
            <w:tcW w:w="2360" w:type="dxa"/>
            <w:tcBorders>
              <w:bottom w:val="single" w:sz="4" w:space="0" w:color="auto"/>
            </w:tcBorders>
          </w:tcPr>
          <w:p w14:paraId="2B98B1DA" w14:textId="77777777" w:rsidR="000F16EB" w:rsidRDefault="000F16EB" w:rsidP="00A7521D">
            <w:pPr>
              <w:jc w:val="center"/>
              <w:rPr>
                <w:color w:val="000000" w:themeColor="text1"/>
              </w:rPr>
            </w:pPr>
            <w:r>
              <w:rPr>
                <w:color w:val="000000" w:themeColor="text1"/>
              </w:rPr>
              <w:t>Factor of increase on the original heat supply</w:t>
            </w:r>
          </w:p>
        </w:tc>
        <w:tc>
          <w:tcPr>
            <w:tcW w:w="1807" w:type="dxa"/>
            <w:tcBorders>
              <w:bottom w:val="single" w:sz="4" w:space="0" w:color="auto"/>
            </w:tcBorders>
          </w:tcPr>
          <w:p w14:paraId="1BEBBA5C" w14:textId="77777777" w:rsidR="000F16EB" w:rsidRDefault="000F16EB" w:rsidP="00A7521D">
            <w:pPr>
              <w:jc w:val="center"/>
              <w:rPr>
                <w:color w:val="000000" w:themeColor="text1"/>
              </w:rPr>
            </w:pPr>
            <w:r>
              <w:rPr>
                <w:color w:val="000000" w:themeColor="text1"/>
              </w:rPr>
              <w:t>Size of the single HWT (MWh)</w:t>
            </w:r>
          </w:p>
        </w:tc>
        <w:tc>
          <w:tcPr>
            <w:tcW w:w="1671" w:type="dxa"/>
            <w:tcBorders>
              <w:bottom w:val="single" w:sz="4" w:space="0" w:color="auto"/>
            </w:tcBorders>
          </w:tcPr>
          <w:p w14:paraId="3D591DCF" w14:textId="77777777" w:rsidR="000F16EB" w:rsidRDefault="000F16EB" w:rsidP="00A7521D">
            <w:pPr>
              <w:jc w:val="center"/>
              <w:rPr>
                <w:color w:val="000000" w:themeColor="text1"/>
              </w:rPr>
            </w:pPr>
            <w:r>
              <w:rPr>
                <w:color w:val="000000" w:themeColor="text1"/>
              </w:rPr>
              <w:t>Size of the pair of HWTs (MWh)</w:t>
            </w:r>
          </w:p>
        </w:tc>
        <w:tc>
          <w:tcPr>
            <w:tcW w:w="2526" w:type="dxa"/>
            <w:tcBorders>
              <w:bottom w:val="single" w:sz="4" w:space="0" w:color="auto"/>
            </w:tcBorders>
          </w:tcPr>
          <w:p w14:paraId="1ED9657E" w14:textId="77777777" w:rsidR="000F16EB" w:rsidRDefault="000F16EB" w:rsidP="00A7521D">
            <w:pPr>
              <w:jc w:val="center"/>
              <w:rPr>
                <w:color w:val="000000" w:themeColor="text1"/>
              </w:rPr>
            </w:pPr>
            <w:r>
              <w:rPr>
                <w:color w:val="000000" w:themeColor="text1"/>
              </w:rPr>
              <w:t>Ratio of supply maxima: demand maxima</w:t>
            </w:r>
          </w:p>
        </w:tc>
      </w:tr>
      <w:tr w:rsidR="000F16EB" w14:paraId="0006CBFA" w14:textId="77777777" w:rsidTr="00A7521D">
        <w:trPr>
          <w:jc w:val="center"/>
        </w:trPr>
        <w:tc>
          <w:tcPr>
            <w:tcW w:w="2360" w:type="dxa"/>
            <w:tcBorders>
              <w:top w:val="single" w:sz="4" w:space="0" w:color="auto"/>
              <w:bottom w:val="nil"/>
            </w:tcBorders>
          </w:tcPr>
          <w:p w14:paraId="3C728E72" w14:textId="77777777" w:rsidR="000F16EB" w:rsidRDefault="000F16EB" w:rsidP="00A7521D">
            <w:pPr>
              <w:jc w:val="center"/>
              <w:rPr>
                <w:color w:val="000000" w:themeColor="text1"/>
              </w:rPr>
            </w:pPr>
            <w:r>
              <w:rPr>
                <w:color w:val="000000" w:themeColor="text1"/>
              </w:rPr>
              <w:t>1</w:t>
            </w:r>
          </w:p>
        </w:tc>
        <w:tc>
          <w:tcPr>
            <w:tcW w:w="1807" w:type="dxa"/>
            <w:tcBorders>
              <w:top w:val="single" w:sz="4" w:space="0" w:color="auto"/>
              <w:bottom w:val="nil"/>
            </w:tcBorders>
          </w:tcPr>
          <w:p w14:paraId="11CF6CE8" w14:textId="77777777" w:rsidR="000F16EB" w:rsidRDefault="000F16EB" w:rsidP="00A7521D">
            <w:pPr>
              <w:jc w:val="center"/>
              <w:rPr>
                <w:color w:val="000000" w:themeColor="text1"/>
              </w:rPr>
            </w:pPr>
            <w:r>
              <w:rPr>
                <w:color w:val="000000" w:themeColor="text1"/>
              </w:rPr>
              <w:t>3.6</w:t>
            </w:r>
          </w:p>
        </w:tc>
        <w:tc>
          <w:tcPr>
            <w:tcW w:w="1671" w:type="dxa"/>
            <w:tcBorders>
              <w:top w:val="single" w:sz="4" w:space="0" w:color="auto"/>
              <w:bottom w:val="nil"/>
            </w:tcBorders>
          </w:tcPr>
          <w:p w14:paraId="5D91AA51" w14:textId="77777777" w:rsidR="000F16EB" w:rsidRDefault="000F16EB" w:rsidP="00A7521D">
            <w:pPr>
              <w:jc w:val="center"/>
              <w:rPr>
                <w:color w:val="000000" w:themeColor="text1"/>
              </w:rPr>
            </w:pPr>
            <w:r>
              <w:rPr>
                <w:color w:val="000000" w:themeColor="text1"/>
              </w:rPr>
              <w:t>1.8</w:t>
            </w:r>
          </w:p>
        </w:tc>
        <w:tc>
          <w:tcPr>
            <w:tcW w:w="2526" w:type="dxa"/>
            <w:tcBorders>
              <w:top w:val="single" w:sz="4" w:space="0" w:color="auto"/>
              <w:bottom w:val="nil"/>
            </w:tcBorders>
          </w:tcPr>
          <w:p w14:paraId="383FBB72" w14:textId="77777777" w:rsidR="000F16EB" w:rsidRDefault="000F16EB" w:rsidP="00A7521D">
            <w:pPr>
              <w:jc w:val="center"/>
              <w:rPr>
                <w:color w:val="000000" w:themeColor="text1"/>
              </w:rPr>
            </w:pPr>
            <w:r>
              <w:rPr>
                <w:color w:val="000000" w:themeColor="text1"/>
              </w:rPr>
              <w:t>1:2.73</w:t>
            </w:r>
          </w:p>
        </w:tc>
      </w:tr>
      <w:tr w:rsidR="000F16EB" w14:paraId="64B4F61C" w14:textId="77777777" w:rsidTr="00A7521D">
        <w:trPr>
          <w:jc w:val="center"/>
        </w:trPr>
        <w:tc>
          <w:tcPr>
            <w:tcW w:w="2360" w:type="dxa"/>
            <w:tcBorders>
              <w:top w:val="nil"/>
            </w:tcBorders>
          </w:tcPr>
          <w:p w14:paraId="1FCBD4D8" w14:textId="77777777" w:rsidR="000F16EB" w:rsidRDefault="000F16EB" w:rsidP="00A7521D">
            <w:pPr>
              <w:jc w:val="center"/>
              <w:rPr>
                <w:color w:val="000000" w:themeColor="text1"/>
              </w:rPr>
            </w:pPr>
            <w:r>
              <w:rPr>
                <w:color w:val="000000" w:themeColor="text1"/>
              </w:rPr>
              <w:t>1.25</w:t>
            </w:r>
          </w:p>
        </w:tc>
        <w:tc>
          <w:tcPr>
            <w:tcW w:w="1807" w:type="dxa"/>
            <w:tcBorders>
              <w:top w:val="nil"/>
            </w:tcBorders>
          </w:tcPr>
          <w:p w14:paraId="69B11D96" w14:textId="77777777" w:rsidR="000F16EB" w:rsidRDefault="000F16EB" w:rsidP="00A7521D">
            <w:pPr>
              <w:jc w:val="center"/>
              <w:rPr>
                <w:color w:val="000000" w:themeColor="text1"/>
              </w:rPr>
            </w:pPr>
            <w:r>
              <w:rPr>
                <w:color w:val="000000" w:themeColor="text1"/>
              </w:rPr>
              <w:t>9</w:t>
            </w:r>
          </w:p>
        </w:tc>
        <w:tc>
          <w:tcPr>
            <w:tcW w:w="1671" w:type="dxa"/>
            <w:tcBorders>
              <w:top w:val="nil"/>
            </w:tcBorders>
          </w:tcPr>
          <w:p w14:paraId="4AC8F708" w14:textId="77777777" w:rsidR="000F16EB" w:rsidRDefault="000F16EB" w:rsidP="00A7521D">
            <w:pPr>
              <w:jc w:val="center"/>
              <w:rPr>
                <w:color w:val="000000" w:themeColor="text1"/>
              </w:rPr>
            </w:pPr>
            <w:r>
              <w:rPr>
                <w:color w:val="000000" w:themeColor="text1"/>
              </w:rPr>
              <w:t>4.5</w:t>
            </w:r>
          </w:p>
        </w:tc>
        <w:tc>
          <w:tcPr>
            <w:tcW w:w="2526" w:type="dxa"/>
            <w:tcBorders>
              <w:top w:val="nil"/>
            </w:tcBorders>
          </w:tcPr>
          <w:p w14:paraId="1AB9CB32" w14:textId="77777777" w:rsidR="000F16EB" w:rsidRDefault="000F16EB" w:rsidP="00A7521D">
            <w:pPr>
              <w:jc w:val="center"/>
              <w:rPr>
                <w:color w:val="000000" w:themeColor="text1"/>
              </w:rPr>
            </w:pPr>
            <w:r>
              <w:rPr>
                <w:color w:val="000000" w:themeColor="text1"/>
              </w:rPr>
              <w:t>1:2.18</w:t>
            </w:r>
          </w:p>
        </w:tc>
      </w:tr>
      <w:tr w:rsidR="000F16EB" w14:paraId="52384101" w14:textId="77777777" w:rsidTr="00A7521D">
        <w:trPr>
          <w:jc w:val="center"/>
        </w:trPr>
        <w:tc>
          <w:tcPr>
            <w:tcW w:w="2360" w:type="dxa"/>
          </w:tcPr>
          <w:p w14:paraId="0D526BD0" w14:textId="77777777" w:rsidR="000F16EB" w:rsidRDefault="000F16EB" w:rsidP="00A7521D">
            <w:pPr>
              <w:jc w:val="center"/>
              <w:rPr>
                <w:color w:val="000000" w:themeColor="text1"/>
              </w:rPr>
            </w:pPr>
            <w:r>
              <w:rPr>
                <w:color w:val="000000" w:themeColor="text1"/>
              </w:rPr>
              <w:t>1.5</w:t>
            </w:r>
          </w:p>
        </w:tc>
        <w:tc>
          <w:tcPr>
            <w:tcW w:w="1807" w:type="dxa"/>
          </w:tcPr>
          <w:p w14:paraId="2DFEC3A9" w14:textId="77777777" w:rsidR="000F16EB" w:rsidRDefault="000F16EB" w:rsidP="00A7521D">
            <w:pPr>
              <w:jc w:val="center"/>
              <w:rPr>
                <w:color w:val="000000" w:themeColor="text1"/>
              </w:rPr>
            </w:pPr>
            <w:r>
              <w:rPr>
                <w:color w:val="000000" w:themeColor="text1"/>
              </w:rPr>
              <w:t>14</w:t>
            </w:r>
          </w:p>
        </w:tc>
        <w:tc>
          <w:tcPr>
            <w:tcW w:w="1671" w:type="dxa"/>
          </w:tcPr>
          <w:p w14:paraId="21A4ED9B" w14:textId="77777777" w:rsidR="000F16EB" w:rsidRDefault="000F16EB" w:rsidP="00A7521D">
            <w:pPr>
              <w:jc w:val="center"/>
              <w:rPr>
                <w:color w:val="000000" w:themeColor="text1"/>
              </w:rPr>
            </w:pPr>
            <w:r>
              <w:rPr>
                <w:color w:val="000000" w:themeColor="text1"/>
              </w:rPr>
              <w:t>7</w:t>
            </w:r>
          </w:p>
        </w:tc>
        <w:tc>
          <w:tcPr>
            <w:tcW w:w="2526" w:type="dxa"/>
          </w:tcPr>
          <w:p w14:paraId="4F3C2A86" w14:textId="77777777" w:rsidR="000F16EB" w:rsidRDefault="000F16EB" w:rsidP="00A7521D">
            <w:pPr>
              <w:jc w:val="center"/>
              <w:rPr>
                <w:color w:val="000000" w:themeColor="text1"/>
              </w:rPr>
            </w:pPr>
            <w:r>
              <w:rPr>
                <w:color w:val="000000" w:themeColor="text1"/>
              </w:rPr>
              <w:t>1:1.82</w:t>
            </w:r>
          </w:p>
        </w:tc>
      </w:tr>
      <w:tr w:rsidR="000F16EB" w14:paraId="364A0B8D" w14:textId="77777777" w:rsidTr="00A7521D">
        <w:trPr>
          <w:jc w:val="center"/>
        </w:trPr>
        <w:tc>
          <w:tcPr>
            <w:tcW w:w="2360" w:type="dxa"/>
          </w:tcPr>
          <w:p w14:paraId="53229389" w14:textId="77777777" w:rsidR="000F16EB" w:rsidRDefault="000F16EB" w:rsidP="00A7521D">
            <w:pPr>
              <w:jc w:val="center"/>
              <w:rPr>
                <w:color w:val="000000" w:themeColor="text1"/>
              </w:rPr>
            </w:pPr>
            <w:r>
              <w:rPr>
                <w:color w:val="000000" w:themeColor="text1"/>
              </w:rPr>
              <w:t>1.75</w:t>
            </w:r>
          </w:p>
        </w:tc>
        <w:tc>
          <w:tcPr>
            <w:tcW w:w="1807" w:type="dxa"/>
          </w:tcPr>
          <w:p w14:paraId="7082D63E" w14:textId="77777777" w:rsidR="000F16EB" w:rsidRDefault="000F16EB" w:rsidP="00A7521D">
            <w:pPr>
              <w:jc w:val="center"/>
              <w:rPr>
                <w:color w:val="000000" w:themeColor="text1"/>
              </w:rPr>
            </w:pPr>
            <w:r>
              <w:rPr>
                <w:color w:val="000000" w:themeColor="text1"/>
              </w:rPr>
              <w:t>20</w:t>
            </w:r>
          </w:p>
        </w:tc>
        <w:tc>
          <w:tcPr>
            <w:tcW w:w="1671" w:type="dxa"/>
          </w:tcPr>
          <w:p w14:paraId="666202CE" w14:textId="77777777" w:rsidR="000F16EB" w:rsidRDefault="000F16EB" w:rsidP="00A7521D">
            <w:pPr>
              <w:jc w:val="center"/>
              <w:rPr>
                <w:color w:val="000000" w:themeColor="text1"/>
              </w:rPr>
            </w:pPr>
            <w:r>
              <w:rPr>
                <w:color w:val="000000" w:themeColor="text1"/>
              </w:rPr>
              <w:t>10</w:t>
            </w:r>
          </w:p>
        </w:tc>
        <w:tc>
          <w:tcPr>
            <w:tcW w:w="2526" w:type="dxa"/>
          </w:tcPr>
          <w:p w14:paraId="59128375" w14:textId="77777777" w:rsidR="000F16EB" w:rsidRDefault="000F16EB" w:rsidP="00A7521D">
            <w:pPr>
              <w:jc w:val="center"/>
              <w:rPr>
                <w:color w:val="000000" w:themeColor="text1"/>
              </w:rPr>
            </w:pPr>
            <w:r>
              <w:rPr>
                <w:color w:val="000000" w:themeColor="text1"/>
              </w:rPr>
              <w:t>1:1.56</w:t>
            </w:r>
          </w:p>
        </w:tc>
      </w:tr>
      <w:tr w:rsidR="000F16EB" w14:paraId="7DD5F946" w14:textId="77777777" w:rsidTr="00A7521D">
        <w:trPr>
          <w:jc w:val="center"/>
        </w:trPr>
        <w:tc>
          <w:tcPr>
            <w:tcW w:w="2360" w:type="dxa"/>
          </w:tcPr>
          <w:p w14:paraId="51A9F737" w14:textId="77777777" w:rsidR="000F16EB" w:rsidRDefault="000F16EB" w:rsidP="00A7521D">
            <w:pPr>
              <w:jc w:val="center"/>
              <w:rPr>
                <w:color w:val="000000" w:themeColor="text1"/>
              </w:rPr>
            </w:pPr>
            <w:r>
              <w:rPr>
                <w:color w:val="000000" w:themeColor="text1"/>
              </w:rPr>
              <w:t>2</w:t>
            </w:r>
          </w:p>
        </w:tc>
        <w:tc>
          <w:tcPr>
            <w:tcW w:w="1807" w:type="dxa"/>
          </w:tcPr>
          <w:p w14:paraId="007DCE67" w14:textId="77777777" w:rsidR="000F16EB" w:rsidRDefault="000F16EB" w:rsidP="00A7521D">
            <w:pPr>
              <w:jc w:val="center"/>
              <w:rPr>
                <w:color w:val="000000" w:themeColor="text1"/>
              </w:rPr>
            </w:pPr>
            <w:r>
              <w:rPr>
                <w:color w:val="000000" w:themeColor="text1"/>
              </w:rPr>
              <w:t>30</w:t>
            </w:r>
          </w:p>
        </w:tc>
        <w:tc>
          <w:tcPr>
            <w:tcW w:w="1671" w:type="dxa"/>
          </w:tcPr>
          <w:p w14:paraId="7563FB97" w14:textId="77777777" w:rsidR="000F16EB" w:rsidRDefault="000F16EB" w:rsidP="00A7521D">
            <w:pPr>
              <w:jc w:val="center"/>
              <w:rPr>
                <w:color w:val="000000" w:themeColor="text1"/>
              </w:rPr>
            </w:pPr>
            <w:r>
              <w:rPr>
                <w:color w:val="000000" w:themeColor="text1"/>
              </w:rPr>
              <w:t>15</w:t>
            </w:r>
          </w:p>
        </w:tc>
        <w:tc>
          <w:tcPr>
            <w:tcW w:w="2526" w:type="dxa"/>
          </w:tcPr>
          <w:p w14:paraId="17B7B636" w14:textId="77777777" w:rsidR="000F16EB" w:rsidRDefault="000F16EB" w:rsidP="00A7521D">
            <w:pPr>
              <w:jc w:val="center"/>
              <w:rPr>
                <w:color w:val="000000" w:themeColor="text1"/>
              </w:rPr>
            </w:pPr>
            <w:r>
              <w:rPr>
                <w:color w:val="000000" w:themeColor="text1"/>
              </w:rPr>
              <w:t>1:1.37</w:t>
            </w:r>
          </w:p>
        </w:tc>
      </w:tr>
      <w:tr w:rsidR="000F16EB" w14:paraId="16C9343D" w14:textId="77777777" w:rsidTr="00A7521D">
        <w:trPr>
          <w:jc w:val="center"/>
        </w:trPr>
        <w:tc>
          <w:tcPr>
            <w:tcW w:w="2360" w:type="dxa"/>
          </w:tcPr>
          <w:p w14:paraId="14C8F376" w14:textId="77777777" w:rsidR="000F16EB" w:rsidRDefault="000F16EB" w:rsidP="00A7521D">
            <w:pPr>
              <w:jc w:val="center"/>
              <w:rPr>
                <w:color w:val="000000" w:themeColor="text1"/>
              </w:rPr>
            </w:pPr>
            <w:r>
              <w:rPr>
                <w:color w:val="000000" w:themeColor="text1"/>
              </w:rPr>
              <w:t>3</w:t>
            </w:r>
          </w:p>
        </w:tc>
        <w:tc>
          <w:tcPr>
            <w:tcW w:w="1807" w:type="dxa"/>
          </w:tcPr>
          <w:p w14:paraId="7C30A13F" w14:textId="77777777" w:rsidR="000F16EB" w:rsidRDefault="000F16EB" w:rsidP="00A7521D">
            <w:pPr>
              <w:jc w:val="center"/>
              <w:rPr>
                <w:color w:val="000000" w:themeColor="text1"/>
              </w:rPr>
            </w:pPr>
            <w:r>
              <w:rPr>
                <w:color w:val="000000" w:themeColor="text1"/>
              </w:rPr>
              <w:t>190</w:t>
            </w:r>
          </w:p>
        </w:tc>
        <w:tc>
          <w:tcPr>
            <w:tcW w:w="1671" w:type="dxa"/>
          </w:tcPr>
          <w:p w14:paraId="70A6F49B" w14:textId="77777777" w:rsidR="000F16EB" w:rsidRDefault="000F16EB" w:rsidP="00A7521D">
            <w:pPr>
              <w:jc w:val="center"/>
              <w:rPr>
                <w:color w:val="000000" w:themeColor="text1"/>
              </w:rPr>
            </w:pPr>
            <w:r>
              <w:rPr>
                <w:color w:val="000000" w:themeColor="text1"/>
              </w:rPr>
              <w:t>95</w:t>
            </w:r>
          </w:p>
        </w:tc>
        <w:tc>
          <w:tcPr>
            <w:tcW w:w="2526" w:type="dxa"/>
          </w:tcPr>
          <w:p w14:paraId="5002CEED" w14:textId="77777777" w:rsidR="000F16EB" w:rsidRDefault="000F16EB" w:rsidP="00A7521D">
            <w:pPr>
              <w:jc w:val="center"/>
              <w:rPr>
                <w:color w:val="000000" w:themeColor="text1"/>
              </w:rPr>
            </w:pPr>
            <w:r>
              <w:rPr>
                <w:color w:val="000000" w:themeColor="text1"/>
              </w:rPr>
              <w:t>1:0.91</w:t>
            </w:r>
          </w:p>
        </w:tc>
      </w:tr>
    </w:tbl>
    <w:p w14:paraId="3FE5CF58" w14:textId="77777777" w:rsidR="000F16EB" w:rsidRDefault="000F16EB" w:rsidP="003650C8">
      <w:pPr>
        <w:pStyle w:val="NoSpacing"/>
      </w:pPr>
    </w:p>
    <w:p w14:paraId="6E502BDF" w14:textId="49293A05" w:rsidR="000F16EB" w:rsidRDefault="000F16EB" w:rsidP="000F16EB">
      <w:r>
        <w:t xml:space="preserve">The techno-economic and environmental assessments were repeated for each of the new supply to demand ratios. In the study, the peak demands on the back-up burner were different, so the burners were included in the techno-economic and environmental assessments. The techno-economic and environmental assessments are shown in </w:t>
      </w:r>
      <w:r>
        <w:fldChar w:fldCharType="begin"/>
      </w:r>
      <w:r>
        <w:instrText xml:space="preserve"> REF _Ref526085322 \h </w:instrText>
      </w:r>
      <w:r>
        <w:fldChar w:fldCharType="separate"/>
      </w:r>
      <w:r w:rsidR="00CB7456">
        <w:t xml:space="preserve">Table </w:t>
      </w:r>
      <w:r w:rsidR="00CB7456">
        <w:rPr>
          <w:noProof/>
        </w:rPr>
        <w:t>7</w:t>
      </w:r>
      <w:r w:rsidR="00CB7456">
        <w:t>.</w:t>
      </w:r>
      <w:r w:rsidR="00CB7456">
        <w:rPr>
          <w:noProof/>
        </w:rPr>
        <w:t>7</w:t>
      </w:r>
      <w:r>
        <w:fldChar w:fldCharType="end"/>
      </w:r>
      <w:r>
        <w:t xml:space="preserve"> to </w:t>
      </w:r>
      <w:bookmarkStart w:id="832" w:name="_Ref523662915"/>
      <w:bookmarkStart w:id="833" w:name="_Toc525230147"/>
      <w:bookmarkStart w:id="834" w:name="_Ref523662868"/>
      <w:r>
        <w:fldChar w:fldCharType="begin"/>
      </w:r>
      <w:r>
        <w:instrText xml:space="preserve"> REF _Ref530578907 \h </w:instrText>
      </w:r>
      <w:r>
        <w:fldChar w:fldCharType="separate"/>
      </w:r>
      <w:r w:rsidR="00CB7456">
        <w:t xml:space="preserve">Table </w:t>
      </w:r>
      <w:r w:rsidR="00CB7456">
        <w:rPr>
          <w:noProof/>
        </w:rPr>
        <w:t>7</w:t>
      </w:r>
      <w:r w:rsidR="00CB7456">
        <w:t>.</w:t>
      </w:r>
      <w:r w:rsidR="00CB7456">
        <w:rPr>
          <w:noProof/>
        </w:rPr>
        <w:t>11</w:t>
      </w:r>
      <w:r>
        <w:fldChar w:fldCharType="end"/>
      </w:r>
      <w:r>
        <w:t>.</w:t>
      </w:r>
    </w:p>
    <w:p w14:paraId="14B0001A" w14:textId="40A485F9" w:rsidR="000F16EB" w:rsidRDefault="000F16EB" w:rsidP="000F16EB">
      <w:r>
        <w:fldChar w:fldCharType="begin"/>
      </w:r>
      <w:r>
        <w:instrText xml:space="preserve"> REF _Ref526085322 \h </w:instrText>
      </w:r>
      <w:r>
        <w:fldChar w:fldCharType="separate"/>
      </w:r>
      <w:r w:rsidR="00CB7456">
        <w:t xml:space="preserve">Table </w:t>
      </w:r>
      <w:r w:rsidR="00CB7456">
        <w:rPr>
          <w:noProof/>
        </w:rPr>
        <w:t>7</w:t>
      </w:r>
      <w:r w:rsidR="00CB7456">
        <w:t>.</w:t>
      </w:r>
      <w:r w:rsidR="00CB7456">
        <w:rPr>
          <w:noProof/>
        </w:rPr>
        <w:t>7</w:t>
      </w:r>
      <w:r>
        <w:fldChar w:fldCharType="end"/>
      </w:r>
      <w:r>
        <w:t xml:space="preserve"> shows that, when the ratio of peak heat supply maxima to peak HD maxima is 1:2.18, the greatest reduction in natural gas usage came from the HWT based scenarios, scenarios 1) and 2). As the HWT based scenarios had the greatest reduction in natural gas usage, over a long enough time scale they would become the best options economically and environmentally. Both HWT based scenarios did not become economically profitable for 20 or 22 years but were environmentally profitable after 2 years. In a short terms basis, less than 20 years, scenario, 4), utilising the thermal inertia of the pipe network, was the best option both economically and environmentally. </w:t>
      </w:r>
    </w:p>
    <w:p w14:paraId="3F00A31D" w14:textId="368282B9" w:rsidR="000F16EB" w:rsidRDefault="000F16EB" w:rsidP="000F16EB">
      <w:pPr>
        <w:pStyle w:val="Caption"/>
        <w:keepNext/>
      </w:pPr>
      <w:bookmarkStart w:id="835" w:name="_Ref526085322"/>
      <w:bookmarkStart w:id="836" w:name="_Toc7187703"/>
      <w:r>
        <w:t xml:space="preserve">Table </w:t>
      </w:r>
      <w:fldSimple w:instr=" STYLEREF 1 \s ">
        <w:r w:rsidR="00CB7456">
          <w:rPr>
            <w:noProof/>
          </w:rPr>
          <w:t>7</w:t>
        </w:r>
      </w:fldSimple>
      <w:r w:rsidR="009E1A67">
        <w:t>.</w:t>
      </w:r>
      <w:fldSimple w:instr=" SEQ Table \* ARABIC \s 1 ">
        <w:r w:rsidR="00CB7456">
          <w:rPr>
            <w:noProof/>
          </w:rPr>
          <w:t>7</w:t>
        </w:r>
      </w:fldSimple>
      <w:bookmarkEnd w:id="832"/>
      <w:bookmarkEnd w:id="835"/>
      <w:r>
        <w:t xml:space="preserve">: </w:t>
      </w:r>
      <w:r w:rsidRPr="00181369">
        <w:t>Economic</w:t>
      </w:r>
      <w:r>
        <w:t xml:space="preserve"> and environmental </w:t>
      </w:r>
      <w:r w:rsidRPr="00181369">
        <w:t xml:space="preserve">analysis of the TES </w:t>
      </w:r>
      <w:r w:rsidRPr="006102BE">
        <w:t>scenarios</w:t>
      </w:r>
      <w:r>
        <w:t xml:space="preserve"> with an increase of the original heat supply by a factor of 1.25 and a ratio of peak supply maxima to demand maxima of 1:2.18.</w:t>
      </w:r>
      <w:bookmarkEnd w:id="833"/>
      <w:bookmarkEnd w:id="836"/>
    </w:p>
    <w:tbl>
      <w:tblPr>
        <w:tblStyle w:val="TableGrid"/>
        <w:tblW w:w="8313" w:type="dxa"/>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2"/>
        <w:gridCol w:w="1126"/>
        <w:gridCol w:w="829"/>
        <w:gridCol w:w="833"/>
        <w:gridCol w:w="991"/>
        <w:gridCol w:w="992"/>
      </w:tblGrid>
      <w:tr w:rsidR="000F16EB" w:rsidRPr="003650C8" w14:paraId="56816A62" w14:textId="77777777" w:rsidTr="000C4723">
        <w:trPr>
          <w:jc w:val="center"/>
        </w:trPr>
        <w:tc>
          <w:tcPr>
            <w:tcW w:w="3542" w:type="dxa"/>
            <w:tcBorders>
              <w:bottom w:val="single" w:sz="4" w:space="0" w:color="auto"/>
            </w:tcBorders>
          </w:tcPr>
          <w:p w14:paraId="167E55D2" w14:textId="77777777" w:rsidR="000F16EB" w:rsidRPr="003650C8" w:rsidRDefault="000F16EB" w:rsidP="00A7521D">
            <w:pPr>
              <w:jc w:val="center"/>
            </w:pPr>
          </w:p>
        </w:tc>
        <w:tc>
          <w:tcPr>
            <w:tcW w:w="1126" w:type="dxa"/>
            <w:tcBorders>
              <w:bottom w:val="single" w:sz="4" w:space="0" w:color="auto"/>
            </w:tcBorders>
          </w:tcPr>
          <w:p w14:paraId="07AF1B4E" w14:textId="77777777" w:rsidR="000F16EB" w:rsidRPr="003650C8" w:rsidRDefault="000F16EB" w:rsidP="00A7521D">
            <w:pPr>
              <w:jc w:val="center"/>
            </w:pPr>
            <w:r w:rsidRPr="003650C8">
              <w:t>Reference scenario</w:t>
            </w:r>
          </w:p>
        </w:tc>
        <w:tc>
          <w:tcPr>
            <w:tcW w:w="829" w:type="dxa"/>
            <w:tcBorders>
              <w:bottom w:val="single" w:sz="4" w:space="0" w:color="auto"/>
            </w:tcBorders>
          </w:tcPr>
          <w:p w14:paraId="63B733C9" w14:textId="77777777" w:rsidR="000F16EB" w:rsidRPr="003650C8" w:rsidRDefault="000F16EB" w:rsidP="00A7521D">
            <w:pPr>
              <w:jc w:val="center"/>
            </w:pPr>
            <w:r w:rsidRPr="003650C8">
              <w:t>Single HWT</w:t>
            </w:r>
          </w:p>
        </w:tc>
        <w:tc>
          <w:tcPr>
            <w:tcW w:w="833" w:type="dxa"/>
            <w:tcBorders>
              <w:bottom w:val="single" w:sz="4" w:space="0" w:color="auto"/>
            </w:tcBorders>
          </w:tcPr>
          <w:p w14:paraId="064A858F" w14:textId="77777777" w:rsidR="000F16EB" w:rsidRPr="003650C8" w:rsidRDefault="000F16EB" w:rsidP="00A7521D">
            <w:pPr>
              <w:jc w:val="center"/>
            </w:pPr>
            <w:r w:rsidRPr="003650C8">
              <w:t>Pair of HWTs</w:t>
            </w:r>
          </w:p>
        </w:tc>
        <w:tc>
          <w:tcPr>
            <w:tcW w:w="991" w:type="dxa"/>
            <w:tcBorders>
              <w:bottom w:val="single" w:sz="4" w:space="0" w:color="auto"/>
            </w:tcBorders>
          </w:tcPr>
          <w:p w14:paraId="73F262C3" w14:textId="77777777" w:rsidR="000F16EB" w:rsidRPr="003650C8" w:rsidRDefault="000F16EB" w:rsidP="00A7521D">
            <w:pPr>
              <w:jc w:val="center"/>
            </w:pPr>
            <w:r w:rsidRPr="003650C8">
              <w:t>Building TES</w:t>
            </w:r>
          </w:p>
        </w:tc>
        <w:tc>
          <w:tcPr>
            <w:tcW w:w="992" w:type="dxa"/>
            <w:tcBorders>
              <w:bottom w:val="single" w:sz="4" w:space="0" w:color="auto"/>
            </w:tcBorders>
          </w:tcPr>
          <w:p w14:paraId="34C3CC4D" w14:textId="77777777" w:rsidR="000F16EB" w:rsidRPr="003650C8" w:rsidRDefault="000F16EB" w:rsidP="00A7521D">
            <w:pPr>
              <w:jc w:val="center"/>
            </w:pPr>
            <w:r w:rsidRPr="003650C8">
              <w:t>Network TES</w:t>
            </w:r>
          </w:p>
        </w:tc>
      </w:tr>
      <w:tr w:rsidR="000C4723" w:rsidRPr="003650C8" w14:paraId="385D3AEE" w14:textId="77777777" w:rsidTr="000C4723">
        <w:trPr>
          <w:jc w:val="center"/>
        </w:trPr>
        <w:tc>
          <w:tcPr>
            <w:tcW w:w="3542" w:type="dxa"/>
            <w:tcBorders>
              <w:top w:val="nil"/>
            </w:tcBorders>
          </w:tcPr>
          <w:p w14:paraId="00DAEC36" w14:textId="0CC1B825" w:rsidR="000C4723" w:rsidRPr="003650C8" w:rsidRDefault="000C4723" w:rsidP="000C4723">
            <w:pPr>
              <w:jc w:val="center"/>
            </w:pPr>
            <w:r w:rsidRPr="003650C8">
              <w:t>Annual natural gas input to the burner (MWh)</w:t>
            </w:r>
          </w:p>
        </w:tc>
        <w:tc>
          <w:tcPr>
            <w:tcW w:w="1126" w:type="dxa"/>
            <w:tcBorders>
              <w:top w:val="nil"/>
            </w:tcBorders>
          </w:tcPr>
          <w:p w14:paraId="69A48D03" w14:textId="79490C45" w:rsidR="000C4723" w:rsidRPr="003650C8" w:rsidRDefault="000C4723" w:rsidP="000C4723">
            <w:pPr>
              <w:jc w:val="center"/>
            </w:pPr>
            <w:r w:rsidRPr="003650C8">
              <w:t>29,030</w:t>
            </w:r>
          </w:p>
        </w:tc>
        <w:tc>
          <w:tcPr>
            <w:tcW w:w="829" w:type="dxa"/>
            <w:tcBorders>
              <w:top w:val="nil"/>
            </w:tcBorders>
          </w:tcPr>
          <w:p w14:paraId="68C28B2C" w14:textId="0448001D" w:rsidR="000C4723" w:rsidRPr="003650C8" w:rsidRDefault="000C4723" w:rsidP="000C4723">
            <w:pPr>
              <w:jc w:val="center"/>
            </w:pPr>
            <w:r w:rsidRPr="003650C8">
              <w:t>26,475</w:t>
            </w:r>
          </w:p>
        </w:tc>
        <w:tc>
          <w:tcPr>
            <w:tcW w:w="833" w:type="dxa"/>
            <w:tcBorders>
              <w:top w:val="nil"/>
            </w:tcBorders>
          </w:tcPr>
          <w:p w14:paraId="0A620F8C" w14:textId="7ADCAB48" w:rsidR="000C4723" w:rsidRPr="003650C8" w:rsidRDefault="000C4723" w:rsidP="000C4723">
            <w:pPr>
              <w:jc w:val="center"/>
            </w:pPr>
            <w:r w:rsidRPr="003650C8">
              <w:t>26,298</w:t>
            </w:r>
          </w:p>
        </w:tc>
        <w:tc>
          <w:tcPr>
            <w:tcW w:w="991" w:type="dxa"/>
            <w:tcBorders>
              <w:top w:val="nil"/>
            </w:tcBorders>
          </w:tcPr>
          <w:p w14:paraId="6EFB2B4C" w14:textId="6EC99C5C" w:rsidR="000C4723" w:rsidRPr="003650C8" w:rsidRDefault="000C4723" w:rsidP="000C4723">
            <w:pPr>
              <w:jc w:val="center"/>
            </w:pPr>
            <w:r w:rsidRPr="003650C8">
              <w:t>29,030</w:t>
            </w:r>
          </w:p>
        </w:tc>
        <w:tc>
          <w:tcPr>
            <w:tcW w:w="992" w:type="dxa"/>
            <w:tcBorders>
              <w:top w:val="nil"/>
            </w:tcBorders>
          </w:tcPr>
          <w:p w14:paraId="34B900B7" w14:textId="23D1A808" w:rsidR="000C4723" w:rsidRPr="003650C8" w:rsidRDefault="000C4723" w:rsidP="000C4723">
            <w:pPr>
              <w:jc w:val="center"/>
            </w:pPr>
            <w:r w:rsidRPr="003650C8">
              <w:t>27,912</w:t>
            </w:r>
          </w:p>
        </w:tc>
      </w:tr>
      <w:tr w:rsidR="000C4723" w:rsidRPr="003650C8" w14:paraId="029C6B32" w14:textId="77777777" w:rsidTr="000C4723">
        <w:trPr>
          <w:jc w:val="center"/>
        </w:trPr>
        <w:tc>
          <w:tcPr>
            <w:tcW w:w="3542" w:type="dxa"/>
          </w:tcPr>
          <w:p w14:paraId="6BAA9D1E" w14:textId="44212709" w:rsidR="000C4723" w:rsidRPr="003650C8" w:rsidRDefault="000C4723" w:rsidP="000C4723">
            <w:pPr>
              <w:jc w:val="center"/>
            </w:pPr>
            <w:r w:rsidRPr="003650C8">
              <w:t>Annual natural gas costs (£1000)</w:t>
            </w:r>
          </w:p>
        </w:tc>
        <w:tc>
          <w:tcPr>
            <w:tcW w:w="1126" w:type="dxa"/>
          </w:tcPr>
          <w:p w14:paraId="0B5A6DE1" w14:textId="1B284F26" w:rsidR="000C4723" w:rsidRPr="003650C8" w:rsidRDefault="000C4723" w:rsidP="000C4723">
            <w:pPr>
              <w:jc w:val="center"/>
            </w:pPr>
            <w:r w:rsidRPr="003650C8">
              <w:t>871</w:t>
            </w:r>
          </w:p>
        </w:tc>
        <w:tc>
          <w:tcPr>
            <w:tcW w:w="829" w:type="dxa"/>
          </w:tcPr>
          <w:p w14:paraId="27360C75" w14:textId="33FF19D6" w:rsidR="000C4723" w:rsidRPr="003650C8" w:rsidRDefault="000C4723" w:rsidP="000C4723">
            <w:pPr>
              <w:jc w:val="center"/>
            </w:pPr>
            <w:r w:rsidRPr="003650C8">
              <w:t>794</w:t>
            </w:r>
          </w:p>
        </w:tc>
        <w:tc>
          <w:tcPr>
            <w:tcW w:w="833" w:type="dxa"/>
          </w:tcPr>
          <w:p w14:paraId="5F88B56D" w14:textId="71A0CDA1" w:rsidR="000C4723" w:rsidRPr="003650C8" w:rsidRDefault="000C4723" w:rsidP="000C4723">
            <w:pPr>
              <w:jc w:val="center"/>
            </w:pPr>
            <w:r w:rsidRPr="003650C8">
              <w:t>789</w:t>
            </w:r>
          </w:p>
        </w:tc>
        <w:tc>
          <w:tcPr>
            <w:tcW w:w="991" w:type="dxa"/>
          </w:tcPr>
          <w:p w14:paraId="1AA4F708" w14:textId="5C6B2822" w:rsidR="000C4723" w:rsidRPr="003650C8" w:rsidRDefault="000C4723" w:rsidP="000C4723">
            <w:pPr>
              <w:jc w:val="center"/>
            </w:pPr>
            <w:r w:rsidRPr="003650C8">
              <w:t>870</w:t>
            </w:r>
          </w:p>
        </w:tc>
        <w:tc>
          <w:tcPr>
            <w:tcW w:w="992" w:type="dxa"/>
          </w:tcPr>
          <w:p w14:paraId="45A5BEFB" w14:textId="1FB0D5A8" w:rsidR="000C4723" w:rsidRPr="003650C8" w:rsidRDefault="000C4723" w:rsidP="000C4723">
            <w:pPr>
              <w:jc w:val="center"/>
            </w:pPr>
            <w:r w:rsidRPr="003650C8">
              <w:t>837</w:t>
            </w:r>
          </w:p>
        </w:tc>
      </w:tr>
      <w:tr w:rsidR="000C4723" w:rsidRPr="003650C8" w14:paraId="7EAACB7A" w14:textId="77777777" w:rsidTr="000C4723">
        <w:trPr>
          <w:jc w:val="center"/>
        </w:trPr>
        <w:tc>
          <w:tcPr>
            <w:tcW w:w="3542" w:type="dxa"/>
          </w:tcPr>
          <w:p w14:paraId="45C8FFA2" w14:textId="721DFFAE" w:rsidR="000C4723" w:rsidRPr="003650C8" w:rsidRDefault="000C4723" w:rsidP="000C4723">
            <w:pPr>
              <w:jc w:val="center"/>
            </w:pPr>
            <w:r w:rsidRPr="003650C8">
              <w:t>Capital cost of the TES system (£1000)</w:t>
            </w:r>
          </w:p>
        </w:tc>
        <w:tc>
          <w:tcPr>
            <w:tcW w:w="1126" w:type="dxa"/>
          </w:tcPr>
          <w:p w14:paraId="4B03B29C" w14:textId="4213D328" w:rsidR="000C4723" w:rsidRPr="003650C8" w:rsidRDefault="000C4723" w:rsidP="000C4723">
            <w:pPr>
              <w:jc w:val="center"/>
            </w:pPr>
            <w:r w:rsidRPr="003650C8">
              <w:t>0</w:t>
            </w:r>
          </w:p>
        </w:tc>
        <w:tc>
          <w:tcPr>
            <w:tcW w:w="829" w:type="dxa"/>
          </w:tcPr>
          <w:p w14:paraId="67E7E376" w14:textId="308BB7F7" w:rsidR="000C4723" w:rsidRPr="003650C8" w:rsidRDefault="000C4723" w:rsidP="000C4723">
            <w:pPr>
              <w:jc w:val="center"/>
            </w:pPr>
            <w:r w:rsidRPr="003650C8">
              <w:t>1,630</w:t>
            </w:r>
          </w:p>
        </w:tc>
        <w:tc>
          <w:tcPr>
            <w:tcW w:w="833" w:type="dxa"/>
          </w:tcPr>
          <w:p w14:paraId="460E0912" w14:textId="301807FF" w:rsidR="000C4723" w:rsidRPr="003650C8" w:rsidRDefault="000C4723" w:rsidP="000C4723">
            <w:pPr>
              <w:jc w:val="center"/>
            </w:pPr>
            <w:r w:rsidRPr="003650C8">
              <w:t>1,630</w:t>
            </w:r>
          </w:p>
        </w:tc>
        <w:tc>
          <w:tcPr>
            <w:tcW w:w="991" w:type="dxa"/>
          </w:tcPr>
          <w:p w14:paraId="237EE443" w14:textId="488D7A95" w:rsidR="000C4723" w:rsidRPr="003650C8" w:rsidRDefault="000C4723" w:rsidP="000C4723">
            <w:pPr>
              <w:jc w:val="center"/>
            </w:pPr>
            <w:r w:rsidRPr="003650C8">
              <w:t>3.22</w:t>
            </w:r>
          </w:p>
        </w:tc>
        <w:tc>
          <w:tcPr>
            <w:tcW w:w="992" w:type="dxa"/>
          </w:tcPr>
          <w:p w14:paraId="5607A752" w14:textId="1D7DF969" w:rsidR="000C4723" w:rsidRPr="003650C8" w:rsidRDefault="000C4723" w:rsidP="000C4723">
            <w:pPr>
              <w:jc w:val="center"/>
            </w:pPr>
            <w:r w:rsidRPr="003650C8">
              <w:t>0</w:t>
            </w:r>
          </w:p>
        </w:tc>
      </w:tr>
      <w:tr w:rsidR="000C4723" w:rsidRPr="003650C8" w14:paraId="43454836" w14:textId="77777777" w:rsidTr="000C4723">
        <w:trPr>
          <w:jc w:val="center"/>
        </w:trPr>
        <w:tc>
          <w:tcPr>
            <w:tcW w:w="3542" w:type="dxa"/>
            <w:tcBorders>
              <w:bottom w:val="single" w:sz="4" w:space="0" w:color="auto"/>
            </w:tcBorders>
          </w:tcPr>
          <w:p w14:paraId="794D0D97" w14:textId="1D5CF1AD" w:rsidR="000C4723" w:rsidRPr="003650C8" w:rsidRDefault="000C4723" w:rsidP="000C4723">
            <w:pPr>
              <w:jc w:val="center"/>
            </w:pPr>
            <w:r w:rsidRPr="003650C8">
              <w:t>Number of years to reach economic payback</w:t>
            </w:r>
          </w:p>
        </w:tc>
        <w:tc>
          <w:tcPr>
            <w:tcW w:w="1126" w:type="dxa"/>
            <w:tcBorders>
              <w:bottom w:val="single" w:sz="4" w:space="0" w:color="auto"/>
            </w:tcBorders>
          </w:tcPr>
          <w:p w14:paraId="1C0F46E1" w14:textId="31E6B6DF" w:rsidR="000C4723" w:rsidRPr="003650C8" w:rsidRDefault="000C4723" w:rsidP="000C4723">
            <w:pPr>
              <w:jc w:val="center"/>
            </w:pPr>
            <w:r w:rsidRPr="003650C8">
              <w:t>n/a</w:t>
            </w:r>
          </w:p>
        </w:tc>
        <w:tc>
          <w:tcPr>
            <w:tcW w:w="829" w:type="dxa"/>
            <w:tcBorders>
              <w:bottom w:val="single" w:sz="4" w:space="0" w:color="auto"/>
            </w:tcBorders>
          </w:tcPr>
          <w:p w14:paraId="111EE44E" w14:textId="264F0E98" w:rsidR="000C4723" w:rsidRPr="003650C8" w:rsidRDefault="000C4723" w:rsidP="000C4723">
            <w:pPr>
              <w:jc w:val="center"/>
            </w:pPr>
            <w:r w:rsidRPr="003650C8">
              <w:t>21</w:t>
            </w:r>
          </w:p>
        </w:tc>
        <w:tc>
          <w:tcPr>
            <w:tcW w:w="833" w:type="dxa"/>
            <w:tcBorders>
              <w:bottom w:val="single" w:sz="4" w:space="0" w:color="auto"/>
            </w:tcBorders>
          </w:tcPr>
          <w:p w14:paraId="69295183" w14:textId="1F3B4694" w:rsidR="000C4723" w:rsidRPr="003650C8" w:rsidRDefault="000C4723" w:rsidP="000C4723">
            <w:pPr>
              <w:jc w:val="center"/>
            </w:pPr>
            <w:r w:rsidRPr="003650C8">
              <w:t>20</w:t>
            </w:r>
          </w:p>
        </w:tc>
        <w:tc>
          <w:tcPr>
            <w:tcW w:w="991" w:type="dxa"/>
            <w:tcBorders>
              <w:bottom w:val="single" w:sz="4" w:space="0" w:color="auto"/>
            </w:tcBorders>
          </w:tcPr>
          <w:p w14:paraId="7128EBDF" w14:textId="297EEB3F" w:rsidR="000C4723" w:rsidRPr="003650C8" w:rsidRDefault="000C4723" w:rsidP="000C4723">
            <w:pPr>
              <w:jc w:val="center"/>
            </w:pPr>
            <w:r w:rsidRPr="003650C8">
              <w:t>n/a</w:t>
            </w:r>
          </w:p>
        </w:tc>
        <w:tc>
          <w:tcPr>
            <w:tcW w:w="992" w:type="dxa"/>
            <w:tcBorders>
              <w:bottom w:val="single" w:sz="4" w:space="0" w:color="auto"/>
            </w:tcBorders>
          </w:tcPr>
          <w:p w14:paraId="49EDCFAF" w14:textId="595B502E" w:rsidR="000C4723" w:rsidRPr="003650C8" w:rsidRDefault="000C4723" w:rsidP="000C4723">
            <w:pPr>
              <w:jc w:val="center"/>
            </w:pPr>
            <w:r w:rsidRPr="003650C8">
              <w:t>1</w:t>
            </w:r>
          </w:p>
        </w:tc>
      </w:tr>
      <w:tr w:rsidR="000C4723" w:rsidRPr="003650C8" w14:paraId="77D79FFE" w14:textId="77777777" w:rsidTr="000C4723">
        <w:trPr>
          <w:jc w:val="center"/>
        </w:trPr>
        <w:tc>
          <w:tcPr>
            <w:tcW w:w="3542" w:type="dxa"/>
            <w:tcBorders>
              <w:top w:val="single" w:sz="4" w:space="0" w:color="auto"/>
              <w:bottom w:val="nil"/>
            </w:tcBorders>
          </w:tcPr>
          <w:p w14:paraId="53F01F13" w14:textId="22EA8165" w:rsidR="000C4723" w:rsidRPr="003650C8" w:rsidRDefault="000C4723" w:rsidP="000C4723">
            <w:pPr>
              <w:jc w:val="center"/>
            </w:pPr>
            <w:r w:rsidRPr="003650C8">
              <w:t>Annual emissions associated with annual natural gas used (tonnes CO</w:t>
            </w:r>
            <w:r w:rsidRPr="003650C8">
              <w:rPr>
                <w:vertAlign w:val="subscript"/>
              </w:rPr>
              <w:t>2</w:t>
            </w:r>
            <w:r w:rsidRPr="003650C8">
              <w:t>e)</w:t>
            </w:r>
          </w:p>
        </w:tc>
        <w:tc>
          <w:tcPr>
            <w:tcW w:w="1126" w:type="dxa"/>
            <w:tcBorders>
              <w:top w:val="single" w:sz="4" w:space="0" w:color="auto"/>
              <w:bottom w:val="nil"/>
            </w:tcBorders>
          </w:tcPr>
          <w:p w14:paraId="3DE5057A" w14:textId="64AB981D" w:rsidR="000C4723" w:rsidRPr="003650C8" w:rsidRDefault="000C4723" w:rsidP="000C4723">
            <w:pPr>
              <w:jc w:val="center"/>
            </w:pPr>
            <w:r w:rsidRPr="003650C8">
              <w:t>5,328</w:t>
            </w:r>
          </w:p>
        </w:tc>
        <w:tc>
          <w:tcPr>
            <w:tcW w:w="829" w:type="dxa"/>
            <w:tcBorders>
              <w:top w:val="single" w:sz="4" w:space="0" w:color="auto"/>
              <w:bottom w:val="nil"/>
            </w:tcBorders>
          </w:tcPr>
          <w:p w14:paraId="160FF08A" w14:textId="217EE21E" w:rsidR="000C4723" w:rsidRPr="003650C8" w:rsidRDefault="000C4723" w:rsidP="000C4723">
            <w:pPr>
              <w:jc w:val="center"/>
            </w:pPr>
            <w:r w:rsidRPr="003650C8">
              <w:t>4,861</w:t>
            </w:r>
          </w:p>
        </w:tc>
        <w:tc>
          <w:tcPr>
            <w:tcW w:w="833" w:type="dxa"/>
            <w:tcBorders>
              <w:top w:val="single" w:sz="4" w:space="0" w:color="auto"/>
              <w:bottom w:val="nil"/>
            </w:tcBorders>
          </w:tcPr>
          <w:p w14:paraId="7C8BA217" w14:textId="1556CF84" w:rsidR="000C4723" w:rsidRPr="003650C8" w:rsidRDefault="000C4723" w:rsidP="000C4723">
            <w:pPr>
              <w:jc w:val="center"/>
            </w:pPr>
            <w:r w:rsidRPr="003650C8">
              <w:t>4,828</w:t>
            </w:r>
          </w:p>
        </w:tc>
        <w:tc>
          <w:tcPr>
            <w:tcW w:w="991" w:type="dxa"/>
            <w:tcBorders>
              <w:top w:val="single" w:sz="4" w:space="0" w:color="auto"/>
              <w:bottom w:val="nil"/>
            </w:tcBorders>
          </w:tcPr>
          <w:p w14:paraId="13D642E5" w14:textId="11E53B1A" w:rsidR="000C4723" w:rsidRPr="003650C8" w:rsidRDefault="000C4723" w:rsidP="000C4723">
            <w:pPr>
              <w:jc w:val="center"/>
            </w:pPr>
            <w:r w:rsidRPr="003650C8">
              <w:t>5,328</w:t>
            </w:r>
          </w:p>
        </w:tc>
        <w:tc>
          <w:tcPr>
            <w:tcW w:w="992" w:type="dxa"/>
            <w:tcBorders>
              <w:top w:val="single" w:sz="4" w:space="0" w:color="auto"/>
              <w:bottom w:val="nil"/>
            </w:tcBorders>
          </w:tcPr>
          <w:p w14:paraId="1DD10C75" w14:textId="34BC4122" w:rsidR="000C4723" w:rsidRPr="003650C8" w:rsidRDefault="000C4723" w:rsidP="000C4723">
            <w:pPr>
              <w:jc w:val="center"/>
            </w:pPr>
            <w:r w:rsidRPr="003650C8">
              <w:t>5,124</w:t>
            </w:r>
          </w:p>
        </w:tc>
      </w:tr>
      <w:tr w:rsidR="000C4723" w:rsidRPr="003650C8" w14:paraId="0EFF637E" w14:textId="77777777" w:rsidTr="000C4723">
        <w:trPr>
          <w:jc w:val="center"/>
        </w:trPr>
        <w:tc>
          <w:tcPr>
            <w:tcW w:w="3542" w:type="dxa"/>
            <w:tcBorders>
              <w:top w:val="nil"/>
            </w:tcBorders>
          </w:tcPr>
          <w:p w14:paraId="2621DC05" w14:textId="7ADE78AA" w:rsidR="000C4723" w:rsidRPr="003650C8" w:rsidRDefault="000C4723" w:rsidP="000C4723">
            <w:pPr>
              <w:jc w:val="center"/>
            </w:pPr>
            <w:r w:rsidRPr="003650C8">
              <w:t>Emissions associated with the TES system (tonnes CO</w:t>
            </w:r>
            <w:r w:rsidRPr="003650C8">
              <w:rPr>
                <w:vertAlign w:val="subscript"/>
              </w:rPr>
              <w:t>2</w:t>
            </w:r>
            <w:r w:rsidRPr="003650C8">
              <w:t>e)</w:t>
            </w:r>
          </w:p>
        </w:tc>
        <w:tc>
          <w:tcPr>
            <w:tcW w:w="1126" w:type="dxa"/>
            <w:tcBorders>
              <w:top w:val="nil"/>
            </w:tcBorders>
          </w:tcPr>
          <w:p w14:paraId="7C027252" w14:textId="69FC036D" w:rsidR="000C4723" w:rsidRPr="003650C8" w:rsidRDefault="000C4723" w:rsidP="000C4723">
            <w:pPr>
              <w:jc w:val="center"/>
            </w:pPr>
            <w:r w:rsidRPr="003650C8">
              <w:t>0</w:t>
            </w:r>
          </w:p>
        </w:tc>
        <w:tc>
          <w:tcPr>
            <w:tcW w:w="829" w:type="dxa"/>
            <w:tcBorders>
              <w:top w:val="nil"/>
            </w:tcBorders>
          </w:tcPr>
          <w:p w14:paraId="04E8B113" w14:textId="5086F1A7" w:rsidR="000C4723" w:rsidRPr="003650C8" w:rsidRDefault="000C4723" w:rsidP="000C4723">
            <w:pPr>
              <w:jc w:val="center"/>
            </w:pPr>
            <w:r w:rsidRPr="003650C8">
              <w:t>598</w:t>
            </w:r>
          </w:p>
        </w:tc>
        <w:tc>
          <w:tcPr>
            <w:tcW w:w="833" w:type="dxa"/>
            <w:tcBorders>
              <w:top w:val="nil"/>
            </w:tcBorders>
          </w:tcPr>
          <w:p w14:paraId="6DDDCDFD" w14:textId="432AA18F" w:rsidR="000C4723" w:rsidRPr="003650C8" w:rsidRDefault="000C4723" w:rsidP="000C4723">
            <w:pPr>
              <w:jc w:val="center"/>
            </w:pPr>
            <w:r w:rsidRPr="003650C8">
              <w:t>598</w:t>
            </w:r>
          </w:p>
        </w:tc>
        <w:tc>
          <w:tcPr>
            <w:tcW w:w="991" w:type="dxa"/>
            <w:tcBorders>
              <w:top w:val="nil"/>
            </w:tcBorders>
          </w:tcPr>
          <w:p w14:paraId="71344391" w14:textId="605BF81D" w:rsidR="000C4723" w:rsidRPr="003650C8" w:rsidRDefault="000C4723" w:rsidP="000C4723">
            <w:pPr>
              <w:jc w:val="center"/>
            </w:pPr>
            <w:r w:rsidRPr="003650C8">
              <w:t>0</w:t>
            </w:r>
          </w:p>
        </w:tc>
        <w:tc>
          <w:tcPr>
            <w:tcW w:w="992" w:type="dxa"/>
            <w:tcBorders>
              <w:top w:val="nil"/>
            </w:tcBorders>
          </w:tcPr>
          <w:p w14:paraId="7D10F7CD" w14:textId="18E53F12" w:rsidR="000C4723" w:rsidRPr="003650C8" w:rsidRDefault="000C4723" w:rsidP="000C4723">
            <w:pPr>
              <w:jc w:val="center"/>
            </w:pPr>
            <w:r w:rsidRPr="003650C8">
              <w:t>0</w:t>
            </w:r>
          </w:p>
        </w:tc>
      </w:tr>
      <w:tr w:rsidR="000C4723" w:rsidRPr="003650C8" w14:paraId="2833951A" w14:textId="77777777" w:rsidTr="000C4723">
        <w:trPr>
          <w:jc w:val="center"/>
        </w:trPr>
        <w:tc>
          <w:tcPr>
            <w:tcW w:w="3542" w:type="dxa"/>
          </w:tcPr>
          <w:p w14:paraId="7698A187" w14:textId="04BE1677" w:rsidR="000C4723" w:rsidRPr="003650C8" w:rsidRDefault="000C4723" w:rsidP="000C4723">
            <w:pPr>
              <w:jc w:val="center"/>
            </w:pPr>
            <w:r w:rsidRPr="003650C8">
              <w:t>Number of years to reach environmental payback</w:t>
            </w:r>
          </w:p>
        </w:tc>
        <w:tc>
          <w:tcPr>
            <w:tcW w:w="1126" w:type="dxa"/>
          </w:tcPr>
          <w:p w14:paraId="5879A031" w14:textId="785F6EBD" w:rsidR="000C4723" w:rsidRPr="003650C8" w:rsidRDefault="000C4723" w:rsidP="000C4723">
            <w:pPr>
              <w:jc w:val="center"/>
            </w:pPr>
            <w:r w:rsidRPr="003650C8">
              <w:t>n/a</w:t>
            </w:r>
          </w:p>
        </w:tc>
        <w:tc>
          <w:tcPr>
            <w:tcW w:w="829" w:type="dxa"/>
          </w:tcPr>
          <w:p w14:paraId="4D036439" w14:textId="2540AF72" w:rsidR="000C4723" w:rsidRPr="003650C8" w:rsidRDefault="000C4723" w:rsidP="000C4723">
            <w:pPr>
              <w:jc w:val="center"/>
            </w:pPr>
            <w:r w:rsidRPr="003650C8">
              <w:t>2</w:t>
            </w:r>
          </w:p>
        </w:tc>
        <w:tc>
          <w:tcPr>
            <w:tcW w:w="833" w:type="dxa"/>
          </w:tcPr>
          <w:p w14:paraId="1628B22E" w14:textId="73902FAB" w:rsidR="000C4723" w:rsidRPr="003650C8" w:rsidRDefault="000C4723" w:rsidP="000C4723">
            <w:pPr>
              <w:jc w:val="center"/>
            </w:pPr>
            <w:r w:rsidRPr="003650C8">
              <w:t>2</w:t>
            </w:r>
          </w:p>
        </w:tc>
        <w:tc>
          <w:tcPr>
            <w:tcW w:w="991" w:type="dxa"/>
          </w:tcPr>
          <w:p w14:paraId="32484F86" w14:textId="70345214" w:rsidR="000C4723" w:rsidRPr="003650C8" w:rsidRDefault="000C4723" w:rsidP="000C4723">
            <w:pPr>
              <w:jc w:val="center"/>
            </w:pPr>
            <w:r w:rsidRPr="003650C8">
              <w:t>1</w:t>
            </w:r>
          </w:p>
        </w:tc>
        <w:tc>
          <w:tcPr>
            <w:tcW w:w="992" w:type="dxa"/>
          </w:tcPr>
          <w:p w14:paraId="1B1FA618" w14:textId="3322837C" w:rsidR="000C4723" w:rsidRPr="003650C8" w:rsidRDefault="000C4723" w:rsidP="000C4723">
            <w:pPr>
              <w:jc w:val="center"/>
            </w:pPr>
            <w:r w:rsidRPr="003650C8">
              <w:t>1</w:t>
            </w:r>
          </w:p>
        </w:tc>
      </w:tr>
    </w:tbl>
    <w:p w14:paraId="5DEBCAA1" w14:textId="77777777" w:rsidR="000F16EB" w:rsidRDefault="000F16EB" w:rsidP="003650C8">
      <w:pPr>
        <w:pStyle w:val="NoSpacing"/>
      </w:pPr>
    </w:p>
    <w:p w14:paraId="39C96791" w14:textId="77777777" w:rsidR="000F16EB" w:rsidRDefault="000F16EB" w:rsidP="000F16EB">
      <w:r>
        <w:t>The two HWT based scenarios performed almost as identically as well as each other, with less than 1% difference in the respective annual energy uses from the natural gas burner. Again, the differences between the two scenarios were insignificant and likely to be due to the modelling and allocation processes.</w:t>
      </w:r>
    </w:p>
    <w:p w14:paraId="3F30A7BB" w14:textId="6FEC6FB0" w:rsidR="000F16EB" w:rsidRDefault="000F16EB" w:rsidP="000F16EB">
      <w:pPr>
        <w:pStyle w:val="Caption"/>
        <w:keepNext/>
      </w:pPr>
      <w:bookmarkStart w:id="837" w:name="_Ref523665744"/>
      <w:bookmarkStart w:id="838" w:name="_Ref531181266"/>
      <w:bookmarkStart w:id="839" w:name="_Toc525230148"/>
      <w:bookmarkStart w:id="840" w:name="_Toc7187704"/>
      <w:bookmarkEnd w:id="834"/>
      <w:r>
        <w:lastRenderedPageBreak/>
        <w:t xml:space="preserve">Table </w:t>
      </w:r>
      <w:fldSimple w:instr=" STYLEREF 1 \s ">
        <w:r w:rsidR="00CB7456">
          <w:rPr>
            <w:noProof/>
          </w:rPr>
          <w:t>7</w:t>
        </w:r>
      </w:fldSimple>
      <w:r w:rsidR="009E1A67">
        <w:t>.</w:t>
      </w:r>
      <w:fldSimple w:instr=" SEQ Table \* ARABIC \s 1 ">
        <w:r w:rsidR="00CB7456">
          <w:rPr>
            <w:noProof/>
          </w:rPr>
          <w:t>8</w:t>
        </w:r>
      </w:fldSimple>
      <w:bookmarkEnd w:id="837"/>
      <w:bookmarkEnd w:id="838"/>
      <w:r>
        <w:rPr>
          <w:noProof/>
        </w:rPr>
        <w:t>:</w:t>
      </w:r>
      <w:r>
        <w:t xml:space="preserve"> </w:t>
      </w:r>
      <w:r w:rsidRPr="00181369">
        <w:t>Economic</w:t>
      </w:r>
      <w:r>
        <w:t xml:space="preserve"> and environmental </w:t>
      </w:r>
      <w:r w:rsidRPr="00181369">
        <w:t xml:space="preserve">analysis of the TES </w:t>
      </w:r>
      <w:r w:rsidRPr="006102BE">
        <w:t>scenarios</w:t>
      </w:r>
      <w:r>
        <w:t xml:space="preserve"> with an increase of the original heat supply by a factor of 1.5 and a ratio of peak supply maxima to demand maxima of 1:1.82.</w:t>
      </w:r>
      <w:bookmarkEnd w:id="839"/>
      <w:bookmarkEnd w:id="840"/>
    </w:p>
    <w:tbl>
      <w:tblPr>
        <w:tblStyle w:val="TableGrid"/>
        <w:tblW w:w="8369"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91"/>
        <w:gridCol w:w="1126"/>
        <w:gridCol w:w="829"/>
        <w:gridCol w:w="833"/>
        <w:gridCol w:w="992"/>
        <w:gridCol w:w="998"/>
      </w:tblGrid>
      <w:tr w:rsidR="000F16EB" w:rsidRPr="003650C8" w14:paraId="0312C959" w14:textId="77777777" w:rsidTr="00A7521D">
        <w:tc>
          <w:tcPr>
            <w:tcW w:w="3591" w:type="dxa"/>
            <w:tcBorders>
              <w:bottom w:val="single" w:sz="4" w:space="0" w:color="auto"/>
            </w:tcBorders>
          </w:tcPr>
          <w:p w14:paraId="489F8C80" w14:textId="77777777" w:rsidR="000F16EB" w:rsidRPr="003650C8" w:rsidRDefault="000F16EB" w:rsidP="00A7521D">
            <w:pPr>
              <w:jc w:val="center"/>
            </w:pPr>
          </w:p>
        </w:tc>
        <w:tc>
          <w:tcPr>
            <w:tcW w:w="1126" w:type="dxa"/>
            <w:tcBorders>
              <w:bottom w:val="single" w:sz="4" w:space="0" w:color="auto"/>
            </w:tcBorders>
          </w:tcPr>
          <w:p w14:paraId="2BDDD3A2" w14:textId="77777777" w:rsidR="000F16EB" w:rsidRPr="003650C8" w:rsidRDefault="000F16EB" w:rsidP="00A7521D">
            <w:pPr>
              <w:jc w:val="center"/>
            </w:pPr>
            <w:r w:rsidRPr="003650C8">
              <w:t>Reference scenario</w:t>
            </w:r>
          </w:p>
        </w:tc>
        <w:tc>
          <w:tcPr>
            <w:tcW w:w="829" w:type="dxa"/>
            <w:tcBorders>
              <w:bottom w:val="single" w:sz="4" w:space="0" w:color="auto"/>
            </w:tcBorders>
          </w:tcPr>
          <w:p w14:paraId="780CAC1D" w14:textId="77777777" w:rsidR="000F16EB" w:rsidRPr="003650C8" w:rsidRDefault="000F16EB" w:rsidP="00A7521D">
            <w:pPr>
              <w:jc w:val="center"/>
            </w:pPr>
            <w:r w:rsidRPr="003650C8">
              <w:t>Single HWT</w:t>
            </w:r>
          </w:p>
        </w:tc>
        <w:tc>
          <w:tcPr>
            <w:tcW w:w="833" w:type="dxa"/>
            <w:tcBorders>
              <w:bottom w:val="single" w:sz="4" w:space="0" w:color="auto"/>
            </w:tcBorders>
          </w:tcPr>
          <w:p w14:paraId="1933D291" w14:textId="77777777" w:rsidR="000F16EB" w:rsidRPr="003650C8" w:rsidRDefault="000F16EB" w:rsidP="00A7521D">
            <w:pPr>
              <w:jc w:val="center"/>
            </w:pPr>
            <w:r w:rsidRPr="003650C8">
              <w:t>Pair of HWTs</w:t>
            </w:r>
          </w:p>
        </w:tc>
        <w:tc>
          <w:tcPr>
            <w:tcW w:w="992" w:type="dxa"/>
            <w:tcBorders>
              <w:bottom w:val="single" w:sz="4" w:space="0" w:color="auto"/>
            </w:tcBorders>
          </w:tcPr>
          <w:p w14:paraId="7421CC3B" w14:textId="77777777" w:rsidR="000F16EB" w:rsidRPr="003650C8" w:rsidRDefault="000F16EB" w:rsidP="00A7521D">
            <w:pPr>
              <w:jc w:val="center"/>
            </w:pPr>
            <w:r w:rsidRPr="003650C8">
              <w:t>Building TES</w:t>
            </w:r>
          </w:p>
        </w:tc>
        <w:tc>
          <w:tcPr>
            <w:tcW w:w="998" w:type="dxa"/>
            <w:tcBorders>
              <w:bottom w:val="single" w:sz="4" w:space="0" w:color="auto"/>
            </w:tcBorders>
          </w:tcPr>
          <w:p w14:paraId="4FA4DF2E" w14:textId="77777777" w:rsidR="000F16EB" w:rsidRPr="003650C8" w:rsidRDefault="000F16EB" w:rsidP="00A7521D">
            <w:pPr>
              <w:jc w:val="center"/>
            </w:pPr>
            <w:r w:rsidRPr="003650C8">
              <w:t>Network TES</w:t>
            </w:r>
          </w:p>
        </w:tc>
      </w:tr>
      <w:tr w:rsidR="000C4723" w:rsidRPr="003650C8" w14:paraId="28988B33" w14:textId="77777777" w:rsidTr="00A7521D">
        <w:tc>
          <w:tcPr>
            <w:tcW w:w="3591" w:type="dxa"/>
            <w:tcBorders>
              <w:top w:val="nil"/>
            </w:tcBorders>
          </w:tcPr>
          <w:p w14:paraId="216FDE89" w14:textId="4E6B9713" w:rsidR="000C4723" w:rsidRPr="003650C8" w:rsidRDefault="000C4723" w:rsidP="000C4723">
            <w:pPr>
              <w:jc w:val="center"/>
            </w:pPr>
            <w:r w:rsidRPr="003650C8">
              <w:t>Annual natural gas input to the burner (MWh)</w:t>
            </w:r>
          </w:p>
        </w:tc>
        <w:tc>
          <w:tcPr>
            <w:tcW w:w="1126" w:type="dxa"/>
            <w:tcBorders>
              <w:top w:val="nil"/>
            </w:tcBorders>
          </w:tcPr>
          <w:p w14:paraId="5BB8F6F9" w14:textId="6C719863" w:rsidR="000C4723" w:rsidRPr="003650C8" w:rsidRDefault="000C4723" w:rsidP="000C4723">
            <w:pPr>
              <w:jc w:val="center"/>
            </w:pPr>
            <w:r w:rsidRPr="003650C8">
              <w:t>23,757</w:t>
            </w:r>
          </w:p>
        </w:tc>
        <w:tc>
          <w:tcPr>
            <w:tcW w:w="829" w:type="dxa"/>
            <w:tcBorders>
              <w:top w:val="nil"/>
            </w:tcBorders>
          </w:tcPr>
          <w:p w14:paraId="61E79A0D" w14:textId="7B9F4FF1" w:rsidR="000C4723" w:rsidRPr="003650C8" w:rsidRDefault="000C4723" w:rsidP="000C4723">
            <w:pPr>
              <w:jc w:val="center"/>
            </w:pPr>
            <w:r w:rsidRPr="003650C8">
              <w:t>19,791</w:t>
            </w:r>
          </w:p>
        </w:tc>
        <w:tc>
          <w:tcPr>
            <w:tcW w:w="833" w:type="dxa"/>
            <w:tcBorders>
              <w:top w:val="nil"/>
            </w:tcBorders>
          </w:tcPr>
          <w:p w14:paraId="0D0DDEA2" w14:textId="61DA4EC3" w:rsidR="000C4723" w:rsidRPr="003650C8" w:rsidRDefault="000C4723" w:rsidP="000C4723">
            <w:pPr>
              <w:jc w:val="center"/>
            </w:pPr>
            <w:r w:rsidRPr="003650C8">
              <w:t>19523</w:t>
            </w:r>
          </w:p>
        </w:tc>
        <w:tc>
          <w:tcPr>
            <w:tcW w:w="992" w:type="dxa"/>
            <w:tcBorders>
              <w:top w:val="nil"/>
            </w:tcBorders>
          </w:tcPr>
          <w:p w14:paraId="6822B4A1" w14:textId="6C4933A9" w:rsidR="000C4723" w:rsidRPr="003650C8" w:rsidRDefault="000C4723" w:rsidP="000C4723">
            <w:pPr>
              <w:jc w:val="center"/>
            </w:pPr>
            <w:r w:rsidRPr="003650C8">
              <w:t>23,665</w:t>
            </w:r>
          </w:p>
        </w:tc>
        <w:tc>
          <w:tcPr>
            <w:tcW w:w="998" w:type="dxa"/>
            <w:tcBorders>
              <w:top w:val="nil"/>
            </w:tcBorders>
          </w:tcPr>
          <w:p w14:paraId="16788525" w14:textId="45BE4E8A" w:rsidR="000C4723" w:rsidRPr="003650C8" w:rsidRDefault="000C4723" w:rsidP="000C4723">
            <w:pPr>
              <w:jc w:val="center"/>
            </w:pPr>
            <w:r w:rsidRPr="003650C8">
              <w:t>22,627</w:t>
            </w:r>
          </w:p>
        </w:tc>
      </w:tr>
      <w:tr w:rsidR="000C4723" w:rsidRPr="003650C8" w14:paraId="6FC3AFA3" w14:textId="77777777" w:rsidTr="00A7521D">
        <w:tc>
          <w:tcPr>
            <w:tcW w:w="3591" w:type="dxa"/>
          </w:tcPr>
          <w:p w14:paraId="7F20E430" w14:textId="62E19CD8" w:rsidR="000C4723" w:rsidRPr="003650C8" w:rsidRDefault="000C4723" w:rsidP="000C4723">
            <w:pPr>
              <w:jc w:val="center"/>
            </w:pPr>
            <w:r w:rsidRPr="003650C8">
              <w:t>Annual natural gas costs (£1000)</w:t>
            </w:r>
          </w:p>
        </w:tc>
        <w:tc>
          <w:tcPr>
            <w:tcW w:w="1126" w:type="dxa"/>
          </w:tcPr>
          <w:p w14:paraId="2BDEFC46" w14:textId="4C332DAF" w:rsidR="000C4723" w:rsidRPr="003650C8" w:rsidRDefault="000C4723" w:rsidP="000C4723">
            <w:pPr>
              <w:jc w:val="center"/>
            </w:pPr>
            <w:r w:rsidRPr="003650C8">
              <w:t>713</w:t>
            </w:r>
          </w:p>
        </w:tc>
        <w:tc>
          <w:tcPr>
            <w:tcW w:w="829" w:type="dxa"/>
          </w:tcPr>
          <w:p w14:paraId="2480E691" w14:textId="75BB8257" w:rsidR="000C4723" w:rsidRPr="003650C8" w:rsidRDefault="000C4723" w:rsidP="000C4723">
            <w:pPr>
              <w:jc w:val="center"/>
            </w:pPr>
            <w:r w:rsidRPr="003650C8">
              <w:t>594</w:t>
            </w:r>
          </w:p>
        </w:tc>
        <w:tc>
          <w:tcPr>
            <w:tcW w:w="833" w:type="dxa"/>
          </w:tcPr>
          <w:p w14:paraId="001A1A0D" w14:textId="2B41AF5E" w:rsidR="000C4723" w:rsidRPr="003650C8" w:rsidRDefault="000C4723" w:rsidP="000C4723">
            <w:pPr>
              <w:jc w:val="center"/>
            </w:pPr>
            <w:r w:rsidRPr="003650C8">
              <w:t>586</w:t>
            </w:r>
          </w:p>
        </w:tc>
        <w:tc>
          <w:tcPr>
            <w:tcW w:w="992" w:type="dxa"/>
          </w:tcPr>
          <w:p w14:paraId="0466223E" w14:textId="78242220" w:rsidR="000C4723" w:rsidRPr="003650C8" w:rsidRDefault="000C4723" w:rsidP="000C4723">
            <w:pPr>
              <w:jc w:val="center"/>
            </w:pPr>
            <w:r w:rsidRPr="003650C8">
              <w:t>710</w:t>
            </w:r>
          </w:p>
        </w:tc>
        <w:tc>
          <w:tcPr>
            <w:tcW w:w="998" w:type="dxa"/>
          </w:tcPr>
          <w:p w14:paraId="5D3C5CDF" w14:textId="70D70EDF" w:rsidR="000C4723" w:rsidRPr="003650C8" w:rsidRDefault="000C4723" w:rsidP="000C4723">
            <w:pPr>
              <w:jc w:val="center"/>
            </w:pPr>
            <w:r w:rsidRPr="003650C8">
              <w:t>679</w:t>
            </w:r>
          </w:p>
        </w:tc>
      </w:tr>
      <w:tr w:rsidR="000C4723" w:rsidRPr="003650C8" w14:paraId="36C28D25" w14:textId="77777777" w:rsidTr="00A7521D">
        <w:tc>
          <w:tcPr>
            <w:tcW w:w="3591" w:type="dxa"/>
          </w:tcPr>
          <w:p w14:paraId="4135E4FE" w14:textId="2C5AAB74" w:rsidR="000C4723" w:rsidRPr="003650C8" w:rsidRDefault="000C4723" w:rsidP="000C4723">
            <w:pPr>
              <w:jc w:val="center"/>
            </w:pPr>
            <w:r w:rsidRPr="003650C8">
              <w:t>Capital cost of the TES system (£1000)</w:t>
            </w:r>
          </w:p>
        </w:tc>
        <w:tc>
          <w:tcPr>
            <w:tcW w:w="1126" w:type="dxa"/>
          </w:tcPr>
          <w:p w14:paraId="4B9EC9F3" w14:textId="49484D66" w:rsidR="000C4723" w:rsidRPr="003650C8" w:rsidRDefault="000C4723" w:rsidP="000C4723">
            <w:pPr>
              <w:jc w:val="center"/>
            </w:pPr>
            <w:r w:rsidRPr="003650C8">
              <w:t>0</w:t>
            </w:r>
          </w:p>
        </w:tc>
        <w:tc>
          <w:tcPr>
            <w:tcW w:w="829" w:type="dxa"/>
          </w:tcPr>
          <w:p w14:paraId="25B65BC7" w14:textId="0169B6D7" w:rsidR="000C4723" w:rsidRPr="003650C8" w:rsidRDefault="000C4723" w:rsidP="000C4723">
            <w:pPr>
              <w:jc w:val="center"/>
            </w:pPr>
            <w:r w:rsidRPr="003650C8">
              <w:t>2,536</w:t>
            </w:r>
          </w:p>
        </w:tc>
        <w:tc>
          <w:tcPr>
            <w:tcW w:w="833" w:type="dxa"/>
          </w:tcPr>
          <w:p w14:paraId="5FEB955E" w14:textId="140E0953" w:rsidR="000C4723" w:rsidRPr="003650C8" w:rsidRDefault="000C4723" w:rsidP="000C4723">
            <w:pPr>
              <w:jc w:val="center"/>
            </w:pPr>
            <w:r w:rsidRPr="003650C8">
              <w:t>2,536</w:t>
            </w:r>
          </w:p>
        </w:tc>
        <w:tc>
          <w:tcPr>
            <w:tcW w:w="992" w:type="dxa"/>
          </w:tcPr>
          <w:p w14:paraId="6BCE1A34" w14:textId="04CEAFE0" w:rsidR="000C4723" w:rsidRPr="003650C8" w:rsidRDefault="000C4723" w:rsidP="000C4723">
            <w:pPr>
              <w:jc w:val="center"/>
            </w:pPr>
            <w:r w:rsidRPr="003650C8">
              <w:t>3.22</w:t>
            </w:r>
          </w:p>
        </w:tc>
        <w:tc>
          <w:tcPr>
            <w:tcW w:w="998" w:type="dxa"/>
          </w:tcPr>
          <w:p w14:paraId="5CD01BAC" w14:textId="46C560EB" w:rsidR="000C4723" w:rsidRPr="003650C8" w:rsidRDefault="000C4723" w:rsidP="000C4723">
            <w:pPr>
              <w:jc w:val="center"/>
            </w:pPr>
            <w:r w:rsidRPr="003650C8">
              <w:t>0</w:t>
            </w:r>
          </w:p>
        </w:tc>
      </w:tr>
      <w:tr w:rsidR="000C4723" w:rsidRPr="003650C8" w14:paraId="00BCEE38" w14:textId="77777777" w:rsidTr="00A7521D">
        <w:tc>
          <w:tcPr>
            <w:tcW w:w="3591" w:type="dxa"/>
            <w:tcBorders>
              <w:bottom w:val="single" w:sz="4" w:space="0" w:color="auto"/>
            </w:tcBorders>
          </w:tcPr>
          <w:p w14:paraId="60ADA15A" w14:textId="09D4D4AB" w:rsidR="000C4723" w:rsidRPr="003650C8" w:rsidRDefault="000C4723" w:rsidP="000C4723">
            <w:pPr>
              <w:jc w:val="center"/>
            </w:pPr>
            <w:r w:rsidRPr="003650C8">
              <w:t>Number of years to reach economic payback</w:t>
            </w:r>
          </w:p>
        </w:tc>
        <w:tc>
          <w:tcPr>
            <w:tcW w:w="1126" w:type="dxa"/>
            <w:tcBorders>
              <w:bottom w:val="single" w:sz="4" w:space="0" w:color="auto"/>
            </w:tcBorders>
          </w:tcPr>
          <w:p w14:paraId="0013DC88" w14:textId="2D569660" w:rsidR="000C4723" w:rsidRPr="003650C8" w:rsidRDefault="000C4723" w:rsidP="000C4723">
            <w:pPr>
              <w:jc w:val="center"/>
            </w:pPr>
            <w:r w:rsidRPr="003650C8">
              <w:t>n/a</w:t>
            </w:r>
          </w:p>
        </w:tc>
        <w:tc>
          <w:tcPr>
            <w:tcW w:w="829" w:type="dxa"/>
            <w:tcBorders>
              <w:bottom w:val="single" w:sz="4" w:space="0" w:color="auto"/>
            </w:tcBorders>
          </w:tcPr>
          <w:p w14:paraId="14FFF0ED" w14:textId="6D55DFAB" w:rsidR="000C4723" w:rsidRPr="003650C8" w:rsidRDefault="000C4723" w:rsidP="000C4723">
            <w:pPr>
              <w:jc w:val="center"/>
            </w:pPr>
            <w:r w:rsidRPr="003650C8">
              <w:t>21</w:t>
            </w:r>
          </w:p>
        </w:tc>
        <w:tc>
          <w:tcPr>
            <w:tcW w:w="833" w:type="dxa"/>
            <w:tcBorders>
              <w:bottom w:val="single" w:sz="4" w:space="0" w:color="auto"/>
            </w:tcBorders>
          </w:tcPr>
          <w:p w14:paraId="39CA6B52" w14:textId="524400A8" w:rsidR="000C4723" w:rsidRPr="003650C8" w:rsidRDefault="000C4723" w:rsidP="000C4723">
            <w:pPr>
              <w:jc w:val="center"/>
            </w:pPr>
            <w:r w:rsidRPr="003650C8">
              <w:t>20</w:t>
            </w:r>
          </w:p>
        </w:tc>
        <w:tc>
          <w:tcPr>
            <w:tcW w:w="992" w:type="dxa"/>
            <w:tcBorders>
              <w:bottom w:val="single" w:sz="4" w:space="0" w:color="auto"/>
            </w:tcBorders>
          </w:tcPr>
          <w:p w14:paraId="25840B44" w14:textId="6BCFE1F2" w:rsidR="000C4723" w:rsidRPr="003650C8" w:rsidRDefault="000C4723" w:rsidP="000C4723">
            <w:pPr>
              <w:jc w:val="center"/>
            </w:pPr>
            <w:r w:rsidRPr="003650C8">
              <w:t>1</w:t>
            </w:r>
          </w:p>
        </w:tc>
        <w:tc>
          <w:tcPr>
            <w:tcW w:w="998" w:type="dxa"/>
            <w:tcBorders>
              <w:bottom w:val="single" w:sz="4" w:space="0" w:color="auto"/>
            </w:tcBorders>
          </w:tcPr>
          <w:p w14:paraId="55B0F53C" w14:textId="458145D4" w:rsidR="000C4723" w:rsidRPr="003650C8" w:rsidRDefault="000C4723" w:rsidP="000C4723">
            <w:pPr>
              <w:jc w:val="center"/>
            </w:pPr>
            <w:r w:rsidRPr="003650C8">
              <w:t>1</w:t>
            </w:r>
          </w:p>
        </w:tc>
      </w:tr>
      <w:tr w:rsidR="000C4723" w:rsidRPr="003650C8" w14:paraId="11CD2FD4" w14:textId="77777777" w:rsidTr="00A7521D">
        <w:tc>
          <w:tcPr>
            <w:tcW w:w="3591" w:type="dxa"/>
            <w:tcBorders>
              <w:top w:val="single" w:sz="4" w:space="0" w:color="auto"/>
              <w:bottom w:val="nil"/>
            </w:tcBorders>
          </w:tcPr>
          <w:p w14:paraId="6B0B91A3" w14:textId="15A668FC" w:rsidR="000C4723" w:rsidRPr="003650C8" w:rsidRDefault="000C4723" w:rsidP="000C4723">
            <w:pPr>
              <w:jc w:val="center"/>
            </w:pPr>
            <w:r w:rsidRPr="003650C8">
              <w:t>Annual emissions associated with annual natural gas used (tonnes CO</w:t>
            </w:r>
            <w:r w:rsidRPr="003650C8">
              <w:rPr>
                <w:vertAlign w:val="subscript"/>
              </w:rPr>
              <w:t>2</w:t>
            </w:r>
            <w:r w:rsidRPr="003650C8">
              <w:t>e)</w:t>
            </w:r>
          </w:p>
        </w:tc>
        <w:tc>
          <w:tcPr>
            <w:tcW w:w="1126" w:type="dxa"/>
            <w:tcBorders>
              <w:top w:val="single" w:sz="4" w:space="0" w:color="auto"/>
              <w:bottom w:val="nil"/>
            </w:tcBorders>
          </w:tcPr>
          <w:p w14:paraId="35DF1C5E" w14:textId="6FBB5579" w:rsidR="000C4723" w:rsidRPr="003650C8" w:rsidRDefault="000C4723" w:rsidP="000C4723">
            <w:pPr>
              <w:jc w:val="center"/>
            </w:pPr>
            <w:r w:rsidRPr="003650C8">
              <w:t>4,362</w:t>
            </w:r>
          </w:p>
        </w:tc>
        <w:tc>
          <w:tcPr>
            <w:tcW w:w="829" w:type="dxa"/>
            <w:tcBorders>
              <w:top w:val="single" w:sz="4" w:space="0" w:color="auto"/>
              <w:bottom w:val="nil"/>
            </w:tcBorders>
          </w:tcPr>
          <w:p w14:paraId="4B5014CB" w14:textId="06F1B178" w:rsidR="000C4723" w:rsidRPr="003650C8" w:rsidRDefault="000C4723" w:rsidP="000C4723">
            <w:pPr>
              <w:jc w:val="center"/>
            </w:pPr>
            <w:r w:rsidRPr="003650C8">
              <w:t>3,636</w:t>
            </w:r>
          </w:p>
        </w:tc>
        <w:tc>
          <w:tcPr>
            <w:tcW w:w="833" w:type="dxa"/>
            <w:tcBorders>
              <w:top w:val="single" w:sz="4" w:space="0" w:color="auto"/>
              <w:bottom w:val="nil"/>
            </w:tcBorders>
          </w:tcPr>
          <w:p w14:paraId="5A3A96FF" w14:textId="784F1CCD" w:rsidR="000C4723" w:rsidRPr="003650C8" w:rsidRDefault="000C4723" w:rsidP="000C4723">
            <w:pPr>
              <w:jc w:val="center"/>
            </w:pPr>
            <w:r w:rsidRPr="003650C8">
              <w:t>3,587</w:t>
            </w:r>
          </w:p>
        </w:tc>
        <w:tc>
          <w:tcPr>
            <w:tcW w:w="992" w:type="dxa"/>
            <w:tcBorders>
              <w:top w:val="single" w:sz="4" w:space="0" w:color="auto"/>
              <w:bottom w:val="nil"/>
            </w:tcBorders>
          </w:tcPr>
          <w:p w14:paraId="14BF9A05" w14:textId="3762A235" w:rsidR="000C4723" w:rsidRPr="003650C8" w:rsidRDefault="000C4723" w:rsidP="000C4723">
            <w:pPr>
              <w:jc w:val="center"/>
            </w:pPr>
            <w:r w:rsidRPr="003650C8">
              <w:t>4,345</w:t>
            </w:r>
          </w:p>
        </w:tc>
        <w:tc>
          <w:tcPr>
            <w:tcW w:w="998" w:type="dxa"/>
            <w:tcBorders>
              <w:top w:val="single" w:sz="4" w:space="0" w:color="auto"/>
              <w:bottom w:val="nil"/>
            </w:tcBorders>
          </w:tcPr>
          <w:p w14:paraId="15845C14" w14:textId="32640B8F" w:rsidR="000C4723" w:rsidRPr="003650C8" w:rsidRDefault="000C4723" w:rsidP="000C4723">
            <w:pPr>
              <w:jc w:val="center"/>
            </w:pPr>
            <w:r w:rsidRPr="003650C8">
              <w:t>4,155</w:t>
            </w:r>
          </w:p>
        </w:tc>
      </w:tr>
      <w:tr w:rsidR="000C4723" w:rsidRPr="003650C8" w14:paraId="43365776" w14:textId="77777777" w:rsidTr="00A7521D">
        <w:tc>
          <w:tcPr>
            <w:tcW w:w="3591" w:type="dxa"/>
            <w:tcBorders>
              <w:top w:val="nil"/>
            </w:tcBorders>
          </w:tcPr>
          <w:p w14:paraId="07B09336" w14:textId="2B790BBA" w:rsidR="000C4723" w:rsidRPr="003650C8" w:rsidRDefault="000C4723" w:rsidP="000C4723">
            <w:pPr>
              <w:jc w:val="center"/>
            </w:pPr>
            <w:r w:rsidRPr="003650C8">
              <w:t>Emissions associated with the TES system (tonnes CO</w:t>
            </w:r>
            <w:r w:rsidRPr="003650C8">
              <w:rPr>
                <w:vertAlign w:val="subscript"/>
              </w:rPr>
              <w:t>2</w:t>
            </w:r>
            <w:r w:rsidRPr="003650C8">
              <w:t>e)</w:t>
            </w:r>
          </w:p>
        </w:tc>
        <w:tc>
          <w:tcPr>
            <w:tcW w:w="1126" w:type="dxa"/>
            <w:tcBorders>
              <w:top w:val="nil"/>
            </w:tcBorders>
          </w:tcPr>
          <w:p w14:paraId="1C0C4521" w14:textId="3364C0EB" w:rsidR="000C4723" w:rsidRPr="003650C8" w:rsidRDefault="000C4723" w:rsidP="000C4723">
            <w:pPr>
              <w:jc w:val="center"/>
            </w:pPr>
            <w:r w:rsidRPr="003650C8">
              <w:t>0</w:t>
            </w:r>
          </w:p>
        </w:tc>
        <w:tc>
          <w:tcPr>
            <w:tcW w:w="829" w:type="dxa"/>
            <w:tcBorders>
              <w:top w:val="nil"/>
            </w:tcBorders>
          </w:tcPr>
          <w:p w14:paraId="1DC4B38B" w14:textId="1A61B0FD" w:rsidR="000C4723" w:rsidRPr="003650C8" w:rsidRDefault="000C4723" w:rsidP="000C4723">
            <w:pPr>
              <w:jc w:val="center"/>
            </w:pPr>
            <w:r w:rsidRPr="003650C8">
              <w:t>930</w:t>
            </w:r>
          </w:p>
        </w:tc>
        <w:tc>
          <w:tcPr>
            <w:tcW w:w="833" w:type="dxa"/>
            <w:tcBorders>
              <w:top w:val="nil"/>
            </w:tcBorders>
          </w:tcPr>
          <w:p w14:paraId="1E28A9F3" w14:textId="28CB59F8" w:rsidR="000C4723" w:rsidRPr="003650C8" w:rsidRDefault="000C4723" w:rsidP="000C4723">
            <w:pPr>
              <w:jc w:val="center"/>
            </w:pPr>
            <w:r w:rsidRPr="003650C8">
              <w:t>930</w:t>
            </w:r>
          </w:p>
        </w:tc>
        <w:tc>
          <w:tcPr>
            <w:tcW w:w="992" w:type="dxa"/>
            <w:tcBorders>
              <w:top w:val="nil"/>
            </w:tcBorders>
          </w:tcPr>
          <w:p w14:paraId="190C8993" w14:textId="776B0328" w:rsidR="000C4723" w:rsidRPr="003650C8" w:rsidRDefault="000C4723" w:rsidP="000C4723">
            <w:pPr>
              <w:jc w:val="center"/>
            </w:pPr>
            <w:r w:rsidRPr="003650C8">
              <w:t>0</w:t>
            </w:r>
          </w:p>
        </w:tc>
        <w:tc>
          <w:tcPr>
            <w:tcW w:w="998" w:type="dxa"/>
            <w:tcBorders>
              <w:top w:val="nil"/>
            </w:tcBorders>
          </w:tcPr>
          <w:p w14:paraId="11068C05" w14:textId="4510B2D5" w:rsidR="000C4723" w:rsidRPr="003650C8" w:rsidRDefault="000C4723" w:rsidP="000C4723">
            <w:pPr>
              <w:jc w:val="center"/>
            </w:pPr>
            <w:r w:rsidRPr="003650C8">
              <w:t>0</w:t>
            </w:r>
          </w:p>
        </w:tc>
      </w:tr>
      <w:tr w:rsidR="000C4723" w:rsidRPr="003650C8" w14:paraId="3E09742D" w14:textId="77777777" w:rsidTr="00A7521D">
        <w:tc>
          <w:tcPr>
            <w:tcW w:w="3591" w:type="dxa"/>
          </w:tcPr>
          <w:p w14:paraId="16C613D3" w14:textId="7BF41F50" w:rsidR="000C4723" w:rsidRPr="003650C8" w:rsidRDefault="000C4723" w:rsidP="000C4723">
            <w:pPr>
              <w:jc w:val="center"/>
            </w:pPr>
            <w:r w:rsidRPr="003650C8">
              <w:t>Number of years to reach environmental payback</w:t>
            </w:r>
          </w:p>
        </w:tc>
        <w:tc>
          <w:tcPr>
            <w:tcW w:w="1126" w:type="dxa"/>
          </w:tcPr>
          <w:p w14:paraId="47F343D8" w14:textId="56E3A6E6" w:rsidR="000C4723" w:rsidRPr="003650C8" w:rsidRDefault="000C4723" w:rsidP="000C4723">
            <w:pPr>
              <w:jc w:val="center"/>
            </w:pPr>
            <w:r w:rsidRPr="003650C8">
              <w:t>n/a</w:t>
            </w:r>
          </w:p>
        </w:tc>
        <w:tc>
          <w:tcPr>
            <w:tcW w:w="829" w:type="dxa"/>
          </w:tcPr>
          <w:p w14:paraId="5A7E862A" w14:textId="29EAA5D5" w:rsidR="000C4723" w:rsidRPr="003650C8" w:rsidRDefault="000C4723" w:rsidP="000C4723">
            <w:pPr>
              <w:jc w:val="center"/>
            </w:pPr>
            <w:r w:rsidRPr="003650C8">
              <w:t>2</w:t>
            </w:r>
          </w:p>
        </w:tc>
        <w:tc>
          <w:tcPr>
            <w:tcW w:w="833" w:type="dxa"/>
          </w:tcPr>
          <w:p w14:paraId="42EDEB26" w14:textId="5EC31E1A" w:rsidR="000C4723" w:rsidRPr="003650C8" w:rsidRDefault="000C4723" w:rsidP="000C4723">
            <w:pPr>
              <w:jc w:val="center"/>
            </w:pPr>
            <w:r w:rsidRPr="003650C8">
              <w:t>2</w:t>
            </w:r>
          </w:p>
        </w:tc>
        <w:tc>
          <w:tcPr>
            <w:tcW w:w="992" w:type="dxa"/>
          </w:tcPr>
          <w:p w14:paraId="3C62EE3E" w14:textId="44FC1AE1" w:rsidR="000C4723" w:rsidRPr="003650C8" w:rsidRDefault="000C4723" w:rsidP="000C4723">
            <w:pPr>
              <w:jc w:val="center"/>
            </w:pPr>
            <w:r w:rsidRPr="003650C8">
              <w:t>1</w:t>
            </w:r>
          </w:p>
        </w:tc>
        <w:tc>
          <w:tcPr>
            <w:tcW w:w="998" w:type="dxa"/>
          </w:tcPr>
          <w:p w14:paraId="3A5A8768" w14:textId="128B23E4" w:rsidR="000C4723" w:rsidRPr="003650C8" w:rsidRDefault="000C4723" w:rsidP="000C4723">
            <w:pPr>
              <w:jc w:val="center"/>
            </w:pPr>
            <w:r w:rsidRPr="003650C8">
              <w:t>1</w:t>
            </w:r>
          </w:p>
        </w:tc>
      </w:tr>
    </w:tbl>
    <w:p w14:paraId="0BBAC28F" w14:textId="76E1C9B2" w:rsidR="000F16EB" w:rsidRDefault="000F16EB" w:rsidP="003650C8">
      <w:pPr>
        <w:pStyle w:val="NoSpacing"/>
      </w:pPr>
    </w:p>
    <w:p w14:paraId="3371302A" w14:textId="430F8E91" w:rsidR="003650C8" w:rsidRDefault="003650C8" w:rsidP="003650C8">
      <w:r>
        <w:fldChar w:fldCharType="begin"/>
      </w:r>
      <w:r>
        <w:instrText xml:space="preserve"> REF _Ref526085322 \h </w:instrText>
      </w:r>
      <w:r>
        <w:fldChar w:fldCharType="separate"/>
      </w:r>
      <w:r w:rsidR="00CB7456">
        <w:t xml:space="preserve">Table </w:t>
      </w:r>
      <w:r w:rsidR="00CB7456">
        <w:rPr>
          <w:noProof/>
        </w:rPr>
        <w:t>7</w:t>
      </w:r>
      <w:r w:rsidR="00CB7456">
        <w:t>.</w:t>
      </w:r>
      <w:r w:rsidR="00CB7456">
        <w:rPr>
          <w:noProof/>
        </w:rPr>
        <w:t>7</w:t>
      </w:r>
      <w:r>
        <w:fldChar w:fldCharType="end"/>
      </w:r>
      <w:r>
        <w:t xml:space="preserve">, </w:t>
      </w:r>
      <w:r>
        <w:fldChar w:fldCharType="begin"/>
      </w:r>
      <w:r>
        <w:instrText xml:space="preserve"> REF _Ref531181266 \h </w:instrText>
      </w:r>
      <w:r>
        <w:fldChar w:fldCharType="separate"/>
      </w:r>
      <w:r w:rsidR="00CB7456">
        <w:t xml:space="preserve">Table </w:t>
      </w:r>
      <w:r w:rsidR="00CB7456">
        <w:rPr>
          <w:noProof/>
        </w:rPr>
        <w:t>7</w:t>
      </w:r>
      <w:r w:rsidR="00CB7456">
        <w:t>.</w:t>
      </w:r>
      <w:r w:rsidR="00CB7456">
        <w:rPr>
          <w:noProof/>
        </w:rPr>
        <w:t>8</w:t>
      </w:r>
      <w:r>
        <w:fldChar w:fldCharType="end"/>
      </w:r>
      <w:r>
        <w:t xml:space="preserve"> and </w:t>
      </w:r>
      <w:r>
        <w:fldChar w:fldCharType="begin"/>
      </w:r>
      <w:r>
        <w:instrText xml:space="preserve"> REF _Ref525139030 \h </w:instrText>
      </w:r>
      <w:r>
        <w:fldChar w:fldCharType="separate"/>
      </w:r>
      <w:r w:rsidR="00CB7456">
        <w:t xml:space="preserve">Table </w:t>
      </w:r>
      <w:r w:rsidR="00CB7456">
        <w:rPr>
          <w:noProof/>
        </w:rPr>
        <w:t>7</w:t>
      </w:r>
      <w:r w:rsidR="00CB7456">
        <w:t>.</w:t>
      </w:r>
      <w:r w:rsidR="00CB7456">
        <w:rPr>
          <w:noProof/>
        </w:rPr>
        <w:t>9</w:t>
      </w:r>
      <w:r>
        <w:fldChar w:fldCharType="end"/>
      </w:r>
      <w:r>
        <w:t xml:space="preserve"> show that the HWT based scenarios, scenarios 1) and 2), resulted in the greatest reductions in the natural gas burner usage. The differences in the results between the scenarios were still insignificant, at less than 4%. The 4% variation is still significantly less than the 24% reported industrial variation. As the heat supply from the case study increased and the ratio of peak heat supply maxima to peak HD maxima decreased, the time it takes for the HWT scenarios to become economically profitable reduced. </w:t>
      </w:r>
      <w:r>
        <w:fldChar w:fldCharType="begin"/>
      </w:r>
      <w:r>
        <w:instrText xml:space="preserve"> REF _Ref525139030 \h </w:instrText>
      </w:r>
      <w:r>
        <w:fldChar w:fldCharType="separate"/>
      </w:r>
      <w:r w:rsidR="00CB7456">
        <w:t xml:space="preserve">Table </w:t>
      </w:r>
      <w:r w:rsidR="00CB7456">
        <w:rPr>
          <w:noProof/>
        </w:rPr>
        <w:t>7</w:t>
      </w:r>
      <w:r w:rsidR="00CB7456">
        <w:t>.</w:t>
      </w:r>
      <w:r w:rsidR="00CB7456">
        <w:rPr>
          <w:noProof/>
        </w:rPr>
        <w:t>9</w:t>
      </w:r>
      <w:r>
        <w:fldChar w:fldCharType="end"/>
      </w:r>
      <w:r>
        <w:t xml:space="preserve"> shows that the time taken for profitable HWT operation was 19 and 18 years rather than 22 and 20 years.</w:t>
      </w:r>
    </w:p>
    <w:p w14:paraId="16C6A41F" w14:textId="7A9C4254" w:rsidR="000F16EB" w:rsidRDefault="000F16EB" w:rsidP="000F16EB">
      <w:pPr>
        <w:pStyle w:val="Caption"/>
        <w:keepNext/>
      </w:pPr>
      <w:bookmarkStart w:id="841" w:name="_Ref525139030"/>
      <w:bookmarkStart w:id="842" w:name="_Toc525230149"/>
      <w:bookmarkStart w:id="843" w:name="_Toc7187705"/>
      <w:r>
        <w:t xml:space="preserve">Table </w:t>
      </w:r>
      <w:fldSimple w:instr=" STYLEREF 1 \s ">
        <w:r w:rsidR="00CB7456">
          <w:rPr>
            <w:noProof/>
          </w:rPr>
          <w:t>7</w:t>
        </w:r>
      </w:fldSimple>
      <w:r w:rsidR="009E1A67">
        <w:t>.</w:t>
      </w:r>
      <w:fldSimple w:instr=" SEQ Table \* ARABIC \s 1 ">
        <w:r w:rsidR="00CB7456">
          <w:rPr>
            <w:noProof/>
          </w:rPr>
          <w:t>9</w:t>
        </w:r>
      </w:fldSimple>
      <w:bookmarkEnd w:id="841"/>
      <w:r>
        <w:t xml:space="preserve">: </w:t>
      </w:r>
      <w:r w:rsidRPr="00181369">
        <w:t>Economic</w:t>
      </w:r>
      <w:r>
        <w:t xml:space="preserve"> and environmental </w:t>
      </w:r>
      <w:r w:rsidRPr="00181369">
        <w:t xml:space="preserve">analysis of the TES </w:t>
      </w:r>
      <w:r w:rsidRPr="006102BE">
        <w:t>scenarios</w:t>
      </w:r>
      <w:r>
        <w:t xml:space="preserve"> with an increase of the original heat supply by a factor of 1.75 and a ratio of peak supply maxima to demand maxima of 1:1.56.</w:t>
      </w:r>
      <w:bookmarkEnd w:id="842"/>
      <w:bookmarkEnd w:id="843"/>
    </w:p>
    <w:tbl>
      <w:tblPr>
        <w:tblStyle w:val="TableGrid"/>
        <w:tblW w:w="8389" w:type="dxa"/>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91"/>
        <w:gridCol w:w="1126"/>
        <w:gridCol w:w="829"/>
        <w:gridCol w:w="833"/>
        <w:gridCol w:w="992"/>
        <w:gridCol w:w="1018"/>
      </w:tblGrid>
      <w:tr w:rsidR="000F16EB" w:rsidRPr="003650C8" w14:paraId="30D1AB3F" w14:textId="77777777" w:rsidTr="00A7521D">
        <w:trPr>
          <w:jc w:val="center"/>
        </w:trPr>
        <w:tc>
          <w:tcPr>
            <w:tcW w:w="3591" w:type="dxa"/>
            <w:tcBorders>
              <w:bottom w:val="single" w:sz="4" w:space="0" w:color="auto"/>
            </w:tcBorders>
          </w:tcPr>
          <w:p w14:paraId="5D92E744" w14:textId="77777777" w:rsidR="000F16EB" w:rsidRPr="003650C8" w:rsidRDefault="000F16EB" w:rsidP="00A7521D">
            <w:pPr>
              <w:jc w:val="center"/>
            </w:pPr>
          </w:p>
        </w:tc>
        <w:tc>
          <w:tcPr>
            <w:tcW w:w="1126" w:type="dxa"/>
            <w:tcBorders>
              <w:bottom w:val="single" w:sz="4" w:space="0" w:color="auto"/>
            </w:tcBorders>
          </w:tcPr>
          <w:p w14:paraId="67BF09C5" w14:textId="77777777" w:rsidR="000F16EB" w:rsidRPr="003650C8" w:rsidRDefault="000F16EB" w:rsidP="00A7521D">
            <w:pPr>
              <w:jc w:val="center"/>
            </w:pPr>
            <w:r w:rsidRPr="003650C8">
              <w:t>Reference scenario</w:t>
            </w:r>
          </w:p>
        </w:tc>
        <w:tc>
          <w:tcPr>
            <w:tcW w:w="829" w:type="dxa"/>
            <w:tcBorders>
              <w:bottom w:val="single" w:sz="4" w:space="0" w:color="auto"/>
            </w:tcBorders>
          </w:tcPr>
          <w:p w14:paraId="26E6C440" w14:textId="77777777" w:rsidR="000F16EB" w:rsidRPr="003650C8" w:rsidRDefault="000F16EB" w:rsidP="00A7521D">
            <w:pPr>
              <w:jc w:val="center"/>
            </w:pPr>
            <w:r w:rsidRPr="003650C8">
              <w:t>Single HWT</w:t>
            </w:r>
          </w:p>
        </w:tc>
        <w:tc>
          <w:tcPr>
            <w:tcW w:w="833" w:type="dxa"/>
            <w:tcBorders>
              <w:bottom w:val="single" w:sz="4" w:space="0" w:color="auto"/>
            </w:tcBorders>
          </w:tcPr>
          <w:p w14:paraId="7E03A47C" w14:textId="77777777" w:rsidR="000F16EB" w:rsidRPr="003650C8" w:rsidRDefault="000F16EB" w:rsidP="00A7521D">
            <w:pPr>
              <w:jc w:val="center"/>
            </w:pPr>
            <w:r w:rsidRPr="003650C8">
              <w:t>Pair of HWTs</w:t>
            </w:r>
          </w:p>
        </w:tc>
        <w:tc>
          <w:tcPr>
            <w:tcW w:w="992" w:type="dxa"/>
            <w:tcBorders>
              <w:bottom w:val="single" w:sz="4" w:space="0" w:color="auto"/>
            </w:tcBorders>
          </w:tcPr>
          <w:p w14:paraId="6CCA360F" w14:textId="77777777" w:rsidR="000F16EB" w:rsidRPr="003650C8" w:rsidRDefault="000F16EB" w:rsidP="00A7521D">
            <w:pPr>
              <w:jc w:val="center"/>
            </w:pPr>
            <w:r w:rsidRPr="003650C8">
              <w:t>Building TES</w:t>
            </w:r>
          </w:p>
        </w:tc>
        <w:tc>
          <w:tcPr>
            <w:tcW w:w="1018" w:type="dxa"/>
            <w:tcBorders>
              <w:bottom w:val="single" w:sz="4" w:space="0" w:color="auto"/>
            </w:tcBorders>
          </w:tcPr>
          <w:p w14:paraId="2488D7F5" w14:textId="77777777" w:rsidR="000F16EB" w:rsidRPr="003650C8" w:rsidRDefault="000F16EB" w:rsidP="00A7521D">
            <w:pPr>
              <w:jc w:val="center"/>
            </w:pPr>
            <w:r w:rsidRPr="003650C8">
              <w:t>Network TES</w:t>
            </w:r>
          </w:p>
        </w:tc>
      </w:tr>
      <w:tr w:rsidR="000C4723" w:rsidRPr="003650C8" w14:paraId="15B766BA" w14:textId="77777777" w:rsidTr="00A7521D">
        <w:trPr>
          <w:jc w:val="center"/>
        </w:trPr>
        <w:tc>
          <w:tcPr>
            <w:tcW w:w="3591" w:type="dxa"/>
            <w:tcBorders>
              <w:top w:val="nil"/>
            </w:tcBorders>
          </w:tcPr>
          <w:p w14:paraId="7D1E0328" w14:textId="258498C3" w:rsidR="000C4723" w:rsidRPr="003650C8" w:rsidRDefault="000C4723" w:rsidP="000C4723">
            <w:pPr>
              <w:jc w:val="center"/>
            </w:pPr>
            <w:r w:rsidRPr="003650C8">
              <w:t>Annual natural gas input to the burner (MWh)</w:t>
            </w:r>
          </w:p>
        </w:tc>
        <w:tc>
          <w:tcPr>
            <w:tcW w:w="1126" w:type="dxa"/>
            <w:tcBorders>
              <w:top w:val="nil"/>
            </w:tcBorders>
          </w:tcPr>
          <w:p w14:paraId="036C1C68" w14:textId="75FF2E74" w:rsidR="000C4723" w:rsidRPr="003650C8" w:rsidRDefault="000C4723" w:rsidP="000C4723">
            <w:pPr>
              <w:jc w:val="center"/>
            </w:pPr>
            <w:r w:rsidRPr="003650C8">
              <w:t>19,636</w:t>
            </w:r>
          </w:p>
        </w:tc>
        <w:tc>
          <w:tcPr>
            <w:tcW w:w="829" w:type="dxa"/>
            <w:tcBorders>
              <w:top w:val="nil"/>
            </w:tcBorders>
          </w:tcPr>
          <w:p w14:paraId="658A7375" w14:textId="5331C307" w:rsidR="000C4723" w:rsidRPr="003650C8" w:rsidRDefault="000C4723" w:rsidP="000C4723">
            <w:pPr>
              <w:jc w:val="center"/>
            </w:pPr>
            <w:r w:rsidRPr="003650C8">
              <w:t>13,285</w:t>
            </w:r>
          </w:p>
        </w:tc>
        <w:tc>
          <w:tcPr>
            <w:tcW w:w="833" w:type="dxa"/>
            <w:tcBorders>
              <w:top w:val="nil"/>
            </w:tcBorders>
          </w:tcPr>
          <w:p w14:paraId="0B7C39C1" w14:textId="0AC8509D" w:rsidR="000C4723" w:rsidRPr="003650C8" w:rsidRDefault="000C4723" w:rsidP="000C4723">
            <w:pPr>
              <w:jc w:val="center"/>
            </w:pPr>
            <w:r w:rsidRPr="003650C8">
              <w:t>12,806</w:t>
            </w:r>
          </w:p>
        </w:tc>
        <w:tc>
          <w:tcPr>
            <w:tcW w:w="992" w:type="dxa"/>
            <w:tcBorders>
              <w:top w:val="nil"/>
            </w:tcBorders>
          </w:tcPr>
          <w:p w14:paraId="37C06A52" w14:textId="63AF2494" w:rsidR="000C4723" w:rsidRPr="003650C8" w:rsidRDefault="000C4723" w:rsidP="000C4723">
            <w:pPr>
              <w:jc w:val="center"/>
            </w:pPr>
            <w:r w:rsidRPr="003650C8">
              <w:t>18,986</w:t>
            </w:r>
          </w:p>
        </w:tc>
        <w:tc>
          <w:tcPr>
            <w:tcW w:w="1018" w:type="dxa"/>
            <w:tcBorders>
              <w:top w:val="nil"/>
            </w:tcBorders>
          </w:tcPr>
          <w:p w14:paraId="6BBB9105" w14:textId="18BF7251" w:rsidR="000C4723" w:rsidRPr="003650C8" w:rsidRDefault="000C4723" w:rsidP="000C4723">
            <w:pPr>
              <w:jc w:val="center"/>
            </w:pPr>
            <w:r w:rsidRPr="003650C8">
              <w:t>17,547</w:t>
            </w:r>
          </w:p>
        </w:tc>
      </w:tr>
      <w:tr w:rsidR="000C4723" w:rsidRPr="003650C8" w14:paraId="6837DBA6" w14:textId="77777777" w:rsidTr="00A7521D">
        <w:trPr>
          <w:jc w:val="center"/>
        </w:trPr>
        <w:tc>
          <w:tcPr>
            <w:tcW w:w="3591" w:type="dxa"/>
          </w:tcPr>
          <w:p w14:paraId="37ECB56D" w14:textId="7AFFDB36" w:rsidR="000C4723" w:rsidRPr="003650C8" w:rsidRDefault="000C4723" w:rsidP="000C4723">
            <w:pPr>
              <w:jc w:val="center"/>
            </w:pPr>
            <w:r w:rsidRPr="003650C8">
              <w:t>Annual natural gas costs (£1000)</w:t>
            </w:r>
          </w:p>
        </w:tc>
        <w:tc>
          <w:tcPr>
            <w:tcW w:w="1126" w:type="dxa"/>
          </w:tcPr>
          <w:p w14:paraId="0EF8F7DC" w14:textId="6CD7DA61" w:rsidR="000C4723" w:rsidRPr="003650C8" w:rsidRDefault="000C4723" w:rsidP="000C4723">
            <w:pPr>
              <w:jc w:val="center"/>
            </w:pPr>
            <w:r w:rsidRPr="003650C8">
              <w:t>589</w:t>
            </w:r>
          </w:p>
        </w:tc>
        <w:tc>
          <w:tcPr>
            <w:tcW w:w="829" w:type="dxa"/>
          </w:tcPr>
          <w:p w14:paraId="00495D8F" w14:textId="00D55BE7" w:rsidR="000C4723" w:rsidRPr="003650C8" w:rsidRDefault="000C4723" w:rsidP="000C4723">
            <w:pPr>
              <w:jc w:val="center"/>
            </w:pPr>
            <w:r w:rsidRPr="003650C8">
              <w:t>399</w:t>
            </w:r>
          </w:p>
        </w:tc>
        <w:tc>
          <w:tcPr>
            <w:tcW w:w="833" w:type="dxa"/>
          </w:tcPr>
          <w:p w14:paraId="1996F7FD" w14:textId="13FCDDBC" w:rsidR="000C4723" w:rsidRPr="003650C8" w:rsidRDefault="000C4723" w:rsidP="000C4723">
            <w:pPr>
              <w:jc w:val="center"/>
            </w:pPr>
            <w:r w:rsidRPr="003650C8">
              <w:t>384</w:t>
            </w:r>
          </w:p>
        </w:tc>
        <w:tc>
          <w:tcPr>
            <w:tcW w:w="992" w:type="dxa"/>
          </w:tcPr>
          <w:p w14:paraId="4FB471DD" w14:textId="50A01534" w:rsidR="000C4723" w:rsidRPr="003650C8" w:rsidRDefault="000C4723" w:rsidP="000C4723">
            <w:pPr>
              <w:jc w:val="center"/>
            </w:pPr>
            <w:r w:rsidRPr="003650C8">
              <w:t>570</w:t>
            </w:r>
          </w:p>
        </w:tc>
        <w:tc>
          <w:tcPr>
            <w:tcW w:w="1018" w:type="dxa"/>
          </w:tcPr>
          <w:p w14:paraId="58810208" w14:textId="2D87A232" w:rsidR="000C4723" w:rsidRPr="003650C8" w:rsidRDefault="000C4723" w:rsidP="000C4723">
            <w:pPr>
              <w:jc w:val="center"/>
            </w:pPr>
            <w:r w:rsidRPr="003650C8">
              <w:t>526</w:t>
            </w:r>
          </w:p>
        </w:tc>
      </w:tr>
      <w:tr w:rsidR="000C4723" w:rsidRPr="003650C8" w14:paraId="6170C17D" w14:textId="77777777" w:rsidTr="00A7521D">
        <w:trPr>
          <w:jc w:val="center"/>
        </w:trPr>
        <w:tc>
          <w:tcPr>
            <w:tcW w:w="3591" w:type="dxa"/>
          </w:tcPr>
          <w:p w14:paraId="41F25AFA" w14:textId="3714BC7A" w:rsidR="000C4723" w:rsidRPr="003650C8" w:rsidRDefault="000C4723" w:rsidP="000C4723">
            <w:pPr>
              <w:jc w:val="center"/>
            </w:pPr>
            <w:r w:rsidRPr="003650C8">
              <w:t>Capital cost of the TES system (£1000)</w:t>
            </w:r>
          </w:p>
        </w:tc>
        <w:tc>
          <w:tcPr>
            <w:tcW w:w="1126" w:type="dxa"/>
          </w:tcPr>
          <w:p w14:paraId="09990356" w14:textId="62E17656" w:rsidR="000C4723" w:rsidRPr="003650C8" w:rsidRDefault="000C4723" w:rsidP="000C4723">
            <w:pPr>
              <w:jc w:val="center"/>
            </w:pPr>
            <w:r w:rsidRPr="003650C8">
              <w:t>0</w:t>
            </w:r>
          </w:p>
        </w:tc>
        <w:tc>
          <w:tcPr>
            <w:tcW w:w="829" w:type="dxa"/>
          </w:tcPr>
          <w:p w14:paraId="4E21BDE7" w14:textId="6A8C38E8" w:rsidR="000C4723" w:rsidRPr="003650C8" w:rsidRDefault="000C4723" w:rsidP="000C4723">
            <w:pPr>
              <w:jc w:val="center"/>
            </w:pPr>
            <w:r w:rsidRPr="003650C8">
              <w:t>3,623</w:t>
            </w:r>
          </w:p>
        </w:tc>
        <w:tc>
          <w:tcPr>
            <w:tcW w:w="833" w:type="dxa"/>
          </w:tcPr>
          <w:p w14:paraId="7F7F2194" w14:textId="03E5820E" w:rsidR="000C4723" w:rsidRPr="003650C8" w:rsidRDefault="000C4723" w:rsidP="000C4723">
            <w:pPr>
              <w:jc w:val="center"/>
            </w:pPr>
            <w:r w:rsidRPr="003650C8">
              <w:t>3,623</w:t>
            </w:r>
          </w:p>
        </w:tc>
        <w:tc>
          <w:tcPr>
            <w:tcW w:w="992" w:type="dxa"/>
          </w:tcPr>
          <w:p w14:paraId="4B3822BA" w14:textId="21B7FFD0" w:rsidR="000C4723" w:rsidRPr="003650C8" w:rsidRDefault="000C4723" w:rsidP="000C4723">
            <w:pPr>
              <w:jc w:val="center"/>
            </w:pPr>
            <w:r w:rsidRPr="003650C8">
              <w:t>3.22</w:t>
            </w:r>
          </w:p>
        </w:tc>
        <w:tc>
          <w:tcPr>
            <w:tcW w:w="1018" w:type="dxa"/>
          </w:tcPr>
          <w:p w14:paraId="43990C11" w14:textId="1025BC0C" w:rsidR="000C4723" w:rsidRPr="003650C8" w:rsidRDefault="000C4723" w:rsidP="000C4723">
            <w:pPr>
              <w:jc w:val="center"/>
            </w:pPr>
            <w:r w:rsidRPr="003650C8">
              <w:t>0</w:t>
            </w:r>
          </w:p>
        </w:tc>
      </w:tr>
      <w:tr w:rsidR="000C4723" w:rsidRPr="003650C8" w14:paraId="3CA47925" w14:textId="77777777" w:rsidTr="00A7521D">
        <w:trPr>
          <w:jc w:val="center"/>
        </w:trPr>
        <w:tc>
          <w:tcPr>
            <w:tcW w:w="3591" w:type="dxa"/>
            <w:tcBorders>
              <w:bottom w:val="single" w:sz="4" w:space="0" w:color="auto"/>
            </w:tcBorders>
          </w:tcPr>
          <w:p w14:paraId="3DBBC608" w14:textId="65838DB8" w:rsidR="000C4723" w:rsidRPr="003650C8" w:rsidRDefault="000C4723" w:rsidP="000C4723">
            <w:pPr>
              <w:jc w:val="center"/>
            </w:pPr>
            <w:r w:rsidRPr="003650C8">
              <w:t>Number of years to reach economic payback</w:t>
            </w:r>
          </w:p>
        </w:tc>
        <w:tc>
          <w:tcPr>
            <w:tcW w:w="1126" w:type="dxa"/>
            <w:tcBorders>
              <w:bottom w:val="single" w:sz="4" w:space="0" w:color="auto"/>
            </w:tcBorders>
          </w:tcPr>
          <w:p w14:paraId="67A8F0C7" w14:textId="03DB873A" w:rsidR="000C4723" w:rsidRPr="003650C8" w:rsidRDefault="000C4723" w:rsidP="000C4723">
            <w:pPr>
              <w:jc w:val="center"/>
            </w:pPr>
            <w:r w:rsidRPr="003650C8">
              <w:t>n/a</w:t>
            </w:r>
          </w:p>
        </w:tc>
        <w:tc>
          <w:tcPr>
            <w:tcW w:w="829" w:type="dxa"/>
            <w:tcBorders>
              <w:bottom w:val="single" w:sz="4" w:space="0" w:color="auto"/>
            </w:tcBorders>
          </w:tcPr>
          <w:p w14:paraId="5729F442" w14:textId="7176BA25" w:rsidR="000C4723" w:rsidRPr="003650C8" w:rsidRDefault="000C4723" w:rsidP="000C4723">
            <w:pPr>
              <w:jc w:val="center"/>
            </w:pPr>
            <w:r w:rsidRPr="003650C8">
              <w:t>19</w:t>
            </w:r>
          </w:p>
        </w:tc>
        <w:tc>
          <w:tcPr>
            <w:tcW w:w="833" w:type="dxa"/>
            <w:tcBorders>
              <w:bottom w:val="single" w:sz="4" w:space="0" w:color="auto"/>
            </w:tcBorders>
          </w:tcPr>
          <w:p w14:paraId="7F8C6C60" w14:textId="31638EF4" w:rsidR="000C4723" w:rsidRPr="003650C8" w:rsidRDefault="000C4723" w:rsidP="000C4723">
            <w:pPr>
              <w:jc w:val="center"/>
            </w:pPr>
            <w:r w:rsidRPr="003650C8">
              <w:t>18</w:t>
            </w:r>
          </w:p>
        </w:tc>
        <w:tc>
          <w:tcPr>
            <w:tcW w:w="992" w:type="dxa"/>
            <w:tcBorders>
              <w:bottom w:val="single" w:sz="4" w:space="0" w:color="auto"/>
            </w:tcBorders>
          </w:tcPr>
          <w:p w14:paraId="4926AE5D" w14:textId="06FDEC54" w:rsidR="000C4723" w:rsidRPr="003650C8" w:rsidRDefault="000C4723" w:rsidP="000C4723">
            <w:pPr>
              <w:jc w:val="center"/>
            </w:pPr>
            <w:r w:rsidRPr="003650C8">
              <w:t>1</w:t>
            </w:r>
          </w:p>
        </w:tc>
        <w:tc>
          <w:tcPr>
            <w:tcW w:w="1018" w:type="dxa"/>
            <w:tcBorders>
              <w:bottom w:val="single" w:sz="4" w:space="0" w:color="auto"/>
            </w:tcBorders>
          </w:tcPr>
          <w:p w14:paraId="6BFBF9A1" w14:textId="3FC3D110" w:rsidR="000C4723" w:rsidRPr="003650C8" w:rsidRDefault="000C4723" w:rsidP="000C4723">
            <w:pPr>
              <w:jc w:val="center"/>
            </w:pPr>
            <w:r w:rsidRPr="003650C8">
              <w:t>1</w:t>
            </w:r>
          </w:p>
        </w:tc>
      </w:tr>
      <w:tr w:rsidR="000C4723" w:rsidRPr="003650C8" w14:paraId="124388BD" w14:textId="77777777" w:rsidTr="00A7521D">
        <w:trPr>
          <w:jc w:val="center"/>
        </w:trPr>
        <w:tc>
          <w:tcPr>
            <w:tcW w:w="3591" w:type="dxa"/>
            <w:tcBorders>
              <w:top w:val="single" w:sz="4" w:space="0" w:color="auto"/>
              <w:bottom w:val="nil"/>
            </w:tcBorders>
          </w:tcPr>
          <w:p w14:paraId="0CC84A66" w14:textId="432FDEB0" w:rsidR="000C4723" w:rsidRPr="003650C8" w:rsidRDefault="000C4723" w:rsidP="000C4723">
            <w:pPr>
              <w:jc w:val="center"/>
            </w:pPr>
            <w:r w:rsidRPr="003650C8">
              <w:t>Annual emissions associated with annual natural gas used (tonnes CO</w:t>
            </w:r>
            <w:r w:rsidRPr="003650C8">
              <w:rPr>
                <w:vertAlign w:val="subscript"/>
              </w:rPr>
              <w:t>2</w:t>
            </w:r>
            <w:r w:rsidRPr="003650C8">
              <w:t>e)</w:t>
            </w:r>
          </w:p>
        </w:tc>
        <w:tc>
          <w:tcPr>
            <w:tcW w:w="1126" w:type="dxa"/>
            <w:tcBorders>
              <w:top w:val="single" w:sz="4" w:space="0" w:color="auto"/>
              <w:bottom w:val="nil"/>
            </w:tcBorders>
          </w:tcPr>
          <w:p w14:paraId="7ADAE93E" w14:textId="01F482A5" w:rsidR="000C4723" w:rsidRPr="003650C8" w:rsidRDefault="000C4723" w:rsidP="000C4723">
            <w:pPr>
              <w:jc w:val="center"/>
            </w:pPr>
            <w:r w:rsidRPr="003650C8">
              <w:t>3,607</w:t>
            </w:r>
          </w:p>
        </w:tc>
        <w:tc>
          <w:tcPr>
            <w:tcW w:w="829" w:type="dxa"/>
            <w:tcBorders>
              <w:top w:val="single" w:sz="4" w:space="0" w:color="auto"/>
              <w:bottom w:val="nil"/>
            </w:tcBorders>
          </w:tcPr>
          <w:p w14:paraId="3B32E696" w14:textId="10B5071A" w:rsidR="000C4723" w:rsidRPr="003650C8" w:rsidRDefault="000C4723" w:rsidP="000C4723">
            <w:pPr>
              <w:jc w:val="center"/>
            </w:pPr>
            <w:r w:rsidRPr="003650C8">
              <w:t>2,445</w:t>
            </w:r>
          </w:p>
        </w:tc>
        <w:tc>
          <w:tcPr>
            <w:tcW w:w="833" w:type="dxa"/>
            <w:tcBorders>
              <w:top w:val="single" w:sz="4" w:space="0" w:color="auto"/>
              <w:bottom w:val="nil"/>
            </w:tcBorders>
          </w:tcPr>
          <w:p w14:paraId="2AC4D419" w14:textId="635FCE8D" w:rsidR="000C4723" w:rsidRPr="003650C8" w:rsidRDefault="000C4723" w:rsidP="000C4723">
            <w:pPr>
              <w:jc w:val="center"/>
            </w:pPr>
            <w:r w:rsidRPr="003650C8">
              <w:t>2,358</w:t>
            </w:r>
          </w:p>
        </w:tc>
        <w:tc>
          <w:tcPr>
            <w:tcW w:w="992" w:type="dxa"/>
            <w:tcBorders>
              <w:top w:val="single" w:sz="4" w:space="0" w:color="auto"/>
              <w:bottom w:val="nil"/>
            </w:tcBorders>
          </w:tcPr>
          <w:p w14:paraId="5C09811F" w14:textId="7950926F" w:rsidR="000C4723" w:rsidRPr="003650C8" w:rsidRDefault="000C4723" w:rsidP="000C4723">
            <w:pPr>
              <w:jc w:val="center"/>
            </w:pPr>
            <w:r w:rsidRPr="003650C8">
              <w:t>3,488</w:t>
            </w:r>
          </w:p>
        </w:tc>
        <w:tc>
          <w:tcPr>
            <w:tcW w:w="1018" w:type="dxa"/>
            <w:tcBorders>
              <w:top w:val="single" w:sz="4" w:space="0" w:color="auto"/>
              <w:bottom w:val="nil"/>
            </w:tcBorders>
          </w:tcPr>
          <w:p w14:paraId="73AB6B62" w14:textId="01A4EF55" w:rsidR="000C4723" w:rsidRPr="003650C8" w:rsidRDefault="000C4723" w:rsidP="000C4723">
            <w:pPr>
              <w:jc w:val="center"/>
            </w:pPr>
            <w:r w:rsidRPr="003650C8">
              <w:t>3,225</w:t>
            </w:r>
          </w:p>
        </w:tc>
      </w:tr>
      <w:tr w:rsidR="000C4723" w:rsidRPr="003650C8" w14:paraId="4DC03FD7" w14:textId="77777777" w:rsidTr="00A7521D">
        <w:trPr>
          <w:jc w:val="center"/>
        </w:trPr>
        <w:tc>
          <w:tcPr>
            <w:tcW w:w="3591" w:type="dxa"/>
            <w:tcBorders>
              <w:top w:val="nil"/>
            </w:tcBorders>
          </w:tcPr>
          <w:p w14:paraId="43E17122" w14:textId="1AF61FB5" w:rsidR="000C4723" w:rsidRPr="003650C8" w:rsidRDefault="000C4723" w:rsidP="000C4723">
            <w:pPr>
              <w:jc w:val="center"/>
            </w:pPr>
            <w:r w:rsidRPr="003650C8">
              <w:t>Emissions associated with the TES system (tonnes CO</w:t>
            </w:r>
            <w:r w:rsidRPr="003650C8">
              <w:rPr>
                <w:vertAlign w:val="subscript"/>
              </w:rPr>
              <w:t>2</w:t>
            </w:r>
            <w:r w:rsidRPr="003650C8">
              <w:t>e)</w:t>
            </w:r>
          </w:p>
        </w:tc>
        <w:tc>
          <w:tcPr>
            <w:tcW w:w="1126" w:type="dxa"/>
            <w:tcBorders>
              <w:top w:val="nil"/>
            </w:tcBorders>
          </w:tcPr>
          <w:p w14:paraId="3ABE0137" w14:textId="64B70362" w:rsidR="000C4723" w:rsidRPr="003650C8" w:rsidRDefault="000C4723" w:rsidP="000C4723">
            <w:pPr>
              <w:jc w:val="center"/>
            </w:pPr>
            <w:r w:rsidRPr="003650C8">
              <w:t>0</w:t>
            </w:r>
          </w:p>
        </w:tc>
        <w:tc>
          <w:tcPr>
            <w:tcW w:w="829" w:type="dxa"/>
            <w:tcBorders>
              <w:top w:val="nil"/>
            </w:tcBorders>
          </w:tcPr>
          <w:p w14:paraId="264168FC" w14:textId="78FDD97A" w:rsidR="000C4723" w:rsidRPr="003650C8" w:rsidRDefault="000C4723" w:rsidP="000C4723">
            <w:pPr>
              <w:jc w:val="center"/>
            </w:pPr>
            <w:r w:rsidRPr="003650C8">
              <w:t>1,329</w:t>
            </w:r>
          </w:p>
        </w:tc>
        <w:tc>
          <w:tcPr>
            <w:tcW w:w="833" w:type="dxa"/>
            <w:tcBorders>
              <w:top w:val="nil"/>
            </w:tcBorders>
          </w:tcPr>
          <w:p w14:paraId="36654265" w14:textId="698A313C" w:rsidR="000C4723" w:rsidRPr="003650C8" w:rsidRDefault="000C4723" w:rsidP="000C4723">
            <w:pPr>
              <w:jc w:val="center"/>
            </w:pPr>
            <w:r w:rsidRPr="003650C8">
              <w:t>1,329</w:t>
            </w:r>
          </w:p>
        </w:tc>
        <w:tc>
          <w:tcPr>
            <w:tcW w:w="992" w:type="dxa"/>
            <w:tcBorders>
              <w:top w:val="nil"/>
            </w:tcBorders>
          </w:tcPr>
          <w:p w14:paraId="65B0F508" w14:textId="268B8645" w:rsidR="000C4723" w:rsidRPr="003650C8" w:rsidRDefault="000C4723" w:rsidP="000C4723">
            <w:pPr>
              <w:jc w:val="center"/>
            </w:pPr>
            <w:r w:rsidRPr="003650C8">
              <w:t>0</w:t>
            </w:r>
          </w:p>
        </w:tc>
        <w:tc>
          <w:tcPr>
            <w:tcW w:w="1018" w:type="dxa"/>
            <w:tcBorders>
              <w:top w:val="nil"/>
            </w:tcBorders>
          </w:tcPr>
          <w:p w14:paraId="50B513AA" w14:textId="22CEC09C" w:rsidR="000C4723" w:rsidRPr="003650C8" w:rsidRDefault="000C4723" w:rsidP="000C4723">
            <w:pPr>
              <w:jc w:val="center"/>
            </w:pPr>
            <w:r w:rsidRPr="003650C8">
              <w:t>0</w:t>
            </w:r>
          </w:p>
        </w:tc>
      </w:tr>
      <w:tr w:rsidR="000C4723" w:rsidRPr="003650C8" w14:paraId="60937BA6" w14:textId="77777777" w:rsidTr="00A7521D">
        <w:trPr>
          <w:jc w:val="center"/>
        </w:trPr>
        <w:tc>
          <w:tcPr>
            <w:tcW w:w="3591" w:type="dxa"/>
          </w:tcPr>
          <w:p w14:paraId="635E0833" w14:textId="0F258ED6" w:rsidR="000C4723" w:rsidRPr="003650C8" w:rsidRDefault="000C4723" w:rsidP="000C4723">
            <w:pPr>
              <w:jc w:val="center"/>
            </w:pPr>
            <w:r w:rsidRPr="003650C8">
              <w:t>Number of years to reach environmental payback</w:t>
            </w:r>
          </w:p>
        </w:tc>
        <w:tc>
          <w:tcPr>
            <w:tcW w:w="1126" w:type="dxa"/>
          </w:tcPr>
          <w:p w14:paraId="296D785A" w14:textId="2F8D4928" w:rsidR="000C4723" w:rsidRPr="003650C8" w:rsidRDefault="000C4723" w:rsidP="000C4723">
            <w:pPr>
              <w:jc w:val="center"/>
            </w:pPr>
            <w:r w:rsidRPr="003650C8">
              <w:t>n/a</w:t>
            </w:r>
          </w:p>
        </w:tc>
        <w:tc>
          <w:tcPr>
            <w:tcW w:w="829" w:type="dxa"/>
          </w:tcPr>
          <w:p w14:paraId="67AED6C8" w14:textId="5589BD34" w:rsidR="000C4723" w:rsidRPr="003650C8" w:rsidRDefault="000C4723" w:rsidP="000C4723">
            <w:pPr>
              <w:jc w:val="center"/>
            </w:pPr>
            <w:r w:rsidRPr="003650C8">
              <w:t>2</w:t>
            </w:r>
          </w:p>
        </w:tc>
        <w:tc>
          <w:tcPr>
            <w:tcW w:w="833" w:type="dxa"/>
          </w:tcPr>
          <w:p w14:paraId="39729870" w14:textId="61F62AD7" w:rsidR="000C4723" w:rsidRPr="003650C8" w:rsidRDefault="000C4723" w:rsidP="000C4723">
            <w:pPr>
              <w:jc w:val="center"/>
            </w:pPr>
            <w:r w:rsidRPr="003650C8">
              <w:t>2</w:t>
            </w:r>
          </w:p>
        </w:tc>
        <w:tc>
          <w:tcPr>
            <w:tcW w:w="992" w:type="dxa"/>
          </w:tcPr>
          <w:p w14:paraId="7C4EDC19" w14:textId="2BF15376" w:rsidR="000C4723" w:rsidRPr="003650C8" w:rsidRDefault="000C4723" w:rsidP="000C4723">
            <w:pPr>
              <w:jc w:val="center"/>
            </w:pPr>
            <w:r w:rsidRPr="003650C8">
              <w:t>1</w:t>
            </w:r>
          </w:p>
        </w:tc>
        <w:tc>
          <w:tcPr>
            <w:tcW w:w="1018" w:type="dxa"/>
          </w:tcPr>
          <w:p w14:paraId="785E9BFF" w14:textId="14338FCF" w:rsidR="000C4723" w:rsidRPr="003650C8" w:rsidRDefault="000C4723" w:rsidP="000C4723">
            <w:pPr>
              <w:jc w:val="center"/>
            </w:pPr>
            <w:r w:rsidRPr="003650C8">
              <w:t>1</w:t>
            </w:r>
          </w:p>
        </w:tc>
      </w:tr>
    </w:tbl>
    <w:p w14:paraId="14FB6C72" w14:textId="77777777" w:rsidR="000F16EB" w:rsidRDefault="000F16EB" w:rsidP="000F16EB"/>
    <w:p w14:paraId="1FD7FA3F" w14:textId="1F1FF8D7" w:rsidR="000F16EB" w:rsidRDefault="000F16EB" w:rsidP="000F16EB">
      <w:pPr>
        <w:pStyle w:val="Caption"/>
        <w:keepNext/>
      </w:pPr>
      <w:bookmarkStart w:id="844" w:name="_Ref523665963"/>
      <w:bookmarkStart w:id="845" w:name="_Ref531181308"/>
      <w:bookmarkStart w:id="846" w:name="_Toc525230150"/>
      <w:bookmarkStart w:id="847" w:name="_Toc7187706"/>
      <w:r>
        <w:lastRenderedPageBreak/>
        <w:t xml:space="preserve">Table </w:t>
      </w:r>
      <w:fldSimple w:instr=" STYLEREF 1 \s ">
        <w:r w:rsidR="00CB7456">
          <w:rPr>
            <w:noProof/>
          </w:rPr>
          <w:t>7</w:t>
        </w:r>
      </w:fldSimple>
      <w:r w:rsidR="009E1A67">
        <w:t>.</w:t>
      </w:r>
      <w:fldSimple w:instr=" SEQ Table \* ARABIC \s 1 ">
        <w:r w:rsidR="00CB7456">
          <w:rPr>
            <w:noProof/>
          </w:rPr>
          <w:t>10</w:t>
        </w:r>
      </w:fldSimple>
      <w:bookmarkEnd w:id="844"/>
      <w:bookmarkEnd w:id="845"/>
      <w:r>
        <w:rPr>
          <w:noProof/>
        </w:rPr>
        <w:t>:</w:t>
      </w:r>
      <w:r>
        <w:t xml:space="preserve"> </w:t>
      </w:r>
      <w:r w:rsidRPr="00181369">
        <w:t>Economic</w:t>
      </w:r>
      <w:r>
        <w:t xml:space="preserve"> and environmental </w:t>
      </w:r>
      <w:r w:rsidRPr="00181369">
        <w:t xml:space="preserve">analysis of the TES </w:t>
      </w:r>
      <w:r w:rsidRPr="006102BE">
        <w:t>scenarios</w:t>
      </w:r>
      <w:r>
        <w:t xml:space="preserve"> with an increase of the original heat supply by a factor of 2 and a ratio of peak supply maxima to demand maxima of 1:1.37.</w:t>
      </w:r>
      <w:bookmarkEnd w:id="846"/>
      <w:bookmarkEnd w:id="847"/>
    </w:p>
    <w:tbl>
      <w:tblPr>
        <w:tblStyle w:val="TableGrid"/>
        <w:tblW w:w="8446" w:type="dxa"/>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14"/>
        <w:gridCol w:w="1126"/>
        <w:gridCol w:w="789"/>
        <w:gridCol w:w="850"/>
        <w:gridCol w:w="992"/>
        <w:gridCol w:w="1075"/>
      </w:tblGrid>
      <w:tr w:rsidR="000F16EB" w:rsidRPr="003650C8" w14:paraId="3A5AD66F" w14:textId="77777777" w:rsidTr="00A7521D">
        <w:trPr>
          <w:jc w:val="center"/>
        </w:trPr>
        <w:tc>
          <w:tcPr>
            <w:tcW w:w="3614" w:type="dxa"/>
            <w:tcBorders>
              <w:bottom w:val="single" w:sz="4" w:space="0" w:color="auto"/>
            </w:tcBorders>
          </w:tcPr>
          <w:p w14:paraId="3BA80D24" w14:textId="77777777" w:rsidR="000F16EB" w:rsidRPr="003650C8" w:rsidRDefault="000F16EB" w:rsidP="00A7521D">
            <w:pPr>
              <w:jc w:val="center"/>
            </w:pPr>
          </w:p>
        </w:tc>
        <w:tc>
          <w:tcPr>
            <w:tcW w:w="1126" w:type="dxa"/>
            <w:tcBorders>
              <w:bottom w:val="single" w:sz="4" w:space="0" w:color="auto"/>
            </w:tcBorders>
          </w:tcPr>
          <w:p w14:paraId="390CF825" w14:textId="77777777" w:rsidR="000F16EB" w:rsidRPr="003650C8" w:rsidRDefault="000F16EB" w:rsidP="00A7521D">
            <w:pPr>
              <w:jc w:val="center"/>
            </w:pPr>
            <w:r w:rsidRPr="003650C8">
              <w:t>Reference scenario</w:t>
            </w:r>
          </w:p>
        </w:tc>
        <w:tc>
          <w:tcPr>
            <w:tcW w:w="789" w:type="dxa"/>
            <w:tcBorders>
              <w:bottom w:val="single" w:sz="4" w:space="0" w:color="auto"/>
            </w:tcBorders>
          </w:tcPr>
          <w:p w14:paraId="419863A8" w14:textId="77777777" w:rsidR="000F16EB" w:rsidRPr="003650C8" w:rsidRDefault="000F16EB" w:rsidP="00A7521D">
            <w:pPr>
              <w:jc w:val="center"/>
            </w:pPr>
            <w:r w:rsidRPr="003650C8">
              <w:t>Single HWT</w:t>
            </w:r>
          </w:p>
        </w:tc>
        <w:tc>
          <w:tcPr>
            <w:tcW w:w="850" w:type="dxa"/>
            <w:tcBorders>
              <w:bottom w:val="single" w:sz="4" w:space="0" w:color="auto"/>
            </w:tcBorders>
          </w:tcPr>
          <w:p w14:paraId="0E33F110" w14:textId="77777777" w:rsidR="000F16EB" w:rsidRPr="003650C8" w:rsidRDefault="000F16EB" w:rsidP="00A7521D">
            <w:pPr>
              <w:jc w:val="center"/>
            </w:pPr>
            <w:r w:rsidRPr="003650C8">
              <w:t>Pair of HWTs</w:t>
            </w:r>
          </w:p>
        </w:tc>
        <w:tc>
          <w:tcPr>
            <w:tcW w:w="992" w:type="dxa"/>
            <w:tcBorders>
              <w:bottom w:val="single" w:sz="4" w:space="0" w:color="auto"/>
            </w:tcBorders>
          </w:tcPr>
          <w:p w14:paraId="79B39BCC" w14:textId="77777777" w:rsidR="000F16EB" w:rsidRPr="003650C8" w:rsidRDefault="000F16EB" w:rsidP="00A7521D">
            <w:pPr>
              <w:jc w:val="center"/>
            </w:pPr>
            <w:r w:rsidRPr="003650C8">
              <w:t>Building TES</w:t>
            </w:r>
          </w:p>
        </w:tc>
        <w:tc>
          <w:tcPr>
            <w:tcW w:w="1075" w:type="dxa"/>
            <w:tcBorders>
              <w:bottom w:val="single" w:sz="4" w:space="0" w:color="auto"/>
            </w:tcBorders>
          </w:tcPr>
          <w:p w14:paraId="7A6CC8A8" w14:textId="77777777" w:rsidR="000F16EB" w:rsidRPr="003650C8" w:rsidRDefault="000F16EB" w:rsidP="00A7521D">
            <w:pPr>
              <w:jc w:val="center"/>
            </w:pPr>
            <w:r w:rsidRPr="003650C8">
              <w:t>Network TES</w:t>
            </w:r>
          </w:p>
        </w:tc>
      </w:tr>
      <w:tr w:rsidR="000C4723" w:rsidRPr="003650C8" w14:paraId="7FA21577" w14:textId="77777777" w:rsidTr="00A7521D">
        <w:trPr>
          <w:jc w:val="center"/>
        </w:trPr>
        <w:tc>
          <w:tcPr>
            <w:tcW w:w="3614" w:type="dxa"/>
            <w:tcBorders>
              <w:top w:val="nil"/>
            </w:tcBorders>
          </w:tcPr>
          <w:p w14:paraId="7BCF88D8" w14:textId="41E8F962" w:rsidR="000C4723" w:rsidRPr="003650C8" w:rsidRDefault="000C4723" w:rsidP="000C4723">
            <w:pPr>
              <w:jc w:val="center"/>
            </w:pPr>
            <w:r w:rsidRPr="003650C8">
              <w:t>Annual natural gas input to the burner (MWh)</w:t>
            </w:r>
          </w:p>
        </w:tc>
        <w:tc>
          <w:tcPr>
            <w:tcW w:w="1126" w:type="dxa"/>
            <w:tcBorders>
              <w:top w:val="nil"/>
            </w:tcBorders>
          </w:tcPr>
          <w:p w14:paraId="63C1C060" w14:textId="13BEA97F" w:rsidR="000C4723" w:rsidRPr="003650C8" w:rsidRDefault="000C4723" w:rsidP="000C4723">
            <w:pPr>
              <w:jc w:val="center"/>
            </w:pPr>
            <w:r w:rsidRPr="003650C8">
              <w:t>16,426</w:t>
            </w:r>
          </w:p>
        </w:tc>
        <w:tc>
          <w:tcPr>
            <w:tcW w:w="789" w:type="dxa"/>
            <w:tcBorders>
              <w:top w:val="nil"/>
            </w:tcBorders>
          </w:tcPr>
          <w:p w14:paraId="1AFE1119" w14:textId="09FB49A3" w:rsidR="000C4723" w:rsidRPr="003650C8" w:rsidRDefault="000C4723" w:rsidP="000C4723">
            <w:pPr>
              <w:jc w:val="center"/>
            </w:pPr>
            <w:r w:rsidRPr="003650C8">
              <w:t>8,564</w:t>
            </w:r>
          </w:p>
        </w:tc>
        <w:tc>
          <w:tcPr>
            <w:tcW w:w="850" w:type="dxa"/>
            <w:tcBorders>
              <w:top w:val="nil"/>
            </w:tcBorders>
          </w:tcPr>
          <w:p w14:paraId="1FE2A6FA" w14:textId="4BEE9079" w:rsidR="000C4723" w:rsidRPr="003650C8" w:rsidRDefault="000C4723" w:rsidP="000C4723">
            <w:pPr>
              <w:jc w:val="center"/>
            </w:pPr>
            <w:r w:rsidRPr="003650C8">
              <w:t>8,028</w:t>
            </w:r>
          </w:p>
        </w:tc>
        <w:tc>
          <w:tcPr>
            <w:tcW w:w="992" w:type="dxa"/>
            <w:tcBorders>
              <w:top w:val="nil"/>
            </w:tcBorders>
          </w:tcPr>
          <w:p w14:paraId="552C95D1" w14:textId="3E8F944C" w:rsidR="000C4723" w:rsidRPr="003650C8" w:rsidRDefault="000C4723" w:rsidP="000C4723">
            <w:pPr>
              <w:jc w:val="center"/>
            </w:pPr>
            <w:r w:rsidRPr="003650C8">
              <w:t>16,037</w:t>
            </w:r>
          </w:p>
        </w:tc>
        <w:tc>
          <w:tcPr>
            <w:tcW w:w="1075" w:type="dxa"/>
            <w:tcBorders>
              <w:top w:val="nil"/>
            </w:tcBorders>
          </w:tcPr>
          <w:p w14:paraId="2A7C5A54" w14:textId="16BA2D4C" w:rsidR="000C4723" w:rsidRPr="003650C8" w:rsidRDefault="000C4723" w:rsidP="000C4723">
            <w:pPr>
              <w:jc w:val="center"/>
            </w:pPr>
            <w:r w:rsidRPr="003650C8">
              <w:t>13,926</w:t>
            </w:r>
          </w:p>
        </w:tc>
      </w:tr>
      <w:tr w:rsidR="000C4723" w:rsidRPr="003650C8" w14:paraId="3D9B6AFC" w14:textId="77777777" w:rsidTr="00A7521D">
        <w:trPr>
          <w:jc w:val="center"/>
        </w:trPr>
        <w:tc>
          <w:tcPr>
            <w:tcW w:w="3614" w:type="dxa"/>
          </w:tcPr>
          <w:p w14:paraId="081E64FA" w14:textId="66A63662" w:rsidR="000C4723" w:rsidRPr="003650C8" w:rsidRDefault="000C4723" w:rsidP="000C4723">
            <w:pPr>
              <w:jc w:val="center"/>
            </w:pPr>
            <w:r w:rsidRPr="003650C8">
              <w:t>Annual natural gas costs (£1000)</w:t>
            </w:r>
          </w:p>
        </w:tc>
        <w:tc>
          <w:tcPr>
            <w:tcW w:w="1126" w:type="dxa"/>
          </w:tcPr>
          <w:p w14:paraId="11149048" w14:textId="2698C045" w:rsidR="000C4723" w:rsidRPr="003650C8" w:rsidRDefault="000C4723" w:rsidP="000C4723">
            <w:pPr>
              <w:jc w:val="center"/>
            </w:pPr>
            <w:r w:rsidRPr="003650C8">
              <w:t>493</w:t>
            </w:r>
          </w:p>
        </w:tc>
        <w:tc>
          <w:tcPr>
            <w:tcW w:w="789" w:type="dxa"/>
          </w:tcPr>
          <w:p w14:paraId="5CEFDC3E" w14:textId="36CF8CF0" w:rsidR="000C4723" w:rsidRPr="003650C8" w:rsidRDefault="000C4723" w:rsidP="000C4723">
            <w:pPr>
              <w:jc w:val="center"/>
            </w:pPr>
            <w:r w:rsidRPr="003650C8">
              <w:t>257</w:t>
            </w:r>
          </w:p>
        </w:tc>
        <w:tc>
          <w:tcPr>
            <w:tcW w:w="850" w:type="dxa"/>
          </w:tcPr>
          <w:p w14:paraId="78E1184D" w14:textId="70EA452E" w:rsidR="000C4723" w:rsidRPr="003650C8" w:rsidRDefault="000C4723" w:rsidP="000C4723">
            <w:pPr>
              <w:jc w:val="center"/>
            </w:pPr>
            <w:r w:rsidRPr="003650C8">
              <w:t>240</w:t>
            </w:r>
          </w:p>
        </w:tc>
        <w:tc>
          <w:tcPr>
            <w:tcW w:w="992" w:type="dxa"/>
          </w:tcPr>
          <w:p w14:paraId="6E6E43BF" w14:textId="7AC73EE9" w:rsidR="000C4723" w:rsidRPr="003650C8" w:rsidRDefault="000C4723" w:rsidP="000C4723">
            <w:pPr>
              <w:jc w:val="center"/>
            </w:pPr>
            <w:r w:rsidRPr="003650C8">
              <w:t>481</w:t>
            </w:r>
          </w:p>
        </w:tc>
        <w:tc>
          <w:tcPr>
            <w:tcW w:w="1075" w:type="dxa"/>
          </w:tcPr>
          <w:p w14:paraId="1729E74E" w14:textId="57F7787B" w:rsidR="000C4723" w:rsidRPr="003650C8" w:rsidRDefault="000C4723" w:rsidP="000C4723">
            <w:pPr>
              <w:jc w:val="center"/>
            </w:pPr>
            <w:r w:rsidRPr="003650C8">
              <w:t>418</w:t>
            </w:r>
          </w:p>
        </w:tc>
      </w:tr>
      <w:tr w:rsidR="000C4723" w:rsidRPr="003650C8" w14:paraId="3A4C3972" w14:textId="77777777" w:rsidTr="00A7521D">
        <w:trPr>
          <w:jc w:val="center"/>
        </w:trPr>
        <w:tc>
          <w:tcPr>
            <w:tcW w:w="3614" w:type="dxa"/>
          </w:tcPr>
          <w:p w14:paraId="0E64229C" w14:textId="669D6BA7" w:rsidR="000C4723" w:rsidRPr="003650C8" w:rsidRDefault="000C4723" w:rsidP="000C4723">
            <w:pPr>
              <w:jc w:val="center"/>
            </w:pPr>
            <w:r w:rsidRPr="003650C8">
              <w:t>Capital cost of the TES system (£1000)</w:t>
            </w:r>
          </w:p>
        </w:tc>
        <w:tc>
          <w:tcPr>
            <w:tcW w:w="1126" w:type="dxa"/>
          </w:tcPr>
          <w:p w14:paraId="32908514" w14:textId="37FC75E8" w:rsidR="000C4723" w:rsidRPr="003650C8" w:rsidRDefault="000C4723" w:rsidP="000C4723">
            <w:pPr>
              <w:jc w:val="center"/>
            </w:pPr>
            <w:r w:rsidRPr="003650C8">
              <w:t>0</w:t>
            </w:r>
          </w:p>
        </w:tc>
        <w:tc>
          <w:tcPr>
            <w:tcW w:w="789" w:type="dxa"/>
          </w:tcPr>
          <w:p w14:paraId="6D4E11E6" w14:textId="2BF281E6" w:rsidR="000C4723" w:rsidRPr="003650C8" w:rsidRDefault="000C4723" w:rsidP="000C4723">
            <w:pPr>
              <w:jc w:val="center"/>
            </w:pPr>
            <w:r w:rsidRPr="003650C8">
              <w:t>5,434</w:t>
            </w:r>
          </w:p>
        </w:tc>
        <w:tc>
          <w:tcPr>
            <w:tcW w:w="850" w:type="dxa"/>
          </w:tcPr>
          <w:p w14:paraId="6711A940" w14:textId="4645206C" w:rsidR="000C4723" w:rsidRPr="003650C8" w:rsidRDefault="000C4723" w:rsidP="000C4723">
            <w:pPr>
              <w:jc w:val="center"/>
            </w:pPr>
            <w:r w:rsidRPr="003650C8">
              <w:t>5,434</w:t>
            </w:r>
          </w:p>
        </w:tc>
        <w:tc>
          <w:tcPr>
            <w:tcW w:w="992" w:type="dxa"/>
          </w:tcPr>
          <w:p w14:paraId="2B96F077" w14:textId="583716D1" w:rsidR="000C4723" w:rsidRPr="003650C8" w:rsidRDefault="000C4723" w:rsidP="000C4723">
            <w:pPr>
              <w:jc w:val="center"/>
            </w:pPr>
            <w:r w:rsidRPr="003650C8">
              <w:t>3.22</w:t>
            </w:r>
          </w:p>
        </w:tc>
        <w:tc>
          <w:tcPr>
            <w:tcW w:w="1075" w:type="dxa"/>
          </w:tcPr>
          <w:p w14:paraId="5893D481" w14:textId="611BD59D" w:rsidR="000C4723" w:rsidRPr="003650C8" w:rsidRDefault="000C4723" w:rsidP="000C4723">
            <w:pPr>
              <w:jc w:val="center"/>
            </w:pPr>
            <w:r w:rsidRPr="003650C8">
              <w:t>0</w:t>
            </w:r>
          </w:p>
        </w:tc>
      </w:tr>
      <w:tr w:rsidR="000C4723" w:rsidRPr="003650C8" w14:paraId="3DF14DA8" w14:textId="77777777" w:rsidTr="00A7521D">
        <w:trPr>
          <w:jc w:val="center"/>
        </w:trPr>
        <w:tc>
          <w:tcPr>
            <w:tcW w:w="3614" w:type="dxa"/>
            <w:tcBorders>
              <w:bottom w:val="single" w:sz="4" w:space="0" w:color="auto"/>
            </w:tcBorders>
          </w:tcPr>
          <w:p w14:paraId="1944A96D" w14:textId="1832CCD6" w:rsidR="000C4723" w:rsidRPr="003650C8" w:rsidRDefault="000C4723" w:rsidP="000C4723">
            <w:pPr>
              <w:jc w:val="center"/>
            </w:pPr>
            <w:r w:rsidRPr="003650C8">
              <w:t>Number of years to reach economic payback</w:t>
            </w:r>
          </w:p>
        </w:tc>
        <w:tc>
          <w:tcPr>
            <w:tcW w:w="1126" w:type="dxa"/>
            <w:tcBorders>
              <w:bottom w:val="single" w:sz="4" w:space="0" w:color="auto"/>
            </w:tcBorders>
          </w:tcPr>
          <w:p w14:paraId="7A247A5C" w14:textId="56AA1545" w:rsidR="000C4723" w:rsidRPr="003650C8" w:rsidRDefault="000C4723" w:rsidP="000C4723">
            <w:pPr>
              <w:jc w:val="center"/>
            </w:pPr>
            <w:r w:rsidRPr="003650C8">
              <w:t>n/a</w:t>
            </w:r>
          </w:p>
        </w:tc>
        <w:tc>
          <w:tcPr>
            <w:tcW w:w="789" w:type="dxa"/>
            <w:tcBorders>
              <w:bottom w:val="single" w:sz="4" w:space="0" w:color="auto"/>
            </w:tcBorders>
          </w:tcPr>
          <w:p w14:paraId="64770B5D" w14:textId="2D657055" w:rsidR="000C4723" w:rsidRPr="003650C8" w:rsidRDefault="000C4723" w:rsidP="000C4723">
            <w:pPr>
              <w:jc w:val="center"/>
            </w:pPr>
            <w:r w:rsidRPr="003650C8">
              <w:t>23</w:t>
            </w:r>
          </w:p>
        </w:tc>
        <w:tc>
          <w:tcPr>
            <w:tcW w:w="850" w:type="dxa"/>
            <w:tcBorders>
              <w:bottom w:val="single" w:sz="4" w:space="0" w:color="auto"/>
            </w:tcBorders>
          </w:tcPr>
          <w:p w14:paraId="45FBD703" w14:textId="5549B254" w:rsidR="000C4723" w:rsidRPr="003650C8" w:rsidRDefault="000C4723" w:rsidP="000C4723">
            <w:pPr>
              <w:jc w:val="center"/>
            </w:pPr>
            <w:r w:rsidRPr="003650C8">
              <w:t>21</w:t>
            </w:r>
          </w:p>
        </w:tc>
        <w:tc>
          <w:tcPr>
            <w:tcW w:w="992" w:type="dxa"/>
            <w:tcBorders>
              <w:bottom w:val="single" w:sz="4" w:space="0" w:color="auto"/>
            </w:tcBorders>
          </w:tcPr>
          <w:p w14:paraId="69745AF7" w14:textId="69A04B50" w:rsidR="000C4723" w:rsidRPr="003650C8" w:rsidRDefault="000C4723" w:rsidP="000C4723">
            <w:pPr>
              <w:jc w:val="center"/>
            </w:pPr>
            <w:r w:rsidRPr="003650C8">
              <w:t>1</w:t>
            </w:r>
          </w:p>
        </w:tc>
        <w:tc>
          <w:tcPr>
            <w:tcW w:w="1075" w:type="dxa"/>
            <w:tcBorders>
              <w:bottom w:val="single" w:sz="4" w:space="0" w:color="auto"/>
            </w:tcBorders>
          </w:tcPr>
          <w:p w14:paraId="2FD29D82" w14:textId="5F6F425D" w:rsidR="000C4723" w:rsidRPr="003650C8" w:rsidRDefault="000C4723" w:rsidP="000C4723">
            <w:pPr>
              <w:jc w:val="center"/>
            </w:pPr>
            <w:r w:rsidRPr="003650C8">
              <w:t>1</w:t>
            </w:r>
          </w:p>
        </w:tc>
      </w:tr>
      <w:tr w:rsidR="000C4723" w:rsidRPr="003650C8" w14:paraId="031CE462" w14:textId="77777777" w:rsidTr="00A7521D">
        <w:trPr>
          <w:jc w:val="center"/>
        </w:trPr>
        <w:tc>
          <w:tcPr>
            <w:tcW w:w="3614" w:type="dxa"/>
            <w:tcBorders>
              <w:top w:val="single" w:sz="4" w:space="0" w:color="auto"/>
              <w:bottom w:val="nil"/>
            </w:tcBorders>
          </w:tcPr>
          <w:p w14:paraId="6D3D002B" w14:textId="3EC7976B" w:rsidR="000C4723" w:rsidRPr="003650C8" w:rsidRDefault="000C4723" w:rsidP="000C4723">
            <w:pPr>
              <w:jc w:val="center"/>
            </w:pPr>
            <w:r w:rsidRPr="003650C8">
              <w:t>Annual emissions associated with annual natural gas used (tonnes CO</w:t>
            </w:r>
            <w:r w:rsidRPr="003650C8">
              <w:rPr>
                <w:vertAlign w:val="subscript"/>
              </w:rPr>
              <w:t>2</w:t>
            </w:r>
            <w:r w:rsidRPr="003650C8">
              <w:t>e)</w:t>
            </w:r>
          </w:p>
        </w:tc>
        <w:tc>
          <w:tcPr>
            <w:tcW w:w="1126" w:type="dxa"/>
            <w:tcBorders>
              <w:top w:val="single" w:sz="4" w:space="0" w:color="auto"/>
              <w:bottom w:val="nil"/>
            </w:tcBorders>
          </w:tcPr>
          <w:p w14:paraId="583C5F2A" w14:textId="09B69F92" w:rsidR="000C4723" w:rsidRPr="003650C8" w:rsidRDefault="000C4723" w:rsidP="000C4723">
            <w:pPr>
              <w:jc w:val="center"/>
            </w:pPr>
            <w:r w:rsidRPr="003650C8">
              <w:t>3,020</w:t>
            </w:r>
          </w:p>
        </w:tc>
        <w:tc>
          <w:tcPr>
            <w:tcW w:w="789" w:type="dxa"/>
            <w:tcBorders>
              <w:top w:val="single" w:sz="4" w:space="0" w:color="auto"/>
              <w:bottom w:val="nil"/>
            </w:tcBorders>
          </w:tcPr>
          <w:p w14:paraId="1F1BBDAE" w14:textId="309E8FE6" w:rsidR="000C4723" w:rsidRPr="003650C8" w:rsidRDefault="000C4723" w:rsidP="000C4723">
            <w:pPr>
              <w:jc w:val="center"/>
            </w:pPr>
            <w:r w:rsidRPr="003650C8">
              <w:t>1,581</w:t>
            </w:r>
          </w:p>
        </w:tc>
        <w:tc>
          <w:tcPr>
            <w:tcW w:w="850" w:type="dxa"/>
            <w:tcBorders>
              <w:top w:val="single" w:sz="4" w:space="0" w:color="auto"/>
              <w:bottom w:val="nil"/>
            </w:tcBorders>
          </w:tcPr>
          <w:p w14:paraId="06487383" w14:textId="6B670AC3" w:rsidR="000C4723" w:rsidRPr="003650C8" w:rsidRDefault="000C4723" w:rsidP="000C4723">
            <w:pPr>
              <w:jc w:val="center"/>
            </w:pPr>
            <w:r w:rsidRPr="003650C8">
              <w:t>1,483</w:t>
            </w:r>
          </w:p>
        </w:tc>
        <w:tc>
          <w:tcPr>
            <w:tcW w:w="992" w:type="dxa"/>
            <w:tcBorders>
              <w:top w:val="single" w:sz="4" w:space="0" w:color="auto"/>
              <w:bottom w:val="nil"/>
            </w:tcBorders>
          </w:tcPr>
          <w:p w14:paraId="24841E04" w14:textId="17A023B7" w:rsidR="000C4723" w:rsidRPr="003650C8" w:rsidRDefault="000C4723" w:rsidP="000C4723">
            <w:pPr>
              <w:jc w:val="center"/>
            </w:pPr>
            <w:r w:rsidRPr="003650C8">
              <w:t>2,949</w:t>
            </w:r>
          </w:p>
        </w:tc>
        <w:tc>
          <w:tcPr>
            <w:tcW w:w="1075" w:type="dxa"/>
            <w:tcBorders>
              <w:top w:val="single" w:sz="4" w:space="0" w:color="auto"/>
              <w:bottom w:val="nil"/>
            </w:tcBorders>
          </w:tcPr>
          <w:p w14:paraId="7B80467B" w14:textId="524A3728" w:rsidR="000C4723" w:rsidRPr="003650C8" w:rsidRDefault="000C4723" w:rsidP="000C4723">
            <w:pPr>
              <w:jc w:val="center"/>
            </w:pPr>
            <w:r w:rsidRPr="003650C8">
              <w:t>2,562</w:t>
            </w:r>
          </w:p>
        </w:tc>
      </w:tr>
      <w:tr w:rsidR="000C4723" w:rsidRPr="003650C8" w14:paraId="3DFE32C7" w14:textId="77777777" w:rsidTr="00A7521D">
        <w:trPr>
          <w:jc w:val="center"/>
        </w:trPr>
        <w:tc>
          <w:tcPr>
            <w:tcW w:w="3614" w:type="dxa"/>
            <w:tcBorders>
              <w:top w:val="nil"/>
            </w:tcBorders>
          </w:tcPr>
          <w:p w14:paraId="06723548" w14:textId="2D792E76" w:rsidR="000C4723" w:rsidRPr="003650C8" w:rsidRDefault="000C4723" w:rsidP="000C4723">
            <w:pPr>
              <w:jc w:val="center"/>
            </w:pPr>
            <w:r w:rsidRPr="003650C8">
              <w:t>Emissions associated with the TES system (tonnes CO</w:t>
            </w:r>
            <w:r w:rsidRPr="003650C8">
              <w:rPr>
                <w:vertAlign w:val="subscript"/>
              </w:rPr>
              <w:t>2</w:t>
            </w:r>
            <w:r w:rsidRPr="003650C8">
              <w:t>e)</w:t>
            </w:r>
          </w:p>
        </w:tc>
        <w:tc>
          <w:tcPr>
            <w:tcW w:w="1126" w:type="dxa"/>
            <w:tcBorders>
              <w:top w:val="nil"/>
            </w:tcBorders>
          </w:tcPr>
          <w:p w14:paraId="6672CF0B" w14:textId="771ADEFF" w:rsidR="000C4723" w:rsidRPr="003650C8" w:rsidRDefault="000C4723" w:rsidP="000C4723">
            <w:pPr>
              <w:jc w:val="center"/>
            </w:pPr>
            <w:r w:rsidRPr="003650C8">
              <w:t>0</w:t>
            </w:r>
          </w:p>
        </w:tc>
        <w:tc>
          <w:tcPr>
            <w:tcW w:w="789" w:type="dxa"/>
            <w:tcBorders>
              <w:top w:val="nil"/>
            </w:tcBorders>
          </w:tcPr>
          <w:p w14:paraId="5D7DB931" w14:textId="11FAFF2B" w:rsidR="000C4723" w:rsidRPr="003650C8" w:rsidRDefault="000C4723" w:rsidP="000C4723">
            <w:pPr>
              <w:jc w:val="center"/>
            </w:pPr>
            <w:r w:rsidRPr="003650C8">
              <w:t>1,993</w:t>
            </w:r>
          </w:p>
        </w:tc>
        <w:tc>
          <w:tcPr>
            <w:tcW w:w="850" w:type="dxa"/>
            <w:tcBorders>
              <w:top w:val="nil"/>
            </w:tcBorders>
          </w:tcPr>
          <w:p w14:paraId="3B368669" w14:textId="754B5F17" w:rsidR="000C4723" w:rsidRPr="003650C8" w:rsidRDefault="000C4723" w:rsidP="000C4723">
            <w:pPr>
              <w:jc w:val="center"/>
            </w:pPr>
            <w:r w:rsidRPr="003650C8">
              <w:t>1,993</w:t>
            </w:r>
          </w:p>
        </w:tc>
        <w:tc>
          <w:tcPr>
            <w:tcW w:w="992" w:type="dxa"/>
            <w:tcBorders>
              <w:top w:val="nil"/>
            </w:tcBorders>
          </w:tcPr>
          <w:p w14:paraId="35CF3C6B" w14:textId="7B0B5226" w:rsidR="000C4723" w:rsidRPr="003650C8" w:rsidRDefault="000C4723" w:rsidP="000C4723">
            <w:pPr>
              <w:jc w:val="center"/>
            </w:pPr>
            <w:r w:rsidRPr="003650C8">
              <w:t>0</w:t>
            </w:r>
          </w:p>
        </w:tc>
        <w:tc>
          <w:tcPr>
            <w:tcW w:w="1075" w:type="dxa"/>
            <w:tcBorders>
              <w:top w:val="nil"/>
            </w:tcBorders>
          </w:tcPr>
          <w:p w14:paraId="6A4D9947" w14:textId="5D71C1E2" w:rsidR="000C4723" w:rsidRPr="003650C8" w:rsidRDefault="000C4723" w:rsidP="000C4723">
            <w:pPr>
              <w:jc w:val="center"/>
            </w:pPr>
            <w:r w:rsidRPr="003650C8">
              <w:t>0</w:t>
            </w:r>
          </w:p>
        </w:tc>
      </w:tr>
      <w:tr w:rsidR="000C4723" w:rsidRPr="003650C8" w14:paraId="6718CAFB" w14:textId="77777777" w:rsidTr="00A7521D">
        <w:trPr>
          <w:jc w:val="center"/>
        </w:trPr>
        <w:tc>
          <w:tcPr>
            <w:tcW w:w="3614" w:type="dxa"/>
          </w:tcPr>
          <w:p w14:paraId="5BEECB0B" w14:textId="4406E8E0" w:rsidR="000C4723" w:rsidRPr="003650C8" w:rsidRDefault="000C4723" w:rsidP="000C4723">
            <w:pPr>
              <w:jc w:val="center"/>
            </w:pPr>
            <w:r w:rsidRPr="003650C8">
              <w:t>Number of years to reach environmental payback</w:t>
            </w:r>
          </w:p>
        </w:tc>
        <w:tc>
          <w:tcPr>
            <w:tcW w:w="1126" w:type="dxa"/>
          </w:tcPr>
          <w:p w14:paraId="72F03B29" w14:textId="7BD27C44" w:rsidR="000C4723" w:rsidRPr="003650C8" w:rsidRDefault="000C4723" w:rsidP="000C4723">
            <w:pPr>
              <w:jc w:val="center"/>
            </w:pPr>
            <w:r w:rsidRPr="003650C8">
              <w:t>n/a</w:t>
            </w:r>
          </w:p>
        </w:tc>
        <w:tc>
          <w:tcPr>
            <w:tcW w:w="789" w:type="dxa"/>
          </w:tcPr>
          <w:p w14:paraId="051A8FC1" w14:textId="05F89D1E" w:rsidR="000C4723" w:rsidRPr="003650C8" w:rsidRDefault="000C4723" w:rsidP="000C4723">
            <w:pPr>
              <w:jc w:val="center"/>
            </w:pPr>
            <w:r w:rsidRPr="003650C8">
              <w:t>2</w:t>
            </w:r>
          </w:p>
        </w:tc>
        <w:tc>
          <w:tcPr>
            <w:tcW w:w="850" w:type="dxa"/>
          </w:tcPr>
          <w:p w14:paraId="67099C54" w14:textId="5D63FDBA" w:rsidR="000C4723" w:rsidRPr="003650C8" w:rsidRDefault="000C4723" w:rsidP="000C4723">
            <w:pPr>
              <w:jc w:val="center"/>
            </w:pPr>
            <w:r w:rsidRPr="003650C8">
              <w:t>2</w:t>
            </w:r>
          </w:p>
        </w:tc>
        <w:tc>
          <w:tcPr>
            <w:tcW w:w="992" w:type="dxa"/>
          </w:tcPr>
          <w:p w14:paraId="76BF2BB6" w14:textId="6D8B7D99" w:rsidR="000C4723" w:rsidRPr="003650C8" w:rsidRDefault="000C4723" w:rsidP="000C4723">
            <w:pPr>
              <w:jc w:val="center"/>
            </w:pPr>
            <w:r w:rsidRPr="003650C8">
              <w:t>1</w:t>
            </w:r>
          </w:p>
        </w:tc>
        <w:tc>
          <w:tcPr>
            <w:tcW w:w="1075" w:type="dxa"/>
          </w:tcPr>
          <w:p w14:paraId="1EFCE639" w14:textId="0A572FAC" w:rsidR="000C4723" w:rsidRPr="003650C8" w:rsidRDefault="000C4723" w:rsidP="000C4723">
            <w:pPr>
              <w:jc w:val="center"/>
            </w:pPr>
            <w:r w:rsidRPr="003650C8">
              <w:t>1</w:t>
            </w:r>
          </w:p>
        </w:tc>
      </w:tr>
    </w:tbl>
    <w:p w14:paraId="3D2FFAD1" w14:textId="5B6AE712" w:rsidR="000F16EB" w:rsidRDefault="000F16EB" w:rsidP="000F16EB"/>
    <w:bookmarkStart w:id="848" w:name="_Ref523665745"/>
    <w:p w14:paraId="30101B73" w14:textId="235EFEAE" w:rsidR="003650C8" w:rsidRDefault="003650C8" w:rsidP="003650C8">
      <w:r>
        <w:fldChar w:fldCharType="begin"/>
      </w:r>
      <w:r>
        <w:instrText xml:space="preserve"> REF _Ref531181308 \h </w:instrText>
      </w:r>
      <w:r>
        <w:fldChar w:fldCharType="separate"/>
      </w:r>
      <w:r w:rsidR="00CB7456">
        <w:t xml:space="preserve">Table </w:t>
      </w:r>
      <w:r w:rsidR="00CB7456">
        <w:rPr>
          <w:noProof/>
        </w:rPr>
        <w:t>7</w:t>
      </w:r>
      <w:r w:rsidR="00CB7456">
        <w:t>.</w:t>
      </w:r>
      <w:r w:rsidR="00CB7456">
        <w:rPr>
          <w:noProof/>
        </w:rPr>
        <w:t>10</w:t>
      </w:r>
      <w:r>
        <w:fldChar w:fldCharType="end"/>
      </w:r>
      <w:r>
        <w:t xml:space="preserve"> and </w:t>
      </w:r>
      <w:r>
        <w:fldChar w:fldCharType="begin"/>
      </w:r>
      <w:r>
        <w:instrText xml:space="preserve"> REF _Ref530578907 \h </w:instrText>
      </w:r>
      <w:r>
        <w:fldChar w:fldCharType="separate"/>
      </w:r>
      <w:r w:rsidR="00CB7456">
        <w:t xml:space="preserve">Table </w:t>
      </w:r>
      <w:r w:rsidR="00CB7456">
        <w:rPr>
          <w:noProof/>
        </w:rPr>
        <w:t>7</w:t>
      </w:r>
      <w:r w:rsidR="00CB7456">
        <w:t>.</w:t>
      </w:r>
      <w:r w:rsidR="00CB7456">
        <w:rPr>
          <w:noProof/>
        </w:rPr>
        <w:t>11</w:t>
      </w:r>
      <w:r>
        <w:fldChar w:fldCharType="end"/>
      </w:r>
      <w:r>
        <w:t xml:space="preserve"> show that a point is reached where further increases to the case study heat supply made the advantages of HWT based TES less significant. In both </w:t>
      </w:r>
      <w:r>
        <w:fldChar w:fldCharType="begin"/>
      </w:r>
      <w:r>
        <w:instrText xml:space="preserve"> REF _Ref531181308 \h </w:instrText>
      </w:r>
      <w:r>
        <w:fldChar w:fldCharType="separate"/>
      </w:r>
      <w:r w:rsidR="00CB7456">
        <w:t xml:space="preserve">Table </w:t>
      </w:r>
      <w:r w:rsidR="00CB7456">
        <w:rPr>
          <w:noProof/>
        </w:rPr>
        <w:t>7</w:t>
      </w:r>
      <w:r w:rsidR="00CB7456">
        <w:t>.</w:t>
      </w:r>
      <w:r w:rsidR="00CB7456">
        <w:rPr>
          <w:noProof/>
        </w:rPr>
        <w:t>10</w:t>
      </w:r>
      <w:r>
        <w:fldChar w:fldCharType="end"/>
      </w:r>
      <w:r>
        <w:t xml:space="preserve"> and </w:t>
      </w:r>
      <w:r>
        <w:fldChar w:fldCharType="begin"/>
      </w:r>
      <w:r>
        <w:instrText xml:space="preserve"> REF _Ref530578907 \h </w:instrText>
      </w:r>
      <w:r>
        <w:fldChar w:fldCharType="separate"/>
      </w:r>
      <w:r w:rsidR="00CB7456">
        <w:t xml:space="preserve">Table </w:t>
      </w:r>
      <w:r w:rsidR="00CB7456">
        <w:rPr>
          <w:noProof/>
        </w:rPr>
        <w:t>7</w:t>
      </w:r>
      <w:r w:rsidR="00CB7456">
        <w:t>.</w:t>
      </w:r>
      <w:r w:rsidR="00CB7456">
        <w:rPr>
          <w:noProof/>
        </w:rPr>
        <w:t>11</w:t>
      </w:r>
      <w:r>
        <w:fldChar w:fldCharType="end"/>
      </w:r>
      <w:r>
        <w:t xml:space="preserve">, the HWTs had the greatest yearly reductions in natural gas burner use, but the time it took for the scenarios to reach economic payback started to rise. In </w:t>
      </w:r>
      <w:r>
        <w:fldChar w:fldCharType="begin"/>
      </w:r>
      <w:r>
        <w:instrText xml:space="preserve"> REF _Ref531181308 \h </w:instrText>
      </w:r>
      <w:r>
        <w:fldChar w:fldCharType="separate"/>
      </w:r>
      <w:r w:rsidR="00CB7456">
        <w:t xml:space="preserve">Table </w:t>
      </w:r>
      <w:r w:rsidR="00CB7456">
        <w:rPr>
          <w:noProof/>
        </w:rPr>
        <w:t>7</w:t>
      </w:r>
      <w:r w:rsidR="00CB7456">
        <w:t>.</w:t>
      </w:r>
      <w:r w:rsidR="00CB7456">
        <w:rPr>
          <w:noProof/>
        </w:rPr>
        <w:t>10</w:t>
      </w:r>
      <w:r>
        <w:fldChar w:fldCharType="end"/>
      </w:r>
      <w:r>
        <w:t xml:space="preserve"> the payback periods were 23 and 21 years, in </w:t>
      </w:r>
      <w:r>
        <w:fldChar w:fldCharType="begin"/>
      </w:r>
      <w:r>
        <w:instrText xml:space="preserve"> REF _Ref530578907 \h </w:instrText>
      </w:r>
      <w:r>
        <w:fldChar w:fldCharType="separate"/>
      </w:r>
      <w:r w:rsidR="00CB7456">
        <w:t xml:space="preserve">Table </w:t>
      </w:r>
      <w:r w:rsidR="00CB7456">
        <w:rPr>
          <w:noProof/>
        </w:rPr>
        <w:t>7</w:t>
      </w:r>
      <w:r w:rsidR="00CB7456">
        <w:t>.</w:t>
      </w:r>
      <w:r w:rsidR="00CB7456">
        <w:rPr>
          <w:noProof/>
        </w:rPr>
        <w:t>11</w:t>
      </w:r>
      <w:r>
        <w:fldChar w:fldCharType="end"/>
      </w:r>
      <w:r>
        <w:t xml:space="preserve"> they became 120 and 120 years.</w:t>
      </w:r>
    </w:p>
    <w:p w14:paraId="74B5F286" w14:textId="43D4DA26" w:rsidR="000F16EB" w:rsidRDefault="000F16EB" w:rsidP="000F16EB">
      <w:pPr>
        <w:pStyle w:val="Caption"/>
        <w:keepNext/>
      </w:pPr>
      <w:bookmarkStart w:id="849" w:name="_Ref523662869"/>
      <w:bookmarkStart w:id="850" w:name="_Ref523666095"/>
      <w:bookmarkStart w:id="851" w:name="_Ref526085552"/>
      <w:bookmarkStart w:id="852" w:name="_Ref530578907"/>
      <w:bookmarkStart w:id="853" w:name="_Toc525230151"/>
      <w:bookmarkStart w:id="854" w:name="_Toc7187707"/>
      <w:bookmarkEnd w:id="848"/>
      <w:r>
        <w:t xml:space="preserve">Table </w:t>
      </w:r>
      <w:fldSimple w:instr=" STYLEREF 1 \s ">
        <w:r w:rsidR="00CB7456">
          <w:rPr>
            <w:noProof/>
          </w:rPr>
          <w:t>7</w:t>
        </w:r>
      </w:fldSimple>
      <w:r w:rsidR="009E1A67">
        <w:t>.</w:t>
      </w:r>
      <w:fldSimple w:instr=" SEQ Table \* ARABIC \s 1 ">
        <w:r w:rsidR="00CB7456">
          <w:rPr>
            <w:noProof/>
          </w:rPr>
          <w:t>11</w:t>
        </w:r>
      </w:fldSimple>
      <w:bookmarkEnd w:id="849"/>
      <w:bookmarkEnd w:id="850"/>
      <w:bookmarkEnd w:id="851"/>
      <w:bookmarkEnd w:id="852"/>
      <w:r>
        <w:t xml:space="preserve">: </w:t>
      </w:r>
      <w:r w:rsidRPr="00181369">
        <w:t>Economic</w:t>
      </w:r>
      <w:r>
        <w:t xml:space="preserve"> and environmental </w:t>
      </w:r>
      <w:r w:rsidRPr="00181369">
        <w:t xml:space="preserve">analysis of the TES </w:t>
      </w:r>
      <w:r w:rsidRPr="006102BE">
        <w:t>scenarios</w:t>
      </w:r>
      <w:r>
        <w:t xml:space="preserve"> with an increase of the original heat supply by a factor of 3 and a ratio of peak supply maxima to demand maxima of 1:0.91.</w:t>
      </w:r>
      <w:bookmarkEnd w:id="853"/>
      <w:bookmarkEnd w:id="854"/>
    </w:p>
    <w:tbl>
      <w:tblPr>
        <w:tblStyle w:val="TableGrid"/>
        <w:tblW w:w="8364" w:type="dxa"/>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91"/>
        <w:gridCol w:w="1126"/>
        <w:gridCol w:w="829"/>
        <w:gridCol w:w="833"/>
        <w:gridCol w:w="992"/>
        <w:gridCol w:w="993"/>
      </w:tblGrid>
      <w:tr w:rsidR="000F16EB" w:rsidRPr="003650C8" w14:paraId="55825644" w14:textId="77777777" w:rsidTr="00A7521D">
        <w:trPr>
          <w:jc w:val="center"/>
        </w:trPr>
        <w:tc>
          <w:tcPr>
            <w:tcW w:w="3591" w:type="dxa"/>
            <w:tcBorders>
              <w:bottom w:val="single" w:sz="4" w:space="0" w:color="auto"/>
            </w:tcBorders>
          </w:tcPr>
          <w:p w14:paraId="0325ED47" w14:textId="77777777" w:rsidR="000F16EB" w:rsidRPr="003650C8" w:rsidRDefault="000F16EB" w:rsidP="00A7521D">
            <w:pPr>
              <w:jc w:val="center"/>
            </w:pPr>
          </w:p>
        </w:tc>
        <w:tc>
          <w:tcPr>
            <w:tcW w:w="1126" w:type="dxa"/>
            <w:tcBorders>
              <w:bottom w:val="single" w:sz="4" w:space="0" w:color="auto"/>
            </w:tcBorders>
          </w:tcPr>
          <w:p w14:paraId="610C742A" w14:textId="77777777" w:rsidR="000F16EB" w:rsidRPr="003650C8" w:rsidRDefault="000F16EB" w:rsidP="00A7521D">
            <w:pPr>
              <w:jc w:val="center"/>
            </w:pPr>
            <w:r w:rsidRPr="003650C8">
              <w:t>Reference scenario</w:t>
            </w:r>
          </w:p>
        </w:tc>
        <w:tc>
          <w:tcPr>
            <w:tcW w:w="829" w:type="dxa"/>
            <w:tcBorders>
              <w:bottom w:val="single" w:sz="4" w:space="0" w:color="auto"/>
            </w:tcBorders>
          </w:tcPr>
          <w:p w14:paraId="35D15204" w14:textId="77777777" w:rsidR="000F16EB" w:rsidRPr="003650C8" w:rsidRDefault="000F16EB" w:rsidP="00A7521D">
            <w:pPr>
              <w:jc w:val="center"/>
            </w:pPr>
            <w:r w:rsidRPr="003650C8">
              <w:t>Single HWT</w:t>
            </w:r>
          </w:p>
        </w:tc>
        <w:tc>
          <w:tcPr>
            <w:tcW w:w="833" w:type="dxa"/>
            <w:tcBorders>
              <w:bottom w:val="single" w:sz="4" w:space="0" w:color="auto"/>
            </w:tcBorders>
          </w:tcPr>
          <w:p w14:paraId="3A443D5E" w14:textId="77777777" w:rsidR="000F16EB" w:rsidRPr="003650C8" w:rsidRDefault="000F16EB" w:rsidP="00A7521D">
            <w:pPr>
              <w:jc w:val="center"/>
            </w:pPr>
            <w:r w:rsidRPr="003650C8">
              <w:t>Pair of HWTs</w:t>
            </w:r>
          </w:p>
        </w:tc>
        <w:tc>
          <w:tcPr>
            <w:tcW w:w="992" w:type="dxa"/>
            <w:tcBorders>
              <w:bottom w:val="single" w:sz="4" w:space="0" w:color="auto"/>
            </w:tcBorders>
          </w:tcPr>
          <w:p w14:paraId="66F317C9" w14:textId="77777777" w:rsidR="000F16EB" w:rsidRPr="003650C8" w:rsidRDefault="000F16EB" w:rsidP="00A7521D">
            <w:pPr>
              <w:jc w:val="center"/>
            </w:pPr>
            <w:r w:rsidRPr="003650C8">
              <w:t>Building TES</w:t>
            </w:r>
          </w:p>
        </w:tc>
        <w:tc>
          <w:tcPr>
            <w:tcW w:w="993" w:type="dxa"/>
            <w:tcBorders>
              <w:bottom w:val="single" w:sz="4" w:space="0" w:color="auto"/>
            </w:tcBorders>
          </w:tcPr>
          <w:p w14:paraId="16E475A7" w14:textId="77777777" w:rsidR="000F16EB" w:rsidRPr="003650C8" w:rsidRDefault="000F16EB" w:rsidP="00A7521D">
            <w:pPr>
              <w:jc w:val="center"/>
            </w:pPr>
            <w:r w:rsidRPr="003650C8">
              <w:t>Network TES</w:t>
            </w:r>
          </w:p>
        </w:tc>
      </w:tr>
      <w:tr w:rsidR="000C4723" w:rsidRPr="003650C8" w14:paraId="40CCA206" w14:textId="77777777" w:rsidTr="00A7521D">
        <w:trPr>
          <w:jc w:val="center"/>
        </w:trPr>
        <w:tc>
          <w:tcPr>
            <w:tcW w:w="3591" w:type="dxa"/>
            <w:tcBorders>
              <w:top w:val="nil"/>
            </w:tcBorders>
          </w:tcPr>
          <w:p w14:paraId="15132183" w14:textId="066DF544" w:rsidR="000C4723" w:rsidRPr="003650C8" w:rsidRDefault="000C4723" w:rsidP="000C4723">
            <w:pPr>
              <w:jc w:val="center"/>
            </w:pPr>
            <w:r w:rsidRPr="003650C8">
              <w:t>Annual natural gas input to the burner (MWh)</w:t>
            </w:r>
          </w:p>
        </w:tc>
        <w:tc>
          <w:tcPr>
            <w:tcW w:w="1126" w:type="dxa"/>
            <w:tcBorders>
              <w:top w:val="nil"/>
            </w:tcBorders>
          </w:tcPr>
          <w:p w14:paraId="19F951D8" w14:textId="5FEB4AEE" w:rsidR="000C4723" w:rsidRPr="003650C8" w:rsidRDefault="000C4723" w:rsidP="000C4723">
            <w:pPr>
              <w:jc w:val="center"/>
            </w:pPr>
            <w:r w:rsidRPr="003650C8">
              <w:t>9,617</w:t>
            </w:r>
          </w:p>
        </w:tc>
        <w:tc>
          <w:tcPr>
            <w:tcW w:w="829" w:type="dxa"/>
            <w:tcBorders>
              <w:top w:val="nil"/>
            </w:tcBorders>
          </w:tcPr>
          <w:p w14:paraId="0CC5883D" w14:textId="6CBA921B" w:rsidR="000C4723" w:rsidRPr="003650C8" w:rsidRDefault="000C4723" w:rsidP="000C4723">
            <w:pPr>
              <w:jc w:val="center"/>
            </w:pPr>
            <w:r w:rsidRPr="003650C8">
              <w:t>107</w:t>
            </w:r>
          </w:p>
        </w:tc>
        <w:tc>
          <w:tcPr>
            <w:tcW w:w="833" w:type="dxa"/>
            <w:tcBorders>
              <w:top w:val="nil"/>
            </w:tcBorders>
          </w:tcPr>
          <w:p w14:paraId="11084B8D" w14:textId="7F116814" w:rsidR="000C4723" w:rsidRPr="003650C8" w:rsidRDefault="000C4723" w:rsidP="000C4723">
            <w:pPr>
              <w:jc w:val="center"/>
            </w:pPr>
            <w:r w:rsidRPr="003650C8">
              <w:t>64,9</w:t>
            </w:r>
          </w:p>
        </w:tc>
        <w:tc>
          <w:tcPr>
            <w:tcW w:w="992" w:type="dxa"/>
            <w:tcBorders>
              <w:top w:val="nil"/>
            </w:tcBorders>
          </w:tcPr>
          <w:p w14:paraId="06472D54" w14:textId="06D9314E" w:rsidR="000C4723" w:rsidRPr="003650C8" w:rsidRDefault="000C4723" w:rsidP="000C4723">
            <w:pPr>
              <w:jc w:val="center"/>
            </w:pPr>
            <w:r w:rsidRPr="003650C8">
              <w:t>9,572</w:t>
            </w:r>
          </w:p>
        </w:tc>
        <w:tc>
          <w:tcPr>
            <w:tcW w:w="993" w:type="dxa"/>
            <w:tcBorders>
              <w:top w:val="nil"/>
            </w:tcBorders>
          </w:tcPr>
          <w:p w14:paraId="73A29F78" w14:textId="5CFAEFE0" w:rsidR="000C4723" w:rsidRPr="003650C8" w:rsidRDefault="000C4723" w:rsidP="000C4723">
            <w:pPr>
              <w:jc w:val="center"/>
            </w:pPr>
            <w:r w:rsidRPr="003650C8">
              <w:t>8,947</w:t>
            </w:r>
          </w:p>
        </w:tc>
      </w:tr>
      <w:tr w:rsidR="000C4723" w:rsidRPr="003650C8" w14:paraId="4F2E25D3" w14:textId="77777777" w:rsidTr="00A7521D">
        <w:trPr>
          <w:jc w:val="center"/>
        </w:trPr>
        <w:tc>
          <w:tcPr>
            <w:tcW w:w="3591" w:type="dxa"/>
          </w:tcPr>
          <w:p w14:paraId="05709B85" w14:textId="76C4CDB0" w:rsidR="000C4723" w:rsidRPr="003650C8" w:rsidRDefault="000C4723" w:rsidP="000C4723">
            <w:pPr>
              <w:jc w:val="center"/>
            </w:pPr>
            <w:r w:rsidRPr="003650C8">
              <w:t>Annual natural gas costs (£1000)</w:t>
            </w:r>
          </w:p>
        </w:tc>
        <w:tc>
          <w:tcPr>
            <w:tcW w:w="1126" w:type="dxa"/>
          </w:tcPr>
          <w:p w14:paraId="4C0B00E7" w14:textId="4E50397A" w:rsidR="000C4723" w:rsidRPr="003650C8" w:rsidRDefault="000C4723" w:rsidP="000C4723">
            <w:pPr>
              <w:jc w:val="center"/>
            </w:pPr>
            <w:r w:rsidRPr="003650C8">
              <w:t>288</w:t>
            </w:r>
          </w:p>
        </w:tc>
        <w:tc>
          <w:tcPr>
            <w:tcW w:w="829" w:type="dxa"/>
          </w:tcPr>
          <w:p w14:paraId="5D2E719D" w14:textId="562367AA" w:rsidR="000C4723" w:rsidRPr="003650C8" w:rsidRDefault="000C4723" w:rsidP="000C4723">
            <w:pPr>
              <w:jc w:val="center"/>
            </w:pPr>
            <w:r w:rsidRPr="003650C8">
              <w:t>3.2</w:t>
            </w:r>
          </w:p>
        </w:tc>
        <w:tc>
          <w:tcPr>
            <w:tcW w:w="833" w:type="dxa"/>
          </w:tcPr>
          <w:p w14:paraId="59C969C0" w14:textId="474CB8D7" w:rsidR="000C4723" w:rsidRPr="003650C8" w:rsidRDefault="000C4723" w:rsidP="000C4723">
            <w:pPr>
              <w:jc w:val="center"/>
            </w:pPr>
            <w:r w:rsidRPr="003650C8">
              <w:t>1.9</w:t>
            </w:r>
          </w:p>
        </w:tc>
        <w:tc>
          <w:tcPr>
            <w:tcW w:w="992" w:type="dxa"/>
          </w:tcPr>
          <w:p w14:paraId="1EEAE329" w14:textId="104D900F" w:rsidR="000C4723" w:rsidRPr="003650C8" w:rsidRDefault="000C4723" w:rsidP="000C4723">
            <w:pPr>
              <w:jc w:val="center"/>
            </w:pPr>
            <w:r w:rsidRPr="003650C8">
              <w:t>287</w:t>
            </w:r>
          </w:p>
        </w:tc>
        <w:tc>
          <w:tcPr>
            <w:tcW w:w="993" w:type="dxa"/>
          </w:tcPr>
          <w:p w14:paraId="341971C3" w14:textId="26B7DBAB" w:rsidR="000C4723" w:rsidRPr="003650C8" w:rsidRDefault="000C4723" w:rsidP="000C4723">
            <w:pPr>
              <w:jc w:val="center"/>
            </w:pPr>
            <w:r w:rsidRPr="003650C8">
              <w:t>268</w:t>
            </w:r>
          </w:p>
        </w:tc>
      </w:tr>
      <w:tr w:rsidR="000C4723" w:rsidRPr="003650C8" w14:paraId="5484DC73" w14:textId="77777777" w:rsidTr="00A7521D">
        <w:trPr>
          <w:jc w:val="center"/>
        </w:trPr>
        <w:tc>
          <w:tcPr>
            <w:tcW w:w="3591" w:type="dxa"/>
          </w:tcPr>
          <w:p w14:paraId="386DDD47" w14:textId="356DDF93" w:rsidR="000C4723" w:rsidRPr="003650C8" w:rsidRDefault="000C4723" w:rsidP="000C4723">
            <w:pPr>
              <w:jc w:val="center"/>
            </w:pPr>
            <w:r w:rsidRPr="003650C8">
              <w:t>Capital cost of the TES system (£1000)</w:t>
            </w:r>
          </w:p>
        </w:tc>
        <w:tc>
          <w:tcPr>
            <w:tcW w:w="1126" w:type="dxa"/>
          </w:tcPr>
          <w:p w14:paraId="69CECD86" w14:textId="1681EB06" w:rsidR="000C4723" w:rsidRPr="003650C8" w:rsidRDefault="000C4723" w:rsidP="000C4723">
            <w:pPr>
              <w:jc w:val="center"/>
            </w:pPr>
            <w:r w:rsidRPr="003650C8">
              <w:t>0</w:t>
            </w:r>
          </w:p>
        </w:tc>
        <w:tc>
          <w:tcPr>
            <w:tcW w:w="829" w:type="dxa"/>
          </w:tcPr>
          <w:p w14:paraId="3DAF7AA0" w14:textId="6346A8EB" w:rsidR="000C4723" w:rsidRPr="003650C8" w:rsidRDefault="000C4723" w:rsidP="000C4723">
            <w:pPr>
              <w:jc w:val="center"/>
            </w:pPr>
            <w:r w:rsidRPr="003650C8">
              <w:t>34,418</w:t>
            </w:r>
          </w:p>
        </w:tc>
        <w:tc>
          <w:tcPr>
            <w:tcW w:w="833" w:type="dxa"/>
          </w:tcPr>
          <w:p w14:paraId="10002A03" w14:textId="18193EAA" w:rsidR="000C4723" w:rsidRPr="003650C8" w:rsidRDefault="000C4723" w:rsidP="000C4723">
            <w:pPr>
              <w:jc w:val="center"/>
            </w:pPr>
            <w:r w:rsidRPr="003650C8">
              <w:t>34,418</w:t>
            </w:r>
          </w:p>
        </w:tc>
        <w:tc>
          <w:tcPr>
            <w:tcW w:w="992" w:type="dxa"/>
          </w:tcPr>
          <w:p w14:paraId="71587F6B" w14:textId="74030D6A" w:rsidR="000C4723" w:rsidRPr="003650C8" w:rsidRDefault="000C4723" w:rsidP="000C4723">
            <w:pPr>
              <w:jc w:val="center"/>
            </w:pPr>
            <w:r w:rsidRPr="003650C8">
              <w:t>3.22</w:t>
            </w:r>
          </w:p>
        </w:tc>
        <w:tc>
          <w:tcPr>
            <w:tcW w:w="993" w:type="dxa"/>
          </w:tcPr>
          <w:p w14:paraId="6B1D0CE7" w14:textId="45228A0A" w:rsidR="000C4723" w:rsidRPr="003650C8" w:rsidRDefault="000C4723" w:rsidP="000C4723">
            <w:pPr>
              <w:jc w:val="center"/>
            </w:pPr>
            <w:r w:rsidRPr="003650C8">
              <w:t>0</w:t>
            </w:r>
          </w:p>
        </w:tc>
      </w:tr>
      <w:tr w:rsidR="000C4723" w:rsidRPr="003650C8" w14:paraId="0E5D9D28" w14:textId="77777777" w:rsidTr="00A7521D">
        <w:trPr>
          <w:jc w:val="center"/>
        </w:trPr>
        <w:tc>
          <w:tcPr>
            <w:tcW w:w="3591" w:type="dxa"/>
            <w:tcBorders>
              <w:bottom w:val="single" w:sz="4" w:space="0" w:color="auto"/>
            </w:tcBorders>
          </w:tcPr>
          <w:p w14:paraId="0809FC3A" w14:textId="50C7A8E4" w:rsidR="000C4723" w:rsidRPr="003650C8" w:rsidRDefault="000C4723" w:rsidP="000C4723">
            <w:pPr>
              <w:jc w:val="center"/>
            </w:pPr>
            <w:r w:rsidRPr="003650C8">
              <w:t>Number of years to reach economic payback</w:t>
            </w:r>
          </w:p>
        </w:tc>
        <w:tc>
          <w:tcPr>
            <w:tcW w:w="1126" w:type="dxa"/>
            <w:tcBorders>
              <w:bottom w:val="single" w:sz="4" w:space="0" w:color="auto"/>
            </w:tcBorders>
          </w:tcPr>
          <w:p w14:paraId="021DE563" w14:textId="25218551" w:rsidR="000C4723" w:rsidRPr="003650C8" w:rsidRDefault="000C4723" w:rsidP="000C4723">
            <w:pPr>
              <w:jc w:val="center"/>
            </w:pPr>
            <w:r w:rsidRPr="003650C8">
              <w:t>n/a</w:t>
            </w:r>
          </w:p>
        </w:tc>
        <w:tc>
          <w:tcPr>
            <w:tcW w:w="829" w:type="dxa"/>
            <w:tcBorders>
              <w:bottom w:val="single" w:sz="4" w:space="0" w:color="auto"/>
            </w:tcBorders>
          </w:tcPr>
          <w:p w14:paraId="4FF5AFCD" w14:textId="46952268" w:rsidR="000C4723" w:rsidRPr="003650C8" w:rsidRDefault="000C4723" w:rsidP="000C4723">
            <w:pPr>
              <w:jc w:val="center"/>
            </w:pPr>
            <w:r w:rsidRPr="003650C8">
              <w:t>120</w:t>
            </w:r>
          </w:p>
        </w:tc>
        <w:tc>
          <w:tcPr>
            <w:tcW w:w="833" w:type="dxa"/>
            <w:tcBorders>
              <w:bottom w:val="single" w:sz="4" w:space="0" w:color="auto"/>
            </w:tcBorders>
          </w:tcPr>
          <w:p w14:paraId="1F662517" w14:textId="0F921108" w:rsidR="000C4723" w:rsidRPr="003650C8" w:rsidRDefault="000C4723" w:rsidP="000C4723">
            <w:pPr>
              <w:jc w:val="center"/>
            </w:pPr>
            <w:r w:rsidRPr="003650C8">
              <w:t>120</w:t>
            </w:r>
          </w:p>
        </w:tc>
        <w:tc>
          <w:tcPr>
            <w:tcW w:w="992" w:type="dxa"/>
            <w:tcBorders>
              <w:bottom w:val="single" w:sz="4" w:space="0" w:color="auto"/>
            </w:tcBorders>
          </w:tcPr>
          <w:p w14:paraId="71A4254A" w14:textId="77777777" w:rsidR="000C4723" w:rsidRPr="003650C8" w:rsidRDefault="000C4723" w:rsidP="000C4723">
            <w:pPr>
              <w:jc w:val="center"/>
            </w:pPr>
            <w:r w:rsidRPr="003650C8">
              <w:t>3</w:t>
            </w:r>
          </w:p>
          <w:p w14:paraId="05E32351" w14:textId="77777777" w:rsidR="000C4723" w:rsidRPr="003650C8" w:rsidRDefault="000C4723" w:rsidP="000C4723">
            <w:pPr>
              <w:jc w:val="center"/>
            </w:pPr>
          </w:p>
        </w:tc>
        <w:tc>
          <w:tcPr>
            <w:tcW w:w="993" w:type="dxa"/>
            <w:tcBorders>
              <w:bottom w:val="single" w:sz="4" w:space="0" w:color="auto"/>
            </w:tcBorders>
          </w:tcPr>
          <w:p w14:paraId="75CE81FC" w14:textId="05D1FAC4" w:rsidR="000C4723" w:rsidRPr="003650C8" w:rsidRDefault="000C4723" w:rsidP="000C4723">
            <w:pPr>
              <w:jc w:val="center"/>
            </w:pPr>
            <w:r w:rsidRPr="003650C8">
              <w:t>1</w:t>
            </w:r>
          </w:p>
        </w:tc>
      </w:tr>
      <w:tr w:rsidR="000C4723" w:rsidRPr="003650C8" w14:paraId="745DF100" w14:textId="77777777" w:rsidTr="00A7521D">
        <w:trPr>
          <w:jc w:val="center"/>
        </w:trPr>
        <w:tc>
          <w:tcPr>
            <w:tcW w:w="3591" w:type="dxa"/>
            <w:tcBorders>
              <w:top w:val="single" w:sz="4" w:space="0" w:color="auto"/>
              <w:bottom w:val="nil"/>
            </w:tcBorders>
          </w:tcPr>
          <w:p w14:paraId="3862BDB5" w14:textId="56C40AC9" w:rsidR="000C4723" w:rsidRPr="003650C8" w:rsidRDefault="000C4723" w:rsidP="000C4723">
            <w:pPr>
              <w:jc w:val="center"/>
            </w:pPr>
            <w:r w:rsidRPr="003650C8">
              <w:t>Annual emissions associated with annual natural gas used (tonnes CO</w:t>
            </w:r>
            <w:r w:rsidRPr="003650C8">
              <w:rPr>
                <w:vertAlign w:val="subscript"/>
              </w:rPr>
              <w:t>2</w:t>
            </w:r>
            <w:r w:rsidRPr="003650C8">
              <w:t>e)</w:t>
            </w:r>
          </w:p>
        </w:tc>
        <w:tc>
          <w:tcPr>
            <w:tcW w:w="1126" w:type="dxa"/>
            <w:tcBorders>
              <w:top w:val="single" w:sz="4" w:space="0" w:color="auto"/>
              <w:bottom w:val="nil"/>
            </w:tcBorders>
          </w:tcPr>
          <w:p w14:paraId="3F1488BE" w14:textId="2D82C91A" w:rsidR="000C4723" w:rsidRPr="003650C8" w:rsidRDefault="000C4723" w:rsidP="000C4723">
            <w:pPr>
              <w:jc w:val="center"/>
            </w:pPr>
            <w:r w:rsidRPr="003650C8">
              <w:t>1,774</w:t>
            </w:r>
          </w:p>
        </w:tc>
        <w:tc>
          <w:tcPr>
            <w:tcW w:w="829" w:type="dxa"/>
            <w:tcBorders>
              <w:top w:val="single" w:sz="4" w:space="0" w:color="auto"/>
              <w:bottom w:val="nil"/>
            </w:tcBorders>
          </w:tcPr>
          <w:p w14:paraId="11CEBF83" w14:textId="2B76EEE5" w:rsidR="000C4723" w:rsidRPr="003650C8" w:rsidRDefault="000C4723" w:rsidP="000C4723">
            <w:pPr>
              <w:jc w:val="center"/>
            </w:pPr>
            <w:r w:rsidRPr="003650C8">
              <w:t>23.0</w:t>
            </w:r>
          </w:p>
        </w:tc>
        <w:tc>
          <w:tcPr>
            <w:tcW w:w="833" w:type="dxa"/>
            <w:tcBorders>
              <w:top w:val="single" w:sz="4" w:space="0" w:color="auto"/>
              <w:bottom w:val="nil"/>
            </w:tcBorders>
          </w:tcPr>
          <w:p w14:paraId="4395B9F0" w14:textId="78D2424B" w:rsidR="000C4723" w:rsidRPr="003650C8" w:rsidRDefault="000C4723" w:rsidP="000C4723">
            <w:pPr>
              <w:jc w:val="center"/>
            </w:pPr>
            <w:r w:rsidRPr="003650C8">
              <w:t>15.4</w:t>
            </w:r>
          </w:p>
        </w:tc>
        <w:tc>
          <w:tcPr>
            <w:tcW w:w="992" w:type="dxa"/>
            <w:tcBorders>
              <w:top w:val="single" w:sz="4" w:space="0" w:color="auto"/>
              <w:bottom w:val="nil"/>
            </w:tcBorders>
          </w:tcPr>
          <w:p w14:paraId="620B129D" w14:textId="62BE5D74" w:rsidR="000C4723" w:rsidRPr="003650C8" w:rsidRDefault="000C4723" w:rsidP="000C4723">
            <w:pPr>
              <w:jc w:val="center"/>
            </w:pPr>
            <w:r w:rsidRPr="003650C8">
              <w:t>1,766</w:t>
            </w:r>
          </w:p>
        </w:tc>
        <w:tc>
          <w:tcPr>
            <w:tcW w:w="993" w:type="dxa"/>
            <w:tcBorders>
              <w:top w:val="single" w:sz="4" w:space="0" w:color="auto"/>
              <w:bottom w:val="nil"/>
            </w:tcBorders>
          </w:tcPr>
          <w:p w14:paraId="5DD5F67D" w14:textId="6BFDCA14" w:rsidR="000C4723" w:rsidRPr="003650C8" w:rsidRDefault="000C4723" w:rsidP="000C4723">
            <w:pPr>
              <w:jc w:val="center"/>
            </w:pPr>
            <w:r w:rsidRPr="003650C8">
              <w:t>1,651</w:t>
            </w:r>
          </w:p>
        </w:tc>
      </w:tr>
      <w:tr w:rsidR="000C4723" w:rsidRPr="003650C8" w14:paraId="77DF9DF6" w14:textId="77777777" w:rsidTr="00A7521D">
        <w:trPr>
          <w:jc w:val="center"/>
        </w:trPr>
        <w:tc>
          <w:tcPr>
            <w:tcW w:w="3591" w:type="dxa"/>
            <w:tcBorders>
              <w:top w:val="nil"/>
            </w:tcBorders>
          </w:tcPr>
          <w:p w14:paraId="52F373CD" w14:textId="2D33F585" w:rsidR="000C4723" w:rsidRPr="003650C8" w:rsidRDefault="000C4723" w:rsidP="000C4723">
            <w:pPr>
              <w:jc w:val="center"/>
            </w:pPr>
            <w:r w:rsidRPr="003650C8">
              <w:t>Emissions associated with the TES system (tonnes CO</w:t>
            </w:r>
            <w:r w:rsidRPr="003650C8">
              <w:rPr>
                <w:vertAlign w:val="subscript"/>
              </w:rPr>
              <w:t>2</w:t>
            </w:r>
            <w:r w:rsidRPr="003650C8">
              <w:t>e)</w:t>
            </w:r>
          </w:p>
        </w:tc>
        <w:tc>
          <w:tcPr>
            <w:tcW w:w="1126" w:type="dxa"/>
            <w:tcBorders>
              <w:top w:val="nil"/>
            </w:tcBorders>
          </w:tcPr>
          <w:p w14:paraId="60AE6167" w14:textId="7483B84E" w:rsidR="000C4723" w:rsidRPr="003650C8" w:rsidRDefault="000C4723" w:rsidP="000C4723">
            <w:pPr>
              <w:jc w:val="center"/>
            </w:pPr>
            <w:r w:rsidRPr="003650C8">
              <w:t>0</w:t>
            </w:r>
          </w:p>
        </w:tc>
        <w:tc>
          <w:tcPr>
            <w:tcW w:w="829" w:type="dxa"/>
            <w:tcBorders>
              <w:top w:val="nil"/>
            </w:tcBorders>
          </w:tcPr>
          <w:p w14:paraId="1CDB95C5" w14:textId="1BF090C0" w:rsidR="000C4723" w:rsidRPr="003650C8" w:rsidRDefault="000C4723" w:rsidP="000C4723">
            <w:pPr>
              <w:jc w:val="center"/>
            </w:pPr>
            <w:r w:rsidRPr="003650C8">
              <w:t>12,621</w:t>
            </w:r>
          </w:p>
        </w:tc>
        <w:tc>
          <w:tcPr>
            <w:tcW w:w="833" w:type="dxa"/>
            <w:tcBorders>
              <w:top w:val="nil"/>
            </w:tcBorders>
          </w:tcPr>
          <w:p w14:paraId="2F0D68E1" w14:textId="1BF9FFFC" w:rsidR="000C4723" w:rsidRPr="003650C8" w:rsidRDefault="000C4723" w:rsidP="000C4723">
            <w:pPr>
              <w:jc w:val="center"/>
            </w:pPr>
            <w:r w:rsidRPr="003650C8">
              <w:t>12,621</w:t>
            </w:r>
          </w:p>
        </w:tc>
        <w:tc>
          <w:tcPr>
            <w:tcW w:w="992" w:type="dxa"/>
            <w:tcBorders>
              <w:top w:val="nil"/>
            </w:tcBorders>
          </w:tcPr>
          <w:p w14:paraId="307D5010" w14:textId="46BE05A4" w:rsidR="000C4723" w:rsidRPr="003650C8" w:rsidRDefault="000C4723" w:rsidP="000C4723">
            <w:pPr>
              <w:jc w:val="center"/>
            </w:pPr>
            <w:r w:rsidRPr="003650C8">
              <w:t>0</w:t>
            </w:r>
          </w:p>
        </w:tc>
        <w:tc>
          <w:tcPr>
            <w:tcW w:w="993" w:type="dxa"/>
            <w:tcBorders>
              <w:top w:val="nil"/>
            </w:tcBorders>
          </w:tcPr>
          <w:p w14:paraId="527544DC" w14:textId="1542267F" w:rsidR="000C4723" w:rsidRPr="003650C8" w:rsidRDefault="000C4723" w:rsidP="000C4723">
            <w:pPr>
              <w:jc w:val="center"/>
            </w:pPr>
            <w:r w:rsidRPr="003650C8">
              <w:t>0</w:t>
            </w:r>
          </w:p>
        </w:tc>
      </w:tr>
      <w:tr w:rsidR="000C4723" w:rsidRPr="003650C8" w14:paraId="433AC479" w14:textId="77777777" w:rsidTr="00A7521D">
        <w:trPr>
          <w:jc w:val="center"/>
        </w:trPr>
        <w:tc>
          <w:tcPr>
            <w:tcW w:w="3591" w:type="dxa"/>
          </w:tcPr>
          <w:p w14:paraId="58BBD1BD" w14:textId="0C03B95F" w:rsidR="000C4723" w:rsidRPr="003650C8" w:rsidRDefault="000C4723" w:rsidP="000C4723">
            <w:pPr>
              <w:jc w:val="center"/>
            </w:pPr>
            <w:r w:rsidRPr="003650C8">
              <w:t>Number of years to reach environmental payback</w:t>
            </w:r>
          </w:p>
        </w:tc>
        <w:tc>
          <w:tcPr>
            <w:tcW w:w="1126" w:type="dxa"/>
          </w:tcPr>
          <w:p w14:paraId="386A24BD" w14:textId="26C648CD" w:rsidR="000C4723" w:rsidRPr="003650C8" w:rsidRDefault="000C4723" w:rsidP="000C4723">
            <w:pPr>
              <w:jc w:val="center"/>
            </w:pPr>
            <w:r w:rsidRPr="003650C8">
              <w:t>n/a</w:t>
            </w:r>
          </w:p>
        </w:tc>
        <w:tc>
          <w:tcPr>
            <w:tcW w:w="829" w:type="dxa"/>
          </w:tcPr>
          <w:p w14:paraId="5B1041C6" w14:textId="7E108500" w:rsidR="000C4723" w:rsidRPr="003650C8" w:rsidRDefault="000C4723" w:rsidP="000C4723">
            <w:pPr>
              <w:jc w:val="center"/>
            </w:pPr>
            <w:r w:rsidRPr="003650C8">
              <w:t>8</w:t>
            </w:r>
          </w:p>
        </w:tc>
        <w:tc>
          <w:tcPr>
            <w:tcW w:w="833" w:type="dxa"/>
          </w:tcPr>
          <w:p w14:paraId="19B81DFA" w14:textId="42480879" w:rsidR="000C4723" w:rsidRPr="003650C8" w:rsidRDefault="000C4723" w:rsidP="000C4723">
            <w:pPr>
              <w:jc w:val="center"/>
            </w:pPr>
            <w:r w:rsidRPr="003650C8">
              <w:t>8</w:t>
            </w:r>
          </w:p>
        </w:tc>
        <w:tc>
          <w:tcPr>
            <w:tcW w:w="992" w:type="dxa"/>
          </w:tcPr>
          <w:p w14:paraId="4762B984" w14:textId="3D339128" w:rsidR="000C4723" w:rsidRPr="003650C8" w:rsidRDefault="000C4723" w:rsidP="000C4723">
            <w:pPr>
              <w:jc w:val="center"/>
            </w:pPr>
            <w:r w:rsidRPr="003650C8">
              <w:t>1</w:t>
            </w:r>
          </w:p>
        </w:tc>
        <w:tc>
          <w:tcPr>
            <w:tcW w:w="993" w:type="dxa"/>
          </w:tcPr>
          <w:p w14:paraId="3173D18C" w14:textId="0917DB82" w:rsidR="000C4723" w:rsidRPr="003650C8" w:rsidRDefault="000C4723" w:rsidP="000C4723">
            <w:pPr>
              <w:jc w:val="center"/>
            </w:pPr>
            <w:r w:rsidRPr="003650C8">
              <w:t>1</w:t>
            </w:r>
          </w:p>
        </w:tc>
      </w:tr>
    </w:tbl>
    <w:p w14:paraId="40901CEA" w14:textId="77777777" w:rsidR="000F16EB" w:rsidRDefault="000F16EB" w:rsidP="000F16EB"/>
    <w:p w14:paraId="73B2175E" w14:textId="0D2260A3" w:rsidR="000F16EB" w:rsidRPr="002C4723" w:rsidRDefault="000F16EB" w:rsidP="000F16EB">
      <w:r>
        <w:t xml:space="preserve">As the heat supply from the case study increased, the differences in the results from the two HWT based scenarios, scenarios 1) and 2), became more pronounced. In </w:t>
      </w:r>
      <w:r>
        <w:fldChar w:fldCharType="begin"/>
      </w:r>
      <w:r>
        <w:instrText xml:space="preserve"> REF _Ref526085322 \h </w:instrText>
      </w:r>
      <w:r>
        <w:fldChar w:fldCharType="separate"/>
      </w:r>
      <w:r w:rsidR="00CB7456">
        <w:t xml:space="preserve">Table </w:t>
      </w:r>
      <w:r w:rsidR="00CB7456">
        <w:rPr>
          <w:noProof/>
        </w:rPr>
        <w:t>7</w:t>
      </w:r>
      <w:r w:rsidR="00CB7456">
        <w:t>.</w:t>
      </w:r>
      <w:r w:rsidR="00CB7456">
        <w:rPr>
          <w:noProof/>
        </w:rPr>
        <w:t>7</w:t>
      </w:r>
      <w:r>
        <w:fldChar w:fldCharType="end"/>
      </w:r>
      <w:r>
        <w:t xml:space="preserve">, when the ratio of peak heat supply maxima to peak HD maxima was 1:2.18, the differences between the scenarios was negligible, at 0.67%. In </w:t>
      </w:r>
      <w:r>
        <w:fldChar w:fldCharType="begin"/>
      </w:r>
      <w:r>
        <w:instrText xml:space="preserve"> REF _Ref531181308 \h </w:instrText>
      </w:r>
      <w:r>
        <w:fldChar w:fldCharType="separate"/>
      </w:r>
      <w:r w:rsidR="00CB7456">
        <w:t xml:space="preserve">Table </w:t>
      </w:r>
      <w:r w:rsidR="00CB7456">
        <w:rPr>
          <w:noProof/>
        </w:rPr>
        <w:t>7</w:t>
      </w:r>
      <w:r w:rsidR="00CB7456">
        <w:t>.</w:t>
      </w:r>
      <w:r w:rsidR="00CB7456">
        <w:rPr>
          <w:noProof/>
        </w:rPr>
        <w:t>10</w:t>
      </w:r>
      <w:r>
        <w:fldChar w:fldCharType="end"/>
      </w:r>
      <w:r>
        <w:t xml:space="preserve">, when the ratio of peak heat supply </w:t>
      </w:r>
      <w:r>
        <w:lastRenderedPageBreak/>
        <w:t xml:space="preserve">maxima to peak HD maxima was 1:1.37, the differences between the scenarios was larger, but still less than the industrial reported variation, at 6.7%. In </w:t>
      </w:r>
      <w:r>
        <w:fldChar w:fldCharType="begin"/>
      </w:r>
      <w:r>
        <w:instrText xml:space="preserve"> REF _Ref530578907 \h </w:instrText>
      </w:r>
      <w:r>
        <w:fldChar w:fldCharType="separate"/>
      </w:r>
      <w:r w:rsidR="00CB7456">
        <w:t xml:space="preserve">Table </w:t>
      </w:r>
      <w:r w:rsidR="00CB7456">
        <w:rPr>
          <w:noProof/>
        </w:rPr>
        <w:t>7</w:t>
      </w:r>
      <w:r w:rsidR="00CB7456">
        <w:t>.</w:t>
      </w:r>
      <w:r w:rsidR="00CB7456">
        <w:rPr>
          <w:noProof/>
        </w:rPr>
        <w:t>11</w:t>
      </w:r>
      <w:r>
        <w:fldChar w:fldCharType="end"/>
      </w:r>
      <w:r>
        <w:t>, when the ratio of peak heat supply maxima to peak HD maxima as 1:0.91, the differences between the scenarios was significant, and larger than the industrial reported variation, at 65%. It is still likely that the differences between the HWT based scenario results were due to the methodology used rather than differences between the technologies. Therefore, the DH optimisation methodology may not be suitable at lower ratios of heat supply to HD.</w:t>
      </w:r>
    </w:p>
    <w:p w14:paraId="1237739A" w14:textId="1C9B9970" w:rsidR="000F16EB" w:rsidRDefault="000F16EB" w:rsidP="000F16EB">
      <w:r>
        <w:t xml:space="preserve">When the work was repeated with higher heat supplies, reducing the ratio between the heat supply and the HD, the techno-economic and environmental assessment results were different. As the ratio of supply to demand fell to below approximately 1:2, the choice of which TES system to use became dependent on the lifespan of the DHN and the priority of the user. Scenario 2), the pair of HWTs, was shown to have the smallest annual use of natural gas, resulting in the fewest OPEX and </w:t>
      </w:r>
      <w:r w:rsidRPr="006C44B0">
        <w:t>associated CO</w:t>
      </w:r>
      <w:r w:rsidRPr="006C44B0">
        <w:rPr>
          <w:vertAlign w:val="subscript"/>
        </w:rPr>
        <w:t>2</w:t>
      </w:r>
      <w:r w:rsidRPr="006C44B0">
        <w:t>e emissions.</w:t>
      </w:r>
      <w:r>
        <w:t xml:space="preserve"> It was shown that scenario 2) became the best option from </w:t>
      </w:r>
      <w:r w:rsidRPr="006C44B0">
        <w:t>an environmental view after 2 years and from an economic view after 18 years.</w:t>
      </w:r>
      <w:r>
        <w:t xml:space="preserve"> The differences between the two HWT based scenarios, scenarios 1) and 2), continued to be insignificant, less than 5%. </w:t>
      </w:r>
      <w:r w:rsidRPr="006C44B0">
        <w:t xml:space="preserve">Therefore, if the TES system </w:t>
      </w:r>
      <w:r>
        <w:t>was</w:t>
      </w:r>
      <w:r w:rsidRPr="006C44B0">
        <w:t xml:space="preserve"> to be installed for longer than 18 to 20 years</w:t>
      </w:r>
      <w:r>
        <w:t>,</w:t>
      </w:r>
      <w:r w:rsidRPr="006C44B0">
        <w:t xml:space="preserve"> either of the HWT scenarios </w:t>
      </w:r>
      <w:r>
        <w:t>could</w:t>
      </w:r>
      <w:r w:rsidRPr="006C44B0">
        <w:t xml:space="preserve"> be chosen as the TES.</w:t>
      </w:r>
      <w:r>
        <w:t xml:space="preserve"> It is worth noting that the usual industrial guideline is to </w:t>
      </w:r>
      <w:r w:rsidRPr="006C44B0">
        <w:t xml:space="preserve">only implement new measures and install new technologies that have payback periods </w:t>
      </w:r>
      <w:r>
        <w:t xml:space="preserve">of </w:t>
      </w:r>
      <w:r w:rsidRPr="006C44B0">
        <w:t xml:space="preserve">less than </w:t>
      </w:r>
      <w:r>
        <w:t>three or four</w:t>
      </w:r>
      <w:r w:rsidRPr="006C44B0">
        <w:t xml:space="preserve"> years </w:t>
      </w:r>
      <w:r w:rsidRPr="006C44B0">
        <w:fldChar w:fldCharType="begin" w:fldLock="1"/>
      </w:r>
      <w:r w:rsidR="002A6A73">
        <w:instrText>ADDIN CSL_CITATION {"citationItems":[{"id":"ITEM-1","itemData":{"author":[{"dropping-particle":"","family":"Awomewe","given":"Alaba Femi","non-dropping-particle":"","parse-names":false,"suffix":""},{"dropping-particle":"","family":"Ogundele","given":"Oludele Olawale","non-dropping-particle":"","parse-names":false,"suffix":""}],"id":"ITEM-1","issued":{"date-parts":[["2008"]]},"publisher":"Blekinge Institute of Technology","title":"The importance of the payback method in capital budgeting decision","type":"thesis"},"uris":["http://www.mendeley.com/documents/?uuid=1f036eb0-dc50-453a-a78c-82552f58b254"]},{"id":"ITEM-2","itemData":{"abstract":"District heating is based on a simple idea: the distribution of heat from one or more sources to a number of buildings via a network of pipes carrying steam or hot water. Complementing this simplicity is the complexity of the sociotech- nical processes which lead to the initiation (or not) of a network and shape its emerging configuration. The UK Government has recently signalled an interest in substantially in- creasing the deployment of district heating in the UK from the meagre 1–2% of heat demand it currently serves. This interest is driven by the potential of dis- trict heating to help achieve three key goals of energy policy: security of supply, tackling fuel poverty, and mitigating climate change. This dissertation explores the likely fortunes of district heating in the current UK context by employing (and adapting) a Technological Innovation Systems framework. A wide variety of factors are found to be important to successfully initiating schemes and dealing with the complex coordination problems asso- ciated with their growth. There are several reasons to be optimistic about the near-term prospects for district heating, though a number of issues remain to be overcome. One of these is the fact that local authorities occupy a crucial position, but their engagement is frequently described as “patchy”. While this may in part be attributed to an information deficit, this dissertation explores some of the structural issues of local governance that impede the ability of local authorities to play their full role. Options for dealing with these difficulties are discussed.","author":[{"dropping-particle":"","family":"Hawkey","given":"David John Christopher Hawkey","non-dropping-particle":"","parse-names":false,"suffix":""}],"id":"ITEM-2","issued":{"date-parts":[["2009"]]},"publisher":"University of Edinburgh","title":"Will “District Heating Come To Town”? Analysis Of Current Opportunities And Challenges In The UK","type":"thesis"},"uris":["http://www.mendeley.com/documents/?uuid=075d1379-dd7e-4f05-9aaa-9a41103a0b14"]}],"mendeley":{"formattedCitation":"(Awomewe and Ogundele, 2008; Hawkey, 2009)","plainTextFormattedCitation":"(Awomewe and Ogundele, 2008; Hawkey, 2009)","previouslyFormattedCitation":"(Awomewe and Ogundele, 2008; Hawkey, 2009)"},"properties":{"noteIndex":0},"schema":"https://github.com/citation-style-language/schema/raw/master/csl-citation.json"}</w:instrText>
      </w:r>
      <w:r w:rsidRPr="006C44B0">
        <w:fldChar w:fldCharType="separate"/>
      </w:r>
      <w:r w:rsidR="002A6A73" w:rsidRPr="002A6A73">
        <w:rPr>
          <w:noProof/>
        </w:rPr>
        <w:t>(Awomewe and Ogundele, 2008; Hawkey, 2009)</w:t>
      </w:r>
      <w:r w:rsidRPr="006C44B0">
        <w:fldChar w:fldCharType="end"/>
      </w:r>
      <w:r w:rsidRPr="006C44B0">
        <w:t>.</w:t>
      </w:r>
      <w:r>
        <w:t xml:space="preserve"> As the main purpose of a DHN is to meet environmental, not economic needs and the lifespan of a DHN is longer than 20 </w:t>
      </w:r>
      <w:r w:rsidRPr="006C44B0">
        <w:t xml:space="preserve">years </w:t>
      </w:r>
      <w:r w:rsidRPr="006C44B0">
        <w:fldChar w:fldCharType="begin" w:fldLock="1"/>
      </w:r>
      <w:r w:rsidR="002A6A73">
        <w:instrText>ADDIN CSL_CITATION {"citationItems":[{"id":"ITEM-1","itemData":{"abstract":"District heating is based on a simple idea: the distribution of heat from one or more sources to a number of buildings via a network of pipes carrying steam or hot water. Complementing this simplicity is the complexity of the sociotech- nical processes which lead to the initiation (or not) of a network and shape its emerging configuration. The UK Government has recently signalled an interest in substantially in- creasing the deployment of district heating in the UK from the meagre 1–2% of heat demand it currently serves. This interest is driven by the potential of dis- trict heating to help achieve three key goals of energy policy: security of supply, tackling fuel poverty, and mitigating climate change. This dissertation explores the likely fortunes of district heating in the current UK context by employing (and adapting) a Technological Innovation Systems framework. A wide variety of factors are found to be important to successfully initiating schemes and dealing with the complex coordination problems asso- ciated with their growth. There are several reasons to be optimistic about the near-term prospects for district heating, though a number of issues remain to be overcome. One of these is the fact that local authorities occupy a crucial position, but their engagement is frequently described as “patchy”. While this may in part be attributed to an information deficit, this dissertation explores some of the structural issues of local governance that impede the ability of local authorities to play their full role. Options for dealing with these difficulties are discussed.","author":[{"dropping-particle":"","family":"Hawkey","given":"David John Christopher Hawkey","non-dropping-particle":"","parse-names":false,"suffix":""}],"id":"ITEM-1","issued":{"date-parts":[["2009"]]},"publisher":"University of Edinburgh","title":"Will “District Heating Come To Town”? Analysis Of Current Opportunities And Challenges In The UK","type":"thesis"},"uris":["http://www.mendeley.com/documents/?uuid=075d1379-dd7e-4f05-9aaa-9a41103a0b14"]}],"mendeley":{"formattedCitation":"(Hawkey, 2009)","plainTextFormattedCitation":"(Hawkey, 2009)","previouslyFormattedCitation":"(Hawkey, 2009)"},"properties":{"noteIndex":0},"schema":"https://github.com/citation-style-language/schema/raw/master/csl-citation.json"}</w:instrText>
      </w:r>
      <w:r w:rsidRPr="006C44B0">
        <w:fldChar w:fldCharType="separate"/>
      </w:r>
      <w:r w:rsidR="002A6A73" w:rsidRPr="002A6A73">
        <w:rPr>
          <w:noProof/>
        </w:rPr>
        <w:t>(Hawkey, 2009)</w:t>
      </w:r>
      <w:r w:rsidRPr="006C44B0">
        <w:fldChar w:fldCharType="end"/>
      </w:r>
      <w:r w:rsidRPr="006C44B0">
        <w:t xml:space="preserve">, </w:t>
      </w:r>
      <w:r>
        <w:t>the</w:t>
      </w:r>
      <w:r w:rsidRPr="006C44B0">
        <w:t xml:space="preserve"> HWT tank</w:t>
      </w:r>
      <w:r>
        <w:t xml:space="preserve"> based scenarios</w:t>
      </w:r>
      <w:r w:rsidRPr="006C44B0">
        <w:t xml:space="preserve"> should</w:t>
      </w:r>
      <w:r>
        <w:t xml:space="preserve"> still</w:t>
      </w:r>
      <w:r w:rsidRPr="006C44B0">
        <w:t xml:space="preserve"> be chosen</w:t>
      </w:r>
      <w:r>
        <w:t>.</w:t>
      </w:r>
      <w:r w:rsidRPr="00433548">
        <w:t xml:space="preserve"> </w:t>
      </w:r>
    </w:p>
    <w:p w14:paraId="745A978F" w14:textId="77777777" w:rsidR="000F16EB" w:rsidRDefault="000F16EB" w:rsidP="000F16EB">
      <w:r w:rsidRPr="006C44B0">
        <w:t xml:space="preserve">If the </w:t>
      </w:r>
      <w:r>
        <w:t>lifespan is</w:t>
      </w:r>
      <w:r w:rsidRPr="006C44B0">
        <w:t xml:space="preserve"> less than 18 to 20 years, the choice of best technology is a matter of </w:t>
      </w:r>
      <w:r>
        <w:t>user</w:t>
      </w:r>
      <w:r w:rsidRPr="006C44B0">
        <w:t xml:space="preserve"> priority.</w:t>
      </w:r>
      <w:r>
        <w:t xml:space="preserve"> If the technology is to be installed for less than 18 to 20 years, the best option from an economic view is scenario 4), the network-based TES. However, scenarios 1) and 2)</w:t>
      </w:r>
      <w:r w:rsidRPr="006C44B0">
        <w:t xml:space="preserve"> save between 10 and 50%</w:t>
      </w:r>
      <w:r>
        <w:t xml:space="preserve"> </w:t>
      </w:r>
      <w:r w:rsidRPr="006C44B0">
        <w:t>more CO</w:t>
      </w:r>
      <w:r w:rsidRPr="006C44B0">
        <w:rPr>
          <w:vertAlign w:val="subscript"/>
        </w:rPr>
        <w:t>2</w:t>
      </w:r>
      <w:r w:rsidRPr="006C44B0">
        <w:t>e</w:t>
      </w:r>
      <w:r>
        <w:t xml:space="preserve"> per year</w:t>
      </w:r>
      <w:r w:rsidRPr="006C44B0">
        <w:t xml:space="preserve"> than </w:t>
      </w:r>
      <w:r>
        <w:t>scenario 4)</w:t>
      </w:r>
      <w:r w:rsidRPr="006C44B0">
        <w:t>.</w:t>
      </w:r>
      <w:r>
        <w:t xml:space="preserve"> </w:t>
      </w:r>
      <w:r w:rsidRPr="006C44B0">
        <w:t>If the main priority of the DHN operator is to save money, network-based</w:t>
      </w:r>
      <w:r>
        <w:t xml:space="preserve"> TES</w:t>
      </w:r>
      <w:r w:rsidRPr="006C44B0">
        <w:t xml:space="preserve"> should be implemented; however, if the main priority of the </w:t>
      </w:r>
      <w:r>
        <w:t>user</w:t>
      </w:r>
      <w:r w:rsidRPr="006C44B0">
        <w:t xml:space="preserve"> is to reduce CO</w:t>
      </w:r>
      <w:r w:rsidRPr="006C44B0">
        <w:rPr>
          <w:vertAlign w:val="subscript"/>
        </w:rPr>
        <w:t>2</w:t>
      </w:r>
      <w:r w:rsidRPr="006C44B0">
        <w:t>e emissions then scenarios</w:t>
      </w:r>
      <w:r>
        <w:t xml:space="preserve"> 1) or 2)</w:t>
      </w:r>
      <w:r w:rsidRPr="006C44B0">
        <w:t xml:space="preserve"> should be implemented. In future case studies when the difference between the supply and the demand maxima </w:t>
      </w:r>
      <w:r>
        <w:t>is less than</w:t>
      </w:r>
      <w:r w:rsidRPr="006C44B0">
        <w:t xml:space="preserve"> </w:t>
      </w:r>
      <w:r>
        <w:t xml:space="preserve">approximately </w:t>
      </w:r>
      <w:r w:rsidRPr="006C44B0">
        <w:t>1:2, it is likely that</w:t>
      </w:r>
      <w:r>
        <w:t xml:space="preserve"> the</w:t>
      </w:r>
      <w:r w:rsidRPr="006C44B0">
        <w:t xml:space="preserve"> HWT TES </w:t>
      </w:r>
      <w:r>
        <w:t>scenarios, scenarios 1) or 2),</w:t>
      </w:r>
      <w:r w:rsidRPr="006C44B0">
        <w:t xml:space="preserve"> will be the best option</w:t>
      </w:r>
      <w:r>
        <w:t>s</w:t>
      </w:r>
      <w:r w:rsidRPr="006C44B0">
        <w:t>.</w:t>
      </w:r>
    </w:p>
    <w:p w14:paraId="52754721" w14:textId="77777777" w:rsidR="000F16EB" w:rsidRDefault="000F16EB" w:rsidP="000F16EB">
      <w:pPr>
        <w:rPr>
          <w:color w:val="000000" w:themeColor="text1"/>
        </w:rPr>
      </w:pPr>
      <w:r>
        <w:t xml:space="preserve">As the heat supply continues to rise and the ratio between </w:t>
      </w:r>
      <w:r w:rsidRPr="006C44B0">
        <w:t xml:space="preserve">supply and the demand </w:t>
      </w:r>
      <w:r>
        <w:t xml:space="preserve">further decreases, an ideal point is reached for HWT based TES. When the supply to demand maxima reaches 1:1.56, the HWT tank TES scenarios, scenario 1) and 2), are the best options on </w:t>
      </w:r>
      <w:r>
        <w:rPr>
          <w:color w:val="000000" w:themeColor="text1"/>
        </w:rPr>
        <w:t>economic and environmental scales.</w:t>
      </w:r>
      <w:r w:rsidRPr="00615231">
        <w:rPr>
          <w:color w:val="000000" w:themeColor="text1"/>
        </w:rPr>
        <w:t xml:space="preserve"> </w:t>
      </w:r>
      <w:r>
        <w:rPr>
          <w:color w:val="000000" w:themeColor="text1"/>
        </w:rPr>
        <w:t xml:space="preserve">At the 1:1.56 ratio, the economic payback periods for the HWT scenarios 18 to 20 years and the environmental payback periods are 2 years. As the supply to demand ratio continues to decrease, the time taken for the HWT based scenarios to reach economic payback increases. It is likely that the increase in economic payback time is due to the diminishing benefit of the TES alongside the increased size of the HWT needed. </w:t>
      </w:r>
    </w:p>
    <w:p w14:paraId="78369254" w14:textId="77777777" w:rsidR="000F16EB" w:rsidRPr="006C44B0" w:rsidRDefault="000F16EB" w:rsidP="000F16EB">
      <w:r>
        <w:rPr>
          <w:color w:val="000000" w:themeColor="text1"/>
        </w:rPr>
        <w:t xml:space="preserve">As the heat supply increases beyond the 1:1.56 ratio, the frequency of periods where the HD exceeds the heat supply decrease, reducing the need for installed TES. After the 1:1.56 ratio, the size of the HWT must significantly increase to store all of the excess TE, significantly </w:t>
      </w:r>
      <w:r>
        <w:rPr>
          <w:color w:val="000000" w:themeColor="text1"/>
        </w:rPr>
        <w:lastRenderedPageBreak/>
        <w:t xml:space="preserve">increasing the system costs. When the ratio of </w:t>
      </w:r>
      <w:r>
        <w:t>supply maxima to demand maxima decreases below approximately 1:1.6, the profitability of HWT based TES reduces. At lower ratios of supply to demand, the best TES scenario returns to being scenario 4), TES utilising the thermal inertia of the network.</w:t>
      </w:r>
    </w:p>
    <w:p w14:paraId="60989C72" w14:textId="3A1D29AA" w:rsidR="000F16EB" w:rsidRPr="003650C8" w:rsidRDefault="000F16EB" w:rsidP="000F16EB">
      <w:r w:rsidRPr="003650C8">
        <w:t>During the work in this chapter, no consideration was made to several factors, either due to availability of information or the factors being outside of the scope of the study.</w:t>
      </w:r>
      <w:r w:rsidR="000C4723" w:rsidRPr="003650C8">
        <w:t xml:space="preserve"> When calculating the economic payback period, no consideration was made to the discount rate or lifetime of the TES technologies, which was a limitation in the work.</w:t>
      </w:r>
      <w:r w:rsidRPr="003650C8">
        <w:t xml:space="preserve"> It was assumed that the future projection of the costs and associated CO</w:t>
      </w:r>
      <w:r w:rsidRPr="003650C8">
        <w:rPr>
          <w:vertAlign w:val="subscript"/>
        </w:rPr>
        <w:t>2</w:t>
      </w:r>
      <w:r w:rsidRPr="003650C8">
        <w:t xml:space="preserve">e emissions for natural gas were fixed values. It is likely however, that the prices of natural gas will rise quicker than inflation, acting to reduce the payback period of all TES scenarios. Reducing the payback period will have a particular effect on the HWT based scenarios, scenarios 1) and 2), reducing the number of years it would take them to become the best options economically. It is expected that the emissions associated with the combustion of natural gas will either stay the same or get marginally better, marginally reducing the environmental benefit. However, it is expected that the changes will be minor, so the effect on the results of the chapter should be minimal. </w:t>
      </w:r>
    </w:p>
    <w:p w14:paraId="59B6AC09" w14:textId="77777777" w:rsidR="000F16EB" w:rsidRPr="00FF7473" w:rsidRDefault="000F16EB" w:rsidP="000F16EB">
      <w:r>
        <w:t>No consideration was made to possible financial penalties imposed on</w:t>
      </w:r>
      <w:r w:rsidRPr="00C344BD">
        <w:t xml:space="preserve"> </w:t>
      </w:r>
      <w:r w:rsidRPr="00FF7473">
        <w:t>CO</w:t>
      </w:r>
      <w:r w:rsidRPr="00FF7473">
        <w:rPr>
          <w:vertAlign w:val="subscript"/>
        </w:rPr>
        <w:t>2</w:t>
      </w:r>
      <w:r w:rsidRPr="00FF7473">
        <w:t>e emissions</w:t>
      </w:r>
      <w:r>
        <w:t xml:space="preserve">, which would further </w:t>
      </w:r>
      <w:r w:rsidRPr="00FF7473">
        <w:t>increase the economic savings of each TES system.</w:t>
      </w:r>
      <w:r>
        <w:t xml:space="preserve"> </w:t>
      </w:r>
      <w:proofErr w:type="gramStart"/>
      <w:r w:rsidRPr="00FF7473">
        <w:t>Similarly</w:t>
      </w:r>
      <w:proofErr w:type="gramEnd"/>
      <w:r w:rsidRPr="00FF7473">
        <w:t xml:space="preserve"> to the projected increase in natural gas prices, the CO</w:t>
      </w:r>
      <w:r w:rsidRPr="00FF7473">
        <w:rPr>
          <w:vertAlign w:val="subscript"/>
        </w:rPr>
        <w:t>2</w:t>
      </w:r>
      <w:r w:rsidRPr="00FF7473">
        <w:t>e penalties should reduce the payback period of the HWTs.</w:t>
      </w:r>
    </w:p>
    <w:p w14:paraId="4FF2C151" w14:textId="2F14D4C8" w:rsidR="000F16EB" w:rsidRDefault="000F16EB" w:rsidP="000F16EB">
      <w:r>
        <w:t xml:space="preserve">To stick to the brief of keeping the optimisation model simple enough that a non-technical user could operate it, the model was kept simple in structure. No consideration was made to the effect that increasing the allowable temperature change in the pipe network and the buildings would have on the results. </w:t>
      </w:r>
      <w:r w:rsidRPr="00FF7473">
        <w:t xml:space="preserve">The allowable temperature change in the network was kept as </w:t>
      </w:r>
      <w:r w:rsidR="00C36B79">
        <w:t>± 1</w:t>
      </w:r>
      <w:r w:rsidRPr="00FF7473">
        <w:t xml:space="preserve"> °C</w:t>
      </w:r>
      <w:r>
        <w:t xml:space="preserve"> and</w:t>
      </w:r>
      <w:r w:rsidRPr="00FF7473">
        <w:t xml:space="preserve"> </w:t>
      </w:r>
      <w:r>
        <w:t>i</w:t>
      </w:r>
      <w:r w:rsidRPr="00FF7473">
        <w:t xml:space="preserve">n the buildings, it was kept as </w:t>
      </w:r>
      <w:r w:rsidR="00C36B79">
        <w:t>± 0.5</w:t>
      </w:r>
      <w:r w:rsidRPr="00FF7473">
        <w:t xml:space="preserve"> °C.</w:t>
      </w:r>
      <w:r>
        <w:t xml:space="preserve"> Increasing the allowable temperature changes would allow for more TE to be stored in the systems, improving </w:t>
      </w:r>
      <w:r w:rsidRPr="00FF7473">
        <w:t>the economic and environmental benefits of the network and building TES</w:t>
      </w:r>
      <w:r>
        <w:t xml:space="preserve"> scenarios</w:t>
      </w:r>
      <w:r w:rsidRPr="00FF7473">
        <w:t>.</w:t>
      </w:r>
      <w:r>
        <w:t xml:space="preserve"> However, the temperature changes could not be significant without affecting the performance of the DHN or the thermal comfort in the buildings. Therefore, it is not expected that increasing the allowable temperature changes would have a significant effect on the results of the chapter.</w:t>
      </w:r>
    </w:p>
    <w:p w14:paraId="2EEF176B" w14:textId="77777777" w:rsidR="000F16EB" w:rsidRDefault="000F16EB" w:rsidP="000F16EB">
      <w:pPr>
        <w:pStyle w:val="Heading3"/>
      </w:pPr>
      <w:bookmarkStart w:id="855" w:name="_Toc7187560"/>
      <w:r>
        <w:t>Validation Study</w:t>
      </w:r>
      <w:bookmarkEnd w:id="855"/>
    </w:p>
    <w:p w14:paraId="2562394B" w14:textId="08CF25B5" w:rsidR="000F16EB" w:rsidRPr="00F937F6" w:rsidRDefault="000F16EB" w:rsidP="000F16EB">
      <w:r>
        <w:t xml:space="preserve">Due to time constraints, no validation study to test the accuracy of the DH optimisation model was completed. Unlike the rest of </w:t>
      </w:r>
      <w:r w:rsidR="002F69A7">
        <w:t>this work</w:t>
      </w:r>
      <w:r>
        <w:t>, a validation study should not be needed for the optimisation work. The optimisation model, unlike the rest of the thesis is not novel, instead using (without any modifications) optimisation models from peer review</w:t>
      </w:r>
      <w:r w:rsidR="002F69A7">
        <w:t>ed</w:t>
      </w:r>
      <w:r>
        <w:t xml:space="preserve"> papers. As the models used were sourced from peer reviewed papers, the accuracy of each model can be considered as pre-approved. Therefore, as no modifications were made to any of the optimisation models, the accuracy of the optimisation model in this thesis</w:t>
      </w:r>
      <w:r w:rsidRPr="00F937F6">
        <w:t xml:space="preserve"> </w:t>
      </w:r>
      <w:r>
        <w:t>can be considered as pre</w:t>
      </w:r>
      <w:r>
        <w:noBreakHyphen/>
        <w:t>approved.</w:t>
      </w:r>
    </w:p>
    <w:p w14:paraId="443CA86B" w14:textId="77777777" w:rsidR="000F16EB" w:rsidRDefault="000F16EB" w:rsidP="000F16EB">
      <w:pPr>
        <w:pStyle w:val="Heading2"/>
      </w:pPr>
      <w:bookmarkStart w:id="856" w:name="_Toc525230033"/>
      <w:bookmarkStart w:id="857" w:name="_Toc7187561"/>
      <w:r>
        <w:lastRenderedPageBreak/>
        <w:t>Conclusions</w:t>
      </w:r>
      <w:bookmarkEnd w:id="856"/>
      <w:bookmarkEnd w:id="857"/>
    </w:p>
    <w:p w14:paraId="6615F739" w14:textId="77777777" w:rsidR="000F16EB" w:rsidRDefault="000F16EB" w:rsidP="000F16EB">
      <w:r>
        <w:t xml:space="preserve">This chapter of the thesis aimed to build an optimisation model that could be used for any DHN and that was simple enough that it could be operated by a non-technical user. The model compared the use of four different TES scenarios, using </w:t>
      </w:r>
      <w:proofErr w:type="gramStart"/>
      <w:r>
        <w:t>a</w:t>
      </w:r>
      <w:proofErr w:type="gramEnd"/>
      <w:r>
        <w:t xml:space="preserve"> HJE as a case study. The four scenarios were </w:t>
      </w:r>
      <w:r w:rsidRPr="00B01BD5">
        <w:t>a single 3.6 MWh HWT, two 1.8 MWh HWTs, the thermal inertia of the buildings in the study</w:t>
      </w:r>
      <w:r>
        <w:t>,</w:t>
      </w:r>
      <w:r w:rsidRPr="00B01BD5">
        <w:t xml:space="preserve"> and the thermal inertia of the water in the network.</w:t>
      </w:r>
      <w:r>
        <w:t xml:space="preserve"> A reference scenario was modelled that had no TES systems installed or any of the control measures required to utilise the thermal inertia of the network or the buildings in the study. Instead of TES, the reference scenario utilised a back-up, natural gas fired burner to balance the variation in heat supply and demand in the DHN. The four TES scenarios also utilised the back-up burner to match the heat supply and demand when the TES system was insufficient. Further analysis was done by repeating the work using a range of different heat supply levels, changing the ratio of HD to heat supply. </w:t>
      </w:r>
    </w:p>
    <w:p w14:paraId="73BA2430" w14:textId="77777777" w:rsidR="000F16EB" w:rsidRDefault="000F16EB" w:rsidP="000F16EB">
      <w:r>
        <w:t>It was shown that, in the case study, all four TES scenarios reduced the yearly use of the back</w:t>
      </w:r>
      <w:r>
        <w:noBreakHyphen/>
        <w:t>up burner when compared to the reference scenario. Therefore, it was shown that all the TES scenarios had lower OPEX and CO</w:t>
      </w:r>
      <w:r>
        <w:rPr>
          <w:vertAlign w:val="subscript"/>
        </w:rPr>
        <w:t>2</w:t>
      </w:r>
      <w:r>
        <w:t>e emissions. The total costs of all TES scenarios were shown to be lower than the reference scenario within 22 years, with reduced CO</w:t>
      </w:r>
      <w:r>
        <w:rPr>
          <w:vertAlign w:val="subscript"/>
        </w:rPr>
        <w:t>2</w:t>
      </w:r>
      <w:r>
        <w:t>e emissions within 2 years.</w:t>
      </w:r>
    </w:p>
    <w:p w14:paraId="470B4783" w14:textId="77777777" w:rsidR="000F16EB" w:rsidRDefault="000F16EB" w:rsidP="000F16EB">
      <w:r>
        <w:t xml:space="preserve">The greatest reduction in the use of the back-up burner was shown to come from scenario 4), TES using the thermal inertia of the pipe network. Therefore, the greatest yearly economic and environmental savings came from scenario 4), which was shown to be capable of storing TE for the longest time period, eight hours. It was shown that, regardless of the time period being considered, the </w:t>
      </w:r>
      <w:r>
        <w:rPr>
          <w:i/>
        </w:rPr>
        <w:t>best</w:t>
      </w:r>
      <w:r>
        <w:t xml:space="preserve"> TES scenario was TES in the thermal inertia of the pipe network.</w:t>
      </w:r>
    </w:p>
    <w:p w14:paraId="16C35305" w14:textId="77777777" w:rsidR="000F16EB" w:rsidRDefault="000F16EB" w:rsidP="000F16EB">
      <w:r>
        <w:t>It was shown that the worst reduction in the use of the natural gas burner came from scenario 3), TES utilising the thermal inertia of the buildings. It was explained the poor performance of the building-based TES came from the small number of buildings connected to the case study DHN. Therefore, the non-technical user was advised not to use building</w:t>
      </w:r>
      <w:r>
        <w:noBreakHyphen/>
        <w:t>based TES in small DHNs.</w:t>
      </w:r>
    </w:p>
    <w:p w14:paraId="5E54A5E8" w14:textId="77777777" w:rsidR="000F16EB" w:rsidRDefault="000F16EB" w:rsidP="000F16EB">
      <w:r>
        <w:t>Scenarios 1) and 2), the HWT based options, were shown to generate insignificantly different results to each other in most assessments. It was explained that any differences in the results were due to the methodology used, rather than inherent differences between the two technologies. Therefore, it was advised that the non-technical user could use either of the scenarios in any given situation, giving more flexibility to the DHN design.</w:t>
      </w:r>
    </w:p>
    <w:p w14:paraId="706D8CDF" w14:textId="77777777" w:rsidR="000F16EB" w:rsidRDefault="000F16EB" w:rsidP="000F16EB">
      <w:r>
        <w:t xml:space="preserve">All TES scenarios were shown to increase the RWMLVs and to be incapable of storing TE for longer than eight hours. </w:t>
      </w:r>
      <w:bookmarkStart w:id="858" w:name="_Hlk525208275"/>
      <w:r>
        <w:t>The non-technical user was advised not to use any of the TES scenarios for longer than daily storage needs.</w:t>
      </w:r>
    </w:p>
    <w:bookmarkEnd w:id="858"/>
    <w:p w14:paraId="35C22DD0" w14:textId="77777777" w:rsidR="000F16EB" w:rsidRDefault="000F16EB" w:rsidP="000F16EB">
      <w:r>
        <w:t xml:space="preserve">When the work was repeated with the range of different heat supplies, it was shown that the choice of the best TES scenario was more subjective and case dependent. The choice of the best TES scenario was dependent on the ratio of heat supply maxima to HD maxima. It was shown that when the supply to demand ratio was greater than roughly 1:2, the greatest reduction in the yearly use of the back-up burner came from scenario 4), TES using the </w:t>
      </w:r>
      <w:r>
        <w:lastRenderedPageBreak/>
        <w:t xml:space="preserve">thermal inertia of the pipe network. As the supply to demand ratio reduced to below 1:2, it was shown that the greatest reduction in the yearly use of the back-up burner came from scenario 1) and 2), the HWT based options. However, the economic payback period of both HWT scenarios was longer than the industrial standard. For under 18 to 20 years of operation, the total costs of the network-based TES scenario were lower. Therefore, the non-technical user was advised to base the choice of the TES system on the time frame and their priorities. </w:t>
      </w:r>
    </w:p>
    <w:p w14:paraId="7564667E" w14:textId="02619736" w:rsidR="000F16EB" w:rsidRDefault="000F16EB" w:rsidP="000F16EB">
      <w:r>
        <w:t xml:space="preserve">If the time frame </w:t>
      </w:r>
      <w:bookmarkStart w:id="859" w:name="_Hlk525208572"/>
      <w:r>
        <w:t xml:space="preserve">is over 18 to 20 years </w:t>
      </w:r>
      <w:r>
        <w:rPr>
          <w:i/>
        </w:rPr>
        <w:t>OR</w:t>
      </w:r>
      <w:r>
        <w:t xml:space="preserve"> the priority of the user is the environmental benefit of the network, not economic savings, </w:t>
      </w:r>
      <w:r>
        <w:rPr>
          <w:i/>
        </w:rPr>
        <w:t>HWT based TES should be used.</w:t>
      </w:r>
      <w:r>
        <w:t xml:space="preserve"> If the time frame is under 18 to 20 years </w:t>
      </w:r>
      <w:r>
        <w:rPr>
          <w:i/>
        </w:rPr>
        <w:t>AND</w:t>
      </w:r>
      <w:r>
        <w:t xml:space="preserve"> the priority of the user is economic savings of the network, not the environmental benefit, </w:t>
      </w:r>
      <w:r>
        <w:rPr>
          <w:i/>
        </w:rPr>
        <w:t>TES utilising the thermal inertia of the pipe network should be used.</w:t>
      </w:r>
      <w:r>
        <w:t xml:space="preserve"> </w:t>
      </w:r>
      <w:bookmarkEnd w:id="859"/>
      <w:r>
        <w:t>When the ratio of supply to demand falls below roughly 1:1.16, it was shown that the benefits of the HWT based TES reduces. It was advised that the user should utilise network-based TES when the ratio of supply to demand is less than 1:1.16.</w:t>
      </w:r>
    </w:p>
    <w:p w14:paraId="74F2AEEE" w14:textId="3638856C" w:rsidR="00896F41" w:rsidRPr="00B96BB1" w:rsidRDefault="00896F41" w:rsidP="000F16EB">
      <w:r>
        <w:t>One limitation of this section of work is that no attempt was made to reduce the maximum size of the burner needed. It is possible that greater cost reductions could be achieved by minimising the maximum size of the burner needed, instead of just reducing the amount of natural gas used in the burner. Reducing the maximum size of the burner would require some scheduling of the TES system to discharge when the peak burner demand is anticipated.</w:t>
      </w:r>
    </w:p>
    <w:bookmarkEnd w:id="755"/>
    <w:p w14:paraId="41D83E5D" w14:textId="76C33D07" w:rsidR="000F16EB" w:rsidRDefault="000F16EB">
      <w:pPr>
        <w:jc w:val="left"/>
      </w:pPr>
      <w:r>
        <w:br w:type="page"/>
      </w:r>
    </w:p>
    <w:p w14:paraId="131928AE" w14:textId="77777777" w:rsidR="000F16EB" w:rsidRDefault="000F16EB" w:rsidP="000F16EB">
      <w:pPr>
        <w:pStyle w:val="Heading1"/>
      </w:pPr>
      <w:bookmarkStart w:id="860" w:name="_Ref531345125"/>
      <w:bookmarkStart w:id="861" w:name="_Toc7187562"/>
      <w:r>
        <w:lastRenderedPageBreak/>
        <w:t>Techno-Economic and Environmental Assessments</w:t>
      </w:r>
      <w:bookmarkEnd w:id="860"/>
      <w:bookmarkEnd w:id="861"/>
    </w:p>
    <w:p w14:paraId="473A5235" w14:textId="77777777" w:rsidR="000F16EB" w:rsidRPr="00EE1534" w:rsidRDefault="000F16EB" w:rsidP="000F16EB">
      <w:r>
        <w:t>The purpose of the techno-economic and environmental assessment of the DHN is to compare the network to the incumbent natural gas heat supply. If the environmental impact of the DHN is worse than natural gas heating, then the primary goal of the network, reducing the environmental effects of heating, has failed. If the costs of the DHN are higher than the incumbent heat supply, then it is unlikely that customers will be persuaded to connect to the network. Therefore, the network would have similarly failed at reducing the environmental effects of heating. In addition, the network would have failed at its secondary goal, helping to tackle fuel poverty. However, it is possible that if the network fails to be economically feasible it might become so with either some external funding, either from the government or a private source.</w:t>
      </w:r>
    </w:p>
    <w:p w14:paraId="2370A188" w14:textId="77777777" w:rsidR="000F16EB" w:rsidRDefault="000F16EB" w:rsidP="000F16EB">
      <w:pPr>
        <w:pStyle w:val="Heading2"/>
      </w:pPr>
      <w:bookmarkStart w:id="862" w:name="_Toc7187563"/>
      <w:r>
        <w:t>Methodology</w:t>
      </w:r>
      <w:bookmarkEnd w:id="862"/>
    </w:p>
    <w:p w14:paraId="32F1B5EC" w14:textId="77777777" w:rsidR="000F16EB" w:rsidRDefault="000F16EB" w:rsidP="000F16EB">
      <w:r>
        <w:t xml:space="preserve">In keeping with the overall aim of the thesis, the techno-economic and environmental assessments were left simple and generic in nature. Therefore, a non-technical user would be capable of using either assessment for any DHN in the country. The general basis of each assessment was to compare the total initial and ongoing positive and negative costs or emissions from each section of the network. The techno-economic assessment used </w:t>
      </w:r>
      <w:proofErr w:type="gramStart"/>
      <w:r>
        <w:t>a</w:t>
      </w:r>
      <w:proofErr w:type="gramEnd"/>
      <w:r>
        <w:t xml:space="preserve"> NPV methodology whereas the environmental assessment merely followed a standard comparison.</w:t>
      </w:r>
    </w:p>
    <w:p w14:paraId="7DDCFE90" w14:textId="77777777" w:rsidR="000F16EB" w:rsidRDefault="000F16EB" w:rsidP="000F16EB">
      <w:pPr>
        <w:pStyle w:val="Heading3"/>
      </w:pPr>
      <w:bookmarkStart w:id="863" w:name="_Toc7187564"/>
      <w:r>
        <w:t>Techno-Economic Assessment Methodology</w:t>
      </w:r>
      <w:bookmarkEnd w:id="863"/>
    </w:p>
    <w:p w14:paraId="221EE6BB" w14:textId="783FCCE6" w:rsidR="000F16EB" w:rsidRDefault="000F16EB" w:rsidP="000F16EB">
      <w:r>
        <w:t xml:space="preserve">The basis of the techno-economic assessment was the NPV, as shown in Equation </w:t>
      </w:r>
      <w:r>
        <w:fldChar w:fldCharType="begin"/>
      </w:r>
      <w:r>
        <w:instrText xml:space="preserve"> REF _Ref531104342 \h </w:instrText>
      </w:r>
      <w:r>
        <w:fldChar w:fldCharType="separate"/>
      </w:r>
      <w:r w:rsidR="00CB7456">
        <w:rPr>
          <w:noProof/>
        </w:rPr>
        <w:t>8</w:t>
      </w:r>
      <w:r w:rsidR="00CB7456">
        <w:t>.</w:t>
      </w:r>
      <w:r w:rsidR="00CB7456">
        <w:rPr>
          <w:noProof/>
        </w:rPr>
        <w:t>1</w:t>
      </w:r>
      <w:r>
        <w:fldChar w:fldCharType="end"/>
      </w:r>
      <w:r>
        <w:t>. The NPV calculated the expected value of the DHN at the current moment considering its potential value at some point in the future.</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37"/>
        <w:gridCol w:w="239"/>
        <w:gridCol w:w="822"/>
      </w:tblGrid>
      <w:tr w:rsidR="000F16EB" w14:paraId="16F19205" w14:textId="77777777" w:rsidTr="00A7521D">
        <w:tc>
          <w:tcPr>
            <w:tcW w:w="7137" w:type="dxa"/>
            <w:hideMark/>
          </w:tcPr>
          <w:p w14:paraId="168656B3" w14:textId="77777777" w:rsidR="000F16EB" w:rsidRDefault="000F16EB" w:rsidP="00A7521D">
            <w:pPr>
              <w:keepNext/>
              <w:rPr>
                <w:color w:val="FFFFFF"/>
              </w:rPr>
            </w:pPr>
            <m:oMathPara>
              <m:oMathParaPr>
                <m:jc m:val="left"/>
              </m:oMathParaPr>
              <m:oMath>
                <m:r>
                  <w:rPr>
                    <w:rFonts w:ascii="Cambria Math" w:hAnsi="Cambria Math"/>
                  </w:rPr>
                  <m:t>NPV=</m:t>
                </m:r>
                <m:f>
                  <m:fPr>
                    <m:ctrlPr>
                      <w:rPr>
                        <w:rFonts w:ascii="Cambria Math" w:hAnsi="Cambria Math"/>
                        <w:i/>
                      </w:rPr>
                    </m:ctrlPr>
                  </m:fPr>
                  <m:num>
                    <m:sSub>
                      <m:sSubPr>
                        <m:ctrlPr>
                          <w:rPr>
                            <w:rFonts w:ascii="Cambria Math" w:hAnsi="Cambria Math"/>
                            <w:i/>
                          </w:rPr>
                        </m:ctrlPr>
                      </m:sSubPr>
                      <m:e>
                        <m:r>
                          <w:rPr>
                            <w:rFonts w:ascii="Cambria Math" w:hAnsi="Cambria Math"/>
                          </w:rPr>
                          <m:t>CF</m:t>
                        </m:r>
                      </m:e>
                      <m:sub>
                        <m:r>
                          <w:rPr>
                            <w:rFonts w:ascii="Cambria Math" w:hAnsi="Cambria Math"/>
                          </w:rPr>
                          <m:t>0</m:t>
                        </m:r>
                      </m:sub>
                    </m:sSub>
                  </m:num>
                  <m:den>
                    <m:sSup>
                      <m:sSupPr>
                        <m:ctrlPr>
                          <w:rPr>
                            <w:rFonts w:ascii="Cambria Math" w:hAnsi="Cambria Math"/>
                            <w:i/>
                          </w:rPr>
                        </m:ctrlPr>
                      </m:sSupPr>
                      <m:e>
                        <m:r>
                          <w:rPr>
                            <w:rFonts w:ascii="Cambria Math" w:hAnsi="Cambria Math"/>
                          </w:rPr>
                          <m:t>(1+r)</m:t>
                        </m:r>
                      </m:e>
                      <m:sup>
                        <m:r>
                          <w:rPr>
                            <w:rFonts w:ascii="Cambria Math" w:hAnsi="Cambria Math"/>
                          </w:rPr>
                          <m:t>0</m:t>
                        </m:r>
                      </m:sup>
                    </m:sSup>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CF</m:t>
                        </m:r>
                      </m:e>
                      <m:sub>
                        <m:r>
                          <w:rPr>
                            <w:rFonts w:ascii="Cambria Math" w:hAnsi="Cambria Math"/>
                          </w:rPr>
                          <m:t>1</m:t>
                        </m:r>
                      </m:sub>
                    </m:sSub>
                  </m:num>
                  <m:den>
                    <m:sSup>
                      <m:sSupPr>
                        <m:ctrlPr>
                          <w:rPr>
                            <w:rFonts w:ascii="Cambria Math" w:hAnsi="Cambria Math"/>
                            <w:i/>
                          </w:rPr>
                        </m:ctrlPr>
                      </m:sSupPr>
                      <m:e>
                        <m:r>
                          <w:rPr>
                            <w:rFonts w:ascii="Cambria Math" w:hAnsi="Cambria Math"/>
                          </w:rPr>
                          <m:t>(1+r)</m:t>
                        </m:r>
                      </m:e>
                      <m:sup>
                        <m:r>
                          <w:rPr>
                            <w:rFonts w:ascii="Cambria Math" w:hAnsi="Cambria Math"/>
                          </w:rPr>
                          <m:t>1</m:t>
                        </m:r>
                      </m:sup>
                    </m:sSup>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CF</m:t>
                        </m:r>
                      </m:e>
                      <m:sub>
                        <m:r>
                          <w:rPr>
                            <w:rFonts w:ascii="Cambria Math" w:hAnsi="Cambria Math"/>
                          </w:rPr>
                          <m:t>t</m:t>
                        </m:r>
                      </m:sub>
                    </m:sSub>
                  </m:num>
                  <m:den>
                    <m:sSup>
                      <m:sSupPr>
                        <m:ctrlPr>
                          <w:rPr>
                            <w:rFonts w:ascii="Cambria Math" w:hAnsi="Cambria Math"/>
                            <w:i/>
                          </w:rPr>
                        </m:ctrlPr>
                      </m:sSupPr>
                      <m:e>
                        <m:r>
                          <w:rPr>
                            <w:rFonts w:ascii="Cambria Math" w:hAnsi="Cambria Math"/>
                          </w:rPr>
                          <m:t>(1+r)</m:t>
                        </m:r>
                      </m:e>
                      <m:sup>
                        <m:r>
                          <w:rPr>
                            <w:rFonts w:ascii="Cambria Math" w:hAnsi="Cambria Math"/>
                          </w:rPr>
                          <m:t>t</m:t>
                        </m:r>
                      </m:sup>
                    </m:sSup>
                  </m:den>
                </m:f>
              </m:oMath>
            </m:oMathPara>
          </w:p>
        </w:tc>
        <w:tc>
          <w:tcPr>
            <w:tcW w:w="239" w:type="dxa"/>
            <w:hideMark/>
          </w:tcPr>
          <w:p w14:paraId="3AB8BE6F" w14:textId="77777777" w:rsidR="000F16EB" w:rsidRDefault="000F16EB" w:rsidP="00A7521D">
            <w:pPr>
              <w:pStyle w:val="Caption"/>
              <w:jc w:val="right"/>
            </w:pPr>
            <w:r>
              <w:t xml:space="preserve"> </w:t>
            </w:r>
          </w:p>
        </w:tc>
        <w:bookmarkStart w:id="864" w:name="_Ref531104342"/>
        <w:tc>
          <w:tcPr>
            <w:tcW w:w="822" w:type="dxa"/>
            <w:vAlign w:val="center"/>
            <w:hideMark/>
          </w:tcPr>
          <w:p w14:paraId="5C6E8502" w14:textId="12EF6258" w:rsidR="000F16EB" w:rsidRDefault="000F16EB" w:rsidP="00A7521D">
            <w:pPr>
              <w:pStyle w:val="Caption"/>
              <w:jc w:val="right"/>
              <w:rPr>
                <w:b w:val="0"/>
              </w:rPr>
            </w:pPr>
            <w:r>
              <w:fldChar w:fldCharType="begin"/>
            </w:r>
            <w:r>
              <w:instrText xml:space="preserve"> STYLEREF 1 \s </w:instrText>
            </w:r>
            <w:r>
              <w:fldChar w:fldCharType="separate"/>
            </w:r>
            <w:r w:rsidR="00CB7456">
              <w:rPr>
                <w:noProof/>
              </w:rPr>
              <w:t>8</w:t>
            </w:r>
            <w:r>
              <w:fldChar w:fldCharType="end"/>
            </w:r>
            <w:r>
              <w:t>.</w:t>
            </w:r>
            <w:r>
              <w:rPr>
                <w:noProof/>
              </w:rPr>
              <w:fldChar w:fldCharType="begin"/>
            </w:r>
            <w:r>
              <w:rPr>
                <w:noProof/>
              </w:rPr>
              <w:instrText xml:space="preserve"> SEQ Equation \* ARABIC \s 1 </w:instrText>
            </w:r>
            <w:r>
              <w:rPr>
                <w:noProof/>
              </w:rPr>
              <w:fldChar w:fldCharType="separate"/>
            </w:r>
            <w:r w:rsidR="00CB7456">
              <w:rPr>
                <w:noProof/>
              </w:rPr>
              <w:t>1</w:t>
            </w:r>
            <w:r>
              <w:rPr>
                <w:noProof/>
              </w:rPr>
              <w:fldChar w:fldCharType="end"/>
            </w:r>
            <w:bookmarkEnd w:id="864"/>
          </w:p>
        </w:tc>
      </w:tr>
    </w:tbl>
    <w:p w14:paraId="4C7B79B2" w14:textId="77777777" w:rsidR="000F16EB" w:rsidRDefault="000F16EB" w:rsidP="002C79E5">
      <w:pPr>
        <w:pStyle w:val="NoSpacing"/>
      </w:pPr>
    </w:p>
    <w:p w14:paraId="37F87E20" w14:textId="77777777" w:rsidR="000F16EB" w:rsidRDefault="00C73E04" w:rsidP="000F16EB">
      <w:pPr>
        <w:pStyle w:val="NoSpacing"/>
      </w:pPr>
      <m:oMath>
        <m:sSub>
          <m:sSubPr>
            <m:ctrlPr>
              <w:rPr>
                <w:rFonts w:ascii="Cambria Math" w:hAnsi="Cambria Math"/>
                <w:i/>
              </w:rPr>
            </m:ctrlPr>
          </m:sSubPr>
          <m:e>
            <m:r>
              <w:rPr>
                <w:rFonts w:ascii="Cambria Math" w:hAnsi="Cambria Math"/>
              </w:rPr>
              <m:t>CF</m:t>
            </m:r>
          </m:e>
          <m:sub>
            <m:r>
              <w:rPr>
                <w:rFonts w:ascii="Cambria Math" w:hAnsi="Cambria Math"/>
              </w:rPr>
              <m:t>t</m:t>
            </m:r>
          </m:sub>
        </m:sSub>
      </m:oMath>
      <w:r w:rsidR="000F16EB">
        <w:t xml:space="preserve"> is the cash flow in year, </w:t>
      </w:r>
      <w:r w:rsidR="000F16EB">
        <w:rPr>
          <w:i/>
        </w:rPr>
        <w:t>t</w:t>
      </w:r>
      <w:r w:rsidR="000F16EB">
        <w:t>,</w:t>
      </w:r>
    </w:p>
    <w:p w14:paraId="530B7102" w14:textId="77777777" w:rsidR="000F16EB" w:rsidRPr="00F777D5" w:rsidRDefault="000F16EB" w:rsidP="000F16EB">
      <m:oMath>
        <m:r>
          <w:rPr>
            <w:rFonts w:ascii="Cambria Math" w:hAnsi="Cambria Math"/>
          </w:rPr>
          <m:t>r</m:t>
        </m:r>
      </m:oMath>
      <w:r>
        <w:t xml:space="preserve"> is the cost of the capital.</w:t>
      </w:r>
    </w:p>
    <w:p w14:paraId="78FB3C54" w14:textId="4E8F9201" w:rsidR="000F16EB" w:rsidRDefault="000F16EB" w:rsidP="000F16EB">
      <w:r>
        <w:t xml:space="preserve">The NPV calculation was based on a series of assumptions and relationships, based on techno-economic modelling work completed by Parsons Brinckerhoff </w:t>
      </w:r>
      <w:r>
        <w:fldChar w:fldCharType="begin" w:fldLock="1"/>
      </w:r>
      <w:r w:rsidR="002A6A73">
        <w:instrText>ADDIN CSL_CITATION {"citationItems":[{"id":"ITEM-1","itemData":{"author":[{"dropping-particle":"","family":"Parsons Brinckerhoff","given":"","non-dropping-particle":"","parse-names":false,"suffix":""}],"id":"ITEM-1","issue":"May","issued":{"date-parts":[["2011"]]},"publisher-place":"London, England","title":"A District Heating Utility for the Tees Valley: Study into the strategic use of waste heat and supply of private sector customers","type":"report"},"uris":["http://www.mendeley.com/documents/?uuid=5e08822c-bb7b-4846-8fd8-71bc94ccfc29"]}],"mendeley":{"formattedCitation":"(Parsons Brinckerhoff, 2011)","plainTextFormattedCitation":"(Parsons Brinckerhoff, 2011)","previouslyFormattedCitation":"(Parsons Brinckerhoff, 2011)"},"properties":{"noteIndex":0},"schema":"https://github.com/citation-style-language/schema/raw/master/csl-citation.json"}</w:instrText>
      </w:r>
      <w:r>
        <w:fldChar w:fldCharType="separate"/>
      </w:r>
      <w:r w:rsidR="002A6A73" w:rsidRPr="002A6A73">
        <w:rPr>
          <w:noProof/>
        </w:rPr>
        <w:t>(Parsons Brinckerhoff, 2011)</w:t>
      </w:r>
      <w:r>
        <w:fldChar w:fldCharType="end"/>
      </w:r>
      <w:r>
        <w:t xml:space="preserve">. It was assumed that the customers would only connect to the network if they could be offered a reduction in the price they currently pay for their heating. Consequently, the sale price of the heat was a 15% reduction on the total cost that the customers pay for their heating, averaged across the network. The 15% reduction included both the total costs that the customers pay for their heat and the annual costs of boiler maintenance. The annual maintenance costs for the boilers were found using a conversion from size, as shown in </w:t>
      </w:r>
      <w:r>
        <w:fldChar w:fldCharType="begin"/>
      </w:r>
      <w:r>
        <w:instrText xml:space="preserve"> REF _Ref529442152 \h </w:instrText>
      </w:r>
      <w:r>
        <w:fldChar w:fldCharType="separate"/>
      </w:r>
      <w:r w:rsidR="00CB7456">
        <w:t xml:space="preserve">Table </w:t>
      </w:r>
      <w:r w:rsidR="00CB7456">
        <w:rPr>
          <w:noProof/>
        </w:rPr>
        <w:t>8</w:t>
      </w:r>
      <w:r w:rsidR="00CB7456">
        <w:t>.</w:t>
      </w:r>
      <w:r w:rsidR="00CB7456">
        <w:rPr>
          <w:noProof/>
        </w:rPr>
        <w:t>1</w:t>
      </w:r>
      <w:r>
        <w:fldChar w:fldCharType="end"/>
      </w:r>
      <w:r>
        <w:t xml:space="preserve"> </w:t>
      </w:r>
      <w:r>
        <w:fldChar w:fldCharType="begin" w:fldLock="1"/>
      </w:r>
      <w:r w:rsidR="002A6A73">
        <w:instrText>ADDIN CSL_CITATION {"citationItems":[{"id":"ITEM-1","itemData":{"author":[{"dropping-particle":"","family":"Parsons Brinckerhoff","given":"","non-dropping-particle":"","parse-names":false,"suffix":""}],"id":"ITEM-1","issue":"May","issued":{"date-parts":[["2011"]]},"publisher-place":"London, England","title":"A District Heating Utility for the Tees Valley: Study into the strategic use of waste heat and supply of private sector customers","type":"report"},"uris":["http://www.mendeley.com/documents/?uuid=5e08822c-bb7b-4846-8fd8-71bc94ccfc29"]}],"mendeley":{"formattedCitation":"(Parsons Brinckerhoff, 2011)","plainTextFormattedCitation":"(Parsons Brinckerhoff, 2011)","previouslyFormattedCitation":"(Parsons Brinckerhoff, 2011)"},"properties":{"noteIndex":0},"schema":"https://github.com/citation-style-language/schema/raw/master/csl-citation.json"}</w:instrText>
      </w:r>
      <w:r>
        <w:fldChar w:fldCharType="separate"/>
      </w:r>
      <w:r w:rsidR="002A6A73" w:rsidRPr="002A6A73">
        <w:rPr>
          <w:noProof/>
        </w:rPr>
        <w:t>(Parsons Brinckerhoff, 2011)</w:t>
      </w:r>
      <w:r>
        <w:fldChar w:fldCharType="end"/>
      </w:r>
      <w:r>
        <w:t>.</w:t>
      </w:r>
    </w:p>
    <w:p w14:paraId="59466437" w14:textId="77777777" w:rsidR="000F16EB" w:rsidRDefault="000F16EB" w:rsidP="000F16EB">
      <w:pPr>
        <w:jc w:val="left"/>
        <w:rPr>
          <w:b/>
          <w:bCs/>
          <w:sz w:val="18"/>
          <w:szCs w:val="18"/>
        </w:rPr>
      </w:pPr>
      <w:r>
        <w:br w:type="page"/>
      </w:r>
    </w:p>
    <w:p w14:paraId="7C7F7C00" w14:textId="092754F7" w:rsidR="000F16EB" w:rsidRDefault="000F16EB" w:rsidP="000F16EB">
      <w:pPr>
        <w:pStyle w:val="Caption"/>
        <w:keepNext/>
      </w:pPr>
      <w:bookmarkStart w:id="865" w:name="_Ref529442152"/>
      <w:bookmarkStart w:id="866" w:name="_Toc7187708"/>
      <w:r>
        <w:lastRenderedPageBreak/>
        <w:t xml:space="preserve">Table </w:t>
      </w:r>
      <w:fldSimple w:instr=" STYLEREF 1 \s ">
        <w:r w:rsidR="00CB7456">
          <w:rPr>
            <w:noProof/>
          </w:rPr>
          <w:t>8</w:t>
        </w:r>
      </w:fldSimple>
      <w:r w:rsidR="009E1A67">
        <w:t>.</w:t>
      </w:r>
      <w:fldSimple w:instr=" SEQ Table \* ARABIC \s 1 ">
        <w:r w:rsidR="00CB7456">
          <w:rPr>
            <w:noProof/>
          </w:rPr>
          <w:t>1</w:t>
        </w:r>
      </w:fldSimple>
      <w:bookmarkEnd w:id="865"/>
      <w:r>
        <w:rPr>
          <w:noProof/>
        </w:rPr>
        <w:t>:</w:t>
      </w:r>
      <w:r>
        <w:t xml:space="preserve"> Annual boiler maintenance </w:t>
      </w:r>
      <w:r w:rsidRPr="00537667">
        <w:t xml:space="preserve">costs </w:t>
      </w:r>
      <w:r w:rsidRPr="00537667">
        <w:fldChar w:fldCharType="begin" w:fldLock="1"/>
      </w:r>
      <w:r w:rsidR="002A6A73" w:rsidRPr="00537667">
        <w:instrText>ADDIN CSL_CITATION {"citationItems":[{"id":"ITEM-1","itemData":{"author":[{"dropping-particle":"","family":"Parsons Brinckerhoff","given":"","non-dropping-particle":"","parse-names":false,"suffix":""}],"id":"ITEM-1","issue":"May","issued":{"date-parts":[["2011"]]},"publisher-place":"London, England","title":"A District Heating Utility for the Tees Valley: Study into the strategic use of waste heat and supply of private sector customers","type":"report"},"uris":["http://www.mendeley.com/documents/?uuid=5e08822c-bb7b-4846-8fd8-71bc94ccfc29"]}],"mendeley":{"formattedCitation":"(Parsons Brinckerhoff, 2011)","plainTextFormattedCitation":"(Parsons Brinckerhoff, 2011)","previouslyFormattedCitation":"(Parsons Brinckerhoff, 2011)"},"properties":{"noteIndex":0},"schema":"https://github.com/citation-style-language/schema/raw/master/csl-citation.json"}</w:instrText>
      </w:r>
      <w:r w:rsidRPr="00537667">
        <w:fldChar w:fldCharType="separate"/>
      </w:r>
      <w:r w:rsidR="002A6A73" w:rsidRPr="00537667">
        <w:rPr>
          <w:noProof/>
        </w:rPr>
        <w:t>(Parsons Brinckerhoff, 2011)</w:t>
      </w:r>
      <w:r w:rsidRPr="00537667">
        <w:fldChar w:fldCharType="end"/>
      </w:r>
      <w:r w:rsidRPr="00537667">
        <w:t>.</w:t>
      </w:r>
      <w:bookmarkEnd w:id="866"/>
    </w:p>
    <w:tbl>
      <w:tblPr>
        <w:tblStyle w:val="TableGrid"/>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5"/>
        <w:gridCol w:w="2126"/>
      </w:tblGrid>
      <w:tr w:rsidR="000F16EB" w14:paraId="4F65D23D" w14:textId="77777777" w:rsidTr="00A7521D">
        <w:trPr>
          <w:jc w:val="center"/>
        </w:trPr>
        <w:tc>
          <w:tcPr>
            <w:tcW w:w="1555" w:type="dxa"/>
            <w:tcBorders>
              <w:bottom w:val="single" w:sz="4" w:space="0" w:color="auto"/>
            </w:tcBorders>
          </w:tcPr>
          <w:p w14:paraId="41C50D07" w14:textId="77777777" w:rsidR="000F16EB" w:rsidRPr="005B0CFE" w:rsidRDefault="000F16EB" w:rsidP="00A7521D">
            <w:pPr>
              <w:jc w:val="center"/>
            </w:pPr>
            <w:r>
              <w:t>Boiler capacity (</w:t>
            </w:r>
            <w:proofErr w:type="spellStart"/>
            <w:r>
              <w:t>kW</w:t>
            </w:r>
            <w:r>
              <w:rPr>
                <w:vertAlign w:val="subscript"/>
              </w:rPr>
              <w:t>th</w:t>
            </w:r>
            <w:proofErr w:type="spellEnd"/>
            <w:r>
              <w:t>)</w:t>
            </w:r>
          </w:p>
        </w:tc>
        <w:tc>
          <w:tcPr>
            <w:tcW w:w="2126" w:type="dxa"/>
            <w:tcBorders>
              <w:bottom w:val="single" w:sz="4" w:space="0" w:color="auto"/>
            </w:tcBorders>
          </w:tcPr>
          <w:p w14:paraId="3F91974A" w14:textId="77777777" w:rsidR="000F16EB" w:rsidRDefault="000F16EB" w:rsidP="00A7521D">
            <w:pPr>
              <w:jc w:val="center"/>
            </w:pPr>
            <w:r>
              <w:t>Annual maintenance costs (£/year)</w:t>
            </w:r>
          </w:p>
        </w:tc>
      </w:tr>
      <w:tr w:rsidR="000F16EB" w14:paraId="1EBCFFDB" w14:textId="77777777" w:rsidTr="00A7521D">
        <w:trPr>
          <w:jc w:val="center"/>
        </w:trPr>
        <w:tc>
          <w:tcPr>
            <w:tcW w:w="1555" w:type="dxa"/>
            <w:tcBorders>
              <w:top w:val="single" w:sz="4" w:space="0" w:color="auto"/>
              <w:bottom w:val="nil"/>
            </w:tcBorders>
          </w:tcPr>
          <w:p w14:paraId="103F5EA1" w14:textId="77777777" w:rsidR="000F16EB" w:rsidRDefault="000F16EB" w:rsidP="00A7521D">
            <w:pPr>
              <w:jc w:val="center"/>
            </w:pPr>
            <w:r>
              <w:t>1</w:t>
            </w:r>
          </w:p>
        </w:tc>
        <w:tc>
          <w:tcPr>
            <w:tcW w:w="2126" w:type="dxa"/>
            <w:tcBorders>
              <w:top w:val="single" w:sz="4" w:space="0" w:color="auto"/>
              <w:bottom w:val="nil"/>
            </w:tcBorders>
          </w:tcPr>
          <w:p w14:paraId="6A1E129D" w14:textId="77777777" w:rsidR="000F16EB" w:rsidRDefault="000F16EB" w:rsidP="00A7521D">
            <w:pPr>
              <w:jc w:val="center"/>
            </w:pPr>
            <w:r>
              <w:t>200</w:t>
            </w:r>
          </w:p>
        </w:tc>
      </w:tr>
      <w:tr w:rsidR="000F16EB" w14:paraId="39748AC0" w14:textId="77777777" w:rsidTr="00A7521D">
        <w:trPr>
          <w:jc w:val="center"/>
        </w:trPr>
        <w:tc>
          <w:tcPr>
            <w:tcW w:w="1555" w:type="dxa"/>
            <w:tcBorders>
              <w:top w:val="nil"/>
            </w:tcBorders>
          </w:tcPr>
          <w:p w14:paraId="53B040D6" w14:textId="77777777" w:rsidR="000F16EB" w:rsidRDefault="000F16EB" w:rsidP="00A7521D">
            <w:pPr>
              <w:jc w:val="center"/>
            </w:pPr>
            <w:r>
              <w:t>50</w:t>
            </w:r>
          </w:p>
        </w:tc>
        <w:tc>
          <w:tcPr>
            <w:tcW w:w="2126" w:type="dxa"/>
            <w:tcBorders>
              <w:top w:val="nil"/>
            </w:tcBorders>
          </w:tcPr>
          <w:p w14:paraId="2BB42823" w14:textId="77777777" w:rsidR="000F16EB" w:rsidRDefault="000F16EB" w:rsidP="00A7521D">
            <w:pPr>
              <w:jc w:val="center"/>
            </w:pPr>
            <w:r>
              <w:t>200</w:t>
            </w:r>
          </w:p>
        </w:tc>
      </w:tr>
      <w:tr w:rsidR="000F16EB" w14:paraId="502E235E" w14:textId="77777777" w:rsidTr="00A7521D">
        <w:trPr>
          <w:jc w:val="center"/>
        </w:trPr>
        <w:tc>
          <w:tcPr>
            <w:tcW w:w="1555" w:type="dxa"/>
          </w:tcPr>
          <w:p w14:paraId="46FBBEE4" w14:textId="77777777" w:rsidR="000F16EB" w:rsidRDefault="000F16EB" w:rsidP="00A7521D">
            <w:pPr>
              <w:jc w:val="center"/>
            </w:pPr>
            <w:r>
              <w:t>100</w:t>
            </w:r>
          </w:p>
        </w:tc>
        <w:tc>
          <w:tcPr>
            <w:tcW w:w="2126" w:type="dxa"/>
          </w:tcPr>
          <w:p w14:paraId="42D7142F" w14:textId="77777777" w:rsidR="000F16EB" w:rsidRDefault="000F16EB" w:rsidP="00A7521D">
            <w:pPr>
              <w:jc w:val="center"/>
            </w:pPr>
            <w:r>
              <w:t>350</w:t>
            </w:r>
          </w:p>
        </w:tc>
      </w:tr>
      <w:tr w:rsidR="000F16EB" w14:paraId="33D9A92B" w14:textId="77777777" w:rsidTr="00A7521D">
        <w:trPr>
          <w:jc w:val="center"/>
        </w:trPr>
        <w:tc>
          <w:tcPr>
            <w:tcW w:w="1555" w:type="dxa"/>
          </w:tcPr>
          <w:p w14:paraId="150FB441" w14:textId="77777777" w:rsidR="000F16EB" w:rsidRDefault="000F16EB" w:rsidP="00A7521D">
            <w:pPr>
              <w:jc w:val="center"/>
            </w:pPr>
            <w:r>
              <w:t>200</w:t>
            </w:r>
          </w:p>
        </w:tc>
        <w:tc>
          <w:tcPr>
            <w:tcW w:w="2126" w:type="dxa"/>
          </w:tcPr>
          <w:p w14:paraId="1682D2B2" w14:textId="77777777" w:rsidR="000F16EB" w:rsidRDefault="000F16EB" w:rsidP="00A7521D">
            <w:pPr>
              <w:jc w:val="center"/>
            </w:pPr>
            <w:r>
              <w:t>400</w:t>
            </w:r>
          </w:p>
        </w:tc>
      </w:tr>
      <w:tr w:rsidR="000F16EB" w14:paraId="27259BAB" w14:textId="77777777" w:rsidTr="00A7521D">
        <w:trPr>
          <w:jc w:val="center"/>
        </w:trPr>
        <w:tc>
          <w:tcPr>
            <w:tcW w:w="1555" w:type="dxa"/>
          </w:tcPr>
          <w:p w14:paraId="403B9A6E" w14:textId="77777777" w:rsidR="000F16EB" w:rsidRDefault="000F16EB" w:rsidP="00A7521D">
            <w:pPr>
              <w:jc w:val="center"/>
            </w:pPr>
            <w:r>
              <w:t>500</w:t>
            </w:r>
          </w:p>
        </w:tc>
        <w:tc>
          <w:tcPr>
            <w:tcW w:w="2126" w:type="dxa"/>
          </w:tcPr>
          <w:p w14:paraId="49A05690" w14:textId="77777777" w:rsidR="000F16EB" w:rsidRDefault="000F16EB" w:rsidP="00A7521D">
            <w:pPr>
              <w:jc w:val="center"/>
            </w:pPr>
            <w:r>
              <w:t>500</w:t>
            </w:r>
          </w:p>
        </w:tc>
      </w:tr>
      <w:tr w:rsidR="000F16EB" w14:paraId="6AF823C0" w14:textId="77777777" w:rsidTr="00A7521D">
        <w:trPr>
          <w:jc w:val="center"/>
        </w:trPr>
        <w:tc>
          <w:tcPr>
            <w:tcW w:w="1555" w:type="dxa"/>
          </w:tcPr>
          <w:p w14:paraId="68D1C24A" w14:textId="77777777" w:rsidR="000F16EB" w:rsidRDefault="000F16EB" w:rsidP="00A7521D">
            <w:pPr>
              <w:jc w:val="center"/>
            </w:pPr>
            <w:r>
              <w:t>1,000</w:t>
            </w:r>
          </w:p>
        </w:tc>
        <w:tc>
          <w:tcPr>
            <w:tcW w:w="2126" w:type="dxa"/>
          </w:tcPr>
          <w:p w14:paraId="5217828C" w14:textId="77777777" w:rsidR="000F16EB" w:rsidRDefault="000F16EB" w:rsidP="00A7521D">
            <w:pPr>
              <w:jc w:val="center"/>
            </w:pPr>
            <w:r>
              <w:t>600</w:t>
            </w:r>
          </w:p>
        </w:tc>
      </w:tr>
      <w:tr w:rsidR="000F16EB" w14:paraId="58D145F1" w14:textId="77777777" w:rsidTr="00A7521D">
        <w:trPr>
          <w:jc w:val="center"/>
        </w:trPr>
        <w:tc>
          <w:tcPr>
            <w:tcW w:w="1555" w:type="dxa"/>
          </w:tcPr>
          <w:p w14:paraId="4C80765C" w14:textId="77777777" w:rsidR="000F16EB" w:rsidRDefault="000F16EB" w:rsidP="00A7521D">
            <w:pPr>
              <w:jc w:val="center"/>
            </w:pPr>
            <w:r>
              <w:t>5,000</w:t>
            </w:r>
          </w:p>
        </w:tc>
        <w:tc>
          <w:tcPr>
            <w:tcW w:w="2126" w:type="dxa"/>
          </w:tcPr>
          <w:p w14:paraId="774979C4" w14:textId="77777777" w:rsidR="000F16EB" w:rsidRDefault="000F16EB" w:rsidP="00A7521D">
            <w:pPr>
              <w:jc w:val="center"/>
            </w:pPr>
            <w:r>
              <w:t>1,250</w:t>
            </w:r>
          </w:p>
        </w:tc>
      </w:tr>
      <w:tr w:rsidR="000F16EB" w14:paraId="6DF17E6D" w14:textId="77777777" w:rsidTr="00A7521D">
        <w:trPr>
          <w:jc w:val="center"/>
        </w:trPr>
        <w:tc>
          <w:tcPr>
            <w:tcW w:w="1555" w:type="dxa"/>
          </w:tcPr>
          <w:p w14:paraId="6F75248F" w14:textId="77777777" w:rsidR="000F16EB" w:rsidRDefault="000F16EB" w:rsidP="00A7521D">
            <w:pPr>
              <w:jc w:val="center"/>
            </w:pPr>
            <w:r>
              <w:t>10,000</w:t>
            </w:r>
          </w:p>
        </w:tc>
        <w:tc>
          <w:tcPr>
            <w:tcW w:w="2126" w:type="dxa"/>
          </w:tcPr>
          <w:p w14:paraId="7C08855F" w14:textId="77777777" w:rsidR="000F16EB" w:rsidRDefault="000F16EB" w:rsidP="00A7521D">
            <w:pPr>
              <w:jc w:val="center"/>
            </w:pPr>
            <w:r>
              <w:t>2,000</w:t>
            </w:r>
          </w:p>
        </w:tc>
      </w:tr>
    </w:tbl>
    <w:p w14:paraId="648C119C" w14:textId="77777777" w:rsidR="000F16EB" w:rsidRDefault="000F16EB" w:rsidP="002C79E5">
      <w:pPr>
        <w:pStyle w:val="NoSpacing"/>
      </w:pPr>
    </w:p>
    <w:p w14:paraId="6C8C6ACE" w14:textId="7790A739" w:rsidR="000F16EB" w:rsidRDefault="000F16EB" w:rsidP="000F16EB">
      <w:r>
        <w:t xml:space="preserve">As </w:t>
      </w:r>
      <w:r w:rsidR="00537667">
        <w:t>discussed</w:t>
      </w:r>
      <w:r>
        <w:t xml:space="preserve"> in chapter </w:t>
      </w:r>
      <w:r w:rsidR="00537667">
        <w:fldChar w:fldCharType="begin"/>
      </w:r>
      <w:r w:rsidR="00537667">
        <w:instrText xml:space="preserve"> REF _Ref531344632 \n \h </w:instrText>
      </w:r>
      <w:r w:rsidR="00537667">
        <w:fldChar w:fldCharType="separate"/>
      </w:r>
      <w:r w:rsidR="00CB7456">
        <w:t>5</w:t>
      </w:r>
      <w:r w:rsidR="00537667">
        <w:fldChar w:fldCharType="end"/>
      </w:r>
      <w:r>
        <w:t xml:space="preserve"> it was assumed that the economic costs of the WHR equipment would belong to the WH source. Therefore, the WHR costs were ignored in the techno-economic assessment. It was assumed that the money generated by the sale of the WH to the DHN would cover the costs of the WHR equipment.</w:t>
      </w:r>
    </w:p>
    <w:p w14:paraId="61EA5892" w14:textId="1C28F24E" w:rsidR="000F16EB" w:rsidRDefault="000F16EB" w:rsidP="000F16EB">
      <w:r>
        <w:t xml:space="preserve">The costs of the pipe network were calculated using a conversion between pipe thickness and costs, as shown in </w:t>
      </w:r>
      <w:r>
        <w:fldChar w:fldCharType="begin"/>
      </w:r>
      <w:r>
        <w:instrText xml:space="preserve"> REF _Ref529442813 \h </w:instrText>
      </w:r>
      <w:r>
        <w:fldChar w:fldCharType="separate"/>
      </w:r>
      <w:r w:rsidR="00CB7456">
        <w:t xml:space="preserve">Table </w:t>
      </w:r>
      <w:r w:rsidR="00CB7456">
        <w:rPr>
          <w:noProof/>
        </w:rPr>
        <w:t>8</w:t>
      </w:r>
      <w:r w:rsidR="00CB7456">
        <w:t>.</w:t>
      </w:r>
      <w:r w:rsidR="00CB7456">
        <w:rPr>
          <w:noProof/>
        </w:rPr>
        <w:t>2</w:t>
      </w:r>
      <w:r>
        <w:fldChar w:fldCharType="end"/>
      </w:r>
      <w:r>
        <w:t xml:space="preserve">, </w:t>
      </w:r>
      <w:r>
        <w:fldChar w:fldCharType="begin" w:fldLock="1"/>
      </w:r>
      <w:r w:rsidR="002A6A73">
        <w:instrText>ADDIN CSL_CITATION {"citationItems":[{"id":"ITEM-1","itemData":{"author":[{"dropping-particle":"","family":"Raine","given":"Robert D.","non-dropping-particle":"","parse-names":false,"suffix":""}],"id":"ITEM-1","issue":"September","issued":{"date-parts":[["2016"]]},"publisher":"The University of Sheffield","title":"Sheffield's Low Carbon Heat Network and its Energy Storage Potential","type":"thesis"},"uris":["http://www.mendeley.com/documents/?uuid=0da79248-4750-47cc-88f3-dc5d70fc24ff"]}],"mendeley":{"formattedCitation":"(Raine, 2016)","plainTextFormattedCitation":"(Raine, 2016)","previouslyFormattedCitation":"(Raine, 2016)"},"properties":{"noteIndex":0},"schema":"https://github.com/citation-style-language/schema/raw/master/csl-citation.json"}</w:instrText>
      </w:r>
      <w:r>
        <w:fldChar w:fldCharType="separate"/>
      </w:r>
      <w:r w:rsidR="002A6A73" w:rsidRPr="002A6A73">
        <w:rPr>
          <w:noProof/>
        </w:rPr>
        <w:t>(Raine, 2016)</w:t>
      </w:r>
      <w:r>
        <w:fldChar w:fldCharType="end"/>
      </w:r>
      <w:r>
        <w:t>.</w:t>
      </w:r>
    </w:p>
    <w:p w14:paraId="7654BD11" w14:textId="7A78E819" w:rsidR="000F16EB" w:rsidRDefault="000F16EB" w:rsidP="000F16EB">
      <w:pPr>
        <w:pStyle w:val="Caption"/>
        <w:keepNext/>
      </w:pPr>
      <w:bookmarkStart w:id="867" w:name="_Ref529442813"/>
      <w:bookmarkStart w:id="868" w:name="_Toc7187709"/>
      <w:r>
        <w:t xml:space="preserve">Table </w:t>
      </w:r>
      <w:fldSimple w:instr=" STYLEREF 1 \s ">
        <w:r w:rsidR="00CB7456">
          <w:rPr>
            <w:noProof/>
          </w:rPr>
          <w:t>8</w:t>
        </w:r>
      </w:fldSimple>
      <w:r w:rsidR="009E1A67">
        <w:t>.</w:t>
      </w:r>
      <w:fldSimple w:instr=" SEQ Table \* ARABIC \s 1 ">
        <w:r w:rsidR="00CB7456">
          <w:rPr>
            <w:noProof/>
          </w:rPr>
          <w:t>2</w:t>
        </w:r>
      </w:fldSimple>
      <w:bookmarkEnd w:id="867"/>
      <w:r>
        <w:t>: Cost of the pipe networ</w:t>
      </w:r>
      <w:r w:rsidRPr="00A62E7A">
        <w:t xml:space="preserve">k </w:t>
      </w:r>
      <w:r w:rsidRPr="00537667">
        <w:fldChar w:fldCharType="begin" w:fldLock="1"/>
      </w:r>
      <w:r w:rsidR="002A6A73" w:rsidRPr="00537667">
        <w:instrText>ADDIN CSL_CITATION {"citationItems":[{"id":"ITEM-1","itemData":{"author":[{"dropping-particle":"","family":"Raine","given":"Robert D.","non-dropping-particle":"","parse-names":false,"suffix":""}],"id":"ITEM-1","issue":"September","issued":{"date-parts":[["2016"]]},"publisher":"The University of Sheffield","title":"Sheffield's Low Carbon Heat Network and its Energy Storage Potential","type":"thesis"},"uris":["http://www.mendeley.com/documents/?uuid=0da79248-4750-47cc-88f3-dc5d70fc24ff"]}],"mendeley":{"formattedCitation":"(Raine, 2016)","plainTextFormattedCitation":"(Raine, 2016)","previouslyFormattedCitation":"(Raine, 2016)"},"properties":{"noteIndex":0},"schema":"https://github.com/citation-style-language/schema/raw/master/csl-citation.json"}</w:instrText>
      </w:r>
      <w:r w:rsidRPr="00537667">
        <w:fldChar w:fldCharType="separate"/>
      </w:r>
      <w:r w:rsidR="002A6A73" w:rsidRPr="00537667">
        <w:rPr>
          <w:noProof/>
        </w:rPr>
        <w:t>(Raine, 2016)</w:t>
      </w:r>
      <w:r w:rsidRPr="00537667">
        <w:fldChar w:fldCharType="end"/>
      </w:r>
      <w:r w:rsidRPr="00537667">
        <w:t>.</w:t>
      </w:r>
      <w:bookmarkEnd w:id="868"/>
    </w:p>
    <w:tbl>
      <w:tblPr>
        <w:tblStyle w:val="TableGrid"/>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5"/>
        <w:gridCol w:w="2126"/>
      </w:tblGrid>
      <w:tr w:rsidR="000F16EB" w14:paraId="0D97DD51" w14:textId="77777777" w:rsidTr="00A7521D">
        <w:trPr>
          <w:jc w:val="center"/>
        </w:trPr>
        <w:tc>
          <w:tcPr>
            <w:tcW w:w="1555" w:type="dxa"/>
            <w:tcBorders>
              <w:bottom w:val="single" w:sz="4" w:space="0" w:color="auto"/>
            </w:tcBorders>
          </w:tcPr>
          <w:p w14:paraId="2BE621D3" w14:textId="77777777" w:rsidR="000F16EB" w:rsidRDefault="000F16EB" w:rsidP="00A7521D">
            <w:pPr>
              <w:jc w:val="center"/>
            </w:pPr>
            <w:r>
              <w:t>Pipe diameter (mm)</w:t>
            </w:r>
          </w:p>
        </w:tc>
        <w:tc>
          <w:tcPr>
            <w:tcW w:w="2126" w:type="dxa"/>
            <w:tcBorders>
              <w:bottom w:val="single" w:sz="4" w:space="0" w:color="auto"/>
            </w:tcBorders>
          </w:tcPr>
          <w:p w14:paraId="36AC5DD1" w14:textId="77777777" w:rsidR="000F16EB" w:rsidRDefault="000F16EB" w:rsidP="00A7521D">
            <w:pPr>
              <w:jc w:val="center"/>
            </w:pPr>
            <w:r>
              <w:t>Pipe and trench costs (£ million/km)</w:t>
            </w:r>
          </w:p>
        </w:tc>
      </w:tr>
      <w:tr w:rsidR="000F16EB" w14:paraId="369C13F7" w14:textId="77777777" w:rsidTr="00A7521D">
        <w:trPr>
          <w:jc w:val="center"/>
        </w:trPr>
        <w:tc>
          <w:tcPr>
            <w:tcW w:w="1555" w:type="dxa"/>
            <w:tcBorders>
              <w:top w:val="single" w:sz="4" w:space="0" w:color="auto"/>
              <w:bottom w:val="nil"/>
            </w:tcBorders>
          </w:tcPr>
          <w:p w14:paraId="16121D5B" w14:textId="77777777" w:rsidR="000F16EB" w:rsidRDefault="000F16EB" w:rsidP="00A7521D">
            <w:pPr>
              <w:jc w:val="center"/>
            </w:pPr>
            <w:r>
              <w:t>100</w:t>
            </w:r>
          </w:p>
        </w:tc>
        <w:tc>
          <w:tcPr>
            <w:tcW w:w="2126" w:type="dxa"/>
            <w:tcBorders>
              <w:top w:val="single" w:sz="4" w:space="0" w:color="auto"/>
              <w:bottom w:val="nil"/>
            </w:tcBorders>
          </w:tcPr>
          <w:p w14:paraId="4FFCF6FC" w14:textId="77777777" w:rsidR="000F16EB" w:rsidRDefault="000F16EB" w:rsidP="00A7521D">
            <w:pPr>
              <w:jc w:val="center"/>
            </w:pPr>
            <w:r>
              <w:t>0.5</w:t>
            </w:r>
          </w:p>
        </w:tc>
      </w:tr>
      <w:tr w:rsidR="000F16EB" w14:paraId="53FE3F0A" w14:textId="77777777" w:rsidTr="00A7521D">
        <w:trPr>
          <w:jc w:val="center"/>
        </w:trPr>
        <w:tc>
          <w:tcPr>
            <w:tcW w:w="1555" w:type="dxa"/>
            <w:tcBorders>
              <w:top w:val="nil"/>
            </w:tcBorders>
          </w:tcPr>
          <w:p w14:paraId="1CB6AC38" w14:textId="77777777" w:rsidR="000F16EB" w:rsidRDefault="000F16EB" w:rsidP="00A7521D">
            <w:pPr>
              <w:jc w:val="center"/>
            </w:pPr>
            <w:r>
              <w:t>200</w:t>
            </w:r>
          </w:p>
        </w:tc>
        <w:tc>
          <w:tcPr>
            <w:tcW w:w="2126" w:type="dxa"/>
            <w:tcBorders>
              <w:top w:val="nil"/>
            </w:tcBorders>
          </w:tcPr>
          <w:p w14:paraId="26F9B0BE" w14:textId="77777777" w:rsidR="000F16EB" w:rsidRDefault="000F16EB" w:rsidP="00A7521D">
            <w:pPr>
              <w:jc w:val="center"/>
            </w:pPr>
            <w:r>
              <w:t>0.9</w:t>
            </w:r>
          </w:p>
        </w:tc>
      </w:tr>
      <w:tr w:rsidR="000F16EB" w14:paraId="6E543793" w14:textId="77777777" w:rsidTr="00A7521D">
        <w:trPr>
          <w:jc w:val="center"/>
        </w:trPr>
        <w:tc>
          <w:tcPr>
            <w:tcW w:w="1555" w:type="dxa"/>
          </w:tcPr>
          <w:p w14:paraId="5BC5508D" w14:textId="77777777" w:rsidR="000F16EB" w:rsidRDefault="000F16EB" w:rsidP="00A7521D">
            <w:pPr>
              <w:jc w:val="center"/>
            </w:pPr>
            <w:r>
              <w:t>300</w:t>
            </w:r>
          </w:p>
        </w:tc>
        <w:tc>
          <w:tcPr>
            <w:tcW w:w="2126" w:type="dxa"/>
          </w:tcPr>
          <w:p w14:paraId="3BB01CF8" w14:textId="77777777" w:rsidR="000F16EB" w:rsidRDefault="000F16EB" w:rsidP="00A7521D">
            <w:pPr>
              <w:jc w:val="center"/>
            </w:pPr>
            <w:r>
              <w:t>1.4</w:t>
            </w:r>
          </w:p>
        </w:tc>
      </w:tr>
      <w:tr w:rsidR="000F16EB" w14:paraId="49A9D7F3" w14:textId="77777777" w:rsidTr="00A7521D">
        <w:trPr>
          <w:jc w:val="center"/>
        </w:trPr>
        <w:tc>
          <w:tcPr>
            <w:tcW w:w="1555" w:type="dxa"/>
          </w:tcPr>
          <w:p w14:paraId="2FE4E84E" w14:textId="77777777" w:rsidR="000F16EB" w:rsidRDefault="000F16EB" w:rsidP="00A7521D">
            <w:pPr>
              <w:jc w:val="center"/>
            </w:pPr>
            <w:r>
              <w:t>400</w:t>
            </w:r>
          </w:p>
        </w:tc>
        <w:tc>
          <w:tcPr>
            <w:tcW w:w="2126" w:type="dxa"/>
          </w:tcPr>
          <w:p w14:paraId="7BB0D35F" w14:textId="77777777" w:rsidR="000F16EB" w:rsidRDefault="000F16EB" w:rsidP="00A7521D">
            <w:pPr>
              <w:jc w:val="center"/>
            </w:pPr>
            <w:r>
              <w:t>1.8</w:t>
            </w:r>
          </w:p>
        </w:tc>
      </w:tr>
      <w:tr w:rsidR="000F16EB" w14:paraId="1AFA4A20" w14:textId="77777777" w:rsidTr="00A7521D">
        <w:trPr>
          <w:jc w:val="center"/>
        </w:trPr>
        <w:tc>
          <w:tcPr>
            <w:tcW w:w="1555" w:type="dxa"/>
          </w:tcPr>
          <w:p w14:paraId="13CE699C" w14:textId="77777777" w:rsidR="000F16EB" w:rsidRDefault="000F16EB" w:rsidP="00A7521D">
            <w:pPr>
              <w:jc w:val="center"/>
            </w:pPr>
            <w:r>
              <w:t>500</w:t>
            </w:r>
          </w:p>
        </w:tc>
        <w:tc>
          <w:tcPr>
            <w:tcW w:w="2126" w:type="dxa"/>
          </w:tcPr>
          <w:p w14:paraId="70B64176" w14:textId="77777777" w:rsidR="000F16EB" w:rsidRDefault="000F16EB" w:rsidP="00A7521D">
            <w:pPr>
              <w:jc w:val="center"/>
            </w:pPr>
            <w:r>
              <w:t>2.3</w:t>
            </w:r>
          </w:p>
        </w:tc>
      </w:tr>
    </w:tbl>
    <w:p w14:paraId="0EFA63A7" w14:textId="77777777" w:rsidR="000F16EB" w:rsidRDefault="000F16EB" w:rsidP="002C79E5">
      <w:pPr>
        <w:pStyle w:val="NoSpacing"/>
      </w:pPr>
    </w:p>
    <w:p w14:paraId="36CDAFB9" w14:textId="1DDF2448" w:rsidR="000F16EB" w:rsidRDefault="000F16EB" w:rsidP="000F16EB">
      <w:pPr>
        <w:rPr>
          <w:iCs/>
        </w:rPr>
      </w:pPr>
      <w:r>
        <w:t xml:space="preserve">The costs of the primary pumping station were calculated based on a conversion from capacity to CAPEX, as shown in </w:t>
      </w:r>
      <w:r>
        <w:fldChar w:fldCharType="begin"/>
      </w:r>
      <w:r>
        <w:instrText xml:space="preserve"> REF _Ref529443288 \h </w:instrText>
      </w:r>
      <w:r>
        <w:fldChar w:fldCharType="separate"/>
      </w:r>
      <w:r w:rsidR="00CB7456">
        <w:t xml:space="preserve">Figure </w:t>
      </w:r>
      <w:r w:rsidR="00CB7456">
        <w:rPr>
          <w:noProof/>
        </w:rPr>
        <w:t>8</w:t>
      </w:r>
      <w:r w:rsidR="00CB7456">
        <w:t>.</w:t>
      </w:r>
      <w:r w:rsidR="00CB7456">
        <w:rPr>
          <w:noProof/>
        </w:rPr>
        <w:t>1</w:t>
      </w:r>
      <w:r>
        <w:fldChar w:fldCharType="end"/>
      </w:r>
      <w:r>
        <w:t xml:space="preserve"> </w:t>
      </w:r>
      <w:r>
        <w:fldChar w:fldCharType="begin" w:fldLock="1"/>
      </w:r>
      <w:r w:rsidR="00FF4B5D">
        <w:instrText>ADDIN CSL_CITATION {"citationItems":[{"id":"ITEM-1","itemData":{"DOI":"10.2172/797810","ISBN":"DOE/NETL-2002/1169; TRN: US200216%%97 United States10.2172/797810TRN: US200216%%97Tue Feb 05 04:43:31 EST 2008OSTI as DE00797810NETLEnglish","author":[{"dropping-particle":"","family":"Loh","given":"H P","non-dropping-particle":"","parse-names":false,"suffix":""},{"dropping-particle":"","family":"Lyons","given":"Jennifer","non-dropping-particle":"","parse-names":false,"suffix":""},{"dropping-particle":"","family":"White","given":"Charles W","non-dropping-particle":"","parse-names":false,"suffix":""}],"id":"ITEM-1","issued":{"date-parts":[["2002"]]},"publisher-place":"Pittsburgh, USA","title":"Process Equipment Cost Estimation, Final Report","type":"report"},"uris":["http://www.mendeley.com/documents/?uuid=4ffe8c63-0c44-435a-ba78-2c8a30558f92"]}],"mendeley":{"formattedCitation":"(Loh &lt;i&gt;et al.&lt;/i&gt;, 2002)","plainTextFormattedCitation":"(Loh et al., 2002)","previouslyFormattedCitation":"(Loh &lt;i&gt;et al.&lt;/i&gt;, 2002)"},"properties":{"noteIndex":0},"schema":"https://github.com/citation-style-language/schema/raw/master/csl-citation.json"}</w:instrText>
      </w:r>
      <w:r>
        <w:fldChar w:fldCharType="separate"/>
      </w:r>
      <w:r w:rsidR="005F544E" w:rsidRPr="005F544E">
        <w:rPr>
          <w:noProof/>
        </w:rPr>
        <w:t xml:space="preserve">(Loh </w:t>
      </w:r>
      <w:r w:rsidR="005F544E" w:rsidRPr="005F544E">
        <w:rPr>
          <w:i/>
          <w:noProof/>
        </w:rPr>
        <w:t>et al.</w:t>
      </w:r>
      <w:r w:rsidR="005F544E" w:rsidRPr="005F544E">
        <w:rPr>
          <w:noProof/>
        </w:rPr>
        <w:t>, 2002)</w:t>
      </w:r>
      <w:r>
        <w:fldChar w:fldCharType="end"/>
      </w:r>
      <w:r>
        <w:t xml:space="preserve">. </w:t>
      </w:r>
      <w:r>
        <w:rPr>
          <w:iCs/>
        </w:rPr>
        <w:t xml:space="preserve">The OPEX of a pump were calculated based on an equation presented by the Engineering Toolbox, as shown in Equation </w:t>
      </w:r>
      <w:r>
        <w:rPr>
          <w:iCs/>
        </w:rPr>
        <w:fldChar w:fldCharType="begin"/>
      </w:r>
      <w:r>
        <w:rPr>
          <w:iCs/>
        </w:rPr>
        <w:instrText xml:space="preserve"> REF _Ref531104395 \h </w:instrText>
      </w:r>
      <w:r>
        <w:rPr>
          <w:iCs/>
        </w:rPr>
      </w:r>
      <w:r>
        <w:rPr>
          <w:iCs/>
        </w:rPr>
        <w:fldChar w:fldCharType="separate"/>
      </w:r>
      <w:r w:rsidR="00CB7456">
        <w:rPr>
          <w:noProof/>
        </w:rPr>
        <w:t>8</w:t>
      </w:r>
      <w:r w:rsidR="00CB7456">
        <w:t>.</w:t>
      </w:r>
      <w:r w:rsidR="00CB7456">
        <w:rPr>
          <w:noProof/>
        </w:rPr>
        <w:t>2</w:t>
      </w:r>
      <w:r>
        <w:rPr>
          <w:iCs/>
        </w:rPr>
        <w:fldChar w:fldCharType="end"/>
      </w:r>
      <w:r w:rsidR="005F2EFD">
        <w:rPr>
          <w:iCs/>
        </w:rPr>
        <w:t>, which is adapted from the Engineering Toolbox</w:t>
      </w:r>
      <w:r w:rsidR="006B360F">
        <w:rPr>
          <w:iCs/>
        </w:rPr>
        <w:t xml:space="preserve"> </w:t>
      </w:r>
      <w:r w:rsidR="006B360F">
        <w:rPr>
          <w:iCs/>
        </w:rPr>
        <w:fldChar w:fldCharType="begin" w:fldLock="1"/>
      </w:r>
      <w:r w:rsidR="006B360F">
        <w:rPr>
          <w:iCs/>
        </w:rPr>
        <w:instrText>ADDIN CSL_CITATION {"citationItems":[{"id":"ITEM-1","itemData":{"URL":"https://www.engineeringtoolbox.com/water-pumping-costs-d_1527.html","accessed":{"date-parts":[["2018","9","14"]]},"author":[{"dropping-particle":"","family":"The Engineering Toolbox","given":"","non-dropping-particle":"","parse-names":false,"suffix":""}],"id":"ITEM-1","issued":{"date-parts":[["2009"]]},"title":"Pumping Water - Costs","type":"webpage"},"uris":["http://www.mendeley.com/documents/?uuid=a6bc56f1-d959-4a33-a3ba-a111f03a8e44"]}],"mendeley":{"formattedCitation":"(The Engineering Toolbox, 2009)","plainTextFormattedCitation":"(The Engineering Toolbox, 2009)","previouslyFormattedCitation":"(The Engineering Toolbox, 2009)"},"properties":{"noteIndex":0},"schema":"https://github.com/citation-style-language/schema/raw/master/csl-citation.json"}</w:instrText>
      </w:r>
      <w:r w:rsidR="006B360F">
        <w:rPr>
          <w:iCs/>
        </w:rPr>
        <w:fldChar w:fldCharType="separate"/>
      </w:r>
      <w:r w:rsidR="006B360F" w:rsidRPr="002A6A73">
        <w:rPr>
          <w:iCs/>
          <w:noProof/>
        </w:rPr>
        <w:t>(The Engineering Toolbox, 2009)</w:t>
      </w:r>
      <w:r w:rsidR="006B360F">
        <w:rPr>
          <w:iCs/>
        </w:rPr>
        <w:fldChar w:fldCharType="end"/>
      </w:r>
      <w:r>
        <w:rPr>
          <w:iCs/>
        </w:rPr>
        <w:t>.</w:t>
      </w:r>
    </w:p>
    <w:p w14:paraId="0BDB0C93" w14:textId="77777777" w:rsidR="000F16EB" w:rsidRDefault="000F16EB" w:rsidP="000F16EB">
      <w:pPr>
        <w:keepNext/>
        <w:jc w:val="center"/>
      </w:pPr>
      <w:r>
        <w:rPr>
          <w:noProof/>
        </w:rPr>
        <w:drawing>
          <wp:inline distT="0" distB="0" distL="0" distR="0" wp14:anchorId="71BF0F0D" wp14:editId="49B14E53">
            <wp:extent cx="3168000" cy="1945318"/>
            <wp:effectExtent l="19050" t="19050" r="13970" b="1714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ump costs.JPG"/>
                    <pic:cNvPicPr/>
                  </pic:nvPicPr>
                  <pic:blipFill>
                    <a:blip r:embed="rId59">
                      <a:extLst>
                        <a:ext uri="{28A0092B-C50C-407E-A947-70E740481C1C}">
                          <a14:useLocalDpi xmlns:a14="http://schemas.microsoft.com/office/drawing/2010/main" val="0"/>
                        </a:ext>
                      </a:extLst>
                    </a:blip>
                    <a:stretch>
                      <a:fillRect/>
                    </a:stretch>
                  </pic:blipFill>
                  <pic:spPr>
                    <a:xfrm>
                      <a:off x="0" y="0"/>
                      <a:ext cx="3168000" cy="1945318"/>
                    </a:xfrm>
                    <a:prstGeom prst="rect">
                      <a:avLst/>
                    </a:prstGeom>
                    <a:ln>
                      <a:solidFill>
                        <a:schemeClr val="tx1"/>
                      </a:solidFill>
                    </a:ln>
                  </pic:spPr>
                </pic:pic>
              </a:graphicData>
            </a:graphic>
          </wp:inline>
        </w:drawing>
      </w:r>
    </w:p>
    <w:p w14:paraId="6D7E1800" w14:textId="55381C5D" w:rsidR="000F16EB" w:rsidRDefault="000F16EB" w:rsidP="000F16EB">
      <w:pPr>
        <w:pStyle w:val="Caption"/>
      </w:pPr>
      <w:bookmarkStart w:id="869" w:name="_Ref529443288"/>
      <w:bookmarkStart w:id="870" w:name="_Toc7187659"/>
      <w:r>
        <w:t xml:space="preserve">Figure </w:t>
      </w:r>
      <w:fldSimple w:instr=" STYLEREF 1 \s ">
        <w:r w:rsidR="00CB7456">
          <w:rPr>
            <w:noProof/>
          </w:rPr>
          <w:t>8</w:t>
        </w:r>
      </w:fldSimple>
      <w:r w:rsidR="007B29C3">
        <w:t>.</w:t>
      </w:r>
      <w:fldSimple w:instr=" SEQ Figure \* ARABIC \s 1 ">
        <w:r w:rsidR="00CB7456">
          <w:rPr>
            <w:noProof/>
          </w:rPr>
          <w:t>1</w:t>
        </w:r>
      </w:fldSimple>
      <w:bookmarkEnd w:id="869"/>
      <w:r>
        <w:t xml:space="preserve">: Pump </w:t>
      </w:r>
      <w:r w:rsidRPr="006B360F">
        <w:t xml:space="preserve">CAPEX </w:t>
      </w:r>
      <w:r w:rsidRPr="006B360F">
        <w:fldChar w:fldCharType="begin" w:fldLock="1"/>
      </w:r>
      <w:r w:rsidR="00FF4B5D" w:rsidRPr="006B360F">
        <w:instrText>ADDIN CSL_CITATION {"citationItems":[{"id":"ITEM-1","itemData":{"DOI":"10.2172/797810","ISBN":"DOE/NETL-2002/1169; TRN: US200216%%97 United States10.2172/797810TRN: US200216%%97Tue Feb 05 04:43:31 EST 2008OSTI as DE00797810NETLEnglish","author":[{"dropping-particle":"","family":"Loh","given":"H P","non-dropping-particle":"","parse-names":false,"suffix":""},{"dropping-particle":"","family":"Lyons","given":"Jennifer","non-dropping-particle":"","parse-names":false,"suffix":""},{"dropping-particle":"","family":"White","given":"Charles W","non-dropping-particle":"","parse-names":false,"suffix":""}],"id":"ITEM-1","issued":{"date-parts":[["2002"]]},"publisher-place":"Pittsburgh, USA","title":"Process Equipment Cost Estimation, Final Report","type":"report"},"uris":["http://www.mendeley.com/documents/?uuid=4ffe8c63-0c44-435a-ba78-2c8a30558f92"]}],"mendeley":{"formattedCitation":"(Loh &lt;i&gt;et al.&lt;/i&gt;, 2002)","plainTextFormattedCitation":"(Loh et al., 2002)","previouslyFormattedCitation":"(Loh &lt;i&gt;et al.&lt;/i&gt;, 2002)"},"properties":{"noteIndex":0},"schema":"https://github.com/citation-style-language/schema/raw/master/csl-citation.json"}</w:instrText>
      </w:r>
      <w:r w:rsidRPr="006B360F">
        <w:fldChar w:fldCharType="separate"/>
      </w:r>
      <w:r w:rsidR="005F544E" w:rsidRPr="006B360F">
        <w:rPr>
          <w:noProof/>
        </w:rPr>
        <w:t xml:space="preserve">(Loh </w:t>
      </w:r>
      <w:r w:rsidR="005F544E" w:rsidRPr="006B360F">
        <w:rPr>
          <w:i/>
          <w:noProof/>
        </w:rPr>
        <w:t>et al.</w:t>
      </w:r>
      <w:r w:rsidR="005F544E" w:rsidRPr="006B360F">
        <w:rPr>
          <w:noProof/>
        </w:rPr>
        <w:t>, 2002)</w:t>
      </w:r>
      <w:r w:rsidRPr="006B360F">
        <w:fldChar w:fldCharType="end"/>
      </w:r>
      <w:r w:rsidRPr="006B360F">
        <w:t>.</w:t>
      </w:r>
      <w:bookmarkEnd w:id="870"/>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37"/>
        <w:gridCol w:w="239"/>
        <w:gridCol w:w="822"/>
      </w:tblGrid>
      <w:tr w:rsidR="000F16EB" w14:paraId="75CC8BD0" w14:textId="77777777" w:rsidTr="00A7521D">
        <w:tc>
          <w:tcPr>
            <w:tcW w:w="7137" w:type="dxa"/>
            <w:hideMark/>
          </w:tcPr>
          <w:p w14:paraId="196BA579" w14:textId="25DC293A" w:rsidR="000F16EB" w:rsidRDefault="00C73E04" w:rsidP="00A7521D">
            <w:pPr>
              <w:keepNext/>
              <w:rPr>
                <w:color w:val="FFFFFF"/>
              </w:rPr>
            </w:pPr>
            <m:oMathPara>
              <m:oMathParaPr>
                <m:jc m:val="left"/>
              </m:oMathParaPr>
              <m:oMath>
                <m:sSub>
                  <m:sSubPr>
                    <m:ctrlPr>
                      <w:rPr>
                        <w:rFonts w:ascii="Cambria Math" w:hAnsi="Cambria Math"/>
                        <w:i/>
                        <w:iCs/>
                      </w:rPr>
                    </m:ctrlPr>
                  </m:sSubPr>
                  <m:e>
                    <m:r>
                      <m:rPr>
                        <m:nor/>
                      </m:rPr>
                      <w:rPr>
                        <w:rFonts w:ascii="Cambria Math" w:hAnsi="Cambria Math"/>
                        <w:iCs/>
                      </w:rPr>
                      <m:t>cost</m:t>
                    </m:r>
                  </m:e>
                  <m:sub>
                    <m:r>
                      <w:rPr>
                        <w:rFonts w:ascii="Cambria Math" w:hAnsi="Cambria Math"/>
                      </w:rPr>
                      <m:t>Op,Pump</m:t>
                    </m:r>
                  </m:sub>
                </m:sSub>
                <m:r>
                  <w:rPr>
                    <w:rFonts w:ascii="Cambria Math" w:hAnsi="Cambria Math"/>
                  </w:rPr>
                  <m:t>=</m:t>
                </m:r>
                <m:f>
                  <m:fPr>
                    <m:ctrlPr>
                      <w:rPr>
                        <w:rFonts w:ascii="Cambria Math" w:hAnsi="Cambria Math"/>
                        <w:i/>
                        <w:iCs/>
                      </w:rPr>
                    </m:ctrlPr>
                  </m:fPr>
                  <m:num>
                    <m:r>
                      <w:rPr>
                        <w:rFonts w:ascii="Cambria Math" w:hAnsi="Cambria Math"/>
                      </w:rPr>
                      <m:t>0.746</m:t>
                    </m:r>
                    <m:sSub>
                      <m:sSubPr>
                        <m:ctrlPr>
                          <w:rPr>
                            <w:rFonts w:ascii="Cambria Math" w:hAnsi="Cambria Math"/>
                            <w:i/>
                            <w:iCs/>
                          </w:rPr>
                        </m:ctrlPr>
                      </m:sSubPr>
                      <m:e>
                        <m:r>
                          <w:rPr>
                            <w:rFonts w:ascii="Cambria Math" w:hAnsi="Cambria Math"/>
                          </w:rPr>
                          <m:t>Q</m:t>
                        </m:r>
                      </m:e>
                      <m:sub>
                        <m:r>
                          <w:rPr>
                            <w:rFonts w:ascii="Cambria Math" w:hAnsi="Cambria Math"/>
                          </w:rPr>
                          <m:t>F,Pump</m:t>
                        </m:r>
                      </m:sub>
                    </m:sSub>
                    <m:r>
                      <w:rPr>
                        <w:rFonts w:ascii="Cambria Math" w:hAnsi="Cambria Math"/>
                      </w:rPr>
                      <m:t>he.</m:t>
                    </m:r>
                    <m:sSub>
                      <m:sSubPr>
                        <m:ctrlPr>
                          <w:rPr>
                            <w:rFonts w:ascii="Cambria Math" w:hAnsi="Cambria Math"/>
                            <w:i/>
                            <w:iCs/>
                          </w:rPr>
                        </m:ctrlPr>
                      </m:sSubPr>
                      <m:e>
                        <m:r>
                          <w:rPr>
                            <w:rFonts w:ascii="Cambria Math" w:hAnsi="Cambria Math"/>
                          </w:rPr>
                          <m:t>cost</m:t>
                        </m:r>
                      </m:e>
                      <m:sub>
                        <m:r>
                          <w:rPr>
                            <w:rFonts w:ascii="Cambria Math" w:hAnsi="Cambria Math"/>
                          </w:rPr>
                          <m:t>El,Pump</m:t>
                        </m:r>
                      </m:sub>
                    </m:sSub>
                  </m:num>
                  <m:den>
                    <m:r>
                      <w:rPr>
                        <w:rFonts w:ascii="Cambria Math" w:hAnsi="Cambria Math"/>
                      </w:rPr>
                      <m:t>3960</m:t>
                    </m:r>
                    <m:sSub>
                      <m:sSubPr>
                        <m:ctrlPr>
                          <w:rPr>
                            <w:rFonts w:ascii="Cambria Math" w:hAnsi="Cambria Math"/>
                            <w:i/>
                            <w:iCs/>
                          </w:rPr>
                        </m:ctrlPr>
                      </m:sSubPr>
                      <m:e>
                        <m:r>
                          <w:rPr>
                            <w:rFonts w:ascii="Cambria Math" w:hAnsi="Cambria Math"/>
                          </w:rPr>
                          <m:t>η</m:t>
                        </m:r>
                      </m:e>
                      <m:sub>
                        <m:r>
                          <w:rPr>
                            <w:rFonts w:ascii="Cambria Math" w:hAnsi="Cambria Math"/>
                          </w:rPr>
                          <m:t>pump</m:t>
                        </m:r>
                      </m:sub>
                    </m:sSub>
                  </m:den>
                </m:f>
              </m:oMath>
            </m:oMathPara>
          </w:p>
        </w:tc>
        <w:tc>
          <w:tcPr>
            <w:tcW w:w="239" w:type="dxa"/>
            <w:hideMark/>
          </w:tcPr>
          <w:p w14:paraId="51B7D4F8" w14:textId="77777777" w:rsidR="000F16EB" w:rsidRDefault="000F16EB" w:rsidP="00A7521D">
            <w:pPr>
              <w:pStyle w:val="Caption"/>
              <w:jc w:val="right"/>
            </w:pPr>
            <w:r>
              <w:t xml:space="preserve"> </w:t>
            </w:r>
          </w:p>
        </w:tc>
        <w:bookmarkStart w:id="871" w:name="_Ref531104395"/>
        <w:tc>
          <w:tcPr>
            <w:tcW w:w="822" w:type="dxa"/>
            <w:vAlign w:val="center"/>
            <w:hideMark/>
          </w:tcPr>
          <w:p w14:paraId="147208E9" w14:textId="53B07ED2" w:rsidR="000F16EB" w:rsidRDefault="000F16EB" w:rsidP="00A7521D">
            <w:pPr>
              <w:pStyle w:val="Caption"/>
              <w:jc w:val="right"/>
              <w:rPr>
                <w:b w:val="0"/>
              </w:rPr>
            </w:pPr>
            <w:r>
              <w:fldChar w:fldCharType="begin"/>
            </w:r>
            <w:r>
              <w:instrText xml:space="preserve"> STYLEREF 1 \s </w:instrText>
            </w:r>
            <w:r>
              <w:fldChar w:fldCharType="separate"/>
            </w:r>
            <w:r w:rsidR="00CB7456">
              <w:rPr>
                <w:noProof/>
              </w:rPr>
              <w:t>8</w:t>
            </w:r>
            <w:r>
              <w:fldChar w:fldCharType="end"/>
            </w:r>
            <w:r>
              <w:t>.</w:t>
            </w:r>
            <w:r>
              <w:rPr>
                <w:noProof/>
              </w:rPr>
              <w:fldChar w:fldCharType="begin"/>
            </w:r>
            <w:r>
              <w:rPr>
                <w:noProof/>
              </w:rPr>
              <w:instrText xml:space="preserve"> SEQ Equation \* ARABIC \s 1 </w:instrText>
            </w:r>
            <w:r>
              <w:rPr>
                <w:noProof/>
              </w:rPr>
              <w:fldChar w:fldCharType="separate"/>
            </w:r>
            <w:r w:rsidR="00CB7456">
              <w:rPr>
                <w:noProof/>
              </w:rPr>
              <w:t>2</w:t>
            </w:r>
            <w:r>
              <w:rPr>
                <w:noProof/>
              </w:rPr>
              <w:fldChar w:fldCharType="end"/>
            </w:r>
            <w:bookmarkEnd w:id="871"/>
          </w:p>
        </w:tc>
      </w:tr>
    </w:tbl>
    <w:p w14:paraId="431C9B1B" w14:textId="77777777" w:rsidR="000F16EB" w:rsidRDefault="000F16EB" w:rsidP="002C79E5">
      <w:pPr>
        <w:pStyle w:val="NoSpacing"/>
      </w:pPr>
    </w:p>
    <w:p w14:paraId="3B772E0E" w14:textId="037AC914" w:rsidR="000F16EB" w:rsidRDefault="00C73E04" w:rsidP="000F16EB">
      <w:pPr>
        <w:pStyle w:val="NoSpacing"/>
      </w:pPr>
      <m:oMath>
        <m:sSub>
          <m:sSubPr>
            <m:ctrlPr>
              <w:rPr>
                <w:rFonts w:ascii="Cambria Math" w:hAnsi="Cambria Math"/>
                <w:i/>
              </w:rPr>
            </m:ctrlPr>
          </m:sSubPr>
          <m:e>
            <m:r>
              <m:rPr>
                <m:nor/>
              </m:rPr>
              <w:rPr>
                <w:rFonts w:ascii="Cambria Math" w:hAnsi="Cambria Math"/>
              </w:rPr>
              <m:t>cost</m:t>
            </m:r>
          </m:e>
          <m:sub>
            <m:r>
              <w:rPr>
                <w:rFonts w:ascii="Cambria Math" w:hAnsi="Cambria Math"/>
              </w:rPr>
              <m:t>Op,Pump</m:t>
            </m:r>
          </m:sub>
        </m:sSub>
      </m:oMath>
      <w:r w:rsidR="000F16EB">
        <w:t xml:space="preserve"> was the </w:t>
      </w:r>
      <w:r w:rsidR="00C72679">
        <w:t>OPEX</w:t>
      </w:r>
      <w:r w:rsidR="000F16EB">
        <w:t xml:space="preserve"> of the pump (£/s),</w:t>
      </w:r>
    </w:p>
    <w:p w14:paraId="662EA15B" w14:textId="77777777" w:rsidR="000F16EB" w:rsidRDefault="00C73E04" w:rsidP="000F16EB">
      <w:pPr>
        <w:pStyle w:val="NoSpacing"/>
      </w:pPr>
      <m:oMath>
        <m:sSub>
          <m:sSubPr>
            <m:ctrlPr>
              <w:rPr>
                <w:rFonts w:ascii="Cambria Math" w:hAnsi="Cambria Math"/>
                <w:i/>
              </w:rPr>
            </m:ctrlPr>
          </m:sSubPr>
          <m:e>
            <m:r>
              <w:rPr>
                <w:rFonts w:ascii="Cambria Math" w:hAnsi="Cambria Math"/>
              </w:rPr>
              <m:t>Q</m:t>
            </m:r>
          </m:e>
          <m:sub>
            <m:r>
              <w:rPr>
                <w:rFonts w:ascii="Cambria Math" w:hAnsi="Cambria Math"/>
              </w:rPr>
              <m:t>F,Pump</m:t>
            </m:r>
          </m:sub>
        </m:sSub>
      </m:oMath>
      <w:r w:rsidR="000F16EB">
        <w:t xml:space="preserve"> was the volumetric flowrate of the working fluid (m</w:t>
      </w:r>
      <w:r w:rsidR="000F16EB">
        <w:rPr>
          <w:vertAlign w:val="superscript"/>
        </w:rPr>
        <w:t>3</w:t>
      </w:r>
      <w:r w:rsidR="000F16EB">
        <w:t>/s),</w:t>
      </w:r>
    </w:p>
    <w:p w14:paraId="25F10AD5" w14:textId="77777777" w:rsidR="000F16EB" w:rsidRDefault="000F16EB" w:rsidP="000F16EB">
      <w:pPr>
        <w:pStyle w:val="NoSpacing"/>
      </w:pPr>
      <m:oMath>
        <m:r>
          <w:rPr>
            <w:rFonts w:ascii="Cambria Math" w:hAnsi="Cambria Math"/>
          </w:rPr>
          <m:t>he</m:t>
        </m:r>
      </m:oMath>
      <w:r>
        <w:t xml:space="preserve"> was the pump head (m),</w:t>
      </w:r>
    </w:p>
    <w:p w14:paraId="2B396100" w14:textId="77777777" w:rsidR="000F16EB" w:rsidRDefault="00C73E04" w:rsidP="000F16EB">
      <w:pPr>
        <w:pStyle w:val="NoSpacing"/>
      </w:pPr>
      <m:oMath>
        <m:sSub>
          <m:sSubPr>
            <m:ctrlPr>
              <w:rPr>
                <w:rFonts w:ascii="Cambria Math" w:hAnsi="Cambria Math"/>
                <w:i/>
              </w:rPr>
            </m:ctrlPr>
          </m:sSubPr>
          <m:e>
            <m:r>
              <w:rPr>
                <w:rFonts w:ascii="Cambria Math" w:hAnsi="Cambria Math"/>
              </w:rPr>
              <m:t>cost</m:t>
            </m:r>
          </m:e>
          <m:sub>
            <m:r>
              <w:rPr>
                <w:rFonts w:ascii="Cambria Math" w:hAnsi="Cambria Math"/>
              </w:rPr>
              <m:t>El,Pump</m:t>
            </m:r>
          </m:sub>
        </m:sSub>
      </m:oMath>
      <w:r w:rsidR="000F16EB">
        <w:t xml:space="preserve"> </w:t>
      </w:r>
      <w:proofErr w:type="gramStart"/>
      <w:r w:rsidR="000F16EB">
        <w:t>was</w:t>
      </w:r>
      <w:proofErr w:type="gramEnd"/>
      <w:r w:rsidR="000F16EB">
        <w:t xml:space="preserve"> the electricity costs (£/kWh),</w:t>
      </w:r>
    </w:p>
    <w:p w14:paraId="534B0BC0" w14:textId="7DC8A486" w:rsidR="000F16EB" w:rsidRDefault="00C73E04" w:rsidP="005F2EFD">
      <m:oMath>
        <m:sSub>
          <m:sSubPr>
            <m:ctrlPr>
              <w:rPr>
                <w:rFonts w:ascii="Cambria Math" w:hAnsi="Cambria Math"/>
                <w:i/>
              </w:rPr>
            </m:ctrlPr>
          </m:sSubPr>
          <m:e>
            <m:r>
              <w:rPr>
                <w:rFonts w:ascii="Cambria Math" w:hAnsi="Cambria Math"/>
              </w:rPr>
              <m:t>η</m:t>
            </m:r>
          </m:e>
          <m:sub>
            <m:r>
              <w:rPr>
                <w:rFonts w:ascii="Cambria Math" w:hAnsi="Cambria Math"/>
              </w:rPr>
              <m:t>Pump</m:t>
            </m:r>
          </m:sub>
        </m:sSub>
      </m:oMath>
      <w:r w:rsidR="000F16EB">
        <w:t xml:space="preserve"> was the pump efficiency (%)</w:t>
      </w:r>
      <w:r w:rsidR="005F2EFD">
        <w:t>.</w:t>
      </w:r>
    </w:p>
    <w:p w14:paraId="2859FEDE" w14:textId="3EB285E3" w:rsidR="000F16EB" w:rsidRDefault="000F16EB" w:rsidP="000F16EB">
      <w:r>
        <w:t>The CAPEX of the back-up natural gas fired burner were calculated using a conversion of 0.0</w:t>
      </w:r>
      <w:r w:rsidR="00527AD2">
        <w:t>5</w:t>
      </w:r>
      <w:r>
        <w:t> – 0.1</w:t>
      </w:r>
      <w:r w:rsidR="00527AD2">
        <w:t>0</w:t>
      </w:r>
      <w:r>
        <w:t xml:space="preserve"> </w:t>
      </w:r>
      <w:r w:rsidR="00527AD2">
        <w:t>£</w:t>
      </w:r>
      <w:r>
        <w:t xml:space="preserve"> million/MW </w:t>
      </w:r>
      <w:r>
        <w:fldChar w:fldCharType="begin" w:fldLock="1"/>
      </w:r>
      <w:r w:rsidR="00FF4B5D">
        <w:instrText>ADDIN CSL_CITATION {"citationItems":[{"id":"ITEM-1","itemData":{"DOI":"10.2495/ESUS130091","ISBN":"9781845647285","ISSN":"17433541","abstract":"When talking about energy sustainability it is important to note that energy quality should be fitted to the intended use of the energy. Today, heat generation accounts for over 40% of the total energy use in Europe and only a minority of this heat is delivered by district heating. As for energy quality and heating, space heating generally requires heat with energy quality of only 7% and domestic hot water requires energy quality of 15%. It is therefore a complete waste of energy quality to serve these sectors with electricity, which has an energy quality of 100% or by burning fossil fuels in individual gas boilers. The alternative is to deliver low quality heat through district heating network to end users. It is a common misunderstanding that district heating is an investment expensive technology. In this paper it is shown that the total investment costs are typically lower than for competing technologies. Due to the fact that district heating is invariant to the heat source it can easily be the cleanest heating option available and further, it provides the best possible means to match the energy quality to the energy need. This paper will shed some light on: a) the investment cost when establishing district heating network for inner and outer cities; b) the cost of a few of the available heat sources for district heating; c) how district heating, cost wise, compares to other heating technologies available. The main conclusion of the paper is that district heating is an important player in today's heat market and has the potential to be a key player in future energy","author":[{"dropping-particle":"","family":"Gudmundsson","given":"O.","non-dropping-particle":"","parse-names":false,"suffix":""},{"dropping-particle":"","family":"Thorsen","given":"J. E.","non-dropping-particle":"","parse-names":false,"suffix":""},{"dropping-particle":"","family":"Zhang","given":"L.","non-dropping-particle":"","parse-names":false,"suffix":""}],"container-title":"WIT Transactions on Ecology and the Environment","id":"ITEM-1","issued":{"date-parts":[["2013"]]},"page":"107-118","title":"Cost analysis of district heating compared to its competing technologies","type":"article-journal","volume":"176"},"uris":["http://www.mendeley.com/documents/?uuid=9a6d9eba-8689-4d68-9892-848e05f9bb36"]}],"mendeley":{"formattedCitation":"(Gudmundsson &lt;i&gt;et al.&lt;/i&gt;, 2013)","plainTextFormattedCitation":"(Gudmundsson et al., 2013)","previouslyFormattedCitation":"(Gudmundsson &lt;i&gt;et al.&lt;/i&gt;, 2013)"},"properties":{"noteIndex":0},"schema":"https://github.com/citation-style-language/schema/raw/master/csl-citation.json"}</w:instrText>
      </w:r>
      <w:r>
        <w:fldChar w:fldCharType="separate"/>
      </w:r>
      <w:r w:rsidR="005F544E" w:rsidRPr="005F544E">
        <w:rPr>
          <w:noProof/>
        </w:rPr>
        <w:t xml:space="preserve">(Gudmundsson </w:t>
      </w:r>
      <w:r w:rsidR="005F544E" w:rsidRPr="005F544E">
        <w:rPr>
          <w:i/>
          <w:noProof/>
        </w:rPr>
        <w:t>et al.</w:t>
      </w:r>
      <w:r w:rsidR="005F544E" w:rsidRPr="005F544E">
        <w:rPr>
          <w:noProof/>
        </w:rPr>
        <w:t>, 2013)</w:t>
      </w:r>
      <w:r>
        <w:fldChar w:fldCharType="end"/>
      </w:r>
      <w:r>
        <w:t xml:space="preserve">. The OPEX of the back-up burner were calculated as shown in chapter </w:t>
      </w:r>
      <w:r w:rsidR="00537667">
        <w:fldChar w:fldCharType="begin"/>
      </w:r>
      <w:r w:rsidR="00537667">
        <w:instrText xml:space="preserve"> REF _Ref531344659 \n \h </w:instrText>
      </w:r>
      <w:r w:rsidR="00537667">
        <w:fldChar w:fldCharType="separate"/>
      </w:r>
      <w:r w:rsidR="00CB7456">
        <w:t>7</w:t>
      </w:r>
      <w:r w:rsidR="00537667">
        <w:fldChar w:fldCharType="end"/>
      </w:r>
      <w:r>
        <w:t xml:space="preserve">. The CAPEX and OPEX of the TES system were also shown in chapter </w:t>
      </w:r>
      <w:r w:rsidR="00537667">
        <w:fldChar w:fldCharType="begin"/>
      </w:r>
      <w:r w:rsidR="00537667">
        <w:instrText xml:space="preserve"> REF _Ref531344659 \n \h </w:instrText>
      </w:r>
      <w:r w:rsidR="00537667">
        <w:fldChar w:fldCharType="separate"/>
      </w:r>
      <w:r w:rsidR="00CB7456">
        <w:t>7</w:t>
      </w:r>
      <w:r w:rsidR="00537667">
        <w:fldChar w:fldCharType="end"/>
      </w:r>
      <w:r>
        <w:t xml:space="preserve">. The costs of the heat interface units in the customer buildings were assumed to be £253 /MWh </w:t>
      </w:r>
      <w:r>
        <w:fldChar w:fldCharType="begin" w:fldLock="1"/>
      </w:r>
      <w:r w:rsidR="002A6A73">
        <w:instrText>ADDIN CSL_CITATION {"citationItems":[{"id":"ITEM-1","itemData":{"author":[{"dropping-particle":"","family":"DECC","given":"","non-dropping-particle":"","parse-names":false,"suffix":""}],"id":"ITEM-1","issued":{"date-parts":[["2015"]]},"publisher-place":"London, England","title":"Assessment of the Costs, Performance, and Characteristics of UK Heat Networks","type":"report"},"uris":["http://www.mendeley.com/documents/?uuid=fa96b1e4-69b1-4e0e-ba67-0101ca328647"]}],"mendeley":{"formattedCitation":"(DECC, 2015a)","plainTextFormattedCitation":"(DECC, 2015a)","previouslyFormattedCitation":"(DECC, 2015a)"},"properties":{"noteIndex":0},"schema":"https://github.com/citation-style-language/schema/raw/master/csl-citation.json"}</w:instrText>
      </w:r>
      <w:r>
        <w:fldChar w:fldCharType="separate"/>
      </w:r>
      <w:r w:rsidR="002A6A73" w:rsidRPr="002A6A73">
        <w:rPr>
          <w:noProof/>
        </w:rPr>
        <w:t>(DECC, 2015a)</w:t>
      </w:r>
      <w:r>
        <w:fldChar w:fldCharType="end"/>
      </w:r>
      <w:r>
        <w:t xml:space="preserve">. It was assumed that the contract costs would be £50 per customer </w:t>
      </w:r>
      <w:r>
        <w:fldChar w:fldCharType="begin" w:fldLock="1"/>
      </w:r>
      <w:r w:rsidR="002A6A73">
        <w:instrText>ADDIN CSL_CITATION {"citationItems":[{"id":"ITEM-1","itemData":{"author":[{"dropping-particle":"","family":"Parsons Brinckerhoff","given":"","non-dropping-particle":"","parse-names":false,"suffix":""}],"id":"ITEM-1","issue":"May","issued":{"date-parts":[["2011"]]},"publisher-place":"London, England","title":"A District Heating Utility for the Tees Valley: Study into the strategic use of waste heat and supply of private sector customers","type":"report"},"uris":["http://www.mendeley.com/documents/?uuid=5e08822c-bb7b-4846-8fd8-71bc94ccfc29"]}],"mendeley":{"formattedCitation":"(Parsons Brinckerhoff, 2011)","plainTextFormattedCitation":"(Parsons Brinckerhoff, 2011)","previouslyFormattedCitation":"(Parsons Brinckerhoff, 2011)"},"properties":{"noteIndex":0},"schema":"https://github.com/citation-style-language/schema/raw/master/csl-citation.json"}</w:instrText>
      </w:r>
      <w:r>
        <w:fldChar w:fldCharType="separate"/>
      </w:r>
      <w:r w:rsidR="002A6A73" w:rsidRPr="002A6A73">
        <w:rPr>
          <w:noProof/>
        </w:rPr>
        <w:t>(Parsons Brinckerhoff, 2011)</w:t>
      </w:r>
      <w:r>
        <w:fldChar w:fldCharType="end"/>
      </w:r>
      <w:r>
        <w:t xml:space="preserve">. The maintenance costs of the network were assumed to be 1% of the </w:t>
      </w:r>
      <w:r w:rsidR="005F2EFD">
        <w:t>CAPEX</w:t>
      </w:r>
      <w:r>
        <w:t xml:space="preserve"> of the pipe network.</w:t>
      </w:r>
    </w:p>
    <w:p w14:paraId="1F9347CB" w14:textId="77777777" w:rsidR="000F16EB" w:rsidRDefault="000F16EB" w:rsidP="000F16EB">
      <w:pPr>
        <w:pStyle w:val="Heading3"/>
      </w:pPr>
      <w:bookmarkStart w:id="872" w:name="_Toc7187565"/>
      <w:r>
        <w:t>Environmental Assessment Methodology</w:t>
      </w:r>
      <w:bookmarkEnd w:id="872"/>
    </w:p>
    <w:p w14:paraId="7035FE1D" w14:textId="77777777" w:rsidR="000F16EB" w:rsidRDefault="000F16EB" w:rsidP="000F16EB">
      <w:r>
        <w:t>The environmental assessment was similarly based on a number of assumptions. The basis of the environmental assessment was a comparison of the CO</w:t>
      </w:r>
      <w:r>
        <w:rPr>
          <w:vertAlign w:val="subscript"/>
        </w:rPr>
        <w:t>2</w:t>
      </w:r>
      <w:r>
        <w:t xml:space="preserve"> equivalent emissions associated with the installation and operation of the various parts of the network against the emissions saved each year by the network.</w:t>
      </w:r>
    </w:p>
    <w:p w14:paraId="62628C0B" w14:textId="3004654E" w:rsidR="000F16EB" w:rsidRDefault="000F16EB" w:rsidP="000F16EB">
      <w:r>
        <w:t>The emissions associated with the WHR equipment, similar to the costs associated, were assumed to belong to the WH company. Consequently, the emissions were not included in the environmental assessment. The emissions associated with the installation of the back</w:t>
      </w:r>
      <w:r>
        <w:noBreakHyphen/>
        <w:t>up burner were based on an assumption of 6.07 kg CO</w:t>
      </w:r>
      <w:r>
        <w:rPr>
          <w:vertAlign w:val="subscript"/>
        </w:rPr>
        <w:t>2</w:t>
      </w:r>
      <w:r>
        <w:t xml:space="preserve">e/kW </w:t>
      </w:r>
      <w:r>
        <w:fldChar w:fldCharType="begin" w:fldLock="1"/>
      </w:r>
      <w:r w:rsidR="002A6A73">
        <w:instrText>ADDIN CSL_CITATION {"citationItems":[{"id":"ITEM-1","itemData":{"DOI":"10.1016/j.jclepro.2016.11.025","ISBN":"0959-6526","ISSN":"09596526","abstract":"This study has carried out a life cycle assessment of two different domestic natural gas boilers in Italy, taking into account 3 different climatic regions and two dwellings with different energy classes. The aim of this research was to compare traditional and condensing boiler technologies. Primary data relating to the two products under analysis was supplied by an international boiler manufacturer, whilst the Ecoinvent database v2.2 was used as a secondary source of data. The assessment was performed using the CML and Cumulative Energy Demand (CED) methods, by considering the categories required by “Environmental Product Declaration” (EPD) certification systems. The results of the analysis show that on average, the condensing technology has a 23% lower environmental impact than its traditional counterpart for each scenario in the six impact categories considered. This is essentially due to its lower fuel consumption during the use phase and the lower levels of CO and NOxemitted during the combustion of natural gas. The study also shows that the use phase is by far the biggest contributor to the environmental impact, and on average is responsible for more than 90% of the total impact.","author":[{"dropping-particle":"","family":"Vignali","given":"Giuseppe","non-dropping-particle":"","parse-names":false,"suffix":""}],"container-title":"Journal of Cleaner Production","id":"ITEM-1","issued":{"date-parts":[["2017"]]},"page":"2493-2508","publisher":"Elsevier Ltd","title":"Environmental assessment of domestic boilers: A comparison of condensing and traditional technology using life cycle assessment methodology","type":"article-journal","volume":"142"},"uris":["http://www.mendeley.com/documents/?uuid=1cdc7b21-bbb6-4d93-91a1-2ca71e5233d1"]}],"mendeley":{"formattedCitation":"(Vignali, 2017)","plainTextFormattedCitation":"(Vignali, 2017)","previouslyFormattedCitation":"(Vignali, 2017)"},"properties":{"noteIndex":0},"schema":"https://github.com/citation-style-language/schema/raw/master/csl-citation.json"}</w:instrText>
      </w:r>
      <w:r>
        <w:fldChar w:fldCharType="separate"/>
      </w:r>
      <w:r w:rsidR="002A6A73" w:rsidRPr="002A6A73">
        <w:rPr>
          <w:noProof/>
        </w:rPr>
        <w:t>(Vignali, 2017)</w:t>
      </w:r>
      <w:r>
        <w:fldChar w:fldCharType="end"/>
      </w:r>
      <w:r>
        <w:t xml:space="preserve">. The emissions associated with the maintenance of the boiler were based on an assumption of each boiler having a 20 year lifespan </w:t>
      </w:r>
      <w:r>
        <w:fldChar w:fldCharType="begin" w:fldLock="1"/>
      </w:r>
      <w:r w:rsidR="002A6A73">
        <w:instrText>ADDIN CSL_CITATION {"citationItems":[{"id":"ITEM-1","itemData":{"author":[{"dropping-particle":"","family":"Parsons Brinckerhoff","given":"","non-dropping-particle":"","parse-names":false,"suffix":""}],"id":"ITEM-1","issue":"May","issued":{"date-parts":[["2011"]]},"publisher-place":"London, England","title":"A District Heating Utility for the Tees Valley: Study into the strategic use of waste heat and supply of private sector customers","type":"report"},"uris":["http://www.mendeley.com/documents/?uuid=5e08822c-bb7b-4846-8fd8-71bc94ccfc29"]}],"mendeley":{"formattedCitation":"(Parsons Brinckerhoff, 2011)","plainTextFormattedCitation":"(Parsons Brinckerhoff, 2011)","previouslyFormattedCitation":"(Parsons Brinckerhoff, 2011)"},"properties":{"noteIndex":0},"schema":"https://github.com/citation-style-language/schema/raw/master/csl-citation.json"}</w:instrText>
      </w:r>
      <w:r>
        <w:fldChar w:fldCharType="separate"/>
      </w:r>
      <w:r w:rsidR="002A6A73" w:rsidRPr="002A6A73">
        <w:rPr>
          <w:noProof/>
        </w:rPr>
        <w:t>(Parsons Brinckerhoff, 2011)</w:t>
      </w:r>
      <w:r>
        <w:fldChar w:fldCharType="end"/>
      </w:r>
      <w:r>
        <w:t xml:space="preserve">. The emissions associated with the operation of the boiler were calculated in chapter </w:t>
      </w:r>
      <w:r w:rsidR="00537667">
        <w:fldChar w:fldCharType="begin"/>
      </w:r>
      <w:r w:rsidR="00537667">
        <w:instrText xml:space="preserve"> REF _Ref531344659 \n \h </w:instrText>
      </w:r>
      <w:r w:rsidR="00537667">
        <w:fldChar w:fldCharType="separate"/>
      </w:r>
      <w:r w:rsidR="00CB7456">
        <w:t>7</w:t>
      </w:r>
      <w:r w:rsidR="00537667">
        <w:fldChar w:fldCharType="end"/>
      </w:r>
      <w:r>
        <w:t>.</w:t>
      </w:r>
    </w:p>
    <w:p w14:paraId="79A35AA2" w14:textId="43EBA579" w:rsidR="000F16EB" w:rsidRDefault="000F16EB" w:rsidP="000F16EB">
      <w:r>
        <w:t xml:space="preserve">The equivalent </w:t>
      </w:r>
      <w:r w:rsidRPr="00617042">
        <w:t>CO</w:t>
      </w:r>
      <w:r w:rsidRPr="00617042">
        <w:rPr>
          <w:vertAlign w:val="subscript"/>
        </w:rPr>
        <w:t>2</w:t>
      </w:r>
      <w:r>
        <w:t xml:space="preserve"> </w:t>
      </w:r>
      <w:r w:rsidRPr="00617042">
        <w:t>emissions</w:t>
      </w:r>
      <w:r>
        <w:t xml:space="preserve"> associated with the construction and installation of the DH pipe lines were calculated based on conversions from pipe length and diameter, as shown in </w:t>
      </w:r>
      <w:r>
        <w:fldChar w:fldCharType="begin"/>
      </w:r>
      <w:r>
        <w:instrText xml:space="preserve"> REF _Ref529454526 \h </w:instrText>
      </w:r>
      <w:r>
        <w:fldChar w:fldCharType="separate"/>
      </w:r>
      <w:r w:rsidR="00CB7456">
        <w:t xml:space="preserve">Table </w:t>
      </w:r>
      <w:r w:rsidR="00CB7456">
        <w:rPr>
          <w:noProof/>
        </w:rPr>
        <w:t>8</w:t>
      </w:r>
      <w:r w:rsidR="00CB7456">
        <w:t>.</w:t>
      </w:r>
      <w:r w:rsidR="00CB7456">
        <w:rPr>
          <w:noProof/>
        </w:rPr>
        <w:t>3</w:t>
      </w:r>
      <w:r>
        <w:fldChar w:fldCharType="end"/>
      </w:r>
      <w:r>
        <w:t xml:space="preserve"> </w:t>
      </w:r>
      <w:r w:rsidRPr="00617042">
        <w:fldChar w:fldCharType="begin" w:fldLock="1"/>
      </w:r>
      <w:r w:rsidR="00FF4B5D">
        <w:instrText>ADDIN CSL_CITATION {"citationItems":[{"id":"ITEM-1","itemData":{"DOI":"10.1007/BF02978572","ISSN":"0948-3349","abstract":"Goal, Scope and Background District heating, the utilization of centrally produced heat for space heating and domestic hot water generation, has the potential to contribute to the eco-efficient use of energy resources in the parts of the world where space heating is needed. In literature, environmental studies on district heating mainly consider the emissions from heat generation; the environmental impact from the distribution system is seldom discussed. This paper presents a life cycle assessment of the production of district heating pipes, based on a cradle-to-gate life cycle inventory commissioned by the Swedish District Heating Association. No external review has been performed but a reference group of district heating experts familiar with the practice was involved in the choice of cases as well as in reviewing parts of the study. Methods Manufacturing of district heating pipes at Powerpipe Systems AB, Göteborg, Sweden, was studied. Prefabricated polyurethane insulated district heating pipes were considered, with a steel tube and a protective casing made of high-density polyethylene. Production of pipes during the time period 1999–2000 was investigated. The functional unit used in the study is production of one district heating pipe unit. The studied pipes are: a twin pipe of the dimension DN25 (12m long) and single pipes of the dimensions DN25 (12m), DN100 (12m) and DN500 (16m). Results and Discussion A short description of the inventory, some inventory results and a life cycle impact assessment are presented. Characterizations according to GWP, AP, POCP and resource depletion are given as well as two weightings: EcoIndicator99 and Ecoscarcity. If the life cycle is grouped into ‘Materials production’, ‘Transports’, ‘Manufacturing’ and ‘Waste management’, the ‘Materials production’ gives rise to a dominating part of the environmental impact. Recommendation and Perspective To use materials in the pipes as efficiently as possible is the most important feature in order to reduce the environmental impact from production of district heating pipes. Twin pipes can be a more material efficient solution than single pipes. It is important to make sure that environmental improvements from changes in the pipe production phase are not offset by other effects in the total life cycle of the district heating pipe.","author":[{"dropping-particle":"","family":"Fröling","given":"Morgan","non-dropping-particle":"","parse-names":false,"suffix":""},{"dropping-particle":"","family":"Holmgren","given":"Camilla","non-dropping-particle":"","parse-names":false,"suffix":""},{"dropping-particle":"","family":"Svanström","given":"Magdalena","non-dropping-particle":"","parse-names":false,"suffix":""}],"container-title":"The International Journal of Life Cycle Assessment","id":"ITEM-1","issue":"2","issued":{"date-parts":[["2004"]]},"page":"130-136","title":"Life Cycle Assessment of the District Heating Distribution System - Part 1: Pipe Production","type":"article-journal","volume":"9"},"uris":["http://www.mendeley.com/documents/?uuid=97fd08b4-1618-440f-a745-f6afea134f64"]},{"id":"ITEM-2","itemData":{"DOI":"10.1065/lca2004.12.195","ISBN":"0948-3349","ISSN":"0948-3349","abstract":"Preamble. This series of three papers is based on research performed for the Swedish District Heating Association with the purpose of mapping the environmental life cycle impacts from the different phases involved in district heat distribution. Part 1 concerns production of district heating pipes while Part 2 describes construction of the district heating pipe network. In Part 3, the use phase is evaluated based on heat losses from the network during heat distribution. Part 3 also includes a discussion in which the three evaluated life cycle phases are compared. Goal, Scope and Background In a district heating network, hot water is transported from a central heat generation plant to buildings where the heat is utilised for space heating and domestic hot water generation. This paper presents a life cycle assessment of the construction of district heating pipe networks, based on a gate-to-gate life cycle inventory commissioned by the Swedish District Heating Association. In the literature, environmental studies on district heating mainly consider emissions from heat generation; environmental impacts from construction of the distribution system are seldom discussed. The purpose of the study is to identify environmentally significant parts in the construction of district heat distribution networks and to provide information for a larger study including more parts of the life cycle of such district heat distribution. No external review has been performed, but a reference group of district heating experts familiar with the practice was involved in the choice of systems to be studied as well as in reviewing parts of the study. Methods The study covers construction of the main pipe system according to the guidelines from the Swedish District Heating Association. Construction of the pipe system was assumed to take place in Sweden by Swedish entrepreneurs during the time period 1999–2000. Transport of the district heating pipes from the factory to the excavation site is included in this study, but not the production of the pipes. The functional unit used in the study is 100 metres of pipe system (flow and return pipe). The studied systems are: twin pipe of the dimension DN25 and single pipes of the dimensions DN25, DN100 and DN500. Two different surroundings were studied: urban environment, characterised by the need to break open and to restore asphalt cover and to remove excavated material from the site, and green areas, without any asphalt and where some of the…","author":[{"dropping-particle":"","family":"Fröling","given":"Morgan","non-dropping-particle":"","parse-names":false,"suffix":""},{"dropping-particle":"","family":"Svanström","given":"Magdalena","non-dropping-particle":"","parse-names":false,"suffix":""}],"container-title":"The International Journal of Life Cycle Assessment","id":"ITEM-2","issue":"6","issued":{"date-parts":[["2005"]]},"page":"425-435","title":"Life Cycle Assessment of the District Heat Distribution System - Part 2: Network Construction","type":"article-journal","volume":"10"},"uris":["http://www.mendeley.com/documents/?uuid=663cd327-ced9-40d6-a80b-4e964e522d66"]}],"mendeley":{"formattedCitation":"(Fröling &lt;i&gt;et al.&lt;/i&gt;, 2004; Fröling and Svanström, 2005)","plainTextFormattedCitation":"(Fröling et al., 2004; Fröling and Svanström, 2005)","previouslyFormattedCitation":"(Fröling &lt;i&gt;et al.&lt;/i&gt;, 2004; Fröling and Svanström, 2005)"},"properties":{"noteIndex":0},"schema":"https://github.com/citation-style-language/schema/raw/master/csl-citation.json"}</w:instrText>
      </w:r>
      <w:r w:rsidRPr="00617042">
        <w:fldChar w:fldCharType="separate"/>
      </w:r>
      <w:r w:rsidR="005F544E" w:rsidRPr="005F544E">
        <w:rPr>
          <w:noProof/>
        </w:rPr>
        <w:t xml:space="preserve">(Fröling </w:t>
      </w:r>
      <w:r w:rsidR="005F544E" w:rsidRPr="005F544E">
        <w:rPr>
          <w:i/>
          <w:noProof/>
        </w:rPr>
        <w:t>et al.</w:t>
      </w:r>
      <w:r w:rsidR="005F544E" w:rsidRPr="005F544E">
        <w:rPr>
          <w:noProof/>
        </w:rPr>
        <w:t>, 2004; Fröling and Svanström, 2005)</w:t>
      </w:r>
      <w:r w:rsidRPr="00617042">
        <w:fldChar w:fldCharType="end"/>
      </w:r>
      <w:r>
        <w:t>.</w:t>
      </w:r>
    </w:p>
    <w:p w14:paraId="0AD8F47D" w14:textId="0A290492" w:rsidR="000F16EB" w:rsidRDefault="000F16EB" w:rsidP="000F16EB">
      <w:pPr>
        <w:pStyle w:val="Caption"/>
        <w:keepNext/>
      </w:pPr>
      <w:bookmarkStart w:id="873" w:name="_Ref529454526"/>
      <w:bookmarkStart w:id="874" w:name="_Toc7187710"/>
      <w:r>
        <w:t xml:space="preserve">Table </w:t>
      </w:r>
      <w:fldSimple w:instr=" STYLEREF 1 \s ">
        <w:r w:rsidR="00CB7456">
          <w:rPr>
            <w:noProof/>
          </w:rPr>
          <w:t>8</w:t>
        </w:r>
      </w:fldSimple>
      <w:r w:rsidR="009E1A67">
        <w:t>.</w:t>
      </w:r>
      <w:fldSimple w:instr=" SEQ Table \* ARABIC \s 1 ">
        <w:r w:rsidR="00CB7456">
          <w:rPr>
            <w:noProof/>
          </w:rPr>
          <w:t>3</w:t>
        </w:r>
      </w:fldSimple>
      <w:bookmarkEnd w:id="873"/>
      <w:r>
        <w:t>: Emissions a</w:t>
      </w:r>
      <w:r w:rsidRPr="006B360F">
        <w:t xml:space="preserve">ssociated with the construction and installation of DH pipes </w:t>
      </w:r>
      <w:r w:rsidRPr="006B360F">
        <w:fldChar w:fldCharType="begin" w:fldLock="1"/>
      </w:r>
      <w:r w:rsidR="00FF4B5D" w:rsidRPr="006B360F">
        <w:instrText>ADDIN CSL_CITATION {"citationItems":[{"id":"ITEM-1","itemData":{"DOI":"10.1007/BF02978572","ISSN":"0948-3349","abstract":"Goal, Scope and Background District heating, the utilization of centrally produced heat for space heating and domestic hot water generation, has the potential to contribute to the eco-efficient use of energy resources in the parts of the world where space heating is needed. In literature, environmental studies on district heating mainly consider the emissions from heat generation; the environmental impact from the distribution system is seldom discussed. This paper presents a life cycle assessment of the production of district heating pipes, based on a cradle-to-gate life cycle inventory commissioned by the Swedish District Heating Association. No external review has been performed but a reference group of district heating experts familiar with the practice was involved in the choice of cases as well as in reviewing parts of the study. Methods Manufacturing of district heating pipes at Powerpipe Systems AB, Göteborg, Sweden, was studied. Prefabricated polyurethane insulated district heating pipes were considered, with a steel tube and a protective casing made of high-density polyethylene. Production of pipes during the time period 1999–2000 was investigated. The functional unit used in the study is production of one district heating pipe unit. The studied pipes are: a twin pipe of the dimension DN25 (12m long) and single pipes of the dimensions DN25 (12m), DN100 (12m) and DN500 (16m). Results and Discussion A short description of the inventory, some inventory results and a life cycle impact assessment are presented. Characterizations according to GWP, AP, POCP and resource depletion are given as well as two weightings: EcoIndicator99 and Ecoscarcity. If the life cycle is grouped into ‘Materials production’, ‘Transports’, ‘Manufacturing’ and ‘Waste management’, the ‘Materials production’ gives rise to a dominating part of the environmental impact. Recommendation and Perspective To use materials in the pipes as efficiently as possible is the most important feature in order to reduce the environmental impact from production of district heating pipes. Twin pipes can be a more material efficient solution than single pipes. It is important to make sure that environmental improvements from changes in the pipe production phase are not offset by other effects in the total life cycle of the district heating pipe.","author":[{"dropping-particle":"","family":"Fröling","given":"Morgan","non-dropping-particle":"","parse-names":false,"suffix":""},{"dropping-particle":"","family":"Holmgren","given":"Camilla","non-dropping-particle":"","parse-names":false,"suffix":""},{"dropping-particle":"","family":"Svanström","given":"Magdalena","non-dropping-particle":"","parse-names":false,"suffix":""}],"container-title":"The International Journal of Life Cycle Assessment","id":"ITEM-1","issue":"2","issued":{"date-parts":[["2004"]]},"page":"130-136","title":"Life Cycle Assessment of the District Heating Distribution System - Part 1: Pipe Production","type":"article-journal","volume":"9"},"uris":["http://www.mendeley.com/documents/?uuid=97fd08b4-1618-440f-a745-f6afea134f64"]},{"id":"ITEM-2","itemData":{"DOI":"10.1065/lca2004.12.195","ISBN":"0948-3349","ISSN":"0948-3349","abstract":"Preamble. This series of three papers is based on research performed for the Swedish District Heating Association with the purpose of mapping the environmental life cycle impacts from the different phases involved in district heat distribution. Part 1 concerns production of district heating pipes while Part 2 describes construction of the district heating pipe network. In Part 3, the use phase is evaluated based on heat losses from the network during heat distribution. Part 3 also includes a discussion in which the three evaluated life cycle phases are compared. Goal, Scope and Background In a district heating network, hot water is transported from a central heat generation plant to buildings where the heat is utilised for space heating and domestic hot water generation. This paper presents a life cycle assessment of the construction of district heating pipe networks, based on a gate-to-gate life cycle inventory commissioned by the Swedish District Heating Association. In the literature, environmental studies on district heating mainly consider emissions from heat generation; environmental impacts from construction of the distribution system are seldom discussed. The purpose of the study is to identify environmentally significant parts in the construction of district heat distribution networks and to provide information for a larger study including more parts of the life cycle of such district heat distribution. No external review has been performed, but a reference group of district heating experts familiar with the practice was involved in the choice of systems to be studied as well as in reviewing parts of the study. Methods The study covers construction of the main pipe system according to the guidelines from the Swedish District Heating Association. Construction of the pipe system was assumed to take place in Sweden by Swedish entrepreneurs during the time period 1999–2000. Transport of the district heating pipes from the factory to the excavation site is included in this study, but not the production of the pipes. The functional unit used in the study is 100 metres of pipe system (flow and return pipe). The studied systems are: twin pipe of the dimension DN25 and single pipes of the dimensions DN25, DN100 and DN500. Two different surroundings were studied: urban environment, characterised by the need to break open and to restore asphalt cover and to remove excavated material from the site, and green areas, without any asphalt and where some of the…","author":[{"dropping-particle":"","family":"Fröling","given":"Morgan","non-dropping-particle":"","parse-names":false,"suffix":""},{"dropping-particle":"","family":"Svanström","given":"Magdalena","non-dropping-particle":"","parse-names":false,"suffix":""}],"container-title":"The International Journal of Life Cycle Assessment","id":"ITEM-2","issue":"6","issued":{"date-parts":[["2005"]]},"page":"425-435","title":"Life Cycle Assessment of the District Heat Distribution System - Part 2: Network Construction","type":"article-journal","volume":"10"},"uris":["http://www.mendeley.com/documents/?uuid=663cd327-ced9-40d6-a80b-4e964e522d66"]}],"mendeley":{"formattedCitation":"(Fröling &lt;i&gt;et al.&lt;/i&gt;, 2004; Fröling and Svanström, 2005)","plainTextFormattedCitation":"(Fröling et al., 2004; Fröling and Svanström, 2005)","previouslyFormattedCitation":"(Fröling &lt;i&gt;et al.&lt;/i&gt;, 2004; Fröling and Svanström, 2005)"},"properties":{"noteIndex":0},"schema":"https://github.com/citation-style-language/schema/raw/master/csl-citation.json"}</w:instrText>
      </w:r>
      <w:r w:rsidRPr="006B360F">
        <w:fldChar w:fldCharType="separate"/>
      </w:r>
      <w:r w:rsidR="005F544E" w:rsidRPr="006B360F">
        <w:rPr>
          <w:noProof/>
        </w:rPr>
        <w:t xml:space="preserve">(Fröling </w:t>
      </w:r>
      <w:r w:rsidR="005F544E" w:rsidRPr="006B360F">
        <w:rPr>
          <w:i/>
          <w:noProof/>
        </w:rPr>
        <w:t>et al.</w:t>
      </w:r>
      <w:r w:rsidR="005F544E" w:rsidRPr="006B360F">
        <w:rPr>
          <w:noProof/>
        </w:rPr>
        <w:t>, 2004; Fröling and Svanström, 2005)</w:t>
      </w:r>
      <w:r w:rsidRPr="006B360F">
        <w:fldChar w:fldCharType="end"/>
      </w:r>
      <w:r w:rsidRPr="006B360F">
        <w:t>.</w:t>
      </w:r>
      <w:bookmarkEnd w:id="874"/>
    </w:p>
    <w:tbl>
      <w:tblPr>
        <w:tblStyle w:val="TableGrid"/>
        <w:tblW w:w="6663" w:type="dxa"/>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52"/>
        <w:gridCol w:w="1667"/>
        <w:gridCol w:w="1843"/>
        <w:gridCol w:w="1701"/>
      </w:tblGrid>
      <w:tr w:rsidR="000F16EB" w14:paraId="61888C69" w14:textId="77777777" w:rsidTr="00A7521D">
        <w:trPr>
          <w:jc w:val="center"/>
        </w:trPr>
        <w:tc>
          <w:tcPr>
            <w:tcW w:w="1452" w:type="dxa"/>
            <w:vMerge w:val="restart"/>
          </w:tcPr>
          <w:p w14:paraId="402807CC" w14:textId="77777777" w:rsidR="000F16EB" w:rsidRDefault="000F16EB" w:rsidP="00A7521D">
            <w:pPr>
              <w:jc w:val="center"/>
            </w:pPr>
            <w:r>
              <w:t>Pipe name</w:t>
            </w:r>
          </w:p>
        </w:tc>
        <w:tc>
          <w:tcPr>
            <w:tcW w:w="1667" w:type="dxa"/>
            <w:vMerge w:val="restart"/>
          </w:tcPr>
          <w:p w14:paraId="5ABFF347" w14:textId="77777777" w:rsidR="000F16EB" w:rsidRDefault="000F16EB" w:rsidP="00A7521D">
            <w:pPr>
              <w:jc w:val="center"/>
            </w:pPr>
            <w:r>
              <w:t>Pipe outer diameter (mm)</w:t>
            </w:r>
          </w:p>
        </w:tc>
        <w:tc>
          <w:tcPr>
            <w:tcW w:w="1843" w:type="dxa"/>
            <w:tcBorders>
              <w:bottom w:val="single" w:sz="4" w:space="0" w:color="auto"/>
            </w:tcBorders>
          </w:tcPr>
          <w:p w14:paraId="10E4C04A" w14:textId="77777777" w:rsidR="000F16EB" w:rsidRDefault="000F16EB" w:rsidP="00A7521D">
            <w:pPr>
              <w:jc w:val="center"/>
            </w:pPr>
            <w:r>
              <w:t>Pipe construction</w:t>
            </w:r>
          </w:p>
        </w:tc>
        <w:tc>
          <w:tcPr>
            <w:tcW w:w="1701" w:type="dxa"/>
            <w:tcBorders>
              <w:bottom w:val="single" w:sz="4" w:space="0" w:color="auto"/>
            </w:tcBorders>
          </w:tcPr>
          <w:p w14:paraId="32B19407" w14:textId="77777777" w:rsidR="000F16EB" w:rsidRDefault="000F16EB" w:rsidP="00A7521D">
            <w:pPr>
              <w:jc w:val="center"/>
            </w:pPr>
            <w:r>
              <w:t>Pipe installation</w:t>
            </w:r>
          </w:p>
        </w:tc>
      </w:tr>
      <w:tr w:rsidR="000F16EB" w14:paraId="0F64531C" w14:textId="77777777" w:rsidTr="00A7521D">
        <w:trPr>
          <w:jc w:val="center"/>
        </w:trPr>
        <w:tc>
          <w:tcPr>
            <w:tcW w:w="1452" w:type="dxa"/>
            <w:vMerge/>
            <w:tcBorders>
              <w:bottom w:val="single" w:sz="4" w:space="0" w:color="auto"/>
            </w:tcBorders>
          </w:tcPr>
          <w:p w14:paraId="4E7F7701" w14:textId="77777777" w:rsidR="000F16EB" w:rsidRDefault="000F16EB" w:rsidP="00A7521D">
            <w:pPr>
              <w:jc w:val="center"/>
            </w:pPr>
          </w:p>
        </w:tc>
        <w:tc>
          <w:tcPr>
            <w:tcW w:w="1667" w:type="dxa"/>
            <w:vMerge/>
            <w:tcBorders>
              <w:bottom w:val="single" w:sz="4" w:space="0" w:color="auto"/>
            </w:tcBorders>
          </w:tcPr>
          <w:p w14:paraId="0B05398F" w14:textId="77777777" w:rsidR="000F16EB" w:rsidRDefault="000F16EB" w:rsidP="00A7521D">
            <w:pPr>
              <w:jc w:val="center"/>
            </w:pPr>
          </w:p>
        </w:tc>
        <w:tc>
          <w:tcPr>
            <w:tcW w:w="3544" w:type="dxa"/>
            <w:gridSpan w:val="2"/>
            <w:tcBorders>
              <w:top w:val="single" w:sz="4" w:space="0" w:color="auto"/>
              <w:bottom w:val="single" w:sz="4" w:space="0" w:color="auto"/>
            </w:tcBorders>
          </w:tcPr>
          <w:p w14:paraId="627DCE68" w14:textId="77777777" w:rsidR="000F16EB" w:rsidRDefault="000F16EB" w:rsidP="00A7521D">
            <w:pPr>
              <w:jc w:val="center"/>
            </w:pPr>
            <w:r>
              <w:t>Emissions per length (kg CO</w:t>
            </w:r>
            <w:r>
              <w:rPr>
                <w:vertAlign w:val="subscript"/>
              </w:rPr>
              <w:t>2</w:t>
            </w:r>
            <w:r>
              <w:t>e/m)</w:t>
            </w:r>
          </w:p>
        </w:tc>
      </w:tr>
      <w:tr w:rsidR="000F16EB" w14:paraId="594A385D" w14:textId="77777777" w:rsidTr="00A7521D">
        <w:trPr>
          <w:jc w:val="center"/>
        </w:trPr>
        <w:tc>
          <w:tcPr>
            <w:tcW w:w="1452" w:type="dxa"/>
            <w:tcBorders>
              <w:top w:val="single" w:sz="4" w:space="0" w:color="auto"/>
              <w:bottom w:val="nil"/>
            </w:tcBorders>
          </w:tcPr>
          <w:p w14:paraId="16D51F28" w14:textId="77777777" w:rsidR="000F16EB" w:rsidRDefault="000F16EB" w:rsidP="00A7521D">
            <w:pPr>
              <w:jc w:val="center"/>
            </w:pPr>
            <w:r>
              <w:t>DN25 Twin</w:t>
            </w:r>
          </w:p>
        </w:tc>
        <w:tc>
          <w:tcPr>
            <w:tcW w:w="1667" w:type="dxa"/>
            <w:tcBorders>
              <w:top w:val="single" w:sz="4" w:space="0" w:color="auto"/>
              <w:bottom w:val="nil"/>
            </w:tcBorders>
          </w:tcPr>
          <w:p w14:paraId="09190E09" w14:textId="77777777" w:rsidR="000F16EB" w:rsidRDefault="000F16EB" w:rsidP="00A7521D">
            <w:pPr>
              <w:jc w:val="center"/>
            </w:pPr>
            <w:r>
              <w:t>33.7</w:t>
            </w:r>
          </w:p>
        </w:tc>
        <w:tc>
          <w:tcPr>
            <w:tcW w:w="1843" w:type="dxa"/>
            <w:tcBorders>
              <w:top w:val="single" w:sz="4" w:space="0" w:color="auto"/>
              <w:bottom w:val="nil"/>
            </w:tcBorders>
          </w:tcPr>
          <w:p w14:paraId="213C3435" w14:textId="77777777" w:rsidR="000F16EB" w:rsidRDefault="000F16EB" w:rsidP="00A7521D">
            <w:pPr>
              <w:jc w:val="center"/>
            </w:pPr>
            <w:r>
              <w:t>12.5</w:t>
            </w:r>
          </w:p>
        </w:tc>
        <w:tc>
          <w:tcPr>
            <w:tcW w:w="1701" w:type="dxa"/>
            <w:tcBorders>
              <w:top w:val="single" w:sz="4" w:space="0" w:color="auto"/>
              <w:bottom w:val="nil"/>
            </w:tcBorders>
          </w:tcPr>
          <w:p w14:paraId="1DAB8CEE" w14:textId="77777777" w:rsidR="000F16EB" w:rsidRDefault="000F16EB" w:rsidP="00A7521D">
            <w:pPr>
              <w:jc w:val="center"/>
            </w:pPr>
            <w:r>
              <w:t>21</w:t>
            </w:r>
          </w:p>
        </w:tc>
      </w:tr>
      <w:tr w:rsidR="000F16EB" w14:paraId="6A5C5B28" w14:textId="77777777" w:rsidTr="00A7521D">
        <w:trPr>
          <w:jc w:val="center"/>
        </w:trPr>
        <w:tc>
          <w:tcPr>
            <w:tcW w:w="1452" w:type="dxa"/>
            <w:tcBorders>
              <w:top w:val="nil"/>
            </w:tcBorders>
          </w:tcPr>
          <w:p w14:paraId="0F612094" w14:textId="77777777" w:rsidR="000F16EB" w:rsidRDefault="000F16EB" w:rsidP="00A7521D">
            <w:pPr>
              <w:jc w:val="center"/>
            </w:pPr>
            <w:r>
              <w:t>DN25 Single</w:t>
            </w:r>
          </w:p>
        </w:tc>
        <w:tc>
          <w:tcPr>
            <w:tcW w:w="1667" w:type="dxa"/>
            <w:tcBorders>
              <w:top w:val="nil"/>
            </w:tcBorders>
          </w:tcPr>
          <w:p w14:paraId="1C2B8A9C" w14:textId="77777777" w:rsidR="000F16EB" w:rsidRDefault="000F16EB" w:rsidP="00A7521D">
            <w:pPr>
              <w:jc w:val="center"/>
            </w:pPr>
            <w:r>
              <w:t>33.7</w:t>
            </w:r>
          </w:p>
        </w:tc>
        <w:tc>
          <w:tcPr>
            <w:tcW w:w="1843" w:type="dxa"/>
            <w:tcBorders>
              <w:top w:val="nil"/>
            </w:tcBorders>
          </w:tcPr>
          <w:p w14:paraId="4D714907" w14:textId="77777777" w:rsidR="000F16EB" w:rsidRDefault="000F16EB" w:rsidP="00A7521D">
            <w:pPr>
              <w:jc w:val="center"/>
            </w:pPr>
            <w:r>
              <w:t>6.83</w:t>
            </w:r>
          </w:p>
        </w:tc>
        <w:tc>
          <w:tcPr>
            <w:tcW w:w="1701" w:type="dxa"/>
            <w:tcBorders>
              <w:top w:val="nil"/>
            </w:tcBorders>
          </w:tcPr>
          <w:p w14:paraId="0E0B80E4" w14:textId="77777777" w:rsidR="000F16EB" w:rsidRDefault="000F16EB" w:rsidP="00A7521D">
            <w:pPr>
              <w:jc w:val="center"/>
            </w:pPr>
            <w:r>
              <w:t>27</w:t>
            </w:r>
          </w:p>
        </w:tc>
      </w:tr>
      <w:tr w:rsidR="000F16EB" w14:paraId="1EA3FB30" w14:textId="77777777" w:rsidTr="00A7521D">
        <w:trPr>
          <w:jc w:val="center"/>
        </w:trPr>
        <w:tc>
          <w:tcPr>
            <w:tcW w:w="1452" w:type="dxa"/>
          </w:tcPr>
          <w:p w14:paraId="7421ED70" w14:textId="77777777" w:rsidR="000F16EB" w:rsidRDefault="000F16EB" w:rsidP="00A7521D">
            <w:pPr>
              <w:jc w:val="center"/>
            </w:pPr>
            <w:r>
              <w:t>DN100 Single</w:t>
            </w:r>
          </w:p>
        </w:tc>
        <w:tc>
          <w:tcPr>
            <w:tcW w:w="1667" w:type="dxa"/>
          </w:tcPr>
          <w:p w14:paraId="549ECEB5" w14:textId="77777777" w:rsidR="000F16EB" w:rsidRDefault="000F16EB" w:rsidP="00A7521D">
            <w:pPr>
              <w:jc w:val="center"/>
            </w:pPr>
            <w:r>
              <w:t>114</w:t>
            </w:r>
          </w:p>
        </w:tc>
        <w:tc>
          <w:tcPr>
            <w:tcW w:w="1843" w:type="dxa"/>
          </w:tcPr>
          <w:p w14:paraId="6B6CDAAE" w14:textId="77777777" w:rsidR="000F16EB" w:rsidRDefault="000F16EB" w:rsidP="00A7521D">
            <w:pPr>
              <w:jc w:val="center"/>
            </w:pPr>
            <w:r>
              <w:t>30</w:t>
            </w:r>
          </w:p>
        </w:tc>
        <w:tc>
          <w:tcPr>
            <w:tcW w:w="1701" w:type="dxa"/>
          </w:tcPr>
          <w:p w14:paraId="4A0E38C0" w14:textId="77777777" w:rsidR="000F16EB" w:rsidRDefault="000F16EB" w:rsidP="00A7521D">
            <w:pPr>
              <w:jc w:val="center"/>
            </w:pPr>
            <w:r>
              <w:t>39</w:t>
            </w:r>
          </w:p>
        </w:tc>
      </w:tr>
      <w:tr w:rsidR="000F16EB" w14:paraId="57C99B4E" w14:textId="77777777" w:rsidTr="00A7521D">
        <w:trPr>
          <w:jc w:val="center"/>
        </w:trPr>
        <w:tc>
          <w:tcPr>
            <w:tcW w:w="1452" w:type="dxa"/>
          </w:tcPr>
          <w:p w14:paraId="13E82753" w14:textId="77777777" w:rsidR="000F16EB" w:rsidRDefault="000F16EB" w:rsidP="00A7521D">
            <w:pPr>
              <w:jc w:val="center"/>
            </w:pPr>
            <w:r>
              <w:t>DN500 Single</w:t>
            </w:r>
          </w:p>
        </w:tc>
        <w:tc>
          <w:tcPr>
            <w:tcW w:w="1667" w:type="dxa"/>
          </w:tcPr>
          <w:p w14:paraId="4C39482F" w14:textId="77777777" w:rsidR="000F16EB" w:rsidRDefault="000F16EB" w:rsidP="00A7521D">
            <w:pPr>
              <w:jc w:val="center"/>
            </w:pPr>
            <w:r>
              <w:t>508</w:t>
            </w:r>
          </w:p>
        </w:tc>
        <w:tc>
          <w:tcPr>
            <w:tcW w:w="1843" w:type="dxa"/>
          </w:tcPr>
          <w:p w14:paraId="4C931348" w14:textId="77777777" w:rsidR="000F16EB" w:rsidRDefault="000F16EB" w:rsidP="00A7521D">
            <w:pPr>
              <w:jc w:val="center"/>
            </w:pPr>
            <w:r>
              <w:t>250</w:t>
            </w:r>
          </w:p>
        </w:tc>
        <w:tc>
          <w:tcPr>
            <w:tcW w:w="1701" w:type="dxa"/>
          </w:tcPr>
          <w:p w14:paraId="415793B0" w14:textId="77777777" w:rsidR="000F16EB" w:rsidRDefault="000F16EB" w:rsidP="00A7521D">
            <w:pPr>
              <w:jc w:val="center"/>
            </w:pPr>
            <w:r>
              <w:t>110</w:t>
            </w:r>
          </w:p>
        </w:tc>
      </w:tr>
    </w:tbl>
    <w:p w14:paraId="6C57ED67" w14:textId="77777777" w:rsidR="000F16EB" w:rsidRDefault="000F16EB" w:rsidP="002C79E5">
      <w:pPr>
        <w:pStyle w:val="NoSpacing"/>
      </w:pPr>
    </w:p>
    <w:p w14:paraId="043B821B" w14:textId="613E0902" w:rsidR="000F16EB" w:rsidRDefault="000F16EB" w:rsidP="000F16EB">
      <w:r>
        <w:t>The equivalent CO</w:t>
      </w:r>
      <w:r>
        <w:rPr>
          <w:vertAlign w:val="subscript"/>
        </w:rPr>
        <w:t>2</w:t>
      </w:r>
      <w:r>
        <w:t xml:space="preserve"> emissions associated with the installation of the pump were calculated based on an assumption of 1.56 tonnes CO</w:t>
      </w:r>
      <w:r>
        <w:rPr>
          <w:vertAlign w:val="subscript"/>
        </w:rPr>
        <w:t>2</w:t>
      </w:r>
      <w:r>
        <w:t>e</w:t>
      </w:r>
      <w:r w:rsidR="00527AD2">
        <w:t>/£764</w:t>
      </w:r>
      <w:r>
        <w:t xml:space="preserve"> CAPEX </w:t>
      </w:r>
      <w:r>
        <w:fldChar w:fldCharType="begin" w:fldLock="1"/>
      </w:r>
      <w:r w:rsidR="002A6A73">
        <w:instrText>ADDIN CSL_CITATION {"citationItems":[{"id":"ITEM-1","itemData":{"DOI":"10.1308/003588407X155743","ISBN":"0733-9496","ISSN":"00358843","author":[{"dropping-particle":"","family":"Nault","given":"J","non-dropping-particle":"","parse-names":false,"suffix":""},{"dropping-particle":"","family":"Papa","given":"M","non-dropping-particle":"","parse-names":false,"suffix":""}],"container-title":"Water Resource Planning Management","id":"ITEM-1","issue":"1","issued":{"date-parts":[["2007"]]},"page":"1-2","title":"Lifecycle Assessment of a Water Distribution System Pump","type":"article-journal","volume":"89"},"uris":["http://www.mendeley.com/documents/?uuid=00e8c4ba-dec5-4135-afb6-c8d76041f029"]}],"mendeley":{"formattedCitation":"(Nault and Papa, 2007)","plainTextFormattedCitation":"(Nault and Papa, 2007)","previouslyFormattedCitation":"(Nault and Papa, 2007)"},"properties":{"noteIndex":0},"schema":"https://github.com/citation-style-language/schema/raw/master/csl-citation.json"}</w:instrText>
      </w:r>
      <w:r>
        <w:fldChar w:fldCharType="separate"/>
      </w:r>
      <w:r w:rsidR="002A6A73" w:rsidRPr="002A6A73">
        <w:rPr>
          <w:noProof/>
        </w:rPr>
        <w:t>(Nault and Papa, 2007)</w:t>
      </w:r>
      <w:r>
        <w:fldChar w:fldCharType="end"/>
      </w:r>
      <w:r>
        <w:t xml:space="preserve">. </w:t>
      </w:r>
    </w:p>
    <w:p w14:paraId="79FAF8AF" w14:textId="77777777" w:rsidR="000F16EB" w:rsidRDefault="000F16EB" w:rsidP="000F16EB">
      <w:r>
        <w:lastRenderedPageBreak/>
        <w:t xml:space="preserve">All the assessment models required as inputs are parameters that have been determined elsewhere in the overall feasibility assessment. The parameters include: </w:t>
      </w:r>
    </w:p>
    <w:p w14:paraId="2C23383A" w14:textId="77777777" w:rsidR="000F16EB" w:rsidRDefault="000F16EB" w:rsidP="00202E44">
      <w:pPr>
        <w:pStyle w:val="ListParagraph"/>
        <w:numPr>
          <w:ilvl w:val="0"/>
          <w:numId w:val="29"/>
        </w:numPr>
      </w:pPr>
      <w:bookmarkStart w:id="875" w:name="_Hlk529528561"/>
      <w:r>
        <w:t>The number of buildings connected to the DHN.</w:t>
      </w:r>
    </w:p>
    <w:p w14:paraId="5E30DD37" w14:textId="77777777" w:rsidR="000F16EB" w:rsidRDefault="000F16EB" w:rsidP="00202E44">
      <w:pPr>
        <w:pStyle w:val="ListParagraph"/>
        <w:numPr>
          <w:ilvl w:val="0"/>
          <w:numId w:val="29"/>
        </w:numPr>
      </w:pPr>
      <w:r>
        <w:t>The lengths and diameters of the pipes in the pipe network.</w:t>
      </w:r>
    </w:p>
    <w:p w14:paraId="13A36026" w14:textId="77777777" w:rsidR="000F16EB" w:rsidRDefault="000F16EB" w:rsidP="00202E44">
      <w:pPr>
        <w:pStyle w:val="ListParagraph"/>
        <w:numPr>
          <w:ilvl w:val="0"/>
          <w:numId w:val="29"/>
        </w:numPr>
      </w:pPr>
      <w:r>
        <w:t>The total heat demand of the customers connected to the DHN.</w:t>
      </w:r>
    </w:p>
    <w:p w14:paraId="7DAC4B1F" w14:textId="77777777" w:rsidR="000F16EB" w:rsidRDefault="000F16EB" w:rsidP="00202E44">
      <w:pPr>
        <w:pStyle w:val="ListParagraph"/>
        <w:numPr>
          <w:ilvl w:val="0"/>
          <w:numId w:val="29"/>
        </w:numPr>
      </w:pPr>
      <w:r>
        <w:t>The total heat demand experienced by the thermal energy generating centre.</w:t>
      </w:r>
    </w:p>
    <w:p w14:paraId="55CAE2BD" w14:textId="77777777" w:rsidR="000F16EB" w:rsidRDefault="000F16EB" w:rsidP="00202E44">
      <w:pPr>
        <w:pStyle w:val="ListParagraph"/>
        <w:numPr>
          <w:ilvl w:val="0"/>
          <w:numId w:val="29"/>
        </w:numPr>
      </w:pPr>
      <w:r>
        <w:t>The flowrate of the water in the network.</w:t>
      </w:r>
    </w:p>
    <w:p w14:paraId="63695DE0" w14:textId="2B720026" w:rsidR="000F16EB" w:rsidRDefault="000F16EB" w:rsidP="00202E44">
      <w:pPr>
        <w:pStyle w:val="ListParagraph"/>
        <w:numPr>
          <w:ilvl w:val="0"/>
          <w:numId w:val="29"/>
        </w:numPr>
      </w:pPr>
      <w:r>
        <w:t>The size of the TES</w:t>
      </w:r>
      <w:r w:rsidR="002C79E5">
        <w:t xml:space="preserve"> and the back-up burner</w:t>
      </w:r>
      <w:r>
        <w:t>.</w:t>
      </w:r>
    </w:p>
    <w:p w14:paraId="1BDA7543" w14:textId="77777777" w:rsidR="000F16EB" w:rsidRDefault="000F16EB" w:rsidP="00202E44">
      <w:pPr>
        <w:pStyle w:val="ListParagraph"/>
        <w:numPr>
          <w:ilvl w:val="0"/>
          <w:numId w:val="29"/>
        </w:numPr>
      </w:pPr>
      <w:r>
        <w:t>The natural gas used by the back-up burner.</w:t>
      </w:r>
    </w:p>
    <w:bookmarkEnd w:id="875"/>
    <w:p w14:paraId="26D15B5D" w14:textId="33DB0E11" w:rsidR="000F16EB" w:rsidRPr="005519E5" w:rsidRDefault="000F16EB" w:rsidP="000F16EB">
      <w:r>
        <w:t>As all of the parameters had been calculated elsewhere and linked to the assessment models, the non-technical user would be capable of operating the assessment models. All the non</w:t>
      </w:r>
      <w:r>
        <w:noBreakHyphen/>
        <w:t xml:space="preserve">technical user would have to modify is the </w:t>
      </w:r>
      <w:r w:rsidR="0049101B">
        <w:t>internal rate of return (</w:t>
      </w:r>
      <w:r>
        <w:t>IRR</w:t>
      </w:r>
      <w:r w:rsidR="0049101B">
        <w:t>)</w:t>
      </w:r>
      <w:r>
        <w:t>, the network lifespan, the heat price, and the funding; all of which could be chosen from a small list. Therefore, the non-technical user would be capable of operating the assessment models.</w:t>
      </w:r>
    </w:p>
    <w:p w14:paraId="48AAD853" w14:textId="77777777" w:rsidR="000F16EB" w:rsidRDefault="000F16EB" w:rsidP="000F16EB">
      <w:pPr>
        <w:pStyle w:val="Heading2"/>
      </w:pPr>
      <w:bookmarkStart w:id="876" w:name="_Toc7187566"/>
      <w:r>
        <w:t>Results</w:t>
      </w:r>
      <w:bookmarkEnd w:id="876"/>
    </w:p>
    <w:p w14:paraId="5D39C450" w14:textId="77777777" w:rsidR="000F16EB" w:rsidRDefault="000F16EB" w:rsidP="000F16EB">
      <w:r>
        <w:t>Both the techno-economic and environmental assessments were considered over a 20-, 30- and 40</w:t>
      </w:r>
      <w:r>
        <w:noBreakHyphen/>
        <w:t>year lifespan, comparing the results of each assessment at each stage of the lifespan. Both assessments were analysed using a sensitivity analysis to see which component of the costs or emissions had the largest effect on the overall results.</w:t>
      </w:r>
    </w:p>
    <w:p w14:paraId="0C2D1AF1" w14:textId="77777777" w:rsidR="000F16EB" w:rsidRDefault="000F16EB" w:rsidP="000F16EB">
      <w:pPr>
        <w:pStyle w:val="Heading3"/>
      </w:pPr>
      <w:bookmarkStart w:id="877" w:name="_Toc7187567"/>
      <w:r>
        <w:t>Techno-Economic Assessment Results</w:t>
      </w:r>
      <w:bookmarkEnd w:id="877"/>
    </w:p>
    <w:p w14:paraId="396F35EA" w14:textId="648546C1" w:rsidR="000F16EB" w:rsidRDefault="000F16EB" w:rsidP="000F16EB">
      <w:r>
        <w:t xml:space="preserve">The CAPEX, OPEX, and maintenance costs of each component of the DHN as well as the revenues are shown in </w:t>
      </w:r>
      <w:r>
        <w:fldChar w:fldCharType="begin"/>
      </w:r>
      <w:r>
        <w:instrText xml:space="preserve"> REF _Ref529456741 \h </w:instrText>
      </w:r>
      <w:r>
        <w:fldChar w:fldCharType="separate"/>
      </w:r>
      <w:r w:rsidR="00CB7456">
        <w:t xml:space="preserve">Table </w:t>
      </w:r>
      <w:r w:rsidR="00CB7456">
        <w:rPr>
          <w:noProof/>
        </w:rPr>
        <w:t>8</w:t>
      </w:r>
      <w:r w:rsidR="00CB7456">
        <w:t>.</w:t>
      </w:r>
      <w:r w:rsidR="00CB7456">
        <w:rPr>
          <w:noProof/>
        </w:rPr>
        <w:t>4</w:t>
      </w:r>
      <w:r>
        <w:fldChar w:fldCharType="end"/>
      </w:r>
      <w:r>
        <w:t>.</w:t>
      </w:r>
    </w:p>
    <w:p w14:paraId="7A742BD8" w14:textId="536DE15B" w:rsidR="000F16EB" w:rsidRDefault="000F16EB" w:rsidP="000F16EB">
      <w:pPr>
        <w:pStyle w:val="Caption"/>
        <w:keepNext/>
      </w:pPr>
      <w:bookmarkStart w:id="878" w:name="_Ref529456741"/>
      <w:bookmarkStart w:id="879" w:name="_Toc7187711"/>
      <w:r>
        <w:t xml:space="preserve">Table </w:t>
      </w:r>
      <w:fldSimple w:instr=" STYLEREF 1 \s ">
        <w:r w:rsidR="00CB7456">
          <w:rPr>
            <w:noProof/>
          </w:rPr>
          <w:t>8</w:t>
        </w:r>
      </w:fldSimple>
      <w:r w:rsidR="009E1A67">
        <w:t>.</w:t>
      </w:r>
      <w:fldSimple w:instr=" SEQ Table \* ARABIC \s 1 ">
        <w:r w:rsidR="00CB7456">
          <w:rPr>
            <w:noProof/>
          </w:rPr>
          <w:t>4</w:t>
        </w:r>
      </w:fldSimple>
      <w:bookmarkEnd w:id="878"/>
      <w:r>
        <w:rPr>
          <w:noProof/>
        </w:rPr>
        <w:t>:</w:t>
      </w:r>
      <w:r>
        <w:t xml:space="preserve"> CAPEX, OPEX, maintenance costs, and revenues of the DHN.</w:t>
      </w:r>
      <w:bookmarkEnd w:id="879"/>
    </w:p>
    <w:tbl>
      <w:tblPr>
        <w:tblStyle w:val="TableGrid"/>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31"/>
        <w:gridCol w:w="925"/>
        <w:gridCol w:w="2126"/>
      </w:tblGrid>
      <w:tr w:rsidR="000F16EB" w14:paraId="72FD3DA3" w14:textId="77777777" w:rsidTr="00A7521D">
        <w:trPr>
          <w:jc w:val="center"/>
        </w:trPr>
        <w:tc>
          <w:tcPr>
            <w:tcW w:w="2331" w:type="dxa"/>
            <w:tcBorders>
              <w:bottom w:val="single" w:sz="4" w:space="0" w:color="auto"/>
            </w:tcBorders>
          </w:tcPr>
          <w:p w14:paraId="55C2F581" w14:textId="77777777" w:rsidR="000F16EB" w:rsidRDefault="000F16EB" w:rsidP="00A7521D">
            <w:pPr>
              <w:jc w:val="center"/>
            </w:pPr>
            <w:r>
              <w:t>Component</w:t>
            </w:r>
          </w:p>
        </w:tc>
        <w:tc>
          <w:tcPr>
            <w:tcW w:w="925" w:type="dxa"/>
            <w:tcBorders>
              <w:bottom w:val="single" w:sz="4" w:space="0" w:color="auto"/>
            </w:tcBorders>
          </w:tcPr>
          <w:p w14:paraId="33512F67" w14:textId="77777777" w:rsidR="000F16EB" w:rsidRDefault="000F16EB" w:rsidP="00A7521D">
            <w:pPr>
              <w:jc w:val="center"/>
            </w:pPr>
            <w:r>
              <w:t>CAPEX (£1000)</w:t>
            </w:r>
          </w:p>
        </w:tc>
        <w:tc>
          <w:tcPr>
            <w:tcW w:w="2126" w:type="dxa"/>
            <w:tcBorders>
              <w:bottom w:val="single" w:sz="4" w:space="0" w:color="auto"/>
            </w:tcBorders>
          </w:tcPr>
          <w:p w14:paraId="4C945E94" w14:textId="77777777" w:rsidR="000F16EB" w:rsidRDefault="000F16EB" w:rsidP="00A7521D">
            <w:pPr>
              <w:jc w:val="center"/>
            </w:pPr>
            <w:r>
              <w:t>OPEX/ maintenance costs (£1000/year)</w:t>
            </w:r>
          </w:p>
        </w:tc>
      </w:tr>
      <w:tr w:rsidR="000F16EB" w14:paraId="71B6D013" w14:textId="77777777" w:rsidTr="00A7521D">
        <w:trPr>
          <w:jc w:val="center"/>
        </w:trPr>
        <w:tc>
          <w:tcPr>
            <w:tcW w:w="2331" w:type="dxa"/>
            <w:tcBorders>
              <w:top w:val="single" w:sz="4" w:space="0" w:color="auto"/>
              <w:bottom w:val="nil"/>
            </w:tcBorders>
          </w:tcPr>
          <w:p w14:paraId="7832894D" w14:textId="77777777" w:rsidR="000F16EB" w:rsidRDefault="000F16EB" w:rsidP="00A7521D">
            <w:pPr>
              <w:jc w:val="center"/>
            </w:pPr>
            <w:r>
              <w:t>Pipe network</w:t>
            </w:r>
          </w:p>
        </w:tc>
        <w:tc>
          <w:tcPr>
            <w:tcW w:w="925" w:type="dxa"/>
            <w:tcBorders>
              <w:top w:val="single" w:sz="4" w:space="0" w:color="auto"/>
              <w:bottom w:val="nil"/>
            </w:tcBorders>
          </w:tcPr>
          <w:p w14:paraId="45CA4F2D" w14:textId="77777777" w:rsidR="000F16EB" w:rsidRDefault="000F16EB" w:rsidP="00A7521D">
            <w:pPr>
              <w:jc w:val="center"/>
            </w:pPr>
            <w:r>
              <w:t>9,488</w:t>
            </w:r>
          </w:p>
        </w:tc>
        <w:tc>
          <w:tcPr>
            <w:tcW w:w="2126" w:type="dxa"/>
            <w:tcBorders>
              <w:top w:val="single" w:sz="4" w:space="0" w:color="auto"/>
              <w:bottom w:val="nil"/>
            </w:tcBorders>
          </w:tcPr>
          <w:p w14:paraId="7D4C4317" w14:textId="77777777" w:rsidR="000F16EB" w:rsidRDefault="000F16EB" w:rsidP="00A7521D">
            <w:pPr>
              <w:jc w:val="center"/>
            </w:pPr>
            <w:r>
              <w:t>94.88</w:t>
            </w:r>
          </w:p>
        </w:tc>
      </w:tr>
      <w:tr w:rsidR="000F16EB" w14:paraId="188FA0D8" w14:textId="77777777" w:rsidTr="00A7521D">
        <w:trPr>
          <w:jc w:val="center"/>
        </w:trPr>
        <w:tc>
          <w:tcPr>
            <w:tcW w:w="2331" w:type="dxa"/>
            <w:tcBorders>
              <w:top w:val="nil"/>
            </w:tcBorders>
          </w:tcPr>
          <w:p w14:paraId="0D595986" w14:textId="77777777" w:rsidR="000F16EB" w:rsidRDefault="000F16EB" w:rsidP="00A7521D">
            <w:pPr>
              <w:jc w:val="center"/>
            </w:pPr>
            <w:r>
              <w:t>Pumping station</w:t>
            </w:r>
          </w:p>
        </w:tc>
        <w:tc>
          <w:tcPr>
            <w:tcW w:w="925" w:type="dxa"/>
            <w:tcBorders>
              <w:top w:val="nil"/>
            </w:tcBorders>
          </w:tcPr>
          <w:p w14:paraId="37CC1D75" w14:textId="77777777" w:rsidR="000F16EB" w:rsidRDefault="000F16EB" w:rsidP="00A7521D">
            <w:pPr>
              <w:jc w:val="center"/>
            </w:pPr>
            <w:r>
              <w:t>7.898</w:t>
            </w:r>
          </w:p>
        </w:tc>
        <w:tc>
          <w:tcPr>
            <w:tcW w:w="2126" w:type="dxa"/>
            <w:tcBorders>
              <w:top w:val="nil"/>
            </w:tcBorders>
          </w:tcPr>
          <w:p w14:paraId="2C92D8B0" w14:textId="77777777" w:rsidR="000F16EB" w:rsidRDefault="000F16EB" w:rsidP="00A7521D">
            <w:pPr>
              <w:jc w:val="center"/>
            </w:pPr>
            <w:r>
              <w:t>6.528</w:t>
            </w:r>
          </w:p>
        </w:tc>
      </w:tr>
      <w:tr w:rsidR="000F16EB" w14:paraId="688D61C4" w14:textId="77777777" w:rsidTr="00A7521D">
        <w:trPr>
          <w:jc w:val="center"/>
        </w:trPr>
        <w:tc>
          <w:tcPr>
            <w:tcW w:w="2331" w:type="dxa"/>
          </w:tcPr>
          <w:p w14:paraId="591A4E31" w14:textId="77777777" w:rsidR="000F16EB" w:rsidRDefault="000F16EB" w:rsidP="00A7521D">
            <w:pPr>
              <w:jc w:val="center"/>
            </w:pPr>
            <w:r>
              <w:t>Back-up burner</w:t>
            </w:r>
          </w:p>
        </w:tc>
        <w:tc>
          <w:tcPr>
            <w:tcW w:w="925" w:type="dxa"/>
          </w:tcPr>
          <w:p w14:paraId="613691D4" w14:textId="77777777" w:rsidR="000F16EB" w:rsidRDefault="000F16EB" w:rsidP="00A7521D">
            <w:pPr>
              <w:jc w:val="center"/>
            </w:pPr>
            <w:r>
              <w:t>623.7</w:t>
            </w:r>
          </w:p>
        </w:tc>
        <w:tc>
          <w:tcPr>
            <w:tcW w:w="2126" w:type="dxa"/>
          </w:tcPr>
          <w:p w14:paraId="05855EAA" w14:textId="77777777" w:rsidR="000F16EB" w:rsidRDefault="000F16EB" w:rsidP="00A7521D">
            <w:pPr>
              <w:jc w:val="center"/>
            </w:pPr>
            <w:r>
              <w:t>998.0</w:t>
            </w:r>
          </w:p>
        </w:tc>
      </w:tr>
      <w:tr w:rsidR="000F16EB" w14:paraId="03959C45" w14:textId="77777777" w:rsidTr="00A7521D">
        <w:trPr>
          <w:jc w:val="center"/>
        </w:trPr>
        <w:tc>
          <w:tcPr>
            <w:tcW w:w="2331" w:type="dxa"/>
          </w:tcPr>
          <w:p w14:paraId="12EC9D62" w14:textId="77777777" w:rsidR="000F16EB" w:rsidRDefault="000F16EB" w:rsidP="00A7521D">
            <w:pPr>
              <w:jc w:val="center"/>
            </w:pPr>
            <w:r>
              <w:t>TES</w:t>
            </w:r>
          </w:p>
        </w:tc>
        <w:tc>
          <w:tcPr>
            <w:tcW w:w="925" w:type="dxa"/>
          </w:tcPr>
          <w:p w14:paraId="1A5E71C6" w14:textId="77777777" w:rsidR="000F16EB" w:rsidRDefault="000F16EB" w:rsidP="00A7521D">
            <w:pPr>
              <w:jc w:val="center"/>
            </w:pPr>
            <w:r>
              <w:t>0</w:t>
            </w:r>
          </w:p>
        </w:tc>
        <w:tc>
          <w:tcPr>
            <w:tcW w:w="2126" w:type="dxa"/>
          </w:tcPr>
          <w:p w14:paraId="343F831C" w14:textId="77777777" w:rsidR="000F16EB" w:rsidRDefault="000F16EB" w:rsidP="00A7521D">
            <w:pPr>
              <w:jc w:val="center"/>
            </w:pPr>
            <w:r>
              <w:t>0</w:t>
            </w:r>
          </w:p>
        </w:tc>
      </w:tr>
      <w:tr w:rsidR="000F16EB" w14:paraId="1768E1F1" w14:textId="77777777" w:rsidTr="00A7521D">
        <w:trPr>
          <w:jc w:val="center"/>
        </w:trPr>
        <w:tc>
          <w:tcPr>
            <w:tcW w:w="2331" w:type="dxa"/>
          </w:tcPr>
          <w:p w14:paraId="1D98C767" w14:textId="77777777" w:rsidR="000F16EB" w:rsidRDefault="000F16EB" w:rsidP="00A7521D">
            <w:pPr>
              <w:jc w:val="center"/>
            </w:pPr>
            <w:r>
              <w:t>Customer connections</w:t>
            </w:r>
          </w:p>
        </w:tc>
        <w:tc>
          <w:tcPr>
            <w:tcW w:w="925" w:type="dxa"/>
          </w:tcPr>
          <w:p w14:paraId="09268713" w14:textId="77777777" w:rsidR="000F16EB" w:rsidRDefault="000F16EB" w:rsidP="00A7521D">
            <w:pPr>
              <w:jc w:val="center"/>
            </w:pPr>
            <w:r>
              <w:t>257.3</w:t>
            </w:r>
          </w:p>
        </w:tc>
        <w:tc>
          <w:tcPr>
            <w:tcW w:w="2126" w:type="dxa"/>
          </w:tcPr>
          <w:p w14:paraId="26189069" w14:textId="77777777" w:rsidR="000F16EB" w:rsidRDefault="000F16EB" w:rsidP="00A7521D">
            <w:pPr>
              <w:jc w:val="center"/>
            </w:pPr>
            <w:r>
              <w:t>n/a</w:t>
            </w:r>
          </w:p>
        </w:tc>
      </w:tr>
      <w:tr w:rsidR="000F16EB" w14:paraId="69130781" w14:textId="77777777" w:rsidTr="00A7521D">
        <w:trPr>
          <w:jc w:val="center"/>
        </w:trPr>
        <w:tc>
          <w:tcPr>
            <w:tcW w:w="2331" w:type="dxa"/>
            <w:tcBorders>
              <w:bottom w:val="single" w:sz="4" w:space="0" w:color="auto"/>
            </w:tcBorders>
          </w:tcPr>
          <w:p w14:paraId="2DB08D34" w14:textId="77777777" w:rsidR="000F16EB" w:rsidRDefault="000F16EB" w:rsidP="00A7521D">
            <w:pPr>
              <w:jc w:val="center"/>
            </w:pPr>
            <w:r>
              <w:t>Customer contracts</w:t>
            </w:r>
          </w:p>
        </w:tc>
        <w:tc>
          <w:tcPr>
            <w:tcW w:w="925" w:type="dxa"/>
            <w:tcBorders>
              <w:bottom w:val="single" w:sz="4" w:space="0" w:color="auto"/>
            </w:tcBorders>
          </w:tcPr>
          <w:p w14:paraId="6925D5A3" w14:textId="77777777" w:rsidR="000F16EB" w:rsidRDefault="000F16EB" w:rsidP="00A7521D">
            <w:pPr>
              <w:jc w:val="center"/>
            </w:pPr>
            <w:r>
              <w:t>50.85</w:t>
            </w:r>
          </w:p>
        </w:tc>
        <w:tc>
          <w:tcPr>
            <w:tcW w:w="2126" w:type="dxa"/>
            <w:tcBorders>
              <w:bottom w:val="single" w:sz="4" w:space="0" w:color="auto"/>
            </w:tcBorders>
          </w:tcPr>
          <w:p w14:paraId="6B81AE92" w14:textId="77777777" w:rsidR="000F16EB" w:rsidRDefault="000F16EB" w:rsidP="00A7521D">
            <w:pPr>
              <w:jc w:val="center"/>
            </w:pPr>
            <w:r>
              <w:t>n/a</w:t>
            </w:r>
          </w:p>
        </w:tc>
      </w:tr>
      <w:tr w:rsidR="000F16EB" w14:paraId="015FDF08" w14:textId="77777777" w:rsidTr="00A7521D">
        <w:trPr>
          <w:jc w:val="center"/>
        </w:trPr>
        <w:tc>
          <w:tcPr>
            <w:tcW w:w="2331" w:type="dxa"/>
            <w:tcBorders>
              <w:top w:val="single" w:sz="4" w:space="0" w:color="auto"/>
              <w:bottom w:val="single" w:sz="4" w:space="0" w:color="auto"/>
            </w:tcBorders>
          </w:tcPr>
          <w:p w14:paraId="1A13D26E" w14:textId="77777777" w:rsidR="000F16EB" w:rsidRDefault="000F16EB" w:rsidP="00A7521D">
            <w:pPr>
              <w:jc w:val="center"/>
            </w:pPr>
            <w:r>
              <w:t>Revenue</w:t>
            </w:r>
          </w:p>
        </w:tc>
        <w:tc>
          <w:tcPr>
            <w:tcW w:w="925" w:type="dxa"/>
            <w:tcBorders>
              <w:top w:val="single" w:sz="4" w:space="0" w:color="auto"/>
              <w:bottom w:val="single" w:sz="4" w:space="0" w:color="auto"/>
            </w:tcBorders>
          </w:tcPr>
          <w:p w14:paraId="057C9564" w14:textId="77777777" w:rsidR="000F16EB" w:rsidRDefault="000F16EB" w:rsidP="00A7521D">
            <w:pPr>
              <w:jc w:val="center"/>
            </w:pPr>
            <w:r>
              <w:t>n/a</w:t>
            </w:r>
          </w:p>
        </w:tc>
        <w:tc>
          <w:tcPr>
            <w:tcW w:w="2126" w:type="dxa"/>
            <w:tcBorders>
              <w:top w:val="single" w:sz="4" w:space="0" w:color="auto"/>
              <w:bottom w:val="single" w:sz="4" w:space="0" w:color="auto"/>
            </w:tcBorders>
          </w:tcPr>
          <w:p w14:paraId="177BBF20" w14:textId="77777777" w:rsidR="000F16EB" w:rsidRDefault="000F16EB" w:rsidP="00A7521D">
            <w:pPr>
              <w:jc w:val="center"/>
            </w:pPr>
            <w:r>
              <w:t>2006</w:t>
            </w:r>
          </w:p>
        </w:tc>
      </w:tr>
    </w:tbl>
    <w:p w14:paraId="55FBF66B" w14:textId="77777777" w:rsidR="000F16EB" w:rsidRDefault="000F16EB" w:rsidP="002C79E5">
      <w:pPr>
        <w:pStyle w:val="NoSpacing"/>
      </w:pPr>
      <w:r>
        <w:t xml:space="preserve"> </w:t>
      </w:r>
    </w:p>
    <w:p w14:paraId="3E294FC6" w14:textId="1EEE3940" w:rsidR="000F16EB" w:rsidRDefault="000F16EB" w:rsidP="000F16EB">
      <w:r>
        <w:t>The techno-economic assessment was repeated at a range of different IRR</w:t>
      </w:r>
      <w:r w:rsidR="0049101B">
        <w:t>s</w:t>
      </w:r>
      <w:r>
        <w:t xml:space="preserve">, heat sales price from industry and grant funding, as shown in </w:t>
      </w:r>
      <w:r>
        <w:fldChar w:fldCharType="begin"/>
      </w:r>
      <w:r>
        <w:instrText xml:space="preserve"> REF _Ref529457008 \h </w:instrText>
      </w:r>
      <w:r>
        <w:fldChar w:fldCharType="separate"/>
      </w:r>
      <w:r w:rsidR="00CB7456">
        <w:t xml:space="preserve">Table </w:t>
      </w:r>
      <w:r w:rsidR="00CB7456">
        <w:rPr>
          <w:noProof/>
        </w:rPr>
        <w:t>8</w:t>
      </w:r>
      <w:r w:rsidR="00CB7456">
        <w:t>.</w:t>
      </w:r>
      <w:r w:rsidR="00CB7456">
        <w:rPr>
          <w:noProof/>
        </w:rPr>
        <w:t>5</w:t>
      </w:r>
      <w:r>
        <w:fldChar w:fldCharType="end"/>
      </w:r>
      <w:r>
        <w:t>.</w:t>
      </w:r>
    </w:p>
    <w:p w14:paraId="51E62942" w14:textId="04E60F3D" w:rsidR="000F16EB" w:rsidRDefault="000F16EB" w:rsidP="000F16EB">
      <w:pPr>
        <w:pStyle w:val="Caption"/>
        <w:keepNext/>
      </w:pPr>
      <w:bookmarkStart w:id="880" w:name="_Ref529457008"/>
      <w:bookmarkStart w:id="881" w:name="_Toc7187712"/>
      <w:r>
        <w:t xml:space="preserve">Table </w:t>
      </w:r>
      <w:fldSimple w:instr=" STYLEREF 1 \s ">
        <w:r w:rsidR="00CB7456">
          <w:rPr>
            <w:noProof/>
          </w:rPr>
          <w:t>8</w:t>
        </w:r>
      </w:fldSimple>
      <w:r w:rsidR="009E1A67">
        <w:t>.</w:t>
      </w:r>
      <w:fldSimple w:instr=" SEQ Table \* ARABIC \s 1 ">
        <w:r w:rsidR="00CB7456">
          <w:rPr>
            <w:noProof/>
          </w:rPr>
          <w:t>5</w:t>
        </w:r>
      </w:fldSimple>
      <w:bookmarkEnd w:id="880"/>
      <w:r>
        <w:t>: Parameters used in the techno-economic assessment.</w:t>
      </w:r>
      <w:bookmarkEnd w:id="881"/>
    </w:p>
    <w:tbl>
      <w:tblPr>
        <w:tblStyle w:val="TableGrid"/>
        <w:tblW w:w="5807" w:type="dxa"/>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8"/>
        <w:gridCol w:w="1090"/>
        <w:gridCol w:w="495"/>
        <w:gridCol w:w="412"/>
        <w:gridCol w:w="420"/>
        <w:gridCol w:w="522"/>
      </w:tblGrid>
      <w:tr w:rsidR="000F16EB" w14:paraId="3531C526" w14:textId="77777777" w:rsidTr="00A7521D">
        <w:trPr>
          <w:jc w:val="center"/>
        </w:trPr>
        <w:tc>
          <w:tcPr>
            <w:tcW w:w="2868" w:type="dxa"/>
            <w:tcBorders>
              <w:top w:val="single" w:sz="4" w:space="0" w:color="auto"/>
              <w:bottom w:val="nil"/>
            </w:tcBorders>
          </w:tcPr>
          <w:p w14:paraId="05C9AA03" w14:textId="77777777" w:rsidR="000F16EB" w:rsidRDefault="000F16EB" w:rsidP="00A7521D">
            <w:pPr>
              <w:jc w:val="center"/>
            </w:pPr>
            <w:r>
              <w:t>Parameter</w:t>
            </w:r>
          </w:p>
        </w:tc>
        <w:tc>
          <w:tcPr>
            <w:tcW w:w="1090" w:type="dxa"/>
            <w:tcBorders>
              <w:top w:val="single" w:sz="4" w:space="0" w:color="auto"/>
              <w:bottom w:val="nil"/>
            </w:tcBorders>
          </w:tcPr>
          <w:p w14:paraId="248BF12F" w14:textId="77777777" w:rsidR="000F16EB" w:rsidRDefault="000F16EB" w:rsidP="00A7521D">
            <w:pPr>
              <w:jc w:val="center"/>
            </w:pPr>
            <w:r>
              <w:t>Unit</w:t>
            </w:r>
          </w:p>
        </w:tc>
        <w:tc>
          <w:tcPr>
            <w:tcW w:w="1849" w:type="dxa"/>
            <w:gridSpan w:val="4"/>
            <w:tcBorders>
              <w:bottom w:val="single" w:sz="4" w:space="0" w:color="auto"/>
            </w:tcBorders>
          </w:tcPr>
          <w:p w14:paraId="27B0657A" w14:textId="77777777" w:rsidR="000F16EB" w:rsidRDefault="000F16EB" w:rsidP="00A7521D">
            <w:pPr>
              <w:jc w:val="center"/>
            </w:pPr>
            <w:r>
              <w:t>Variable</w:t>
            </w:r>
          </w:p>
        </w:tc>
      </w:tr>
      <w:tr w:rsidR="000F16EB" w14:paraId="683CD626" w14:textId="77777777" w:rsidTr="00A7521D">
        <w:trPr>
          <w:jc w:val="center"/>
        </w:trPr>
        <w:tc>
          <w:tcPr>
            <w:tcW w:w="2868" w:type="dxa"/>
            <w:tcBorders>
              <w:top w:val="nil"/>
              <w:bottom w:val="single" w:sz="4" w:space="0" w:color="auto"/>
            </w:tcBorders>
          </w:tcPr>
          <w:p w14:paraId="516515C0" w14:textId="77777777" w:rsidR="000F16EB" w:rsidRDefault="000F16EB" w:rsidP="00A7521D">
            <w:pPr>
              <w:jc w:val="center"/>
            </w:pPr>
          </w:p>
        </w:tc>
        <w:tc>
          <w:tcPr>
            <w:tcW w:w="1090" w:type="dxa"/>
            <w:tcBorders>
              <w:top w:val="nil"/>
              <w:bottom w:val="single" w:sz="4" w:space="0" w:color="auto"/>
            </w:tcBorders>
          </w:tcPr>
          <w:p w14:paraId="2E004383" w14:textId="77777777" w:rsidR="000F16EB" w:rsidRDefault="000F16EB" w:rsidP="00A7521D">
            <w:pPr>
              <w:jc w:val="center"/>
            </w:pPr>
          </w:p>
        </w:tc>
        <w:tc>
          <w:tcPr>
            <w:tcW w:w="495" w:type="dxa"/>
            <w:tcBorders>
              <w:bottom w:val="single" w:sz="4" w:space="0" w:color="auto"/>
            </w:tcBorders>
          </w:tcPr>
          <w:p w14:paraId="5B2ACD7B" w14:textId="77777777" w:rsidR="000F16EB" w:rsidRDefault="000F16EB" w:rsidP="00A7521D">
            <w:pPr>
              <w:jc w:val="center"/>
            </w:pPr>
            <w:r>
              <w:t>1</w:t>
            </w:r>
          </w:p>
        </w:tc>
        <w:tc>
          <w:tcPr>
            <w:tcW w:w="412" w:type="dxa"/>
            <w:tcBorders>
              <w:bottom w:val="single" w:sz="4" w:space="0" w:color="auto"/>
            </w:tcBorders>
          </w:tcPr>
          <w:p w14:paraId="1419E02C" w14:textId="77777777" w:rsidR="000F16EB" w:rsidRDefault="000F16EB" w:rsidP="00A7521D">
            <w:pPr>
              <w:jc w:val="center"/>
            </w:pPr>
            <w:r>
              <w:t>2</w:t>
            </w:r>
          </w:p>
        </w:tc>
        <w:tc>
          <w:tcPr>
            <w:tcW w:w="420" w:type="dxa"/>
            <w:tcBorders>
              <w:bottom w:val="single" w:sz="4" w:space="0" w:color="auto"/>
            </w:tcBorders>
          </w:tcPr>
          <w:p w14:paraId="3FB9AE75" w14:textId="77777777" w:rsidR="000F16EB" w:rsidRDefault="000F16EB" w:rsidP="00A7521D">
            <w:pPr>
              <w:jc w:val="center"/>
            </w:pPr>
            <w:r>
              <w:t>3</w:t>
            </w:r>
          </w:p>
        </w:tc>
        <w:tc>
          <w:tcPr>
            <w:tcW w:w="522" w:type="dxa"/>
            <w:tcBorders>
              <w:bottom w:val="single" w:sz="4" w:space="0" w:color="auto"/>
            </w:tcBorders>
          </w:tcPr>
          <w:p w14:paraId="51669A5E" w14:textId="77777777" w:rsidR="000F16EB" w:rsidRDefault="000F16EB" w:rsidP="00A7521D">
            <w:pPr>
              <w:jc w:val="center"/>
            </w:pPr>
            <w:r>
              <w:t>4</w:t>
            </w:r>
          </w:p>
        </w:tc>
      </w:tr>
      <w:tr w:rsidR="000F16EB" w14:paraId="1AC12779" w14:textId="77777777" w:rsidTr="00A7521D">
        <w:trPr>
          <w:jc w:val="center"/>
        </w:trPr>
        <w:tc>
          <w:tcPr>
            <w:tcW w:w="2868" w:type="dxa"/>
            <w:tcBorders>
              <w:top w:val="single" w:sz="4" w:space="0" w:color="auto"/>
              <w:bottom w:val="nil"/>
            </w:tcBorders>
          </w:tcPr>
          <w:p w14:paraId="00F04D05" w14:textId="77777777" w:rsidR="000F16EB" w:rsidRDefault="000F16EB" w:rsidP="00A7521D">
            <w:pPr>
              <w:jc w:val="center"/>
            </w:pPr>
            <w:r>
              <w:t>IRR</w:t>
            </w:r>
          </w:p>
        </w:tc>
        <w:tc>
          <w:tcPr>
            <w:tcW w:w="1090" w:type="dxa"/>
            <w:tcBorders>
              <w:top w:val="single" w:sz="4" w:space="0" w:color="auto"/>
              <w:bottom w:val="nil"/>
            </w:tcBorders>
          </w:tcPr>
          <w:p w14:paraId="1DC76ACC" w14:textId="77777777" w:rsidR="000F16EB" w:rsidRDefault="000F16EB" w:rsidP="00A7521D">
            <w:pPr>
              <w:jc w:val="center"/>
            </w:pPr>
            <w:r>
              <w:t>%</w:t>
            </w:r>
          </w:p>
        </w:tc>
        <w:tc>
          <w:tcPr>
            <w:tcW w:w="495" w:type="dxa"/>
            <w:tcBorders>
              <w:top w:val="single" w:sz="4" w:space="0" w:color="auto"/>
              <w:bottom w:val="nil"/>
            </w:tcBorders>
          </w:tcPr>
          <w:p w14:paraId="0658CD82" w14:textId="77777777" w:rsidR="000F16EB" w:rsidRDefault="000F16EB" w:rsidP="00A7521D">
            <w:pPr>
              <w:jc w:val="center"/>
            </w:pPr>
            <w:r>
              <w:t>3.5</w:t>
            </w:r>
          </w:p>
        </w:tc>
        <w:tc>
          <w:tcPr>
            <w:tcW w:w="412" w:type="dxa"/>
            <w:tcBorders>
              <w:top w:val="single" w:sz="4" w:space="0" w:color="auto"/>
              <w:bottom w:val="nil"/>
            </w:tcBorders>
          </w:tcPr>
          <w:p w14:paraId="17D0B874" w14:textId="77777777" w:rsidR="000F16EB" w:rsidRDefault="000F16EB" w:rsidP="00A7521D">
            <w:pPr>
              <w:jc w:val="center"/>
            </w:pPr>
            <w:r>
              <w:t>6</w:t>
            </w:r>
          </w:p>
        </w:tc>
        <w:tc>
          <w:tcPr>
            <w:tcW w:w="420" w:type="dxa"/>
            <w:tcBorders>
              <w:top w:val="single" w:sz="4" w:space="0" w:color="auto"/>
              <w:bottom w:val="nil"/>
            </w:tcBorders>
          </w:tcPr>
          <w:p w14:paraId="3D40E929" w14:textId="77777777" w:rsidR="000F16EB" w:rsidRDefault="000F16EB" w:rsidP="00A7521D">
            <w:pPr>
              <w:jc w:val="center"/>
            </w:pPr>
            <w:r>
              <w:t>9</w:t>
            </w:r>
          </w:p>
        </w:tc>
        <w:tc>
          <w:tcPr>
            <w:tcW w:w="522" w:type="dxa"/>
            <w:tcBorders>
              <w:top w:val="single" w:sz="4" w:space="0" w:color="auto"/>
              <w:bottom w:val="nil"/>
            </w:tcBorders>
          </w:tcPr>
          <w:p w14:paraId="7E3D8FC3" w14:textId="77777777" w:rsidR="000F16EB" w:rsidRDefault="000F16EB" w:rsidP="00A7521D">
            <w:pPr>
              <w:jc w:val="center"/>
            </w:pPr>
            <w:r>
              <w:t>12</w:t>
            </w:r>
          </w:p>
        </w:tc>
      </w:tr>
      <w:tr w:rsidR="000F16EB" w14:paraId="118F2A0D" w14:textId="77777777" w:rsidTr="00A7521D">
        <w:trPr>
          <w:jc w:val="center"/>
        </w:trPr>
        <w:tc>
          <w:tcPr>
            <w:tcW w:w="2868" w:type="dxa"/>
            <w:tcBorders>
              <w:top w:val="nil"/>
            </w:tcBorders>
          </w:tcPr>
          <w:p w14:paraId="7F141BB4" w14:textId="77777777" w:rsidR="000F16EB" w:rsidRDefault="000F16EB" w:rsidP="00A7521D">
            <w:pPr>
              <w:jc w:val="center"/>
            </w:pPr>
            <w:r>
              <w:t>Heat sale price from industry</w:t>
            </w:r>
          </w:p>
        </w:tc>
        <w:tc>
          <w:tcPr>
            <w:tcW w:w="1090" w:type="dxa"/>
            <w:tcBorders>
              <w:top w:val="nil"/>
            </w:tcBorders>
          </w:tcPr>
          <w:p w14:paraId="4177C4EC" w14:textId="77777777" w:rsidR="000F16EB" w:rsidRDefault="000F16EB" w:rsidP="00A7521D">
            <w:pPr>
              <w:jc w:val="center"/>
            </w:pPr>
            <w:r>
              <w:t>p/kWh</w:t>
            </w:r>
          </w:p>
        </w:tc>
        <w:tc>
          <w:tcPr>
            <w:tcW w:w="495" w:type="dxa"/>
            <w:tcBorders>
              <w:top w:val="nil"/>
            </w:tcBorders>
          </w:tcPr>
          <w:p w14:paraId="2ACA6761" w14:textId="77777777" w:rsidR="000F16EB" w:rsidRDefault="000F16EB" w:rsidP="00A7521D">
            <w:pPr>
              <w:jc w:val="center"/>
            </w:pPr>
            <w:r>
              <w:t>0</w:t>
            </w:r>
          </w:p>
        </w:tc>
        <w:tc>
          <w:tcPr>
            <w:tcW w:w="412" w:type="dxa"/>
            <w:tcBorders>
              <w:top w:val="nil"/>
            </w:tcBorders>
          </w:tcPr>
          <w:p w14:paraId="31ECBF51" w14:textId="77777777" w:rsidR="000F16EB" w:rsidRDefault="000F16EB" w:rsidP="00A7521D">
            <w:pPr>
              <w:jc w:val="center"/>
            </w:pPr>
            <w:r>
              <w:t>1</w:t>
            </w:r>
          </w:p>
        </w:tc>
        <w:tc>
          <w:tcPr>
            <w:tcW w:w="420" w:type="dxa"/>
            <w:tcBorders>
              <w:top w:val="nil"/>
            </w:tcBorders>
          </w:tcPr>
          <w:p w14:paraId="6274606A" w14:textId="77777777" w:rsidR="000F16EB" w:rsidRDefault="000F16EB" w:rsidP="00A7521D">
            <w:pPr>
              <w:jc w:val="center"/>
            </w:pPr>
            <w:r>
              <w:t>2</w:t>
            </w:r>
          </w:p>
        </w:tc>
        <w:tc>
          <w:tcPr>
            <w:tcW w:w="522" w:type="dxa"/>
            <w:tcBorders>
              <w:top w:val="nil"/>
            </w:tcBorders>
          </w:tcPr>
          <w:p w14:paraId="25A3A21E" w14:textId="77777777" w:rsidR="000F16EB" w:rsidRDefault="000F16EB" w:rsidP="00A7521D">
            <w:pPr>
              <w:jc w:val="center"/>
            </w:pPr>
            <w:r>
              <w:t>n/a</w:t>
            </w:r>
          </w:p>
        </w:tc>
      </w:tr>
      <w:tr w:rsidR="000F16EB" w14:paraId="1BBD5A72" w14:textId="77777777" w:rsidTr="00A7521D">
        <w:trPr>
          <w:jc w:val="center"/>
        </w:trPr>
        <w:tc>
          <w:tcPr>
            <w:tcW w:w="2868" w:type="dxa"/>
          </w:tcPr>
          <w:p w14:paraId="3C4CDD56" w14:textId="77777777" w:rsidR="000F16EB" w:rsidRDefault="000F16EB" w:rsidP="00A7521D">
            <w:pPr>
              <w:jc w:val="center"/>
            </w:pPr>
            <w:r>
              <w:t>Grant funding</w:t>
            </w:r>
          </w:p>
        </w:tc>
        <w:tc>
          <w:tcPr>
            <w:tcW w:w="1090" w:type="dxa"/>
          </w:tcPr>
          <w:p w14:paraId="6BD3F0F3" w14:textId="7221CFAF" w:rsidR="000F16EB" w:rsidRDefault="000F16EB" w:rsidP="00A7521D">
            <w:pPr>
              <w:jc w:val="center"/>
            </w:pPr>
            <w:r>
              <w:t>£ million</w:t>
            </w:r>
          </w:p>
        </w:tc>
        <w:tc>
          <w:tcPr>
            <w:tcW w:w="495" w:type="dxa"/>
          </w:tcPr>
          <w:p w14:paraId="3CCF89C5" w14:textId="77777777" w:rsidR="000F16EB" w:rsidRDefault="000F16EB" w:rsidP="00A7521D">
            <w:pPr>
              <w:jc w:val="center"/>
            </w:pPr>
            <w:r>
              <w:t>2</w:t>
            </w:r>
          </w:p>
        </w:tc>
        <w:tc>
          <w:tcPr>
            <w:tcW w:w="412" w:type="dxa"/>
          </w:tcPr>
          <w:p w14:paraId="00E52F33" w14:textId="77777777" w:rsidR="000F16EB" w:rsidRDefault="000F16EB" w:rsidP="00A7521D">
            <w:pPr>
              <w:jc w:val="center"/>
            </w:pPr>
            <w:r>
              <w:t>4</w:t>
            </w:r>
          </w:p>
        </w:tc>
        <w:tc>
          <w:tcPr>
            <w:tcW w:w="420" w:type="dxa"/>
          </w:tcPr>
          <w:p w14:paraId="735068D4" w14:textId="77777777" w:rsidR="000F16EB" w:rsidRDefault="000F16EB" w:rsidP="00A7521D">
            <w:pPr>
              <w:jc w:val="center"/>
            </w:pPr>
            <w:r>
              <w:t>6</w:t>
            </w:r>
          </w:p>
        </w:tc>
        <w:tc>
          <w:tcPr>
            <w:tcW w:w="522" w:type="dxa"/>
          </w:tcPr>
          <w:p w14:paraId="6ED27AC9" w14:textId="77777777" w:rsidR="000F16EB" w:rsidRDefault="000F16EB" w:rsidP="00A7521D">
            <w:pPr>
              <w:jc w:val="center"/>
            </w:pPr>
            <w:r>
              <w:t>n/a</w:t>
            </w:r>
          </w:p>
        </w:tc>
      </w:tr>
    </w:tbl>
    <w:p w14:paraId="1D15A8BD" w14:textId="59D79683" w:rsidR="000F16EB" w:rsidRDefault="000F16EB" w:rsidP="000F16EB">
      <w:r>
        <w:lastRenderedPageBreak/>
        <w:t>A DH feasibility study by Parson Brinckerhoff suggested heat purchase prices of less than 1</w:t>
      </w:r>
      <w:r w:rsidR="006B360F">
        <w:t> </w:t>
      </w:r>
      <w:r>
        <w:t>p/kWh and IRR of 3.5 – 12%</w:t>
      </w:r>
      <w:r w:rsidR="006B360F">
        <w:t xml:space="preserve"> </w:t>
      </w:r>
      <w:r w:rsidR="006B360F">
        <w:fldChar w:fldCharType="begin" w:fldLock="1"/>
      </w:r>
      <w:r w:rsidR="006B360F">
        <w:instrText>ADDIN CSL_CITATION {"citationItems":[{"id":"ITEM-1","itemData":{"author":[{"dropping-particle":"","family":"Parsons Brinckerhoff","given":"","non-dropping-particle":"","parse-names":false,"suffix":""}],"id":"ITEM-1","issue":"May","issued":{"date-parts":[["2011"]]},"publisher-place":"London, England","title":"A District Heating Utility for the Tees Valley: Study into the strategic use of waste heat and supply of private sector customers","type":"report"},"uris":["http://www.mendeley.com/documents/?uuid=5e08822c-bb7b-4846-8fd8-71bc94ccfc29"]}],"mendeley":{"formattedCitation":"(Parsons Brinckerhoff, 2011)","plainTextFormattedCitation":"(Parsons Brinckerhoff, 2011)","previouslyFormattedCitation":"(Parsons Brinckerhoff, 2011)"},"properties":{"noteIndex":0},"schema":"https://github.com/citation-style-language/schema/raw/master/csl-citation.json"}</w:instrText>
      </w:r>
      <w:r w:rsidR="006B360F">
        <w:fldChar w:fldCharType="separate"/>
      </w:r>
      <w:r w:rsidR="006B360F" w:rsidRPr="002A6A73">
        <w:rPr>
          <w:noProof/>
        </w:rPr>
        <w:t>(Parsons Brinckerhoff, 2011)</w:t>
      </w:r>
      <w:r w:rsidR="006B360F">
        <w:fldChar w:fldCharType="end"/>
      </w:r>
      <w:r>
        <w:t>. Therefore, it was proven that the suggested heat purchase prices and IRRs would be acceptable to industry and investors.</w:t>
      </w:r>
    </w:p>
    <w:p w14:paraId="2A9FE4D2" w14:textId="5E6B9C15" w:rsidR="000F16EB" w:rsidRDefault="000F16EB" w:rsidP="000F16EB">
      <w:pPr>
        <w:pStyle w:val="Caption"/>
        <w:keepNext/>
      </w:pPr>
      <w:bookmarkStart w:id="882" w:name="_Ref529457563"/>
      <w:bookmarkStart w:id="883" w:name="_Ref529526495"/>
      <w:bookmarkStart w:id="884" w:name="_Toc7187713"/>
      <w:r>
        <w:t xml:space="preserve">Table </w:t>
      </w:r>
      <w:fldSimple w:instr=" STYLEREF 1 \s ">
        <w:r w:rsidR="00CB7456">
          <w:rPr>
            <w:noProof/>
          </w:rPr>
          <w:t>8</w:t>
        </w:r>
      </w:fldSimple>
      <w:r w:rsidR="009E1A67">
        <w:t>.</w:t>
      </w:r>
      <w:fldSimple w:instr=" SEQ Table \* ARABIC \s 1 ">
        <w:r w:rsidR="00CB7456">
          <w:rPr>
            <w:noProof/>
          </w:rPr>
          <w:t>6</w:t>
        </w:r>
      </w:fldSimple>
      <w:bookmarkEnd w:id="882"/>
      <w:bookmarkEnd w:id="883"/>
      <w:r>
        <w:t>: Results of the techno-economic assessment.</w:t>
      </w:r>
      <w:bookmarkEnd w:id="884"/>
    </w:p>
    <w:tbl>
      <w:tblPr>
        <w:tblStyle w:val="TableGrid"/>
        <w:tblW w:w="5990" w:type="dxa"/>
        <w:jc w:val="center"/>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34"/>
        <w:gridCol w:w="567"/>
        <w:gridCol w:w="1560"/>
        <w:gridCol w:w="895"/>
        <w:gridCol w:w="939"/>
        <w:gridCol w:w="895"/>
      </w:tblGrid>
      <w:tr w:rsidR="000F16EB" w14:paraId="1455D1D3" w14:textId="77777777" w:rsidTr="00A7521D">
        <w:trPr>
          <w:jc w:val="center"/>
        </w:trPr>
        <w:tc>
          <w:tcPr>
            <w:tcW w:w="1134" w:type="dxa"/>
            <w:vMerge w:val="restart"/>
          </w:tcPr>
          <w:p w14:paraId="531A0E00" w14:textId="77777777" w:rsidR="000F16EB" w:rsidRDefault="000F16EB" w:rsidP="00A7521D">
            <w:pPr>
              <w:jc w:val="center"/>
            </w:pPr>
            <w:r>
              <w:t>Grant funding (£ million)</w:t>
            </w:r>
          </w:p>
        </w:tc>
        <w:tc>
          <w:tcPr>
            <w:tcW w:w="567" w:type="dxa"/>
            <w:vMerge w:val="restart"/>
          </w:tcPr>
          <w:p w14:paraId="2997FB4E" w14:textId="77777777" w:rsidR="000F16EB" w:rsidRDefault="000F16EB" w:rsidP="00A7521D">
            <w:pPr>
              <w:jc w:val="center"/>
            </w:pPr>
            <w:r>
              <w:t>IRR (%)</w:t>
            </w:r>
          </w:p>
        </w:tc>
        <w:tc>
          <w:tcPr>
            <w:tcW w:w="1560" w:type="dxa"/>
            <w:vMerge w:val="restart"/>
          </w:tcPr>
          <w:p w14:paraId="4690A8FE" w14:textId="77777777" w:rsidR="000F16EB" w:rsidRDefault="000F16EB" w:rsidP="00A7521D">
            <w:pPr>
              <w:jc w:val="center"/>
            </w:pPr>
            <w:r>
              <w:t>Heat purchase price (p/kWh)</w:t>
            </w:r>
          </w:p>
        </w:tc>
        <w:tc>
          <w:tcPr>
            <w:tcW w:w="2729" w:type="dxa"/>
            <w:gridSpan w:val="3"/>
            <w:tcBorders>
              <w:bottom w:val="single" w:sz="4" w:space="0" w:color="auto"/>
            </w:tcBorders>
          </w:tcPr>
          <w:p w14:paraId="36AFE0F4" w14:textId="77777777" w:rsidR="000F16EB" w:rsidRDefault="000F16EB" w:rsidP="00A7521D">
            <w:pPr>
              <w:jc w:val="center"/>
            </w:pPr>
            <w:r>
              <w:t>NPV (£ million)</w:t>
            </w:r>
          </w:p>
        </w:tc>
      </w:tr>
      <w:tr w:rsidR="000F16EB" w14:paraId="433A59B5" w14:textId="77777777" w:rsidTr="00A7521D">
        <w:trPr>
          <w:jc w:val="center"/>
        </w:trPr>
        <w:tc>
          <w:tcPr>
            <w:tcW w:w="1134" w:type="dxa"/>
            <w:vMerge/>
          </w:tcPr>
          <w:p w14:paraId="3B5F55AF" w14:textId="77777777" w:rsidR="000F16EB" w:rsidRDefault="000F16EB" w:rsidP="00A7521D">
            <w:pPr>
              <w:jc w:val="center"/>
            </w:pPr>
          </w:p>
        </w:tc>
        <w:tc>
          <w:tcPr>
            <w:tcW w:w="567" w:type="dxa"/>
            <w:vMerge/>
          </w:tcPr>
          <w:p w14:paraId="5366DFBB" w14:textId="77777777" w:rsidR="000F16EB" w:rsidRDefault="000F16EB" w:rsidP="00A7521D">
            <w:pPr>
              <w:jc w:val="center"/>
            </w:pPr>
          </w:p>
        </w:tc>
        <w:tc>
          <w:tcPr>
            <w:tcW w:w="1560" w:type="dxa"/>
            <w:vMerge/>
          </w:tcPr>
          <w:p w14:paraId="2CA1FBE0" w14:textId="77777777" w:rsidR="000F16EB" w:rsidRDefault="000F16EB" w:rsidP="00A7521D">
            <w:pPr>
              <w:jc w:val="center"/>
            </w:pPr>
          </w:p>
        </w:tc>
        <w:tc>
          <w:tcPr>
            <w:tcW w:w="2729" w:type="dxa"/>
            <w:gridSpan w:val="3"/>
            <w:tcBorders>
              <w:bottom w:val="single" w:sz="4" w:space="0" w:color="auto"/>
            </w:tcBorders>
          </w:tcPr>
          <w:p w14:paraId="5D488C47" w14:textId="77777777" w:rsidR="000F16EB" w:rsidRDefault="000F16EB" w:rsidP="00A7521D">
            <w:pPr>
              <w:jc w:val="center"/>
            </w:pPr>
            <w:r>
              <w:t>Lifespan (years)</w:t>
            </w:r>
          </w:p>
        </w:tc>
      </w:tr>
      <w:tr w:rsidR="000F16EB" w14:paraId="6D72329E" w14:textId="77777777" w:rsidTr="00A7521D">
        <w:trPr>
          <w:jc w:val="center"/>
        </w:trPr>
        <w:tc>
          <w:tcPr>
            <w:tcW w:w="1134" w:type="dxa"/>
            <w:vMerge/>
            <w:tcBorders>
              <w:bottom w:val="single" w:sz="4" w:space="0" w:color="auto"/>
            </w:tcBorders>
          </w:tcPr>
          <w:p w14:paraId="30904D65" w14:textId="77777777" w:rsidR="000F16EB" w:rsidRDefault="000F16EB" w:rsidP="00A7521D">
            <w:pPr>
              <w:jc w:val="center"/>
            </w:pPr>
          </w:p>
        </w:tc>
        <w:tc>
          <w:tcPr>
            <w:tcW w:w="567" w:type="dxa"/>
            <w:vMerge/>
            <w:tcBorders>
              <w:bottom w:val="single" w:sz="4" w:space="0" w:color="auto"/>
            </w:tcBorders>
          </w:tcPr>
          <w:p w14:paraId="2AF5F0F6" w14:textId="77777777" w:rsidR="000F16EB" w:rsidRDefault="000F16EB" w:rsidP="00A7521D">
            <w:pPr>
              <w:jc w:val="center"/>
            </w:pPr>
          </w:p>
        </w:tc>
        <w:tc>
          <w:tcPr>
            <w:tcW w:w="1560" w:type="dxa"/>
            <w:vMerge/>
            <w:tcBorders>
              <w:bottom w:val="single" w:sz="4" w:space="0" w:color="auto"/>
            </w:tcBorders>
          </w:tcPr>
          <w:p w14:paraId="3829DBF8" w14:textId="77777777" w:rsidR="000F16EB" w:rsidRDefault="000F16EB" w:rsidP="00A7521D">
            <w:pPr>
              <w:jc w:val="center"/>
            </w:pPr>
          </w:p>
        </w:tc>
        <w:tc>
          <w:tcPr>
            <w:tcW w:w="895" w:type="dxa"/>
            <w:tcBorders>
              <w:bottom w:val="single" w:sz="4" w:space="0" w:color="auto"/>
            </w:tcBorders>
          </w:tcPr>
          <w:p w14:paraId="38E88153" w14:textId="77777777" w:rsidR="000F16EB" w:rsidRDefault="000F16EB" w:rsidP="00A7521D">
            <w:pPr>
              <w:jc w:val="center"/>
            </w:pPr>
            <w:r>
              <w:t>20</w:t>
            </w:r>
          </w:p>
        </w:tc>
        <w:tc>
          <w:tcPr>
            <w:tcW w:w="939" w:type="dxa"/>
            <w:tcBorders>
              <w:bottom w:val="single" w:sz="4" w:space="0" w:color="auto"/>
            </w:tcBorders>
          </w:tcPr>
          <w:p w14:paraId="4AB62AE3" w14:textId="77777777" w:rsidR="000F16EB" w:rsidRDefault="000F16EB" w:rsidP="00A7521D">
            <w:pPr>
              <w:jc w:val="center"/>
            </w:pPr>
            <w:r>
              <w:t>30</w:t>
            </w:r>
          </w:p>
        </w:tc>
        <w:tc>
          <w:tcPr>
            <w:tcW w:w="895" w:type="dxa"/>
            <w:tcBorders>
              <w:bottom w:val="single" w:sz="4" w:space="0" w:color="auto"/>
            </w:tcBorders>
          </w:tcPr>
          <w:p w14:paraId="49982938" w14:textId="77777777" w:rsidR="000F16EB" w:rsidRDefault="000F16EB" w:rsidP="00A7521D">
            <w:pPr>
              <w:jc w:val="center"/>
            </w:pPr>
            <w:r>
              <w:t>40</w:t>
            </w:r>
          </w:p>
        </w:tc>
      </w:tr>
      <w:tr w:rsidR="000F16EB" w14:paraId="1AE9804B" w14:textId="77777777" w:rsidTr="00A7521D">
        <w:trPr>
          <w:jc w:val="center"/>
        </w:trPr>
        <w:tc>
          <w:tcPr>
            <w:tcW w:w="1134" w:type="dxa"/>
            <w:tcBorders>
              <w:top w:val="single" w:sz="4" w:space="0" w:color="auto"/>
              <w:bottom w:val="nil"/>
            </w:tcBorders>
          </w:tcPr>
          <w:p w14:paraId="510CB91B" w14:textId="77777777" w:rsidR="000F16EB" w:rsidRDefault="000F16EB" w:rsidP="00A7521D">
            <w:pPr>
              <w:jc w:val="center"/>
            </w:pPr>
            <w:r>
              <w:t>2</w:t>
            </w:r>
          </w:p>
        </w:tc>
        <w:tc>
          <w:tcPr>
            <w:tcW w:w="567" w:type="dxa"/>
            <w:tcBorders>
              <w:top w:val="single" w:sz="4" w:space="0" w:color="auto"/>
              <w:bottom w:val="nil"/>
            </w:tcBorders>
          </w:tcPr>
          <w:p w14:paraId="70261540" w14:textId="77777777" w:rsidR="000F16EB" w:rsidRDefault="000F16EB" w:rsidP="00A7521D">
            <w:pPr>
              <w:jc w:val="center"/>
            </w:pPr>
            <w:r>
              <w:t>3.5</w:t>
            </w:r>
          </w:p>
        </w:tc>
        <w:tc>
          <w:tcPr>
            <w:tcW w:w="1560" w:type="dxa"/>
            <w:tcBorders>
              <w:top w:val="single" w:sz="4" w:space="0" w:color="auto"/>
              <w:bottom w:val="nil"/>
            </w:tcBorders>
          </w:tcPr>
          <w:p w14:paraId="000A2D4B" w14:textId="77777777" w:rsidR="000F16EB" w:rsidRDefault="000F16EB" w:rsidP="00A7521D">
            <w:pPr>
              <w:jc w:val="center"/>
            </w:pPr>
            <w:r>
              <w:t>0</w:t>
            </w:r>
          </w:p>
        </w:tc>
        <w:tc>
          <w:tcPr>
            <w:tcW w:w="895" w:type="dxa"/>
            <w:tcBorders>
              <w:top w:val="single" w:sz="4" w:space="0" w:color="auto"/>
              <w:bottom w:val="nil"/>
            </w:tcBorders>
          </w:tcPr>
          <w:p w14:paraId="21783F3C" w14:textId="77777777" w:rsidR="000F16EB" w:rsidRDefault="000F16EB" w:rsidP="00A7521D">
            <w:pPr>
              <w:jc w:val="center"/>
            </w:pPr>
            <w:r>
              <w:t>4.46</w:t>
            </w:r>
          </w:p>
        </w:tc>
        <w:tc>
          <w:tcPr>
            <w:tcW w:w="939" w:type="dxa"/>
            <w:tcBorders>
              <w:top w:val="single" w:sz="4" w:space="0" w:color="auto"/>
              <w:bottom w:val="nil"/>
            </w:tcBorders>
          </w:tcPr>
          <w:p w14:paraId="1D1EA1FD" w14:textId="77777777" w:rsidR="000F16EB" w:rsidRDefault="000F16EB" w:rsidP="00A7521D">
            <w:pPr>
              <w:jc w:val="center"/>
            </w:pPr>
            <w:r>
              <w:t>8.25</w:t>
            </w:r>
          </w:p>
        </w:tc>
        <w:tc>
          <w:tcPr>
            <w:tcW w:w="895" w:type="dxa"/>
            <w:tcBorders>
              <w:top w:val="single" w:sz="4" w:space="0" w:color="auto"/>
              <w:bottom w:val="nil"/>
            </w:tcBorders>
          </w:tcPr>
          <w:p w14:paraId="3B392913" w14:textId="77777777" w:rsidR="000F16EB" w:rsidRDefault="000F16EB" w:rsidP="00A7521D">
            <w:pPr>
              <w:jc w:val="center"/>
            </w:pPr>
            <w:r>
              <w:t>10.9</w:t>
            </w:r>
          </w:p>
        </w:tc>
      </w:tr>
      <w:tr w:rsidR="000F16EB" w14:paraId="2BC2D510" w14:textId="77777777" w:rsidTr="00A7521D">
        <w:trPr>
          <w:jc w:val="center"/>
        </w:trPr>
        <w:tc>
          <w:tcPr>
            <w:tcW w:w="1134" w:type="dxa"/>
            <w:tcBorders>
              <w:top w:val="nil"/>
            </w:tcBorders>
          </w:tcPr>
          <w:p w14:paraId="0AEB6E2E" w14:textId="77777777" w:rsidR="000F16EB" w:rsidRDefault="000F16EB" w:rsidP="00A7521D">
            <w:pPr>
              <w:jc w:val="center"/>
            </w:pPr>
          </w:p>
        </w:tc>
        <w:tc>
          <w:tcPr>
            <w:tcW w:w="567" w:type="dxa"/>
            <w:tcBorders>
              <w:top w:val="nil"/>
              <w:bottom w:val="nil"/>
            </w:tcBorders>
          </w:tcPr>
          <w:p w14:paraId="04EE7F48" w14:textId="77777777" w:rsidR="000F16EB" w:rsidRDefault="000F16EB" w:rsidP="00A7521D">
            <w:pPr>
              <w:jc w:val="center"/>
            </w:pPr>
          </w:p>
        </w:tc>
        <w:tc>
          <w:tcPr>
            <w:tcW w:w="1560" w:type="dxa"/>
            <w:tcBorders>
              <w:top w:val="nil"/>
              <w:bottom w:val="nil"/>
            </w:tcBorders>
          </w:tcPr>
          <w:p w14:paraId="4C9592D8" w14:textId="77777777" w:rsidR="000F16EB" w:rsidRDefault="000F16EB" w:rsidP="00A7521D">
            <w:pPr>
              <w:jc w:val="center"/>
            </w:pPr>
            <w:r>
              <w:t>1</w:t>
            </w:r>
          </w:p>
        </w:tc>
        <w:tc>
          <w:tcPr>
            <w:tcW w:w="895" w:type="dxa"/>
            <w:tcBorders>
              <w:top w:val="nil"/>
              <w:bottom w:val="nil"/>
            </w:tcBorders>
          </w:tcPr>
          <w:p w14:paraId="212F5052" w14:textId="77777777" w:rsidR="000F16EB" w:rsidRDefault="000F16EB" w:rsidP="00A7521D">
            <w:pPr>
              <w:jc w:val="center"/>
            </w:pPr>
            <w:r>
              <w:t>0.602</w:t>
            </w:r>
          </w:p>
        </w:tc>
        <w:tc>
          <w:tcPr>
            <w:tcW w:w="939" w:type="dxa"/>
            <w:tcBorders>
              <w:top w:val="nil"/>
              <w:bottom w:val="nil"/>
            </w:tcBorders>
          </w:tcPr>
          <w:p w14:paraId="2F292A30" w14:textId="77777777" w:rsidR="000F16EB" w:rsidRDefault="000F16EB" w:rsidP="00A7521D">
            <w:pPr>
              <w:jc w:val="center"/>
            </w:pPr>
            <w:r>
              <w:t>3.26</w:t>
            </w:r>
          </w:p>
        </w:tc>
        <w:tc>
          <w:tcPr>
            <w:tcW w:w="895" w:type="dxa"/>
            <w:tcBorders>
              <w:top w:val="nil"/>
              <w:bottom w:val="nil"/>
            </w:tcBorders>
          </w:tcPr>
          <w:p w14:paraId="59444974" w14:textId="77777777" w:rsidR="000F16EB" w:rsidRDefault="000F16EB" w:rsidP="00A7521D">
            <w:pPr>
              <w:jc w:val="center"/>
            </w:pPr>
            <w:r>
              <w:t>5.14</w:t>
            </w:r>
          </w:p>
        </w:tc>
      </w:tr>
      <w:tr w:rsidR="000F16EB" w14:paraId="560155C1" w14:textId="77777777" w:rsidTr="00A7521D">
        <w:trPr>
          <w:jc w:val="center"/>
        </w:trPr>
        <w:tc>
          <w:tcPr>
            <w:tcW w:w="1134" w:type="dxa"/>
          </w:tcPr>
          <w:p w14:paraId="6C748C32" w14:textId="77777777" w:rsidR="000F16EB" w:rsidRDefault="000F16EB" w:rsidP="00A7521D">
            <w:pPr>
              <w:jc w:val="center"/>
            </w:pPr>
          </w:p>
        </w:tc>
        <w:tc>
          <w:tcPr>
            <w:tcW w:w="567" w:type="dxa"/>
            <w:tcBorders>
              <w:top w:val="nil"/>
              <w:bottom w:val="single" w:sz="4" w:space="0" w:color="auto"/>
            </w:tcBorders>
          </w:tcPr>
          <w:p w14:paraId="4E333BA5" w14:textId="77777777" w:rsidR="000F16EB" w:rsidRDefault="000F16EB" w:rsidP="00A7521D">
            <w:pPr>
              <w:jc w:val="center"/>
            </w:pPr>
          </w:p>
        </w:tc>
        <w:tc>
          <w:tcPr>
            <w:tcW w:w="1560" w:type="dxa"/>
            <w:tcBorders>
              <w:top w:val="nil"/>
              <w:bottom w:val="single" w:sz="4" w:space="0" w:color="auto"/>
            </w:tcBorders>
          </w:tcPr>
          <w:p w14:paraId="1E840EEC" w14:textId="77777777" w:rsidR="000F16EB" w:rsidRDefault="000F16EB" w:rsidP="00A7521D">
            <w:pPr>
              <w:jc w:val="center"/>
            </w:pPr>
            <w:r>
              <w:t>2</w:t>
            </w:r>
          </w:p>
        </w:tc>
        <w:tc>
          <w:tcPr>
            <w:tcW w:w="895" w:type="dxa"/>
            <w:tcBorders>
              <w:top w:val="nil"/>
              <w:bottom w:val="single" w:sz="4" w:space="0" w:color="auto"/>
            </w:tcBorders>
          </w:tcPr>
          <w:p w14:paraId="4B3D2F60" w14:textId="77777777" w:rsidR="000F16EB" w:rsidRDefault="000F16EB" w:rsidP="00A7521D">
            <w:pPr>
              <w:jc w:val="center"/>
            </w:pPr>
            <w:r>
              <w:t>-3.26</w:t>
            </w:r>
          </w:p>
        </w:tc>
        <w:tc>
          <w:tcPr>
            <w:tcW w:w="939" w:type="dxa"/>
            <w:tcBorders>
              <w:top w:val="nil"/>
              <w:bottom w:val="single" w:sz="4" w:space="0" w:color="auto"/>
            </w:tcBorders>
          </w:tcPr>
          <w:p w14:paraId="054F6632" w14:textId="77777777" w:rsidR="000F16EB" w:rsidRDefault="000F16EB" w:rsidP="00A7521D">
            <w:pPr>
              <w:jc w:val="center"/>
            </w:pPr>
            <w:r>
              <w:t>-1.74</w:t>
            </w:r>
          </w:p>
        </w:tc>
        <w:tc>
          <w:tcPr>
            <w:tcW w:w="895" w:type="dxa"/>
            <w:tcBorders>
              <w:top w:val="nil"/>
              <w:bottom w:val="single" w:sz="4" w:space="0" w:color="auto"/>
            </w:tcBorders>
          </w:tcPr>
          <w:p w14:paraId="52104A5B" w14:textId="77777777" w:rsidR="000F16EB" w:rsidRDefault="000F16EB" w:rsidP="00A7521D">
            <w:pPr>
              <w:jc w:val="center"/>
            </w:pPr>
            <w:r>
              <w:t>-0.660</w:t>
            </w:r>
          </w:p>
        </w:tc>
      </w:tr>
      <w:tr w:rsidR="000F16EB" w14:paraId="57DD87A7" w14:textId="77777777" w:rsidTr="00A7521D">
        <w:trPr>
          <w:jc w:val="center"/>
        </w:trPr>
        <w:tc>
          <w:tcPr>
            <w:tcW w:w="1134" w:type="dxa"/>
          </w:tcPr>
          <w:p w14:paraId="0C43BF02" w14:textId="77777777" w:rsidR="000F16EB" w:rsidRDefault="000F16EB" w:rsidP="00A7521D">
            <w:pPr>
              <w:jc w:val="center"/>
            </w:pPr>
          </w:p>
        </w:tc>
        <w:tc>
          <w:tcPr>
            <w:tcW w:w="567" w:type="dxa"/>
            <w:tcBorders>
              <w:top w:val="single" w:sz="4" w:space="0" w:color="auto"/>
            </w:tcBorders>
          </w:tcPr>
          <w:p w14:paraId="1E0366CD" w14:textId="77777777" w:rsidR="000F16EB" w:rsidRDefault="000F16EB" w:rsidP="00A7521D">
            <w:pPr>
              <w:jc w:val="center"/>
            </w:pPr>
            <w:r>
              <w:t>6</w:t>
            </w:r>
          </w:p>
        </w:tc>
        <w:tc>
          <w:tcPr>
            <w:tcW w:w="1560" w:type="dxa"/>
            <w:tcBorders>
              <w:top w:val="single" w:sz="4" w:space="0" w:color="auto"/>
            </w:tcBorders>
          </w:tcPr>
          <w:p w14:paraId="038B8D5C" w14:textId="77777777" w:rsidR="000F16EB" w:rsidRDefault="000F16EB" w:rsidP="00A7521D">
            <w:pPr>
              <w:jc w:val="center"/>
            </w:pPr>
            <w:r>
              <w:t>0</w:t>
            </w:r>
          </w:p>
        </w:tc>
        <w:tc>
          <w:tcPr>
            <w:tcW w:w="895" w:type="dxa"/>
            <w:tcBorders>
              <w:top w:val="single" w:sz="4" w:space="0" w:color="auto"/>
            </w:tcBorders>
          </w:tcPr>
          <w:p w14:paraId="1BBAAF75" w14:textId="77777777" w:rsidR="000F16EB" w:rsidRDefault="000F16EB" w:rsidP="00A7521D">
            <w:pPr>
              <w:jc w:val="center"/>
            </w:pPr>
            <w:r>
              <w:t>1.98</w:t>
            </w:r>
          </w:p>
        </w:tc>
        <w:tc>
          <w:tcPr>
            <w:tcW w:w="939" w:type="dxa"/>
            <w:tcBorders>
              <w:top w:val="single" w:sz="4" w:space="0" w:color="auto"/>
            </w:tcBorders>
          </w:tcPr>
          <w:p w14:paraId="63E9D559" w14:textId="77777777" w:rsidR="000F16EB" w:rsidRDefault="000F16EB" w:rsidP="00A7521D">
            <w:pPr>
              <w:jc w:val="center"/>
            </w:pPr>
            <w:r>
              <w:t>4.06</w:t>
            </w:r>
          </w:p>
        </w:tc>
        <w:tc>
          <w:tcPr>
            <w:tcW w:w="895" w:type="dxa"/>
            <w:tcBorders>
              <w:top w:val="single" w:sz="4" w:space="0" w:color="auto"/>
            </w:tcBorders>
          </w:tcPr>
          <w:p w14:paraId="1CAA99DD" w14:textId="77777777" w:rsidR="000F16EB" w:rsidRDefault="000F16EB" w:rsidP="00A7521D">
            <w:pPr>
              <w:jc w:val="center"/>
            </w:pPr>
            <w:r>
              <w:t>5.22</w:t>
            </w:r>
          </w:p>
        </w:tc>
      </w:tr>
      <w:tr w:rsidR="000F16EB" w14:paraId="363151A5" w14:textId="77777777" w:rsidTr="00A7521D">
        <w:trPr>
          <w:jc w:val="center"/>
        </w:trPr>
        <w:tc>
          <w:tcPr>
            <w:tcW w:w="1134" w:type="dxa"/>
          </w:tcPr>
          <w:p w14:paraId="68A9FFBC" w14:textId="77777777" w:rsidR="000F16EB" w:rsidRDefault="000F16EB" w:rsidP="00A7521D">
            <w:pPr>
              <w:jc w:val="center"/>
            </w:pPr>
          </w:p>
        </w:tc>
        <w:tc>
          <w:tcPr>
            <w:tcW w:w="567" w:type="dxa"/>
            <w:tcBorders>
              <w:bottom w:val="nil"/>
            </w:tcBorders>
          </w:tcPr>
          <w:p w14:paraId="5CC4C8FB" w14:textId="77777777" w:rsidR="000F16EB" w:rsidRDefault="000F16EB" w:rsidP="00A7521D">
            <w:pPr>
              <w:jc w:val="center"/>
            </w:pPr>
          </w:p>
        </w:tc>
        <w:tc>
          <w:tcPr>
            <w:tcW w:w="1560" w:type="dxa"/>
            <w:tcBorders>
              <w:bottom w:val="nil"/>
            </w:tcBorders>
          </w:tcPr>
          <w:p w14:paraId="045F1E6D" w14:textId="77777777" w:rsidR="000F16EB" w:rsidRDefault="000F16EB" w:rsidP="00A7521D">
            <w:pPr>
              <w:jc w:val="center"/>
            </w:pPr>
            <w:r>
              <w:t>1</w:t>
            </w:r>
          </w:p>
        </w:tc>
        <w:tc>
          <w:tcPr>
            <w:tcW w:w="895" w:type="dxa"/>
            <w:tcBorders>
              <w:bottom w:val="nil"/>
            </w:tcBorders>
          </w:tcPr>
          <w:p w14:paraId="501EFBE3" w14:textId="77777777" w:rsidR="000F16EB" w:rsidRDefault="000F16EB" w:rsidP="00A7521D">
            <w:pPr>
              <w:jc w:val="center"/>
            </w:pPr>
            <w:r>
              <w:t>-1.14</w:t>
            </w:r>
          </w:p>
        </w:tc>
        <w:tc>
          <w:tcPr>
            <w:tcW w:w="939" w:type="dxa"/>
            <w:tcBorders>
              <w:bottom w:val="nil"/>
            </w:tcBorders>
          </w:tcPr>
          <w:p w14:paraId="4FB20775" w14:textId="77777777" w:rsidR="000F16EB" w:rsidRDefault="000F16EB" w:rsidP="00A7521D">
            <w:pPr>
              <w:jc w:val="center"/>
            </w:pPr>
            <w:r>
              <w:t>0.318</w:t>
            </w:r>
          </w:p>
        </w:tc>
        <w:tc>
          <w:tcPr>
            <w:tcW w:w="895" w:type="dxa"/>
            <w:tcBorders>
              <w:bottom w:val="nil"/>
            </w:tcBorders>
          </w:tcPr>
          <w:p w14:paraId="7BD50518" w14:textId="77777777" w:rsidR="000F16EB" w:rsidRDefault="000F16EB" w:rsidP="00A7521D">
            <w:pPr>
              <w:jc w:val="center"/>
            </w:pPr>
            <w:r>
              <w:t>1.13</w:t>
            </w:r>
          </w:p>
        </w:tc>
      </w:tr>
      <w:tr w:rsidR="000F16EB" w14:paraId="4C37E709" w14:textId="77777777" w:rsidTr="00A7521D">
        <w:trPr>
          <w:jc w:val="center"/>
        </w:trPr>
        <w:tc>
          <w:tcPr>
            <w:tcW w:w="1134" w:type="dxa"/>
          </w:tcPr>
          <w:p w14:paraId="1D15FE63" w14:textId="77777777" w:rsidR="000F16EB" w:rsidRDefault="000F16EB" w:rsidP="00A7521D">
            <w:pPr>
              <w:jc w:val="center"/>
            </w:pPr>
          </w:p>
        </w:tc>
        <w:tc>
          <w:tcPr>
            <w:tcW w:w="567" w:type="dxa"/>
            <w:tcBorders>
              <w:top w:val="nil"/>
              <w:bottom w:val="single" w:sz="4" w:space="0" w:color="auto"/>
            </w:tcBorders>
          </w:tcPr>
          <w:p w14:paraId="6FCCCE77" w14:textId="77777777" w:rsidR="000F16EB" w:rsidRDefault="000F16EB" w:rsidP="00A7521D">
            <w:pPr>
              <w:jc w:val="center"/>
            </w:pPr>
          </w:p>
        </w:tc>
        <w:tc>
          <w:tcPr>
            <w:tcW w:w="1560" w:type="dxa"/>
            <w:tcBorders>
              <w:top w:val="nil"/>
              <w:bottom w:val="single" w:sz="4" w:space="0" w:color="auto"/>
            </w:tcBorders>
          </w:tcPr>
          <w:p w14:paraId="1F199568" w14:textId="77777777" w:rsidR="000F16EB" w:rsidRDefault="000F16EB" w:rsidP="00A7521D">
            <w:pPr>
              <w:jc w:val="center"/>
            </w:pPr>
            <w:r>
              <w:t>2</w:t>
            </w:r>
          </w:p>
        </w:tc>
        <w:tc>
          <w:tcPr>
            <w:tcW w:w="895" w:type="dxa"/>
            <w:tcBorders>
              <w:top w:val="nil"/>
              <w:bottom w:val="single" w:sz="4" w:space="0" w:color="auto"/>
            </w:tcBorders>
          </w:tcPr>
          <w:p w14:paraId="33857918" w14:textId="77777777" w:rsidR="000F16EB" w:rsidRDefault="000F16EB" w:rsidP="00A7521D">
            <w:pPr>
              <w:jc w:val="center"/>
            </w:pPr>
            <w:r>
              <w:t>-4.26</w:t>
            </w:r>
          </w:p>
        </w:tc>
        <w:tc>
          <w:tcPr>
            <w:tcW w:w="939" w:type="dxa"/>
            <w:tcBorders>
              <w:top w:val="nil"/>
              <w:bottom w:val="single" w:sz="4" w:space="0" w:color="auto"/>
            </w:tcBorders>
          </w:tcPr>
          <w:p w14:paraId="22835E0B" w14:textId="77777777" w:rsidR="000F16EB" w:rsidRDefault="000F16EB" w:rsidP="00A7521D">
            <w:pPr>
              <w:jc w:val="center"/>
            </w:pPr>
            <w:r>
              <w:t>-3.42</w:t>
            </w:r>
          </w:p>
        </w:tc>
        <w:tc>
          <w:tcPr>
            <w:tcW w:w="895" w:type="dxa"/>
            <w:tcBorders>
              <w:top w:val="nil"/>
              <w:bottom w:val="single" w:sz="4" w:space="0" w:color="auto"/>
            </w:tcBorders>
          </w:tcPr>
          <w:p w14:paraId="24BB9B0C" w14:textId="77777777" w:rsidR="000F16EB" w:rsidRDefault="000F16EB" w:rsidP="00A7521D">
            <w:pPr>
              <w:jc w:val="center"/>
            </w:pPr>
            <w:r>
              <w:t>-2.95</w:t>
            </w:r>
          </w:p>
        </w:tc>
      </w:tr>
      <w:tr w:rsidR="000F16EB" w14:paraId="391F68A0" w14:textId="77777777" w:rsidTr="00A7521D">
        <w:trPr>
          <w:jc w:val="center"/>
        </w:trPr>
        <w:tc>
          <w:tcPr>
            <w:tcW w:w="1134" w:type="dxa"/>
          </w:tcPr>
          <w:p w14:paraId="17A72FA5" w14:textId="77777777" w:rsidR="000F16EB" w:rsidRDefault="000F16EB" w:rsidP="00A7521D">
            <w:pPr>
              <w:jc w:val="center"/>
            </w:pPr>
          </w:p>
        </w:tc>
        <w:tc>
          <w:tcPr>
            <w:tcW w:w="567" w:type="dxa"/>
            <w:tcBorders>
              <w:top w:val="single" w:sz="4" w:space="0" w:color="auto"/>
            </w:tcBorders>
          </w:tcPr>
          <w:p w14:paraId="03DB8B96" w14:textId="77777777" w:rsidR="000F16EB" w:rsidRDefault="000F16EB" w:rsidP="00A7521D">
            <w:pPr>
              <w:jc w:val="center"/>
            </w:pPr>
            <w:r>
              <w:t>9</w:t>
            </w:r>
          </w:p>
        </w:tc>
        <w:tc>
          <w:tcPr>
            <w:tcW w:w="1560" w:type="dxa"/>
            <w:tcBorders>
              <w:top w:val="single" w:sz="4" w:space="0" w:color="auto"/>
            </w:tcBorders>
          </w:tcPr>
          <w:p w14:paraId="1886A747" w14:textId="77777777" w:rsidR="000F16EB" w:rsidRDefault="000F16EB" w:rsidP="00A7521D">
            <w:pPr>
              <w:jc w:val="center"/>
            </w:pPr>
            <w:r>
              <w:t>0</w:t>
            </w:r>
          </w:p>
        </w:tc>
        <w:tc>
          <w:tcPr>
            <w:tcW w:w="895" w:type="dxa"/>
            <w:tcBorders>
              <w:top w:val="single" w:sz="4" w:space="0" w:color="auto"/>
            </w:tcBorders>
          </w:tcPr>
          <w:p w14:paraId="00CC0199" w14:textId="77777777" w:rsidR="000F16EB" w:rsidRDefault="000F16EB" w:rsidP="00A7521D">
            <w:pPr>
              <w:jc w:val="center"/>
            </w:pPr>
            <w:r>
              <w:t>-0.149</w:t>
            </w:r>
          </w:p>
        </w:tc>
        <w:tc>
          <w:tcPr>
            <w:tcW w:w="939" w:type="dxa"/>
            <w:tcBorders>
              <w:top w:val="single" w:sz="4" w:space="0" w:color="auto"/>
            </w:tcBorders>
          </w:tcPr>
          <w:p w14:paraId="2D6603E7" w14:textId="77777777" w:rsidR="000F16EB" w:rsidRDefault="000F16EB" w:rsidP="00A7521D">
            <w:pPr>
              <w:jc w:val="center"/>
            </w:pPr>
            <w:r>
              <w:t>0.890</w:t>
            </w:r>
          </w:p>
        </w:tc>
        <w:tc>
          <w:tcPr>
            <w:tcW w:w="895" w:type="dxa"/>
            <w:tcBorders>
              <w:top w:val="single" w:sz="4" w:space="0" w:color="auto"/>
            </w:tcBorders>
          </w:tcPr>
          <w:p w14:paraId="3DB08D09" w14:textId="77777777" w:rsidR="000F16EB" w:rsidRDefault="000F16EB" w:rsidP="00A7521D">
            <w:pPr>
              <w:jc w:val="center"/>
            </w:pPr>
            <w:r>
              <w:t>1.13</w:t>
            </w:r>
          </w:p>
        </w:tc>
      </w:tr>
      <w:tr w:rsidR="000F16EB" w14:paraId="211226DC" w14:textId="77777777" w:rsidTr="00A7521D">
        <w:trPr>
          <w:jc w:val="center"/>
        </w:trPr>
        <w:tc>
          <w:tcPr>
            <w:tcW w:w="1134" w:type="dxa"/>
          </w:tcPr>
          <w:p w14:paraId="04FD95E6" w14:textId="77777777" w:rsidR="000F16EB" w:rsidRDefault="000F16EB" w:rsidP="00A7521D">
            <w:pPr>
              <w:jc w:val="center"/>
            </w:pPr>
          </w:p>
        </w:tc>
        <w:tc>
          <w:tcPr>
            <w:tcW w:w="567" w:type="dxa"/>
            <w:tcBorders>
              <w:bottom w:val="nil"/>
            </w:tcBorders>
          </w:tcPr>
          <w:p w14:paraId="0F6C4EE2" w14:textId="77777777" w:rsidR="000F16EB" w:rsidRDefault="000F16EB" w:rsidP="00A7521D">
            <w:pPr>
              <w:jc w:val="center"/>
            </w:pPr>
          </w:p>
        </w:tc>
        <w:tc>
          <w:tcPr>
            <w:tcW w:w="1560" w:type="dxa"/>
            <w:tcBorders>
              <w:bottom w:val="nil"/>
            </w:tcBorders>
          </w:tcPr>
          <w:p w14:paraId="491ADBAA" w14:textId="77777777" w:rsidR="000F16EB" w:rsidRDefault="000F16EB" w:rsidP="00A7521D">
            <w:pPr>
              <w:jc w:val="center"/>
            </w:pPr>
            <w:r>
              <w:t>1</w:t>
            </w:r>
          </w:p>
        </w:tc>
        <w:tc>
          <w:tcPr>
            <w:tcW w:w="895" w:type="dxa"/>
            <w:tcBorders>
              <w:bottom w:val="nil"/>
            </w:tcBorders>
          </w:tcPr>
          <w:p w14:paraId="2669DF01" w14:textId="77777777" w:rsidR="000F16EB" w:rsidRDefault="000F16EB" w:rsidP="00A7521D">
            <w:pPr>
              <w:jc w:val="center"/>
            </w:pPr>
            <w:r>
              <w:t>-2.63</w:t>
            </w:r>
          </w:p>
        </w:tc>
        <w:tc>
          <w:tcPr>
            <w:tcW w:w="939" w:type="dxa"/>
            <w:tcBorders>
              <w:bottom w:val="nil"/>
            </w:tcBorders>
          </w:tcPr>
          <w:p w14:paraId="469CDF76" w14:textId="77777777" w:rsidR="000F16EB" w:rsidRDefault="000F16EB" w:rsidP="00A7521D">
            <w:pPr>
              <w:jc w:val="center"/>
            </w:pPr>
            <w:r>
              <w:t>-1.90</w:t>
            </w:r>
          </w:p>
        </w:tc>
        <w:tc>
          <w:tcPr>
            <w:tcW w:w="895" w:type="dxa"/>
            <w:tcBorders>
              <w:bottom w:val="nil"/>
            </w:tcBorders>
          </w:tcPr>
          <w:p w14:paraId="0B359141" w14:textId="77777777" w:rsidR="000F16EB" w:rsidRDefault="000F16EB" w:rsidP="00A7521D">
            <w:pPr>
              <w:jc w:val="center"/>
            </w:pPr>
            <w:r>
              <w:t>-1.59</w:t>
            </w:r>
          </w:p>
        </w:tc>
      </w:tr>
      <w:tr w:rsidR="000F16EB" w14:paraId="33AC1680" w14:textId="77777777" w:rsidTr="00A7521D">
        <w:trPr>
          <w:jc w:val="center"/>
        </w:trPr>
        <w:tc>
          <w:tcPr>
            <w:tcW w:w="1134" w:type="dxa"/>
          </w:tcPr>
          <w:p w14:paraId="50697AE5" w14:textId="77777777" w:rsidR="000F16EB" w:rsidRDefault="000F16EB" w:rsidP="00A7521D">
            <w:pPr>
              <w:jc w:val="center"/>
            </w:pPr>
          </w:p>
        </w:tc>
        <w:tc>
          <w:tcPr>
            <w:tcW w:w="567" w:type="dxa"/>
            <w:tcBorders>
              <w:top w:val="nil"/>
              <w:bottom w:val="single" w:sz="4" w:space="0" w:color="auto"/>
            </w:tcBorders>
          </w:tcPr>
          <w:p w14:paraId="799C8D23" w14:textId="77777777" w:rsidR="000F16EB" w:rsidRDefault="000F16EB" w:rsidP="00A7521D">
            <w:pPr>
              <w:jc w:val="center"/>
            </w:pPr>
          </w:p>
        </w:tc>
        <w:tc>
          <w:tcPr>
            <w:tcW w:w="1560" w:type="dxa"/>
            <w:tcBorders>
              <w:top w:val="nil"/>
              <w:bottom w:val="single" w:sz="4" w:space="0" w:color="auto"/>
            </w:tcBorders>
          </w:tcPr>
          <w:p w14:paraId="05DF71C7" w14:textId="77777777" w:rsidR="000F16EB" w:rsidRDefault="000F16EB" w:rsidP="00A7521D">
            <w:pPr>
              <w:jc w:val="center"/>
            </w:pPr>
            <w:r>
              <w:t>2</w:t>
            </w:r>
          </w:p>
        </w:tc>
        <w:tc>
          <w:tcPr>
            <w:tcW w:w="895" w:type="dxa"/>
            <w:tcBorders>
              <w:top w:val="nil"/>
              <w:bottom w:val="single" w:sz="4" w:space="0" w:color="auto"/>
            </w:tcBorders>
          </w:tcPr>
          <w:p w14:paraId="681C8EB8" w14:textId="77777777" w:rsidR="000F16EB" w:rsidRDefault="000F16EB" w:rsidP="00A7521D">
            <w:pPr>
              <w:jc w:val="center"/>
            </w:pPr>
            <w:r>
              <w:t>-5.11</w:t>
            </w:r>
          </w:p>
        </w:tc>
        <w:tc>
          <w:tcPr>
            <w:tcW w:w="939" w:type="dxa"/>
            <w:tcBorders>
              <w:top w:val="nil"/>
              <w:bottom w:val="single" w:sz="4" w:space="0" w:color="auto"/>
            </w:tcBorders>
          </w:tcPr>
          <w:p w14:paraId="2A9C2839" w14:textId="77777777" w:rsidR="000F16EB" w:rsidRDefault="000F16EB" w:rsidP="00A7521D">
            <w:pPr>
              <w:jc w:val="center"/>
            </w:pPr>
            <w:r>
              <w:t>-4.69</w:t>
            </w:r>
          </w:p>
        </w:tc>
        <w:tc>
          <w:tcPr>
            <w:tcW w:w="895" w:type="dxa"/>
            <w:tcBorders>
              <w:top w:val="nil"/>
              <w:bottom w:val="single" w:sz="4" w:space="0" w:color="auto"/>
            </w:tcBorders>
          </w:tcPr>
          <w:p w14:paraId="43BFE474" w14:textId="77777777" w:rsidR="000F16EB" w:rsidRDefault="000F16EB" w:rsidP="00A7521D">
            <w:pPr>
              <w:jc w:val="center"/>
            </w:pPr>
            <w:r>
              <w:t>-4.51</w:t>
            </w:r>
          </w:p>
        </w:tc>
      </w:tr>
      <w:tr w:rsidR="000F16EB" w14:paraId="62CFB64E" w14:textId="77777777" w:rsidTr="00A7521D">
        <w:trPr>
          <w:jc w:val="center"/>
        </w:trPr>
        <w:tc>
          <w:tcPr>
            <w:tcW w:w="1134" w:type="dxa"/>
          </w:tcPr>
          <w:p w14:paraId="6BE7F69A" w14:textId="77777777" w:rsidR="000F16EB" w:rsidRDefault="000F16EB" w:rsidP="00A7521D">
            <w:pPr>
              <w:jc w:val="center"/>
            </w:pPr>
          </w:p>
        </w:tc>
        <w:tc>
          <w:tcPr>
            <w:tcW w:w="567" w:type="dxa"/>
            <w:tcBorders>
              <w:top w:val="single" w:sz="4" w:space="0" w:color="auto"/>
            </w:tcBorders>
          </w:tcPr>
          <w:p w14:paraId="3CEC6470" w14:textId="77777777" w:rsidR="000F16EB" w:rsidRDefault="000F16EB" w:rsidP="00A7521D">
            <w:pPr>
              <w:jc w:val="center"/>
            </w:pPr>
            <w:r>
              <w:t>12</w:t>
            </w:r>
          </w:p>
        </w:tc>
        <w:tc>
          <w:tcPr>
            <w:tcW w:w="1560" w:type="dxa"/>
            <w:tcBorders>
              <w:top w:val="single" w:sz="4" w:space="0" w:color="auto"/>
            </w:tcBorders>
          </w:tcPr>
          <w:p w14:paraId="53D5E524" w14:textId="77777777" w:rsidR="000F16EB" w:rsidRDefault="000F16EB" w:rsidP="00A7521D">
            <w:pPr>
              <w:jc w:val="center"/>
            </w:pPr>
            <w:r>
              <w:t>0</w:t>
            </w:r>
          </w:p>
        </w:tc>
        <w:tc>
          <w:tcPr>
            <w:tcW w:w="895" w:type="dxa"/>
            <w:tcBorders>
              <w:top w:val="single" w:sz="4" w:space="0" w:color="auto"/>
            </w:tcBorders>
          </w:tcPr>
          <w:p w14:paraId="4FC488B8" w14:textId="77777777" w:rsidR="000F16EB" w:rsidRDefault="000F16EB" w:rsidP="00A7521D">
            <w:pPr>
              <w:jc w:val="center"/>
            </w:pPr>
            <w:r>
              <w:t>-1.65</w:t>
            </w:r>
          </w:p>
        </w:tc>
        <w:tc>
          <w:tcPr>
            <w:tcW w:w="939" w:type="dxa"/>
            <w:tcBorders>
              <w:top w:val="single" w:sz="4" w:space="0" w:color="auto"/>
            </w:tcBorders>
          </w:tcPr>
          <w:p w14:paraId="41BDD13C" w14:textId="77777777" w:rsidR="000F16EB" w:rsidRDefault="000F16EB" w:rsidP="00A7521D">
            <w:pPr>
              <w:jc w:val="center"/>
            </w:pPr>
            <w:r>
              <w:t>-1.12</w:t>
            </w:r>
          </w:p>
        </w:tc>
        <w:tc>
          <w:tcPr>
            <w:tcW w:w="895" w:type="dxa"/>
            <w:tcBorders>
              <w:top w:val="single" w:sz="4" w:space="0" w:color="auto"/>
            </w:tcBorders>
          </w:tcPr>
          <w:p w14:paraId="2A10D532" w14:textId="77777777" w:rsidR="000F16EB" w:rsidRDefault="000F16EB" w:rsidP="00A7521D">
            <w:pPr>
              <w:jc w:val="center"/>
            </w:pPr>
            <w:r>
              <w:t>-0.951</w:t>
            </w:r>
          </w:p>
        </w:tc>
      </w:tr>
      <w:tr w:rsidR="000F16EB" w14:paraId="2A5D5842" w14:textId="77777777" w:rsidTr="00A7521D">
        <w:trPr>
          <w:jc w:val="center"/>
        </w:trPr>
        <w:tc>
          <w:tcPr>
            <w:tcW w:w="1134" w:type="dxa"/>
            <w:tcBorders>
              <w:bottom w:val="nil"/>
            </w:tcBorders>
          </w:tcPr>
          <w:p w14:paraId="5591B1B1" w14:textId="77777777" w:rsidR="000F16EB" w:rsidRDefault="000F16EB" w:rsidP="00A7521D">
            <w:pPr>
              <w:jc w:val="center"/>
            </w:pPr>
          </w:p>
        </w:tc>
        <w:tc>
          <w:tcPr>
            <w:tcW w:w="567" w:type="dxa"/>
            <w:tcBorders>
              <w:bottom w:val="nil"/>
            </w:tcBorders>
          </w:tcPr>
          <w:p w14:paraId="515AA798" w14:textId="77777777" w:rsidR="000F16EB" w:rsidRDefault="000F16EB" w:rsidP="00A7521D">
            <w:pPr>
              <w:jc w:val="center"/>
            </w:pPr>
          </w:p>
        </w:tc>
        <w:tc>
          <w:tcPr>
            <w:tcW w:w="1560" w:type="dxa"/>
            <w:tcBorders>
              <w:bottom w:val="nil"/>
            </w:tcBorders>
          </w:tcPr>
          <w:p w14:paraId="1DDC5953" w14:textId="77777777" w:rsidR="000F16EB" w:rsidRDefault="000F16EB" w:rsidP="00A7521D">
            <w:pPr>
              <w:jc w:val="center"/>
            </w:pPr>
            <w:r>
              <w:t>1</w:t>
            </w:r>
          </w:p>
        </w:tc>
        <w:tc>
          <w:tcPr>
            <w:tcW w:w="895" w:type="dxa"/>
            <w:tcBorders>
              <w:bottom w:val="nil"/>
            </w:tcBorders>
          </w:tcPr>
          <w:p w14:paraId="295B763B" w14:textId="77777777" w:rsidR="000F16EB" w:rsidRDefault="000F16EB" w:rsidP="00A7521D">
            <w:pPr>
              <w:jc w:val="center"/>
            </w:pPr>
            <w:r>
              <w:t>-3.86</w:t>
            </w:r>
          </w:p>
        </w:tc>
        <w:tc>
          <w:tcPr>
            <w:tcW w:w="939" w:type="dxa"/>
            <w:tcBorders>
              <w:bottom w:val="nil"/>
            </w:tcBorders>
          </w:tcPr>
          <w:p w14:paraId="34D38E4D" w14:textId="77777777" w:rsidR="000F16EB" w:rsidRDefault="000F16EB" w:rsidP="00A7521D">
            <w:pPr>
              <w:jc w:val="center"/>
            </w:pPr>
            <w:r>
              <w:t>-3.31</w:t>
            </w:r>
          </w:p>
        </w:tc>
        <w:tc>
          <w:tcPr>
            <w:tcW w:w="895" w:type="dxa"/>
            <w:tcBorders>
              <w:bottom w:val="nil"/>
            </w:tcBorders>
          </w:tcPr>
          <w:p w14:paraId="3306E3C9" w14:textId="77777777" w:rsidR="000F16EB" w:rsidRDefault="000F16EB" w:rsidP="00A7521D">
            <w:pPr>
              <w:jc w:val="center"/>
            </w:pPr>
            <w:r>
              <w:t>-3.19</w:t>
            </w:r>
          </w:p>
        </w:tc>
      </w:tr>
      <w:tr w:rsidR="000F16EB" w14:paraId="76D577AD" w14:textId="77777777" w:rsidTr="00A7521D">
        <w:trPr>
          <w:jc w:val="center"/>
        </w:trPr>
        <w:tc>
          <w:tcPr>
            <w:tcW w:w="1134" w:type="dxa"/>
            <w:tcBorders>
              <w:top w:val="nil"/>
              <w:bottom w:val="single" w:sz="4" w:space="0" w:color="auto"/>
            </w:tcBorders>
          </w:tcPr>
          <w:p w14:paraId="5A0FA555" w14:textId="77777777" w:rsidR="000F16EB" w:rsidRDefault="000F16EB" w:rsidP="00A7521D">
            <w:pPr>
              <w:jc w:val="center"/>
            </w:pPr>
          </w:p>
        </w:tc>
        <w:tc>
          <w:tcPr>
            <w:tcW w:w="567" w:type="dxa"/>
            <w:tcBorders>
              <w:top w:val="nil"/>
              <w:bottom w:val="single" w:sz="4" w:space="0" w:color="auto"/>
            </w:tcBorders>
          </w:tcPr>
          <w:p w14:paraId="2546810D" w14:textId="77777777" w:rsidR="000F16EB" w:rsidRDefault="000F16EB" w:rsidP="00A7521D">
            <w:pPr>
              <w:jc w:val="center"/>
            </w:pPr>
          </w:p>
        </w:tc>
        <w:tc>
          <w:tcPr>
            <w:tcW w:w="1560" w:type="dxa"/>
            <w:tcBorders>
              <w:top w:val="nil"/>
              <w:bottom w:val="single" w:sz="4" w:space="0" w:color="auto"/>
            </w:tcBorders>
          </w:tcPr>
          <w:p w14:paraId="1CD19B07" w14:textId="77777777" w:rsidR="000F16EB" w:rsidRDefault="000F16EB" w:rsidP="00A7521D">
            <w:pPr>
              <w:jc w:val="center"/>
            </w:pPr>
            <w:r>
              <w:t>2</w:t>
            </w:r>
          </w:p>
        </w:tc>
        <w:tc>
          <w:tcPr>
            <w:tcW w:w="895" w:type="dxa"/>
            <w:tcBorders>
              <w:top w:val="nil"/>
              <w:bottom w:val="single" w:sz="4" w:space="0" w:color="auto"/>
            </w:tcBorders>
          </w:tcPr>
          <w:p w14:paraId="30352413" w14:textId="77777777" w:rsidR="000F16EB" w:rsidRDefault="000F16EB" w:rsidP="00A7521D">
            <w:pPr>
              <w:jc w:val="center"/>
            </w:pPr>
            <w:r>
              <w:t>-5.71</w:t>
            </w:r>
          </w:p>
        </w:tc>
        <w:tc>
          <w:tcPr>
            <w:tcW w:w="939" w:type="dxa"/>
            <w:tcBorders>
              <w:top w:val="nil"/>
              <w:bottom w:val="single" w:sz="4" w:space="0" w:color="auto"/>
            </w:tcBorders>
          </w:tcPr>
          <w:p w14:paraId="01B5C027" w14:textId="77777777" w:rsidR="000F16EB" w:rsidRDefault="000F16EB" w:rsidP="00A7521D">
            <w:pPr>
              <w:jc w:val="center"/>
            </w:pPr>
            <w:r>
              <w:t>-5.50</w:t>
            </w:r>
          </w:p>
        </w:tc>
        <w:tc>
          <w:tcPr>
            <w:tcW w:w="895" w:type="dxa"/>
            <w:tcBorders>
              <w:top w:val="nil"/>
              <w:bottom w:val="single" w:sz="4" w:space="0" w:color="auto"/>
            </w:tcBorders>
          </w:tcPr>
          <w:p w14:paraId="34994414" w14:textId="77777777" w:rsidR="000F16EB" w:rsidRDefault="000F16EB" w:rsidP="00A7521D">
            <w:pPr>
              <w:jc w:val="center"/>
            </w:pPr>
            <w:r>
              <w:t>-5.43</w:t>
            </w:r>
          </w:p>
        </w:tc>
      </w:tr>
      <w:tr w:rsidR="000F16EB" w14:paraId="7132BF95" w14:textId="77777777" w:rsidTr="00A7521D">
        <w:trPr>
          <w:jc w:val="center"/>
        </w:trPr>
        <w:tc>
          <w:tcPr>
            <w:tcW w:w="1134" w:type="dxa"/>
            <w:tcBorders>
              <w:top w:val="single" w:sz="4" w:space="0" w:color="auto"/>
              <w:bottom w:val="nil"/>
            </w:tcBorders>
          </w:tcPr>
          <w:p w14:paraId="765D1278" w14:textId="77777777" w:rsidR="000F16EB" w:rsidRPr="006C3B55" w:rsidRDefault="000F16EB" w:rsidP="00A7521D">
            <w:pPr>
              <w:jc w:val="center"/>
            </w:pPr>
            <w:r w:rsidRPr="006C3B55">
              <w:t>4</w:t>
            </w:r>
          </w:p>
        </w:tc>
        <w:tc>
          <w:tcPr>
            <w:tcW w:w="567" w:type="dxa"/>
            <w:tcBorders>
              <w:top w:val="single" w:sz="4" w:space="0" w:color="auto"/>
              <w:bottom w:val="nil"/>
            </w:tcBorders>
          </w:tcPr>
          <w:p w14:paraId="6B9A71B7" w14:textId="77777777" w:rsidR="000F16EB" w:rsidRPr="006C3B55" w:rsidRDefault="000F16EB" w:rsidP="00A7521D">
            <w:pPr>
              <w:jc w:val="center"/>
            </w:pPr>
            <w:r w:rsidRPr="006C3B55">
              <w:t>3.5</w:t>
            </w:r>
          </w:p>
        </w:tc>
        <w:tc>
          <w:tcPr>
            <w:tcW w:w="1560" w:type="dxa"/>
            <w:tcBorders>
              <w:top w:val="single" w:sz="4" w:space="0" w:color="auto"/>
              <w:bottom w:val="nil"/>
            </w:tcBorders>
          </w:tcPr>
          <w:p w14:paraId="1F095785" w14:textId="77777777" w:rsidR="000F16EB" w:rsidRPr="006C3B55" w:rsidRDefault="000F16EB" w:rsidP="00A7521D">
            <w:pPr>
              <w:jc w:val="center"/>
            </w:pPr>
            <w:r w:rsidRPr="006C3B55">
              <w:t>0</w:t>
            </w:r>
          </w:p>
        </w:tc>
        <w:tc>
          <w:tcPr>
            <w:tcW w:w="895" w:type="dxa"/>
            <w:tcBorders>
              <w:top w:val="single" w:sz="4" w:space="0" w:color="auto"/>
              <w:bottom w:val="nil"/>
            </w:tcBorders>
          </w:tcPr>
          <w:p w14:paraId="446F3B4B" w14:textId="77777777" w:rsidR="000F16EB" w:rsidRPr="006C3B55" w:rsidRDefault="000F16EB" w:rsidP="00A7521D">
            <w:pPr>
              <w:jc w:val="center"/>
            </w:pPr>
            <w:r w:rsidRPr="006C3B55">
              <w:t>6.46</w:t>
            </w:r>
          </w:p>
        </w:tc>
        <w:tc>
          <w:tcPr>
            <w:tcW w:w="939" w:type="dxa"/>
            <w:tcBorders>
              <w:top w:val="single" w:sz="4" w:space="0" w:color="auto"/>
              <w:bottom w:val="nil"/>
            </w:tcBorders>
          </w:tcPr>
          <w:p w14:paraId="7A428C00" w14:textId="77777777" w:rsidR="000F16EB" w:rsidRPr="006C3B55" w:rsidRDefault="000F16EB" w:rsidP="00A7521D">
            <w:pPr>
              <w:jc w:val="center"/>
            </w:pPr>
            <w:r w:rsidRPr="006C3B55">
              <w:t>10.3</w:t>
            </w:r>
          </w:p>
        </w:tc>
        <w:tc>
          <w:tcPr>
            <w:tcW w:w="895" w:type="dxa"/>
            <w:tcBorders>
              <w:top w:val="single" w:sz="4" w:space="0" w:color="auto"/>
              <w:bottom w:val="nil"/>
            </w:tcBorders>
          </w:tcPr>
          <w:p w14:paraId="6601E172" w14:textId="77777777" w:rsidR="000F16EB" w:rsidRPr="006C3B55" w:rsidRDefault="000F16EB" w:rsidP="00A7521D">
            <w:pPr>
              <w:jc w:val="center"/>
            </w:pPr>
            <w:r w:rsidRPr="006C3B55">
              <w:t>12.9</w:t>
            </w:r>
          </w:p>
        </w:tc>
      </w:tr>
      <w:tr w:rsidR="000F16EB" w14:paraId="63D30DCA" w14:textId="77777777" w:rsidTr="00A7521D">
        <w:trPr>
          <w:jc w:val="center"/>
        </w:trPr>
        <w:tc>
          <w:tcPr>
            <w:tcW w:w="1134" w:type="dxa"/>
            <w:tcBorders>
              <w:top w:val="nil"/>
              <w:bottom w:val="nil"/>
            </w:tcBorders>
          </w:tcPr>
          <w:p w14:paraId="42ECA9EB" w14:textId="77777777" w:rsidR="000F16EB" w:rsidRPr="006C3B55" w:rsidRDefault="000F16EB" w:rsidP="00A7521D">
            <w:pPr>
              <w:jc w:val="center"/>
            </w:pPr>
          </w:p>
        </w:tc>
        <w:tc>
          <w:tcPr>
            <w:tcW w:w="567" w:type="dxa"/>
            <w:tcBorders>
              <w:top w:val="nil"/>
              <w:bottom w:val="nil"/>
            </w:tcBorders>
          </w:tcPr>
          <w:p w14:paraId="0C3F80B4" w14:textId="77777777" w:rsidR="000F16EB" w:rsidRPr="006C3B55" w:rsidRDefault="000F16EB" w:rsidP="00A7521D">
            <w:pPr>
              <w:jc w:val="center"/>
            </w:pPr>
          </w:p>
        </w:tc>
        <w:tc>
          <w:tcPr>
            <w:tcW w:w="1560" w:type="dxa"/>
            <w:tcBorders>
              <w:top w:val="nil"/>
              <w:bottom w:val="nil"/>
            </w:tcBorders>
          </w:tcPr>
          <w:p w14:paraId="7B39352E" w14:textId="77777777" w:rsidR="000F16EB" w:rsidRPr="006C3B55" w:rsidRDefault="000F16EB" w:rsidP="00A7521D">
            <w:pPr>
              <w:jc w:val="center"/>
            </w:pPr>
            <w:r w:rsidRPr="006C3B55">
              <w:t>1</w:t>
            </w:r>
          </w:p>
        </w:tc>
        <w:tc>
          <w:tcPr>
            <w:tcW w:w="895" w:type="dxa"/>
            <w:tcBorders>
              <w:top w:val="nil"/>
              <w:bottom w:val="nil"/>
            </w:tcBorders>
          </w:tcPr>
          <w:p w14:paraId="5CBA23F7" w14:textId="77777777" w:rsidR="000F16EB" w:rsidRPr="006C3B55" w:rsidRDefault="000F16EB" w:rsidP="00A7521D">
            <w:pPr>
              <w:jc w:val="center"/>
            </w:pPr>
            <w:r w:rsidRPr="006C3B55">
              <w:t>2.60</w:t>
            </w:r>
          </w:p>
        </w:tc>
        <w:tc>
          <w:tcPr>
            <w:tcW w:w="939" w:type="dxa"/>
            <w:tcBorders>
              <w:top w:val="nil"/>
              <w:bottom w:val="nil"/>
            </w:tcBorders>
          </w:tcPr>
          <w:p w14:paraId="6C02971D" w14:textId="77777777" w:rsidR="000F16EB" w:rsidRPr="006C3B55" w:rsidRDefault="000F16EB" w:rsidP="00A7521D">
            <w:pPr>
              <w:jc w:val="center"/>
            </w:pPr>
            <w:r w:rsidRPr="006C3B55">
              <w:t>5.26</w:t>
            </w:r>
          </w:p>
        </w:tc>
        <w:tc>
          <w:tcPr>
            <w:tcW w:w="895" w:type="dxa"/>
            <w:tcBorders>
              <w:top w:val="nil"/>
              <w:bottom w:val="nil"/>
            </w:tcBorders>
          </w:tcPr>
          <w:p w14:paraId="3A6C3251" w14:textId="77777777" w:rsidR="000F16EB" w:rsidRPr="006C3B55" w:rsidRDefault="000F16EB" w:rsidP="00A7521D">
            <w:pPr>
              <w:jc w:val="center"/>
            </w:pPr>
            <w:r w:rsidRPr="006C3B55">
              <w:t>7.14</w:t>
            </w:r>
          </w:p>
        </w:tc>
      </w:tr>
      <w:tr w:rsidR="000F16EB" w14:paraId="76D52204" w14:textId="77777777" w:rsidTr="00A7521D">
        <w:trPr>
          <w:jc w:val="center"/>
        </w:trPr>
        <w:tc>
          <w:tcPr>
            <w:tcW w:w="1134" w:type="dxa"/>
            <w:tcBorders>
              <w:top w:val="nil"/>
              <w:bottom w:val="nil"/>
            </w:tcBorders>
          </w:tcPr>
          <w:p w14:paraId="32C4D959" w14:textId="77777777" w:rsidR="000F16EB" w:rsidRPr="006C3B55" w:rsidRDefault="000F16EB" w:rsidP="00A7521D">
            <w:pPr>
              <w:jc w:val="center"/>
            </w:pPr>
          </w:p>
        </w:tc>
        <w:tc>
          <w:tcPr>
            <w:tcW w:w="567" w:type="dxa"/>
            <w:tcBorders>
              <w:top w:val="nil"/>
              <w:bottom w:val="single" w:sz="4" w:space="0" w:color="auto"/>
            </w:tcBorders>
          </w:tcPr>
          <w:p w14:paraId="44D2F270" w14:textId="77777777" w:rsidR="000F16EB" w:rsidRPr="006C3B55" w:rsidRDefault="000F16EB" w:rsidP="00A7521D">
            <w:pPr>
              <w:jc w:val="center"/>
            </w:pPr>
          </w:p>
        </w:tc>
        <w:tc>
          <w:tcPr>
            <w:tcW w:w="1560" w:type="dxa"/>
            <w:tcBorders>
              <w:top w:val="nil"/>
              <w:bottom w:val="single" w:sz="4" w:space="0" w:color="auto"/>
            </w:tcBorders>
          </w:tcPr>
          <w:p w14:paraId="6BAB9AFC" w14:textId="77777777" w:rsidR="000F16EB" w:rsidRPr="006C3B55" w:rsidRDefault="000F16EB" w:rsidP="00A7521D">
            <w:pPr>
              <w:jc w:val="center"/>
            </w:pPr>
            <w:r w:rsidRPr="006C3B55">
              <w:t>2</w:t>
            </w:r>
          </w:p>
        </w:tc>
        <w:tc>
          <w:tcPr>
            <w:tcW w:w="895" w:type="dxa"/>
            <w:tcBorders>
              <w:top w:val="nil"/>
              <w:bottom w:val="single" w:sz="4" w:space="0" w:color="auto"/>
            </w:tcBorders>
          </w:tcPr>
          <w:p w14:paraId="3165AFC2" w14:textId="77777777" w:rsidR="000F16EB" w:rsidRPr="006C3B55" w:rsidRDefault="000F16EB" w:rsidP="00A7521D">
            <w:pPr>
              <w:jc w:val="center"/>
            </w:pPr>
            <w:r w:rsidRPr="006C3B55">
              <w:t>-1.26</w:t>
            </w:r>
          </w:p>
        </w:tc>
        <w:tc>
          <w:tcPr>
            <w:tcW w:w="939" w:type="dxa"/>
            <w:tcBorders>
              <w:top w:val="nil"/>
              <w:bottom w:val="single" w:sz="4" w:space="0" w:color="auto"/>
            </w:tcBorders>
          </w:tcPr>
          <w:p w14:paraId="251462D8" w14:textId="77777777" w:rsidR="000F16EB" w:rsidRPr="006C3B55" w:rsidRDefault="000F16EB" w:rsidP="00A7521D">
            <w:pPr>
              <w:jc w:val="center"/>
            </w:pPr>
            <w:r w:rsidRPr="006C3B55">
              <w:t>0.262</w:t>
            </w:r>
          </w:p>
        </w:tc>
        <w:tc>
          <w:tcPr>
            <w:tcW w:w="895" w:type="dxa"/>
            <w:tcBorders>
              <w:top w:val="nil"/>
              <w:bottom w:val="single" w:sz="4" w:space="0" w:color="auto"/>
            </w:tcBorders>
          </w:tcPr>
          <w:p w14:paraId="1A20C93E" w14:textId="77777777" w:rsidR="000F16EB" w:rsidRPr="006C3B55" w:rsidRDefault="000F16EB" w:rsidP="00A7521D">
            <w:pPr>
              <w:jc w:val="center"/>
            </w:pPr>
            <w:r w:rsidRPr="006C3B55">
              <w:t>1.34</w:t>
            </w:r>
          </w:p>
        </w:tc>
      </w:tr>
      <w:tr w:rsidR="000F16EB" w14:paraId="3F4E72CB" w14:textId="77777777" w:rsidTr="00A7521D">
        <w:trPr>
          <w:jc w:val="center"/>
        </w:trPr>
        <w:tc>
          <w:tcPr>
            <w:tcW w:w="1134" w:type="dxa"/>
            <w:tcBorders>
              <w:top w:val="nil"/>
              <w:bottom w:val="nil"/>
            </w:tcBorders>
          </w:tcPr>
          <w:p w14:paraId="6986F321" w14:textId="77777777" w:rsidR="000F16EB" w:rsidRPr="006C3B55" w:rsidRDefault="000F16EB" w:rsidP="00A7521D">
            <w:pPr>
              <w:jc w:val="center"/>
            </w:pPr>
          </w:p>
        </w:tc>
        <w:tc>
          <w:tcPr>
            <w:tcW w:w="567" w:type="dxa"/>
            <w:tcBorders>
              <w:top w:val="single" w:sz="4" w:space="0" w:color="auto"/>
              <w:bottom w:val="nil"/>
            </w:tcBorders>
          </w:tcPr>
          <w:p w14:paraId="792A269B" w14:textId="77777777" w:rsidR="000F16EB" w:rsidRPr="006C3B55" w:rsidRDefault="000F16EB" w:rsidP="00A7521D">
            <w:pPr>
              <w:jc w:val="center"/>
            </w:pPr>
            <w:r w:rsidRPr="006C3B55">
              <w:t>6</w:t>
            </w:r>
          </w:p>
        </w:tc>
        <w:tc>
          <w:tcPr>
            <w:tcW w:w="1560" w:type="dxa"/>
            <w:tcBorders>
              <w:top w:val="single" w:sz="4" w:space="0" w:color="auto"/>
              <w:bottom w:val="nil"/>
            </w:tcBorders>
          </w:tcPr>
          <w:p w14:paraId="6117FE8B" w14:textId="77777777" w:rsidR="000F16EB" w:rsidRPr="006C3B55" w:rsidRDefault="000F16EB" w:rsidP="00A7521D">
            <w:pPr>
              <w:jc w:val="center"/>
            </w:pPr>
            <w:r w:rsidRPr="006C3B55">
              <w:t>0</w:t>
            </w:r>
          </w:p>
        </w:tc>
        <w:tc>
          <w:tcPr>
            <w:tcW w:w="895" w:type="dxa"/>
            <w:tcBorders>
              <w:top w:val="single" w:sz="4" w:space="0" w:color="auto"/>
              <w:bottom w:val="nil"/>
            </w:tcBorders>
          </w:tcPr>
          <w:p w14:paraId="708D0C9C" w14:textId="77777777" w:rsidR="000F16EB" w:rsidRPr="006C3B55" w:rsidRDefault="000F16EB" w:rsidP="00A7521D">
            <w:pPr>
              <w:jc w:val="center"/>
            </w:pPr>
            <w:r w:rsidRPr="006C3B55">
              <w:t>3.98</w:t>
            </w:r>
          </w:p>
        </w:tc>
        <w:tc>
          <w:tcPr>
            <w:tcW w:w="939" w:type="dxa"/>
            <w:tcBorders>
              <w:top w:val="single" w:sz="4" w:space="0" w:color="auto"/>
              <w:bottom w:val="nil"/>
            </w:tcBorders>
          </w:tcPr>
          <w:p w14:paraId="6E29AF03" w14:textId="77777777" w:rsidR="000F16EB" w:rsidRPr="006C3B55" w:rsidRDefault="000F16EB" w:rsidP="00A7521D">
            <w:pPr>
              <w:jc w:val="center"/>
            </w:pPr>
            <w:r w:rsidRPr="006C3B55">
              <w:t>6.06</w:t>
            </w:r>
          </w:p>
        </w:tc>
        <w:tc>
          <w:tcPr>
            <w:tcW w:w="895" w:type="dxa"/>
            <w:tcBorders>
              <w:top w:val="single" w:sz="4" w:space="0" w:color="auto"/>
              <w:bottom w:val="nil"/>
            </w:tcBorders>
          </w:tcPr>
          <w:p w14:paraId="502BE71F" w14:textId="77777777" w:rsidR="000F16EB" w:rsidRPr="006C3B55" w:rsidRDefault="000F16EB" w:rsidP="00A7521D">
            <w:pPr>
              <w:jc w:val="center"/>
            </w:pPr>
            <w:r w:rsidRPr="006C3B55">
              <w:t>7.22</w:t>
            </w:r>
          </w:p>
        </w:tc>
      </w:tr>
      <w:tr w:rsidR="000F16EB" w:rsidRPr="00634FA2" w14:paraId="667DAC82" w14:textId="77777777" w:rsidTr="00A7521D">
        <w:trPr>
          <w:jc w:val="center"/>
        </w:trPr>
        <w:tc>
          <w:tcPr>
            <w:tcW w:w="1134" w:type="dxa"/>
            <w:tcBorders>
              <w:top w:val="nil"/>
              <w:bottom w:val="nil"/>
            </w:tcBorders>
          </w:tcPr>
          <w:p w14:paraId="3F96AA1E" w14:textId="77777777" w:rsidR="000F16EB" w:rsidRPr="006C3B55" w:rsidRDefault="000F16EB" w:rsidP="00A7521D">
            <w:pPr>
              <w:jc w:val="center"/>
            </w:pPr>
          </w:p>
        </w:tc>
        <w:tc>
          <w:tcPr>
            <w:tcW w:w="567" w:type="dxa"/>
            <w:tcBorders>
              <w:top w:val="nil"/>
              <w:bottom w:val="nil"/>
            </w:tcBorders>
          </w:tcPr>
          <w:p w14:paraId="1209089C" w14:textId="77777777" w:rsidR="000F16EB" w:rsidRPr="006C3B55" w:rsidRDefault="000F16EB" w:rsidP="00A7521D">
            <w:pPr>
              <w:jc w:val="center"/>
            </w:pPr>
          </w:p>
        </w:tc>
        <w:tc>
          <w:tcPr>
            <w:tcW w:w="1560" w:type="dxa"/>
            <w:tcBorders>
              <w:top w:val="nil"/>
              <w:bottom w:val="nil"/>
            </w:tcBorders>
          </w:tcPr>
          <w:p w14:paraId="7F9BF5A0" w14:textId="77777777" w:rsidR="000F16EB" w:rsidRPr="006C3B55" w:rsidRDefault="000F16EB" w:rsidP="00A7521D">
            <w:pPr>
              <w:jc w:val="center"/>
            </w:pPr>
            <w:r w:rsidRPr="006C3B55">
              <w:t>1</w:t>
            </w:r>
          </w:p>
        </w:tc>
        <w:tc>
          <w:tcPr>
            <w:tcW w:w="895" w:type="dxa"/>
            <w:tcBorders>
              <w:top w:val="nil"/>
              <w:bottom w:val="nil"/>
            </w:tcBorders>
          </w:tcPr>
          <w:p w14:paraId="1D2AFABB" w14:textId="77777777" w:rsidR="000F16EB" w:rsidRPr="006C3B55" w:rsidRDefault="000F16EB" w:rsidP="00A7521D">
            <w:pPr>
              <w:jc w:val="center"/>
            </w:pPr>
            <w:r w:rsidRPr="006C3B55">
              <w:t>0.860</w:t>
            </w:r>
          </w:p>
        </w:tc>
        <w:tc>
          <w:tcPr>
            <w:tcW w:w="939" w:type="dxa"/>
            <w:tcBorders>
              <w:top w:val="nil"/>
              <w:bottom w:val="nil"/>
            </w:tcBorders>
          </w:tcPr>
          <w:p w14:paraId="14E1984D" w14:textId="77777777" w:rsidR="000F16EB" w:rsidRPr="006C3B55" w:rsidRDefault="000F16EB" w:rsidP="00A7521D">
            <w:pPr>
              <w:jc w:val="center"/>
            </w:pPr>
            <w:r w:rsidRPr="006C3B55">
              <w:t>2.32</w:t>
            </w:r>
          </w:p>
        </w:tc>
        <w:tc>
          <w:tcPr>
            <w:tcW w:w="895" w:type="dxa"/>
            <w:tcBorders>
              <w:top w:val="nil"/>
              <w:bottom w:val="nil"/>
            </w:tcBorders>
          </w:tcPr>
          <w:p w14:paraId="2D9C7693" w14:textId="77777777" w:rsidR="000F16EB" w:rsidRPr="006C3B55" w:rsidRDefault="000F16EB" w:rsidP="00A7521D">
            <w:pPr>
              <w:jc w:val="center"/>
            </w:pPr>
            <w:r w:rsidRPr="006C3B55">
              <w:t>3.13</w:t>
            </w:r>
          </w:p>
        </w:tc>
      </w:tr>
      <w:tr w:rsidR="000F16EB" w14:paraId="5696F815" w14:textId="77777777" w:rsidTr="00A7521D">
        <w:trPr>
          <w:jc w:val="center"/>
        </w:trPr>
        <w:tc>
          <w:tcPr>
            <w:tcW w:w="1134" w:type="dxa"/>
            <w:tcBorders>
              <w:top w:val="nil"/>
              <w:bottom w:val="nil"/>
            </w:tcBorders>
          </w:tcPr>
          <w:p w14:paraId="7E4FDF86" w14:textId="77777777" w:rsidR="000F16EB" w:rsidRPr="006C3B55" w:rsidRDefault="000F16EB" w:rsidP="00A7521D">
            <w:pPr>
              <w:jc w:val="center"/>
            </w:pPr>
          </w:p>
        </w:tc>
        <w:tc>
          <w:tcPr>
            <w:tcW w:w="567" w:type="dxa"/>
            <w:tcBorders>
              <w:top w:val="nil"/>
              <w:bottom w:val="single" w:sz="4" w:space="0" w:color="auto"/>
            </w:tcBorders>
          </w:tcPr>
          <w:p w14:paraId="593F11E3" w14:textId="77777777" w:rsidR="000F16EB" w:rsidRPr="006C3B55" w:rsidRDefault="000F16EB" w:rsidP="00A7521D">
            <w:pPr>
              <w:jc w:val="center"/>
            </w:pPr>
          </w:p>
        </w:tc>
        <w:tc>
          <w:tcPr>
            <w:tcW w:w="1560" w:type="dxa"/>
            <w:tcBorders>
              <w:top w:val="nil"/>
              <w:bottom w:val="single" w:sz="4" w:space="0" w:color="auto"/>
            </w:tcBorders>
          </w:tcPr>
          <w:p w14:paraId="639E1531" w14:textId="77777777" w:rsidR="000F16EB" w:rsidRPr="006C3B55" w:rsidRDefault="000F16EB" w:rsidP="00A7521D">
            <w:pPr>
              <w:jc w:val="center"/>
            </w:pPr>
            <w:r w:rsidRPr="006C3B55">
              <w:t>2</w:t>
            </w:r>
          </w:p>
        </w:tc>
        <w:tc>
          <w:tcPr>
            <w:tcW w:w="895" w:type="dxa"/>
            <w:tcBorders>
              <w:top w:val="nil"/>
              <w:bottom w:val="single" w:sz="4" w:space="0" w:color="auto"/>
            </w:tcBorders>
          </w:tcPr>
          <w:p w14:paraId="429FEFF0" w14:textId="77777777" w:rsidR="000F16EB" w:rsidRPr="006C3B55" w:rsidRDefault="000F16EB" w:rsidP="00A7521D">
            <w:pPr>
              <w:jc w:val="center"/>
            </w:pPr>
            <w:r w:rsidRPr="006C3B55">
              <w:t>-2.26</w:t>
            </w:r>
          </w:p>
        </w:tc>
        <w:tc>
          <w:tcPr>
            <w:tcW w:w="939" w:type="dxa"/>
            <w:tcBorders>
              <w:top w:val="nil"/>
              <w:bottom w:val="single" w:sz="4" w:space="0" w:color="auto"/>
            </w:tcBorders>
          </w:tcPr>
          <w:p w14:paraId="0CC49CB0" w14:textId="77777777" w:rsidR="000F16EB" w:rsidRPr="006C3B55" w:rsidRDefault="000F16EB" w:rsidP="00A7521D">
            <w:pPr>
              <w:jc w:val="center"/>
            </w:pPr>
            <w:r w:rsidRPr="006C3B55">
              <w:t>-1.42</w:t>
            </w:r>
          </w:p>
        </w:tc>
        <w:tc>
          <w:tcPr>
            <w:tcW w:w="895" w:type="dxa"/>
            <w:tcBorders>
              <w:top w:val="nil"/>
              <w:bottom w:val="single" w:sz="4" w:space="0" w:color="auto"/>
            </w:tcBorders>
          </w:tcPr>
          <w:p w14:paraId="6DBBBEE3" w14:textId="77777777" w:rsidR="000F16EB" w:rsidRPr="006C3B55" w:rsidRDefault="000F16EB" w:rsidP="00A7521D">
            <w:pPr>
              <w:jc w:val="center"/>
            </w:pPr>
            <w:r w:rsidRPr="006C3B55">
              <w:t>-0.955</w:t>
            </w:r>
          </w:p>
        </w:tc>
      </w:tr>
      <w:tr w:rsidR="000F16EB" w14:paraId="1A45BC66" w14:textId="77777777" w:rsidTr="00A7521D">
        <w:trPr>
          <w:jc w:val="center"/>
        </w:trPr>
        <w:tc>
          <w:tcPr>
            <w:tcW w:w="1134" w:type="dxa"/>
            <w:tcBorders>
              <w:top w:val="nil"/>
              <w:bottom w:val="nil"/>
            </w:tcBorders>
          </w:tcPr>
          <w:p w14:paraId="78B833F0" w14:textId="77777777" w:rsidR="000F16EB" w:rsidRPr="006C3B55" w:rsidRDefault="000F16EB" w:rsidP="00A7521D">
            <w:pPr>
              <w:jc w:val="center"/>
            </w:pPr>
          </w:p>
        </w:tc>
        <w:tc>
          <w:tcPr>
            <w:tcW w:w="567" w:type="dxa"/>
            <w:tcBorders>
              <w:top w:val="single" w:sz="4" w:space="0" w:color="auto"/>
              <w:bottom w:val="nil"/>
            </w:tcBorders>
          </w:tcPr>
          <w:p w14:paraId="4DAD771F" w14:textId="77777777" w:rsidR="000F16EB" w:rsidRPr="006C3B55" w:rsidRDefault="000F16EB" w:rsidP="00A7521D">
            <w:pPr>
              <w:jc w:val="center"/>
            </w:pPr>
            <w:r w:rsidRPr="006C3B55">
              <w:t>9</w:t>
            </w:r>
          </w:p>
        </w:tc>
        <w:tc>
          <w:tcPr>
            <w:tcW w:w="1560" w:type="dxa"/>
            <w:tcBorders>
              <w:top w:val="single" w:sz="4" w:space="0" w:color="auto"/>
              <w:bottom w:val="nil"/>
            </w:tcBorders>
          </w:tcPr>
          <w:p w14:paraId="12BFC0B3" w14:textId="77777777" w:rsidR="000F16EB" w:rsidRPr="006C3B55" w:rsidRDefault="000F16EB" w:rsidP="00A7521D">
            <w:pPr>
              <w:jc w:val="center"/>
            </w:pPr>
            <w:r w:rsidRPr="006C3B55">
              <w:t>0</w:t>
            </w:r>
          </w:p>
        </w:tc>
        <w:tc>
          <w:tcPr>
            <w:tcW w:w="895" w:type="dxa"/>
            <w:tcBorders>
              <w:top w:val="single" w:sz="4" w:space="0" w:color="auto"/>
              <w:bottom w:val="nil"/>
            </w:tcBorders>
          </w:tcPr>
          <w:p w14:paraId="61503DBC" w14:textId="77777777" w:rsidR="000F16EB" w:rsidRPr="006C3B55" w:rsidRDefault="000F16EB" w:rsidP="00A7521D">
            <w:pPr>
              <w:jc w:val="center"/>
            </w:pPr>
            <w:r w:rsidRPr="006C3B55">
              <w:t>1.85</w:t>
            </w:r>
          </w:p>
        </w:tc>
        <w:tc>
          <w:tcPr>
            <w:tcW w:w="939" w:type="dxa"/>
            <w:tcBorders>
              <w:top w:val="single" w:sz="4" w:space="0" w:color="auto"/>
              <w:bottom w:val="nil"/>
            </w:tcBorders>
          </w:tcPr>
          <w:p w14:paraId="5E5D43AA" w14:textId="77777777" w:rsidR="000F16EB" w:rsidRPr="006C3B55" w:rsidRDefault="000F16EB" w:rsidP="00A7521D">
            <w:pPr>
              <w:jc w:val="center"/>
            </w:pPr>
            <w:r w:rsidRPr="006C3B55">
              <w:t>2.89</w:t>
            </w:r>
          </w:p>
        </w:tc>
        <w:tc>
          <w:tcPr>
            <w:tcW w:w="895" w:type="dxa"/>
            <w:tcBorders>
              <w:top w:val="single" w:sz="4" w:space="0" w:color="auto"/>
              <w:bottom w:val="nil"/>
            </w:tcBorders>
          </w:tcPr>
          <w:p w14:paraId="3AF9BFF4" w14:textId="77777777" w:rsidR="000F16EB" w:rsidRPr="006C3B55" w:rsidRDefault="000F16EB" w:rsidP="00A7521D">
            <w:pPr>
              <w:jc w:val="center"/>
            </w:pPr>
            <w:r w:rsidRPr="006C3B55">
              <w:t>3.33</w:t>
            </w:r>
          </w:p>
        </w:tc>
      </w:tr>
      <w:tr w:rsidR="000F16EB" w14:paraId="1BD921F6" w14:textId="77777777" w:rsidTr="00A7521D">
        <w:trPr>
          <w:jc w:val="center"/>
        </w:trPr>
        <w:tc>
          <w:tcPr>
            <w:tcW w:w="1134" w:type="dxa"/>
            <w:tcBorders>
              <w:top w:val="nil"/>
              <w:bottom w:val="nil"/>
            </w:tcBorders>
          </w:tcPr>
          <w:p w14:paraId="005956D9" w14:textId="77777777" w:rsidR="000F16EB" w:rsidRPr="006C3B55" w:rsidRDefault="000F16EB" w:rsidP="00A7521D">
            <w:pPr>
              <w:jc w:val="center"/>
            </w:pPr>
          </w:p>
        </w:tc>
        <w:tc>
          <w:tcPr>
            <w:tcW w:w="567" w:type="dxa"/>
            <w:tcBorders>
              <w:top w:val="nil"/>
              <w:bottom w:val="nil"/>
            </w:tcBorders>
          </w:tcPr>
          <w:p w14:paraId="7E656260" w14:textId="77777777" w:rsidR="000F16EB" w:rsidRPr="006C3B55" w:rsidRDefault="000F16EB" w:rsidP="00A7521D">
            <w:pPr>
              <w:jc w:val="center"/>
            </w:pPr>
          </w:p>
        </w:tc>
        <w:tc>
          <w:tcPr>
            <w:tcW w:w="1560" w:type="dxa"/>
            <w:tcBorders>
              <w:top w:val="nil"/>
              <w:bottom w:val="nil"/>
            </w:tcBorders>
          </w:tcPr>
          <w:p w14:paraId="127BE8C7" w14:textId="77777777" w:rsidR="000F16EB" w:rsidRPr="006C3B55" w:rsidRDefault="000F16EB" w:rsidP="00A7521D">
            <w:pPr>
              <w:jc w:val="center"/>
            </w:pPr>
            <w:r w:rsidRPr="006C3B55">
              <w:t>1</w:t>
            </w:r>
          </w:p>
        </w:tc>
        <w:tc>
          <w:tcPr>
            <w:tcW w:w="895" w:type="dxa"/>
            <w:tcBorders>
              <w:top w:val="nil"/>
              <w:bottom w:val="nil"/>
            </w:tcBorders>
          </w:tcPr>
          <w:p w14:paraId="369DCB5F" w14:textId="77777777" w:rsidR="000F16EB" w:rsidRPr="006C3B55" w:rsidRDefault="000F16EB" w:rsidP="00A7521D">
            <w:pPr>
              <w:jc w:val="center"/>
            </w:pPr>
            <w:r w:rsidRPr="006C3B55">
              <w:t>-0.628</w:t>
            </w:r>
          </w:p>
        </w:tc>
        <w:tc>
          <w:tcPr>
            <w:tcW w:w="939" w:type="dxa"/>
            <w:tcBorders>
              <w:top w:val="nil"/>
              <w:bottom w:val="nil"/>
            </w:tcBorders>
          </w:tcPr>
          <w:p w14:paraId="5E8FD460" w14:textId="77777777" w:rsidR="000F16EB" w:rsidRPr="006C3B55" w:rsidRDefault="000F16EB" w:rsidP="00A7521D">
            <w:pPr>
              <w:jc w:val="center"/>
            </w:pPr>
            <w:r w:rsidRPr="006C3B55">
              <w:t>0.0996</w:t>
            </w:r>
          </w:p>
        </w:tc>
        <w:tc>
          <w:tcPr>
            <w:tcW w:w="895" w:type="dxa"/>
            <w:tcBorders>
              <w:top w:val="nil"/>
              <w:bottom w:val="nil"/>
            </w:tcBorders>
          </w:tcPr>
          <w:p w14:paraId="4ED3510C" w14:textId="77777777" w:rsidR="000F16EB" w:rsidRPr="006C3B55" w:rsidRDefault="000F16EB" w:rsidP="00A7521D">
            <w:pPr>
              <w:jc w:val="center"/>
            </w:pPr>
            <w:r w:rsidRPr="006C3B55">
              <w:t>0.407</w:t>
            </w:r>
          </w:p>
        </w:tc>
      </w:tr>
      <w:tr w:rsidR="000F16EB" w14:paraId="347D3E2E" w14:textId="77777777" w:rsidTr="00A7521D">
        <w:trPr>
          <w:jc w:val="center"/>
        </w:trPr>
        <w:tc>
          <w:tcPr>
            <w:tcW w:w="1134" w:type="dxa"/>
            <w:tcBorders>
              <w:top w:val="nil"/>
              <w:bottom w:val="nil"/>
            </w:tcBorders>
          </w:tcPr>
          <w:p w14:paraId="73F8A3B8" w14:textId="77777777" w:rsidR="000F16EB" w:rsidRPr="006C3B55" w:rsidRDefault="000F16EB" w:rsidP="00A7521D">
            <w:pPr>
              <w:jc w:val="center"/>
            </w:pPr>
          </w:p>
        </w:tc>
        <w:tc>
          <w:tcPr>
            <w:tcW w:w="567" w:type="dxa"/>
            <w:tcBorders>
              <w:top w:val="nil"/>
              <w:bottom w:val="single" w:sz="4" w:space="0" w:color="auto"/>
            </w:tcBorders>
          </w:tcPr>
          <w:p w14:paraId="24ADC361" w14:textId="77777777" w:rsidR="000F16EB" w:rsidRPr="006C3B55" w:rsidRDefault="000F16EB" w:rsidP="00A7521D">
            <w:pPr>
              <w:jc w:val="center"/>
            </w:pPr>
          </w:p>
        </w:tc>
        <w:tc>
          <w:tcPr>
            <w:tcW w:w="1560" w:type="dxa"/>
            <w:tcBorders>
              <w:top w:val="nil"/>
              <w:bottom w:val="single" w:sz="4" w:space="0" w:color="auto"/>
            </w:tcBorders>
          </w:tcPr>
          <w:p w14:paraId="392D2BB1" w14:textId="77777777" w:rsidR="000F16EB" w:rsidRPr="006C3B55" w:rsidRDefault="000F16EB" w:rsidP="00A7521D">
            <w:pPr>
              <w:jc w:val="center"/>
            </w:pPr>
            <w:r w:rsidRPr="006C3B55">
              <w:t>2</w:t>
            </w:r>
          </w:p>
        </w:tc>
        <w:tc>
          <w:tcPr>
            <w:tcW w:w="895" w:type="dxa"/>
            <w:tcBorders>
              <w:top w:val="nil"/>
              <w:bottom w:val="single" w:sz="4" w:space="0" w:color="auto"/>
            </w:tcBorders>
          </w:tcPr>
          <w:p w14:paraId="14F1FBC5" w14:textId="77777777" w:rsidR="000F16EB" w:rsidRPr="006C3B55" w:rsidRDefault="000F16EB" w:rsidP="00A7521D">
            <w:pPr>
              <w:jc w:val="center"/>
            </w:pPr>
            <w:r w:rsidRPr="006C3B55">
              <w:t>-3.11</w:t>
            </w:r>
          </w:p>
        </w:tc>
        <w:tc>
          <w:tcPr>
            <w:tcW w:w="939" w:type="dxa"/>
            <w:tcBorders>
              <w:top w:val="nil"/>
              <w:bottom w:val="single" w:sz="4" w:space="0" w:color="auto"/>
            </w:tcBorders>
          </w:tcPr>
          <w:p w14:paraId="22547F92" w14:textId="77777777" w:rsidR="000F16EB" w:rsidRPr="006C3B55" w:rsidRDefault="000F16EB" w:rsidP="00A7521D">
            <w:pPr>
              <w:jc w:val="center"/>
            </w:pPr>
            <w:r w:rsidRPr="006C3B55">
              <w:t>-2.69</w:t>
            </w:r>
          </w:p>
        </w:tc>
        <w:tc>
          <w:tcPr>
            <w:tcW w:w="895" w:type="dxa"/>
            <w:tcBorders>
              <w:top w:val="nil"/>
              <w:bottom w:val="single" w:sz="4" w:space="0" w:color="auto"/>
            </w:tcBorders>
          </w:tcPr>
          <w:p w14:paraId="1EAED710" w14:textId="77777777" w:rsidR="000F16EB" w:rsidRPr="006C3B55" w:rsidRDefault="000F16EB" w:rsidP="00A7521D">
            <w:pPr>
              <w:jc w:val="center"/>
            </w:pPr>
            <w:r w:rsidRPr="006C3B55">
              <w:t>-2.51</w:t>
            </w:r>
          </w:p>
        </w:tc>
      </w:tr>
      <w:tr w:rsidR="000F16EB" w14:paraId="6CB3E137" w14:textId="77777777" w:rsidTr="00A7521D">
        <w:trPr>
          <w:jc w:val="center"/>
        </w:trPr>
        <w:tc>
          <w:tcPr>
            <w:tcW w:w="1134" w:type="dxa"/>
            <w:tcBorders>
              <w:top w:val="nil"/>
              <w:bottom w:val="nil"/>
            </w:tcBorders>
          </w:tcPr>
          <w:p w14:paraId="43C73B7C" w14:textId="77777777" w:rsidR="000F16EB" w:rsidRPr="006C3B55" w:rsidRDefault="000F16EB" w:rsidP="00A7521D">
            <w:pPr>
              <w:jc w:val="center"/>
            </w:pPr>
          </w:p>
        </w:tc>
        <w:tc>
          <w:tcPr>
            <w:tcW w:w="567" w:type="dxa"/>
            <w:tcBorders>
              <w:top w:val="single" w:sz="4" w:space="0" w:color="auto"/>
              <w:bottom w:val="nil"/>
            </w:tcBorders>
          </w:tcPr>
          <w:p w14:paraId="4D41D68B" w14:textId="77777777" w:rsidR="000F16EB" w:rsidRPr="006C3B55" w:rsidRDefault="000F16EB" w:rsidP="00A7521D">
            <w:pPr>
              <w:jc w:val="center"/>
            </w:pPr>
            <w:r w:rsidRPr="006C3B55">
              <w:t>12</w:t>
            </w:r>
          </w:p>
        </w:tc>
        <w:tc>
          <w:tcPr>
            <w:tcW w:w="1560" w:type="dxa"/>
            <w:tcBorders>
              <w:top w:val="single" w:sz="4" w:space="0" w:color="auto"/>
              <w:bottom w:val="nil"/>
            </w:tcBorders>
          </w:tcPr>
          <w:p w14:paraId="71D06BCF" w14:textId="77777777" w:rsidR="000F16EB" w:rsidRPr="006C3B55" w:rsidRDefault="000F16EB" w:rsidP="00A7521D">
            <w:pPr>
              <w:jc w:val="center"/>
            </w:pPr>
            <w:r w:rsidRPr="006C3B55">
              <w:t>0</w:t>
            </w:r>
          </w:p>
        </w:tc>
        <w:tc>
          <w:tcPr>
            <w:tcW w:w="895" w:type="dxa"/>
            <w:tcBorders>
              <w:top w:val="single" w:sz="4" w:space="0" w:color="auto"/>
              <w:bottom w:val="nil"/>
            </w:tcBorders>
          </w:tcPr>
          <w:p w14:paraId="63C4D1D1" w14:textId="77777777" w:rsidR="000F16EB" w:rsidRPr="006C3B55" w:rsidRDefault="000F16EB" w:rsidP="00A7521D">
            <w:pPr>
              <w:jc w:val="center"/>
            </w:pPr>
            <w:r w:rsidRPr="006C3B55">
              <w:t>0.347</w:t>
            </w:r>
          </w:p>
        </w:tc>
        <w:tc>
          <w:tcPr>
            <w:tcW w:w="939" w:type="dxa"/>
            <w:tcBorders>
              <w:top w:val="single" w:sz="4" w:space="0" w:color="auto"/>
              <w:bottom w:val="nil"/>
            </w:tcBorders>
          </w:tcPr>
          <w:p w14:paraId="10B2353E" w14:textId="77777777" w:rsidR="000F16EB" w:rsidRPr="006C3B55" w:rsidRDefault="000F16EB" w:rsidP="00A7521D">
            <w:pPr>
              <w:jc w:val="center"/>
            </w:pPr>
            <w:r w:rsidRPr="006C3B55">
              <w:t>0.878</w:t>
            </w:r>
          </w:p>
        </w:tc>
        <w:tc>
          <w:tcPr>
            <w:tcW w:w="895" w:type="dxa"/>
            <w:tcBorders>
              <w:top w:val="single" w:sz="4" w:space="0" w:color="auto"/>
              <w:bottom w:val="nil"/>
            </w:tcBorders>
          </w:tcPr>
          <w:p w14:paraId="1FB137BC" w14:textId="77777777" w:rsidR="000F16EB" w:rsidRPr="006C3B55" w:rsidRDefault="000F16EB" w:rsidP="00A7521D">
            <w:pPr>
              <w:jc w:val="center"/>
            </w:pPr>
            <w:r w:rsidRPr="006C3B55">
              <w:t>1.05</w:t>
            </w:r>
          </w:p>
        </w:tc>
      </w:tr>
      <w:tr w:rsidR="000F16EB" w14:paraId="1578510A" w14:textId="77777777" w:rsidTr="00A7521D">
        <w:trPr>
          <w:jc w:val="center"/>
        </w:trPr>
        <w:tc>
          <w:tcPr>
            <w:tcW w:w="1134" w:type="dxa"/>
            <w:tcBorders>
              <w:top w:val="nil"/>
              <w:bottom w:val="nil"/>
            </w:tcBorders>
          </w:tcPr>
          <w:p w14:paraId="4BD3E47B" w14:textId="77777777" w:rsidR="000F16EB" w:rsidRPr="006C3B55" w:rsidRDefault="000F16EB" w:rsidP="00A7521D">
            <w:pPr>
              <w:jc w:val="center"/>
            </w:pPr>
          </w:p>
        </w:tc>
        <w:tc>
          <w:tcPr>
            <w:tcW w:w="567" w:type="dxa"/>
            <w:tcBorders>
              <w:top w:val="nil"/>
              <w:bottom w:val="nil"/>
            </w:tcBorders>
          </w:tcPr>
          <w:p w14:paraId="1AF112EF" w14:textId="77777777" w:rsidR="000F16EB" w:rsidRPr="006C3B55" w:rsidRDefault="000F16EB" w:rsidP="00A7521D">
            <w:pPr>
              <w:jc w:val="center"/>
            </w:pPr>
          </w:p>
        </w:tc>
        <w:tc>
          <w:tcPr>
            <w:tcW w:w="1560" w:type="dxa"/>
            <w:tcBorders>
              <w:top w:val="nil"/>
              <w:bottom w:val="nil"/>
            </w:tcBorders>
          </w:tcPr>
          <w:p w14:paraId="2D7022E8" w14:textId="77777777" w:rsidR="000F16EB" w:rsidRPr="006C3B55" w:rsidRDefault="000F16EB" w:rsidP="00A7521D">
            <w:pPr>
              <w:jc w:val="center"/>
            </w:pPr>
            <w:r w:rsidRPr="006C3B55">
              <w:t>1</w:t>
            </w:r>
          </w:p>
        </w:tc>
        <w:tc>
          <w:tcPr>
            <w:tcW w:w="895" w:type="dxa"/>
            <w:tcBorders>
              <w:top w:val="nil"/>
              <w:bottom w:val="nil"/>
            </w:tcBorders>
          </w:tcPr>
          <w:p w14:paraId="41F7EE15" w14:textId="77777777" w:rsidR="000F16EB" w:rsidRPr="006C3B55" w:rsidRDefault="000F16EB" w:rsidP="00A7521D">
            <w:pPr>
              <w:jc w:val="center"/>
            </w:pPr>
            <w:r w:rsidRPr="006C3B55">
              <w:t>-1.68</w:t>
            </w:r>
          </w:p>
        </w:tc>
        <w:tc>
          <w:tcPr>
            <w:tcW w:w="939" w:type="dxa"/>
            <w:tcBorders>
              <w:top w:val="nil"/>
              <w:bottom w:val="nil"/>
            </w:tcBorders>
          </w:tcPr>
          <w:p w14:paraId="5F756043" w14:textId="77777777" w:rsidR="000F16EB" w:rsidRPr="006C3B55" w:rsidRDefault="000F16EB" w:rsidP="00A7521D">
            <w:pPr>
              <w:jc w:val="center"/>
            </w:pPr>
            <w:r w:rsidRPr="006C3B55">
              <w:t>-1.31</w:t>
            </w:r>
          </w:p>
        </w:tc>
        <w:tc>
          <w:tcPr>
            <w:tcW w:w="895" w:type="dxa"/>
            <w:tcBorders>
              <w:top w:val="nil"/>
              <w:bottom w:val="nil"/>
            </w:tcBorders>
          </w:tcPr>
          <w:p w14:paraId="34FAD2DE" w14:textId="77777777" w:rsidR="000F16EB" w:rsidRPr="006C3B55" w:rsidRDefault="000F16EB" w:rsidP="00A7521D">
            <w:pPr>
              <w:jc w:val="center"/>
            </w:pPr>
            <w:r w:rsidRPr="006C3B55">
              <w:t>-1.19</w:t>
            </w:r>
          </w:p>
        </w:tc>
      </w:tr>
      <w:tr w:rsidR="000F16EB" w14:paraId="4264E5BB" w14:textId="77777777" w:rsidTr="00A7521D">
        <w:trPr>
          <w:jc w:val="center"/>
        </w:trPr>
        <w:tc>
          <w:tcPr>
            <w:tcW w:w="1134" w:type="dxa"/>
            <w:tcBorders>
              <w:top w:val="nil"/>
              <w:bottom w:val="single" w:sz="4" w:space="0" w:color="auto"/>
            </w:tcBorders>
          </w:tcPr>
          <w:p w14:paraId="43C99D90" w14:textId="77777777" w:rsidR="000F16EB" w:rsidRPr="006C3B55" w:rsidRDefault="000F16EB" w:rsidP="00A7521D">
            <w:pPr>
              <w:jc w:val="center"/>
            </w:pPr>
          </w:p>
        </w:tc>
        <w:tc>
          <w:tcPr>
            <w:tcW w:w="567" w:type="dxa"/>
            <w:tcBorders>
              <w:top w:val="nil"/>
              <w:bottom w:val="single" w:sz="4" w:space="0" w:color="auto"/>
            </w:tcBorders>
          </w:tcPr>
          <w:p w14:paraId="28AE683E" w14:textId="77777777" w:rsidR="000F16EB" w:rsidRPr="006C3B55" w:rsidRDefault="000F16EB" w:rsidP="00A7521D">
            <w:pPr>
              <w:jc w:val="center"/>
            </w:pPr>
          </w:p>
        </w:tc>
        <w:tc>
          <w:tcPr>
            <w:tcW w:w="1560" w:type="dxa"/>
            <w:tcBorders>
              <w:top w:val="nil"/>
              <w:bottom w:val="single" w:sz="4" w:space="0" w:color="auto"/>
            </w:tcBorders>
          </w:tcPr>
          <w:p w14:paraId="45E1DE93" w14:textId="77777777" w:rsidR="000F16EB" w:rsidRPr="006C3B55" w:rsidRDefault="000F16EB" w:rsidP="00A7521D">
            <w:pPr>
              <w:jc w:val="center"/>
            </w:pPr>
            <w:r w:rsidRPr="006C3B55">
              <w:t>2</w:t>
            </w:r>
          </w:p>
        </w:tc>
        <w:tc>
          <w:tcPr>
            <w:tcW w:w="895" w:type="dxa"/>
            <w:tcBorders>
              <w:top w:val="nil"/>
              <w:bottom w:val="single" w:sz="4" w:space="0" w:color="auto"/>
            </w:tcBorders>
          </w:tcPr>
          <w:p w14:paraId="05249542" w14:textId="77777777" w:rsidR="000F16EB" w:rsidRPr="006C3B55" w:rsidRDefault="000F16EB" w:rsidP="00A7521D">
            <w:pPr>
              <w:jc w:val="center"/>
            </w:pPr>
            <w:r w:rsidRPr="006C3B55">
              <w:t>-3.71</w:t>
            </w:r>
          </w:p>
        </w:tc>
        <w:tc>
          <w:tcPr>
            <w:tcW w:w="939" w:type="dxa"/>
            <w:tcBorders>
              <w:top w:val="nil"/>
              <w:bottom w:val="single" w:sz="4" w:space="0" w:color="auto"/>
            </w:tcBorders>
          </w:tcPr>
          <w:p w14:paraId="677EAF02" w14:textId="77777777" w:rsidR="000F16EB" w:rsidRPr="006C3B55" w:rsidRDefault="000F16EB" w:rsidP="00A7521D">
            <w:pPr>
              <w:jc w:val="center"/>
            </w:pPr>
            <w:r w:rsidRPr="006C3B55">
              <w:t>-3.50</w:t>
            </w:r>
          </w:p>
        </w:tc>
        <w:tc>
          <w:tcPr>
            <w:tcW w:w="895" w:type="dxa"/>
            <w:tcBorders>
              <w:top w:val="nil"/>
              <w:bottom w:val="single" w:sz="4" w:space="0" w:color="auto"/>
            </w:tcBorders>
          </w:tcPr>
          <w:p w14:paraId="020CDC1D" w14:textId="77777777" w:rsidR="000F16EB" w:rsidRPr="006C3B55" w:rsidRDefault="000F16EB" w:rsidP="00A7521D">
            <w:pPr>
              <w:jc w:val="center"/>
            </w:pPr>
            <w:r w:rsidRPr="006C3B55">
              <w:t>-3.43</w:t>
            </w:r>
          </w:p>
        </w:tc>
      </w:tr>
      <w:tr w:rsidR="000F16EB" w14:paraId="6DC248B2" w14:textId="77777777" w:rsidTr="00A7521D">
        <w:trPr>
          <w:jc w:val="center"/>
        </w:trPr>
        <w:tc>
          <w:tcPr>
            <w:tcW w:w="1134" w:type="dxa"/>
            <w:tcBorders>
              <w:top w:val="single" w:sz="4" w:space="0" w:color="auto"/>
              <w:bottom w:val="nil"/>
            </w:tcBorders>
          </w:tcPr>
          <w:p w14:paraId="33CDFC52" w14:textId="77777777" w:rsidR="000F16EB" w:rsidRDefault="000F16EB" w:rsidP="00A7521D">
            <w:pPr>
              <w:jc w:val="center"/>
            </w:pPr>
            <w:r w:rsidRPr="00305772">
              <w:t>6</w:t>
            </w:r>
          </w:p>
        </w:tc>
        <w:tc>
          <w:tcPr>
            <w:tcW w:w="567" w:type="dxa"/>
            <w:tcBorders>
              <w:top w:val="single" w:sz="4" w:space="0" w:color="auto"/>
              <w:bottom w:val="nil"/>
            </w:tcBorders>
          </w:tcPr>
          <w:p w14:paraId="0055A7EA" w14:textId="77777777" w:rsidR="000F16EB" w:rsidRDefault="000F16EB" w:rsidP="00A7521D">
            <w:pPr>
              <w:jc w:val="center"/>
            </w:pPr>
            <w:r>
              <w:t>3.5</w:t>
            </w:r>
          </w:p>
        </w:tc>
        <w:tc>
          <w:tcPr>
            <w:tcW w:w="1560" w:type="dxa"/>
            <w:tcBorders>
              <w:top w:val="single" w:sz="4" w:space="0" w:color="auto"/>
              <w:bottom w:val="nil"/>
            </w:tcBorders>
          </w:tcPr>
          <w:p w14:paraId="7117727A" w14:textId="77777777" w:rsidR="000F16EB" w:rsidRDefault="000F16EB" w:rsidP="00A7521D">
            <w:pPr>
              <w:jc w:val="center"/>
            </w:pPr>
            <w:r>
              <w:t>0</w:t>
            </w:r>
          </w:p>
        </w:tc>
        <w:tc>
          <w:tcPr>
            <w:tcW w:w="895" w:type="dxa"/>
            <w:tcBorders>
              <w:top w:val="single" w:sz="4" w:space="0" w:color="auto"/>
              <w:bottom w:val="nil"/>
            </w:tcBorders>
          </w:tcPr>
          <w:p w14:paraId="2B8FB48C" w14:textId="77777777" w:rsidR="000F16EB" w:rsidRDefault="000F16EB" w:rsidP="00A7521D">
            <w:pPr>
              <w:jc w:val="center"/>
            </w:pPr>
            <w:r>
              <w:t>8.45</w:t>
            </w:r>
          </w:p>
        </w:tc>
        <w:tc>
          <w:tcPr>
            <w:tcW w:w="939" w:type="dxa"/>
            <w:tcBorders>
              <w:top w:val="single" w:sz="4" w:space="0" w:color="auto"/>
              <w:bottom w:val="nil"/>
            </w:tcBorders>
          </w:tcPr>
          <w:p w14:paraId="430E3B3F" w14:textId="77777777" w:rsidR="000F16EB" w:rsidRDefault="000F16EB" w:rsidP="00A7521D">
            <w:pPr>
              <w:jc w:val="center"/>
            </w:pPr>
            <w:r>
              <w:t>12.3</w:t>
            </w:r>
          </w:p>
        </w:tc>
        <w:tc>
          <w:tcPr>
            <w:tcW w:w="895" w:type="dxa"/>
            <w:tcBorders>
              <w:top w:val="single" w:sz="4" w:space="0" w:color="auto"/>
              <w:bottom w:val="nil"/>
            </w:tcBorders>
          </w:tcPr>
          <w:p w14:paraId="1403B84E" w14:textId="77777777" w:rsidR="000F16EB" w:rsidRDefault="000F16EB" w:rsidP="00A7521D">
            <w:pPr>
              <w:jc w:val="center"/>
            </w:pPr>
            <w:r>
              <w:t>14.9</w:t>
            </w:r>
          </w:p>
        </w:tc>
      </w:tr>
      <w:tr w:rsidR="000F16EB" w14:paraId="70EF63F1" w14:textId="77777777" w:rsidTr="00A7521D">
        <w:trPr>
          <w:jc w:val="center"/>
        </w:trPr>
        <w:tc>
          <w:tcPr>
            <w:tcW w:w="1134" w:type="dxa"/>
            <w:tcBorders>
              <w:top w:val="nil"/>
              <w:bottom w:val="nil"/>
            </w:tcBorders>
          </w:tcPr>
          <w:p w14:paraId="516BD5FD" w14:textId="77777777" w:rsidR="000F16EB" w:rsidRDefault="000F16EB" w:rsidP="00A7521D">
            <w:pPr>
              <w:jc w:val="center"/>
            </w:pPr>
          </w:p>
        </w:tc>
        <w:tc>
          <w:tcPr>
            <w:tcW w:w="567" w:type="dxa"/>
            <w:tcBorders>
              <w:top w:val="nil"/>
              <w:bottom w:val="nil"/>
            </w:tcBorders>
          </w:tcPr>
          <w:p w14:paraId="30FD3888" w14:textId="77777777" w:rsidR="000F16EB" w:rsidRDefault="000F16EB" w:rsidP="00A7521D">
            <w:pPr>
              <w:jc w:val="center"/>
            </w:pPr>
          </w:p>
        </w:tc>
        <w:tc>
          <w:tcPr>
            <w:tcW w:w="1560" w:type="dxa"/>
            <w:tcBorders>
              <w:top w:val="nil"/>
              <w:bottom w:val="nil"/>
            </w:tcBorders>
          </w:tcPr>
          <w:p w14:paraId="7D6E8947" w14:textId="77777777" w:rsidR="000F16EB" w:rsidRDefault="000F16EB" w:rsidP="00A7521D">
            <w:pPr>
              <w:jc w:val="center"/>
            </w:pPr>
            <w:r>
              <w:t>1</w:t>
            </w:r>
          </w:p>
        </w:tc>
        <w:tc>
          <w:tcPr>
            <w:tcW w:w="895" w:type="dxa"/>
            <w:tcBorders>
              <w:top w:val="nil"/>
              <w:bottom w:val="nil"/>
            </w:tcBorders>
          </w:tcPr>
          <w:p w14:paraId="14955AC3" w14:textId="77777777" w:rsidR="000F16EB" w:rsidRDefault="000F16EB" w:rsidP="00A7521D">
            <w:pPr>
              <w:jc w:val="center"/>
            </w:pPr>
            <w:r>
              <w:t>4.6</w:t>
            </w:r>
          </w:p>
        </w:tc>
        <w:tc>
          <w:tcPr>
            <w:tcW w:w="939" w:type="dxa"/>
            <w:tcBorders>
              <w:top w:val="nil"/>
              <w:bottom w:val="nil"/>
            </w:tcBorders>
          </w:tcPr>
          <w:p w14:paraId="40C7A8F5" w14:textId="77777777" w:rsidR="000F16EB" w:rsidRDefault="000F16EB" w:rsidP="00A7521D">
            <w:pPr>
              <w:jc w:val="center"/>
            </w:pPr>
            <w:r>
              <w:t>7.26</w:t>
            </w:r>
          </w:p>
        </w:tc>
        <w:tc>
          <w:tcPr>
            <w:tcW w:w="895" w:type="dxa"/>
            <w:tcBorders>
              <w:top w:val="nil"/>
              <w:bottom w:val="nil"/>
            </w:tcBorders>
          </w:tcPr>
          <w:p w14:paraId="46A988BC" w14:textId="77777777" w:rsidR="000F16EB" w:rsidRDefault="000F16EB" w:rsidP="00A7521D">
            <w:pPr>
              <w:jc w:val="center"/>
            </w:pPr>
            <w:r>
              <w:t>9.14</w:t>
            </w:r>
          </w:p>
        </w:tc>
      </w:tr>
      <w:tr w:rsidR="000F16EB" w14:paraId="5D89AB8C" w14:textId="77777777" w:rsidTr="00A7521D">
        <w:trPr>
          <w:jc w:val="center"/>
        </w:trPr>
        <w:tc>
          <w:tcPr>
            <w:tcW w:w="1134" w:type="dxa"/>
            <w:tcBorders>
              <w:top w:val="nil"/>
              <w:bottom w:val="nil"/>
            </w:tcBorders>
          </w:tcPr>
          <w:p w14:paraId="2ADA17FA" w14:textId="77777777" w:rsidR="000F16EB" w:rsidRDefault="000F16EB" w:rsidP="00A7521D">
            <w:pPr>
              <w:jc w:val="center"/>
            </w:pPr>
          </w:p>
        </w:tc>
        <w:tc>
          <w:tcPr>
            <w:tcW w:w="567" w:type="dxa"/>
            <w:tcBorders>
              <w:top w:val="nil"/>
              <w:bottom w:val="single" w:sz="4" w:space="0" w:color="auto"/>
            </w:tcBorders>
          </w:tcPr>
          <w:p w14:paraId="0BD69C61" w14:textId="77777777" w:rsidR="000F16EB" w:rsidRDefault="000F16EB" w:rsidP="00A7521D">
            <w:pPr>
              <w:jc w:val="center"/>
            </w:pPr>
          </w:p>
        </w:tc>
        <w:tc>
          <w:tcPr>
            <w:tcW w:w="1560" w:type="dxa"/>
            <w:tcBorders>
              <w:top w:val="nil"/>
              <w:bottom w:val="single" w:sz="4" w:space="0" w:color="auto"/>
            </w:tcBorders>
          </w:tcPr>
          <w:p w14:paraId="4339DE73" w14:textId="77777777" w:rsidR="000F16EB" w:rsidRDefault="000F16EB" w:rsidP="00A7521D">
            <w:pPr>
              <w:jc w:val="center"/>
            </w:pPr>
            <w:r>
              <w:t>2</w:t>
            </w:r>
          </w:p>
        </w:tc>
        <w:tc>
          <w:tcPr>
            <w:tcW w:w="895" w:type="dxa"/>
            <w:tcBorders>
              <w:top w:val="nil"/>
              <w:bottom w:val="single" w:sz="4" w:space="0" w:color="auto"/>
            </w:tcBorders>
          </w:tcPr>
          <w:p w14:paraId="1E17B7DF" w14:textId="77777777" w:rsidR="000F16EB" w:rsidRDefault="000F16EB" w:rsidP="00A7521D">
            <w:pPr>
              <w:jc w:val="center"/>
            </w:pPr>
            <w:r>
              <w:t>0.742</w:t>
            </w:r>
          </w:p>
        </w:tc>
        <w:tc>
          <w:tcPr>
            <w:tcW w:w="939" w:type="dxa"/>
            <w:tcBorders>
              <w:top w:val="nil"/>
              <w:bottom w:val="single" w:sz="4" w:space="0" w:color="auto"/>
            </w:tcBorders>
          </w:tcPr>
          <w:p w14:paraId="0EF5B48A" w14:textId="77777777" w:rsidR="000F16EB" w:rsidRDefault="000F16EB" w:rsidP="00A7521D">
            <w:pPr>
              <w:jc w:val="center"/>
            </w:pPr>
            <w:r>
              <w:t>2.26</w:t>
            </w:r>
          </w:p>
        </w:tc>
        <w:tc>
          <w:tcPr>
            <w:tcW w:w="895" w:type="dxa"/>
            <w:tcBorders>
              <w:top w:val="nil"/>
              <w:bottom w:val="single" w:sz="4" w:space="0" w:color="auto"/>
            </w:tcBorders>
          </w:tcPr>
          <w:p w14:paraId="031BD366" w14:textId="77777777" w:rsidR="000F16EB" w:rsidRDefault="000F16EB" w:rsidP="00A7521D">
            <w:pPr>
              <w:jc w:val="center"/>
            </w:pPr>
            <w:r>
              <w:t>3.34</w:t>
            </w:r>
          </w:p>
        </w:tc>
      </w:tr>
      <w:tr w:rsidR="000F16EB" w14:paraId="3DE112B0" w14:textId="77777777" w:rsidTr="00A7521D">
        <w:trPr>
          <w:jc w:val="center"/>
        </w:trPr>
        <w:tc>
          <w:tcPr>
            <w:tcW w:w="1134" w:type="dxa"/>
            <w:tcBorders>
              <w:top w:val="nil"/>
              <w:bottom w:val="nil"/>
            </w:tcBorders>
          </w:tcPr>
          <w:p w14:paraId="0586FC3F" w14:textId="77777777" w:rsidR="000F16EB" w:rsidRDefault="000F16EB" w:rsidP="00A7521D">
            <w:pPr>
              <w:jc w:val="center"/>
            </w:pPr>
          </w:p>
        </w:tc>
        <w:tc>
          <w:tcPr>
            <w:tcW w:w="567" w:type="dxa"/>
            <w:tcBorders>
              <w:top w:val="single" w:sz="4" w:space="0" w:color="auto"/>
              <w:bottom w:val="nil"/>
            </w:tcBorders>
          </w:tcPr>
          <w:p w14:paraId="2687B3F6" w14:textId="77777777" w:rsidR="000F16EB" w:rsidRDefault="000F16EB" w:rsidP="00A7521D">
            <w:pPr>
              <w:jc w:val="center"/>
            </w:pPr>
            <w:r>
              <w:t>6</w:t>
            </w:r>
          </w:p>
        </w:tc>
        <w:tc>
          <w:tcPr>
            <w:tcW w:w="1560" w:type="dxa"/>
            <w:tcBorders>
              <w:top w:val="single" w:sz="4" w:space="0" w:color="auto"/>
              <w:bottom w:val="nil"/>
            </w:tcBorders>
          </w:tcPr>
          <w:p w14:paraId="3F0FAB40" w14:textId="77777777" w:rsidR="000F16EB" w:rsidRDefault="000F16EB" w:rsidP="00A7521D">
            <w:pPr>
              <w:jc w:val="center"/>
            </w:pPr>
            <w:r>
              <w:t>0</w:t>
            </w:r>
          </w:p>
        </w:tc>
        <w:tc>
          <w:tcPr>
            <w:tcW w:w="895" w:type="dxa"/>
            <w:tcBorders>
              <w:top w:val="single" w:sz="4" w:space="0" w:color="auto"/>
              <w:bottom w:val="nil"/>
            </w:tcBorders>
          </w:tcPr>
          <w:p w14:paraId="572989A5" w14:textId="77777777" w:rsidR="000F16EB" w:rsidRDefault="000F16EB" w:rsidP="00A7521D">
            <w:pPr>
              <w:jc w:val="center"/>
            </w:pPr>
            <w:r>
              <w:t>5.98</w:t>
            </w:r>
          </w:p>
        </w:tc>
        <w:tc>
          <w:tcPr>
            <w:tcW w:w="939" w:type="dxa"/>
            <w:tcBorders>
              <w:top w:val="single" w:sz="4" w:space="0" w:color="auto"/>
              <w:bottom w:val="nil"/>
            </w:tcBorders>
          </w:tcPr>
          <w:p w14:paraId="6F925F26" w14:textId="77777777" w:rsidR="000F16EB" w:rsidRDefault="000F16EB" w:rsidP="00A7521D">
            <w:pPr>
              <w:jc w:val="center"/>
            </w:pPr>
            <w:r>
              <w:t>8.06</w:t>
            </w:r>
          </w:p>
        </w:tc>
        <w:tc>
          <w:tcPr>
            <w:tcW w:w="895" w:type="dxa"/>
            <w:tcBorders>
              <w:top w:val="single" w:sz="4" w:space="0" w:color="auto"/>
              <w:bottom w:val="nil"/>
            </w:tcBorders>
          </w:tcPr>
          <w:p w14:paraId="5D591755" w14:textId="77777777" w:rsidR="000F16EB" w:rsidRDefault="000F16EB" w:rsidP="00A7521D">
            <w:pPr>
              <w:jc w:val="center"/>
            </w:pPr>
            <w:r>
              <w:t>9.22</w:t>
            </w:r>
          </w:p>
        </w:tc>
      </w:tr>
      <w:tr w:rsidR="000F16EB" w14:paraId="38DA273D" w14:textId="77777777" w:rsidTr="00A7521D">
        <w:trPr>
          <w:jc w:val="center"/>
        </w:trPr>
        <w:tc>
          <w:tcPr>
            <w:tcW w:w="1134" w:type="dxa"/>
            <w:tcBorders>
              <w:top w:val="nil"/>
              <w:bottom w:val="nil"/>
            </w:tcBorders>
          </w:tcPr>
          <w:p w14:paraId="7E96B89C" w14:textId="77777777" w:rsidR="000F16EB" w:rsidRDefault="000F16EB" w:rsidP="00A7521D">
            <w:pPr>
              <w:jc w:val="center"/>
            </w:pPr>
          </w:p>
        </w:tc>
        <w:tc>
          <w:tcPr>
            <w:tcW w:w="567" w:type="dxa"/>
            <w:tcBorders>
              <w:top w:val="nil"/>
              <w:bottom w:val="nil"/>
            </w:tcBorders>
          </w:tcPr>
          <w:p w14:paraId="77352E3B" w14:textId="77777777" w:rsidR="000F16EB" w:rsidRDefault="000F16EB" w:rsidP="00A7521D">
            <w:pPr>
              <w:jc w:val="center"/>
            </w:pPr>
          </w:p>
        </w:tc>
        <w:tc>
          <w:tcPr>
            <w:tcW w:w="1560" w:type="dxa"/>
            <w:tcBorders>
              <w:top w:val="nil"/>
              <w:bottom w:val="nil"/>
            </w:tcBorders>
          </w:tcPr>
          <w:p w14:paraId="4E3B8D7C" w14:textId="77777777" w:rsidR="000F16EB" w:rsidRDefault="000F16EB" w:rsidP="00A7521D">
            <w:pPr>
              <w:jc w:val="center"/>
            </w:pPr>
            <w:r>
              <w:t>1</w:t>
            </w:r>
          </w:p>
        </w:tc>
        <w:tc>
          <w:tcPr>
            <w:tcW w:w="895" w:type="dxa"/>
            <w:tcBorders>
              <w:top w:val="nil"/>
              <w:bottom w:val="nil"/>
            </w:tcBorders>
          </w:tcPr>
          <w:p w14:paraId="5DAFB838" w14:textId="77777777" w:rsidR="000F16EB" w:rsidRDefault="000F16EB" w:rsidP="00A7521D">
            <w:pPr>
              <w:jc w:val="center"/>
            </w:pPr>
            <w:r>
              <w:t>2.86</w:t>
            </w:r>
          </w:p>
        </w:tc>
        <w:tc>
          <w:tcPr>
            <w:tcW w:w="939" w:type="dxa"/>
            <w:tcBorders>
              <w:top w:val="nil"/>
              <w:bottom w:val="nil"/>
            </w:tcBorders>
          </w:tcPr>
          <w:p w14:paraId="393B24F2" w14:textId="77777777" w:rsidR="000F16EB" w:rsidRDefault="000F16EB" w:rsidP="00A7521D">
            <w:pPr>
              <w:jc w:val="center"/>
            </w:pPr>
            <w:r>
              <w:t>4.32</w:t>
            </w:r>
          </w:p>
        </w:tc>
        <w:tc>
          <w:tcPr>
            <w:tcW w:w="895" w:type="dxa"/>
            <w:tcBorders>
              <w:top w:val="nil"/>
              <w:bottom w:val="nil"/>
            </w:tcBorders>
          </w:tcPr>
          <w:p w14:paraId="2D052145" w14:textId="77777777" w:rsidR="000F16EB" w:rsidRDefault="000F16EB" w:rsidP="00A7521D">
            <w:pPr>
              <w:jc w:val="center"/>
            </w:pPr>
            <w:r>
              <w:t>5.13</w:t>
            </w:r>
          </w:p>
        </w:tc>
      </w:tr>
      <w:tr w:rsidR="000F16EB" w14:paraId="4D23053F" w14:textId="77777777" w:rsidTr="00A7521D">
        <w:trPr>
          <w:jc w:val="center"/>
        </w:trPr>
        <w:tc>
          <w:tcPr>
            <w:tcW w:w="1134" w:type="dxa"/>
            <w:tcBorders>
              <w:top w:val="nil"/>
            </w:tcBorders>
          </w:tcPr>
          <w:p w14:paraId="24201A77" w14:textId="77777777" w:rsidR="000F16EB" w:rsidRDefault="000F16EB" w:rsidP="00A7521D">
            <w:pPr>
              <w:jc w:val="center"/>
            </w:pPr>
          </w:p>
        </w:tc>
        <w:tc>
          <w:tcPr>
            <w:tcW w:w="567" w:type="dxa"/>
            <w:tcBorders>
              <w:top w:val="nil"/>
              <w:bottom w:val="single" w:sz="4" w:space="0" w:color="auto"/>
            </w:tcBorders>
          </w:tcPr>
          <w:p w14:paraId="7EA40FC2" w14:textId="77777777" w:rsidR="000F16EB" w:rsidRDefault="000F16EB" w:rsidP="00A7521D">
            <w:pPr>
              <w:jc w:val="center"/>
            </w:pPr>
          </w:p>
        </w:tc>
        <w:tc>
          <w:tcPr>
            <w:tcW w:w="1560" w:type="dxa"/>
            <w:tcBorders>
              <w:top w:val="nil"/>
              <w:bottom w:val="single" w:sz="4" w:space="0" w:color="auto"/>
            </w:tcBorders>
          </w:tcPr>
          <w:p w14:paraId="76FD7F15" w14:textId="77777777" w:rsidR="000F16EB" w:rsidRDefault="000F16EB" w:rsidP="00A7521D">
            <w:pPr>
              <w:jc w:val="center"/>
            </w:pPr>
            <w:r>
              <w:t>2</w:t>
            </w:r>
          </w:p>
        </w:tc>
        <w:tc>
          <w:tcPr>
            <w:tcW w:w="895" w:type="dxa"/>
            <w:tcBorders>
              <w:top w:val="nil"/>
              <w:bottom w:val="single" w:sz="4" w:space="0" w:color="auto"/>
            </w:tcBorders>
          </w:tcPr>
          <w:p w14:paraId="76014156" w14:textId="77777777" w:rsidR="000F16EB" w:rsidRDefault="000F16EB" w:rsidP="00A7521D">
            <w:pPr>
              <w:jc w:val="center"/>
            </w:pPr>
            <w:r>
              <w:t>-0.256</w:t>
            </w:r>
          </w:p>
        </w:tc>
        <w:tc>
          <w:tcPr>
            <w:tcW w:w="939" w:type="dxa"/>
            <w:tcBorders>
              <w:top w:val="nil"/>
              <w:bottom w:val="single" w:sz="4" w:space="0" w:color="auto"/>
            </w:tcBorders>
          </w:tcPr>
          <w:p w14:paraId="2934720F" w14:textId="77777777" w:rsidR="000F16EB" w:rsidRDefault="000F16EB" w:rsidP="00A7521D">
            <w:pPr>
              <w:jc w:val="center"/>
            </w:pPr>
            <w:r>
              <w:t>0.579</w:t>
            </w:r>
          </w:p>
        </w:tc>
        <w:tc>
          <w:tcPr>
            <w:tcW w:w="895" w:type="dxa"/>
            <w:tcBorders>
              <w:top w:val="nil"/>
              <w:bottom w:val="single" w:sz="4" w:space="0" w:color="auto"/>
            </w:tcBorders>
          </w:tcPr>
          <w:p w14:paraId="5C087FFD" w14:textId="77777777" w:rsidR="000F16EB" w:rsidRDefault="000F16EB" w:rsidP="00A7521D">
            <w:pPr>
              <w:jc w:val="center"/>
            </w:pPr>
            <w:r>
              <w:t>1.05</w:t>
            </w:r>
          </w:p>
        </w:tc>
      </w:tr>
      <w:tr w:rsidR="000F16EB" w14:paraId="68EE46DB" w14:textId="77777777" w:rsidTr="00A7521D">
        <w:trPr>
          <w:jc w:val="center"/>
        </w:trPr>
        <w:tc>
          <w:tcPr>
            <w:tcW w:w="1134" w:type="dxa"/>
          </w:tcPr>
          <w:p w14:paraId="538D10C9" w14:textId="77777777" w:rsidR="000F16EB" w:rsidRDefault="000F16EB" w:rsidP="00A7521D">
            <w:pPr>
              <w:jc w:val="center"/>
            </w:pPr>
          </w:p>
        </w:tc>
        <w:tc>
          <w:tcPr>
            <w:tcW w:w="567" w:type="dxa"/>
            <w:tcBorders>
              <w:top w:val="single" w:sz="4" w:space="0" w:color="auto"/>
            </w:tcBorders>
          </w:tcPr>
          <w:p w14:paraId="65C9D31F" w14:textId="77777777" w:rsidR="000F16EB" w:rsidRDefault="000F16EB" w:rsidP="00A7521D">
            <w:pPr>
              <w:jc w:val="center"/>
            </w:pPr>
            <w:r>
              <w:t>9</w:t>
            </w:r>
          </w:p>
        </w:tc>
        <w:tc>
          <w:tcPr>
            <w:tcW w:w="1560" w:type="dxa"/>
            <w:tcBorders>
              <w:top w:val="single" w:sz="4" w:space="0" w:color="auto"/>
            </w:tcBorders>
          </w:tcPr>
          <w:p w14:paraId="0AB53FE1" w14:textId="77777777" w:rsidR="000F16EB" w:rsidRDefault="000F16EB" w:rsidP="00A7521D">
            <w:pPr>
              <w:jc w:val="center"/>
            </w:pPr>
            <w:r>
              <w:t>0</w:t>
            </w:r>
          </w:p>
        </w:tc>
        <w:tc>
          <w:tcPr>
            <w:tcW w:w="895" w:type="dxa"/>
            <w:tcBorders>
              <w:top w:val="single" w:sz="4" w:space="0" w:color="auto"/>
            </w:tcBorders>
          </w:tcPr>
          <w:p w14:paraId="666058A1" w14:textId="77777777" w:rsidR="000F16EB" w:rsidRDefault="000F16EB" w:rsidP="00A7521D">
            <w:pPr>
              <w:jc w:val="center"/>
            </w:pPr>
            <w:r>
              <w:t>3.85</w:t>
            </w:r>
          </w:p>
        </w:tc>
        <w:tc>
          <w:tcPr>
            <w:tcW w:w="939" w:type="dxa"/>
            <w:tcBorders>
              <w:top w:val="single" w:sz="4" w:space="0" w:color="auto"/>
            </w:tcBorders>
          </w:tcPr>
          <w:p w14:paraId="1934F3AE" w14:textId="77777777" w:rsidR="000F16EB" w:rsidRDefault="000F16EB" w:rsidP="00A7521D">
            <w:pPr>
              <w:jc w:val="center"/>
            </w:pPr>
            <w:r>
              <w:t>4.89</w:t>
            </w:r>
          </w:p>
        </w:tc>
        <w:tc>
          <w:tcPr>
            <w:tcW w:w="895" w:type="dxa"/>
            <w:tcBorders>
              <w:top w:val="single" w:sz="4" w:space="0" w:color="auto"/>
            </w:tcBorders>
          </w:tcPr>
          <w:p w14:paraId="1F750FDD" w14:textId="77777777" w:rsidR="000F16EB" w:rsidRDefault="000F16EB" w:rsidP="00A7521D">
            <w:pPr>
              <w:jc w:val="center"/>
            </w:pPr>
            <w:r>
              <w:t>5.33</w:t>
            </w:r>
          </w:p>
        </w:tc>
      </w:tr>
      <w:tr w:rsidR="000F16EB" w14:paraId="4EEAE840" w14:textId="77777777" w:rsidTr="00A7521D">
        <w:trPr>
          <w:jc w:val="center"/>
        </w:trPr>
        <w:tc>
          <w:tcPr>
            <w:tcW w:w="1134" w:type="dxa"/>
          </w:tcPr>
          <w:p w14:paraId="18213AE5" w14:textId="77777777" w:rsidR="000F16EB" w:rsidRDefault="000F16EB" w:rsidP="00A7521D">
            <w:pPr>
              <w:jc w:val="center"/>
            </w:pPr>
          </w:p>
        </w:tc>
        <w:tc>
          <w:tcPr>
            <w:tcW w:w="567" w:type="dxa"/>
            <w:tcBorders>
              <w:bottom w:val="nil"/>
            </w:tcBorders>
          </w:tcPr>
          <w:p w14:paraId="4DDD15EB" w14:textId="77777777" w:rsidR="000F16EB" w:rsidRDefault="000F16EB" w:rsidP="00A7521D">
            <w:pPr>
              <w:jc w:val="center"/>
            </w:pPr>
          </w:p>
        </w:tc>
        <w:tc>
          <w:tcPr>
            <w:tcW w:w="1560" w:type="dxa"/>
            <w:tcBorders>
              <w:bottom w:val="nil"/>
            </w:tcBorders>
          </w:tcPr>
          <w:p w14:paraId="359EB116" w14:textId="77777777" w:rsidR="000F16EB" w:rsidRDefault="000F16EB" w:rsidP="00A7521D">
            <w:pPr>
              <w:jc w:val="center"/>
            </w:pPr>
            <w:r>
              <w:t>1</w:t>
            </w:r>
          </w:p>
        </w:tc>
        <w:tc>
          <w:tcPr>
            <w:tcW w:w="895" w:type="dxa"/>
            <w:tcBorders>
              <w:bottom w:val="nil"/>
            </w:tcBorders>
          </w:tcPr>
          <w:p w14:paraId="23FC753B" w14:textId="77777777" w:rsidR="000F16EB" w:rsidRDefault="000F16EB" w:rsidP="00A7521D">
            <w:pPr>
              <w:jc w:val="center"/>
            </w:pPr>
            <w:r>
              <w:t>1.37</w:t>
            </w:r>
          </w:p>
        </w:tc>
        <w:tc>
          <w:tcPr>
            <w:tcW w:w="939" w:type="dxa"/>
            <w:tcBorders>
              <w:bottom w:val="nil"/>
            </w:tcBorders>
          </w:tcPr>
          <w:p w14:paraId="272A22EA" w14:textId="77777777" w:rsidR="000F16EB" w:rsidRDefault="000F16EB" w:rsidP="00A7521D">
            <w:pPr>
              <w:jc w:val="center"/>
            </w:pPr>
            <w:r>
              <w:t>2.1</w:t>
            </w:r>
          </w:p>
        </w:tc>
        <w:tc>
          <w:tcPr>
            <w:tcW w:w="895" w:type="dxa"/>
            <w:tcBorders>
              <w:bottom w:val="nil"/>
            </w:tcBorders>
          </w:tcPr>
          <w:p w14:paraId="168A339E" w14:textId="77777777" w:rsidR="000F16EB" w:rsidRDefault="000F16EB" w:rsidP="00A7521D">
            <w:pPr>
              <w:jc w:val="center"/>
            </w:pPr>
            <w:r>
              <w:t>2.41</w:t>
            </w:r>
          </w:p>
        </w:tc>
      </w:tr>
      <w:tr w:rsidR="000F16EB" w14:paraId="1811B366" w14:textId="77777777" w:rsidTr="00A7521D">
        <w:trPr>
          <w:jc w:val="center"/>
        </w:trPr>
        <w:tc>
          <w:tcPr>
            <w:tcW w:w="1134" w:type="dxa"/>
          </w:tcPr>
          <w:p w14:paraId="24DCAD67" w14:textId="77777777" w:rsidR="000F16EB" w:rsidRDefault="000F16EB" w:rsidP="00A7521D">
            <w:pPr>
              <w:jc w:val="center"/>
            </w:pPr>
          </w:p>
        </w:tc>
        <w:tc>
          <w:tcPr>
            <w:tcW w:w="567" w:type="dxa"/>
            <w:tcBorders>
              <w:top w:val="nil"/>
              <w:bottom w:val="single" w:sz="4" w:space="0" w:color="auto"/>
            </w:tcBorders>
          </w:tcPr>
          <w:p w14:paraId="40F50D34" w14:textId="77777777" w:rsidR="000F16EB" w:rsidRDefault="000F16EB" w:rsidP="00A7521D">
            <w:pPr>
              <w:jc w:val="center"/>
            </w:pPr>
          </w:p>
        </w:tc>
        <w:tc>
          <w:tcPr>
            <w:tcW w:w="1560" w:type="dxa"/>
            <w:tcBorders>
              <w:top w:val="nil"/>
              <w:bottom w:val="single" w:sz="4" w:space="0" w:color="auto"/>
            </w:tcBorders>
          </w:tcPr>
          <w:p w14:paraId="140853FE" w14:textId="77777777" w:rsidR="000F16EB" w:rsidRDefault="000F16EB" w:rsidP="00A7521D">
            <w:pPr>
              <w:jc w:val="center"/>
            </w:pPr>
            <w:r>
              <w:t>2</w:t>
            </w:r>
          </w:p>
        </w:tc>
        <w:tc>
          <w:tcPr>
            <w:tcW w:w="895" w:type="dxa"/>
            <w:tcBorders>
              <w:top w:val="nil"/>
              <w:bottom w:val="single" w:sz="4" w:space="0" w:color="auto"/>
            </w:tcBorders>
          </w:tcPr>
          <w:p w14:paraId="1E8AF16C" w14:textId="77777777" w:rsidR="000F16EB" w:rsidRDefault="000F16EB" w:rsidP="00A7521D">
            <w:pPr>
              <w:jc w:val="center"/>
            </w:pPr>
            <w:r>
              <w:t>-1.11</w:t>
            </w:r>
          </w:p>
        </w:tc>
        <w:tc>
          <w:tcPr>
            <w:tcW w:w="939" w:type="dxa"/>
            <w:tcBorders>
              <w:top w:val="nil"/>
              <w:bottom w:val="single" w:sz="4" w:space="0" w:color="auto"/>
            </w:tcBorders>
          </w:tcPr>
          <w:p w14:paraId="535C6DE9" w14:textId="77777777" w:rsidR="000F16EB" w:rsidRDefault="000F16EB" w:rsidP="00A7521D">
            <w:pPr>
              <w:jc w:val="center"/>
            </w:pPr>
            <w:r>
              <w:t>-6.91</w:t>
            </w:r>
          </w:p>
        </w:tc>
        <w:tc>
          <w:tcPr>
            <w:tcW w:w="895" w:type="dxa"/>
            <w:tcBorders>
              <w:top w:val="nil"/>
              <w:bottom w:val="single" w:sz="4" w:space="0" w:color="auto"/>
            </w:tcBorders>
          </w:tcPr>
          <w:p w14:paraId="1BF16DE5" w14:textId="77777777" w:rsidR="000F16EB" w:rsidRDefault="000F16EB" w:rsidP="00A7521D">
            <w:pPr>
              <w:jc w:val="center"/>
            </w:pPr>
            <w:r>
              <w:t>-0.515</w:t>
            </w:r>
          </w:p>
        </w:tc>
      </w:tr>
      <w:tr w:rsidR="000F16EB" w14:paraId="09EF7C60" w14:textId="77777777" w:rsidTr="00A7521D">
        <w:trPr>
          <w:jc w:val="center"/>
        </w:trPr>
        <w:tc>
          <w:tcPr>
            <w:tcW w:w="1134" w:type="dxa"/>
          </w:tcPr>
          <w:p w14:paraId="7A1C1549" w14:textId="77777777" w:rsidR="000F16EB" w:rsidRDefault="000F16EB" w:rsidP="00A7521D">
            <w:pPr>
              <w:jc w:val="center"/>
            </w:pPr>
          </w:p>
        </w:tc>
        <w:tc>
          <w:tcPr>
            <w:tcW w:w="567" w:type="dxa"/>
            <w:tcBorders>
              <w:top w:val="single" w:sz="4" w:space="0" w:color="auto"/>
            </w:tcBorders>
          </w:tcPr>
          <w:p w14:paraId="22698B6E" w14:textId="77777777" w:rsidR="000F16EB" w:rsidRDefault="000F16EB" w:rsidP="00A7521D">
            <w:pPr>
              <w:jc w:val="center"/>
            </w:pPr>
            <w:r>
              <w:t>12</w:t>
            </w:r>
          </w:p>
        </w:tc>
        <w:tc>
          <w:tcPr>
            <w:tcW w:w="1560" w:type="dxa"/>
            <w:tcBorders>
              <w:top w:val="single" w:sz="4" w:space="0" w:color="auto"/>
            </w:tcBorders>
          </w:tcPr>
          <w:p w14:paraId="4616C2D1" w14:textId="77777777" w:rsidR="000F16EB" w:rsidRDefault="000F16EB" w:rsidP="00A7521D">
            <w:pPr>
              <w:jc w:val="center"/>
            </w:pPr>
            <w:r>
              <w:t>0</w:t>
            </w:r>
          </w:p>
        </w:tc>
        <w:tc>
          <w:tcPr>
            <w:tcW w:w="895" w:type="dxa"/>
            <w:tcBorders>
              <w:top w:val="single" w:sz="4" w:space="0" w:color="auto"/>
            </w:tcBorders>
          </w:tcPr>
          <w:p w14:paraId="723CAD2E" w14:textId="77777777" w:rsidR="000F16EB" w:rsidRDefault="000F16EB" w:rsidP="00A7521D">
            <w:pPr>
              <w:jc w:val="center"/>
            </w:pPr>
            <w:r>
              <w:t>2.35</w:t>
            </w:r>
          </w:p>
        </w:tc>
        <w:tc>
          <w:tcPr>
            <w:tcW w:w="939" w:type="dxa"/>
            <w:tcBorders>
              <w:top w:val="single" w:sz="4" w:space="0" w:color="auto"/>
            </w:tcBorders>
          </w:tcPr>
          <w:p w14:paraId="1CCCB513" w14:textId="77777777" w:rsidR="000F16EB" w:rsidRDefault="000F16EB" w:rsidP="00A7521D">
            <w:pPr>
              <w:jc w:val="center"/>
            </w:pPr>
            <w:r>
              <w:t>2.88</w:t>
            </w:r>
          </w:p>
        </w:tc>
        <w:tc>
          <w:tcPr>
            <w:tcW w:w="895" w:type="dxa"/>
            <w:tcBorders>
              <w:top w:val="single" w:sz="4" w:space="0" w:color="auto"/>
            </w:tcBorders>
          </w:tcPr>
          <w:p w14:paraId="744B5B03" w14:textId="77777777" w:rsidR="000F16EB" w:rsidRDefault="000F16EB" w:rsidP="00A7521D">
            <w:pPr>
              <w:jc w:val="center"/>
            </w:pPr>
            <w:r>
              <w:t>3.05</w:t>
            </w:r>
          </w:p>
        </w:tc>
      </w:tr>
      <w:tr w:rsidR="000F16EB" w14:paraId="1274A5A3" w14:textId="77777777" w:rsidTr="00A7521D">
        <w:trPr>
          <w:jc w:val="center"/>
        </w:trPr>
        <w:tc>
          <w:tcPr>
            <w:tcW w:w="1134" w:type="dxa"/>
            <w:tcBorders>
              <w:bottom w:val="nil"/>
            </w:tcBorders>
          </w:tcPr>
          <w:p w14:paraId="43833323" w14:textId="77777777" w:rsidR="000F16EB" w:rsidRDefault="000F16EB" w:rsidP="00A7521D">
            <w:pPr>
              <w:jc w:val="center"/>
            </w:pPr>
          </w:p>
        </w:tc>
        <w:tc>
          <w:tcPr>
            <w:tcW w:w="567" w:type="dxa"/>
            <w:tcBorders>
              <w:bottom w:val="nil"/>
            </w:tcBorders>
          </w:tcPr>
          <w:p w14:paraId="1B4D8B67" w14:textId="77777777" w:rsidR="000F16EB" w:rsidRDefault="000F16EB" w:rsidP="00A7521D">
            <w:pPr>
              <w:jc w:val="center"/>
            </w:pPr>
          </w:p>
        </w:tc>
        <w:tc>
          <w:tcPr>
            <w:tcW w:w="1560" w:type="dxa"/>
            <w:tcBorders>
              <w:bottom w:val="nil"/>
            </w:tcBorders>
          </w:tcPr>
          <w:p w14:paraId="08E99F0D" w14:textId="77777777" w:rsidR="000F16EB" w:rsidRDefault="000F16EB" w:rsidP="00A7521D">
            <w:pPr>
              <w:jc w:val="center"/>
            </w:pPr>
            <w:r>
              <w:t>1</w:t>
            </w:r>
          </w:p>
        </w:tc>
        <w:tc>
          <w:tcPr>
            <w:tcW w:w="895" w:type="dxa"/>
            <w:tcBorders>
              <w:bottom w:val="nil"/>
            </w:tcBorders>
          </w:tcPr>
          <w:p w14:paraId="058764C8" w14:textId="77777777" w:rsidR="000F16EB" w:rsidRDefault="000F16EB" w:rsidP="00A7521D">
            <w:pPr>
              <w:jc w:val="center"/>
            </w:pPr>
            <w:r>
              <w:t>0.318</w:t>
            </w:r>
          </w:p>
        </w:tc>
        <w:tc>
          <w:tcPr>
            <w:tcW w:w="939" w:type="dxa"/>
            <w:tcBorders>
              <w:bottom w:val="nil"/>
            </w:tcBorders>
          </w:tcPr>
          <w:p w14:paraId="363202D5" w14:textId="77777777" w:rsidR="000F16EB" w:rsidRDefault="000F16EB" w:rsidP="00A7521D">
            <w:pPr>
              <w:jc w:val="center"/>
            </w:pPr>
            <w:r>
              <w:t>0.690</w:t>
            </w:r>
          </w:p>
        </w:tc>
        <w:tc>
          <w:tcPr>
            <w:tcW w:w="895" w:type="dxa"/>
            <w:tcBorders>
              <w:bottom w:val="nil"/>
            </w:tcBorders>
          </w:tcPr>
          <w:p w14:paraId="37A3655E" w14:textId="77777777" w:rsidR="000F16EB" w:rsidRDefault="000F16EB" w:rsidP="00A7521D">
            <w:pPr>
              <w:jc w:val="center"/>
            </w:pPr>
            <w:r>
              <w:t>0.810</w:t>
            </w:r>
          </w:p>
        </w:tc>
      </w:tr>
      <w:tr w:rsidR="000F16EB" w14:paraId="0C7B5665" w14:textId="77777777" w:rsidTr="00A7521D">
        <w:trPr>
          <w:jc w:val="center"/>
        </w:trPr>
        <w:tc>
          <w:tcPr>
            <w:tcW w:w="1134" w:type="dxa"/>
            <w:tcBorders>
              <w:top w:val="nil"/>
              <w:bottom w:val="single" w:sz="4" w:space="0" w:color="auto"/>
            </w:tcBorders>
          </w:tcPr>
          <w:p w14:paraId="20031391" w14:textId="77777777" w:rsidR="000F16EB" w:rsidRDefault="000F16EB" w:rsidP="00A7521D">
            <w:pPr>
              <w:jc w:val="center"/>
            </w:pPr>
          </w:p>
        </w:tc>
        <w:tc>
          <w:tcPr>
            <w:tcW w:w="567" w:type="dxa"/>
            <w:tcBorders>
              <w:top w:val="nil"/>
              <w:bottom w:val="single" w:sz="4" w:space="0" w:color="auto"/>
            </w:tcBorders>
          </w:tcPr>
          <w:p w14:paraId="311261BE" w14:textId="77777777" w:rsidR="000F16EB" w:rsidRDefault="000F16EB" w:rsidP="00A7521D">
            <w:pPr>
              <w:jc w:val="center"/>
            </w:pPr>
          </w:p>
        </w:tc>
        <w:tc>
          <w:tcPr>
            <w:tcW w:w="1560" w:type="dxa"/>
            <w:tcBorders>
              <w:top w:val="nil"/>
              <w:bottom w:val="single" w:sz="4" w:space="0" w:color="auto"/>
            </w:tcBorders>
          </w:tcPr>
          <w:p w14:paraId="293C751D" w14:textId="77777777" w:rsidR="000F16EB" w:rsidRDefault="000F16EB" w:rsidP="00A7521D">
            <w:pPr>
              <w:jc w:val="center"/>
            </w:pPr>
            <w:r>
              <w:t>2</w:t>
            </w:r>
          </w:p>
        </w:tc>
        <w:tc>
          <w:tcPr>
            <w:tcW w:w="895" w:type="dxa"/>
            <w:tcBorders>
              <w:top w:val="nil"/>
              <w:bottom w:val="single" w:sz="4" w:space="0" w:color="auto"/>
            </w:tcBorders>
          </w:tcPr>
          <w:p w14:paraId="0F65B121" w14:textId="77777777" w:rsidR="000F16EB" w:rsidRDefault="000F16EB" w:rsidP="00A7521D">
            <w:pPr>
              <w:jc w:val="center"/>
            </w:pPr>
            <w:r>
              <w:t>-1.71</w:t>
            </w:r>
          </w:p>
        </w:tc>
        <w:tc>
          <w:tcPr>
            <w:tcW w:w="939" w:type="dxa"/>
            <w:tcBorders>
              <w:top w:val="nil"/>
              <w:bottom w:val="single" w:sz="4" w:space="0" w:color="auto"/>
            </w:tcBorders>
          </w:tcPr>
          <w:p w14:paraId="4B48FF6D" w14:textId="77777777" w:rsidR="000F16EB" w:rsidRDefault="000F16EB" w:rsidP="00A7521D">
            <w:pPr>
              <w:jc w:val="center"/>
            </w:pPr>
            <w:r>
              <w:t>-1.50</w:t>
            </w:r>
          </w:p>
        </w:tc>
        <w:tc>
          <w:tcPr>
            <w:tcW w:w="895" w:type="dxa"/>
            <w:tcBorders>
              <w:top w:val="nil"/>
              <w:bottom w:val="single" w:sz="4" w:space="0" w:color="auto"/>
            </w:tcBorders>
          </w:tcPr>
          <w:p w14:paraId="4A7BDA87" w14:textId="77777777" w:rsidR="000F16EB" w:rsidRDefault="000F16EB" w:rsidP="00A7521D">
            <w:pPr>
              <w:jc w:val="center"/>
            </w:pPr>
            <w:r>
              <w:t>-1.43</w:t>
            </w:r>
          </w:p>
        </w:tc>
      </w:tr>
    </w:tbl>
    <w:p w14:paraId="72AE2300" w14:textId="66AA2C3E" w:rsidR="000F16EB" w:rsidRDefault="000F16EB" w:rsidP="000F16EB"/>
    <w:p w14:paraId="6CAA2ECC" w14:textId="096F84F9" w:rsidR="0052748F" w:rsidRDefault="0052748F" w:rsidP="0052748F">
      <w:r>
        <w:t xml:space="preserve">The results of the techno-economic assessment are shown in </w:t>
      </w:r>
      <w:r>
        <w:fldChar w:fldCharType="begin"/>
      </w:r>
      <w:r>
        <w:instrText xml:space="preserve"> REF _Ref529526495 \h </w:instrText>
      </w:r>
      <w:r>
        <w:fldChar w:fldCharType="separate"/>
      </w:r>
      <w:r w:rsidR="00CB7456">
        <w:t xml:space="preserve">Table </w:t>
      </w:r>
      <w:r w:rsidR="00CB7456">
        <w:rPr>
          <w:noProof/>
        </w:rPr>
        <w:t>8</w:t>
      </w:r>
      <w:r w:rsidR="00CB7456">
        <w:t>.</w:t>
      </w:r>
      <w:r w:rsidR="00CB7456">
        <w:rPr>
          <w:noProof/>
        </w:rPr>
        <w:t>6</w:t>
      </w:r>
      <w:r>
        <w:fldChar w:fldCharType="end"/>
      </w:r>
      <w:r>
        <w:t xml:space="preserve"> and summarised in </w:t>
      </w:r>
      <w:r>
        <w:fldChar w:fldCharType="begin"/>
      </w:r>
      <w:r>
        <w:instrText xml:space="preserve"> REF _Ref529458640 \h </w:instrText>
      </w:r>
      <w:r>
        <w:fldChar w:fldCharType="separate"/>
      </w:r>
      <w:r w:rsidR="00CB7456">
        <w:t xml:space="preserve">Table </w:t>
      </w:r>
      <w:r w:rsidR="00CB7456">
        <w:rPr>
          <w:noProof/>
        </w:rPr>
        <w:t>8</w:t>
      </w:r>
      <w:r w:rsidR="00CB7456">
        <w:t>.</w:t>
      </w:r>
      <w:r w:rsidR="00CB7456">
        <w:rPr>
          <w:noProof/>
        </w:rPr>
        <w:t>7</w:t>
      </w:r>
      <w:r>
        <w:fldChar w:fldCharType="end"/>
      </w:r>
      <w:r>
        <w:t xml:space="preserve">. After 40 years of operation, </w:t>
      </w:r>
      <w:proofErr w:type="gramStart"/>
      <w:r>
        <w:t>a</w:t>
      </w:r>
      <w:proofErr w:type="gramEnd"/>
      <w:r>
        <w:t xml:space="preserve"> NPV of £3.13 million was achieved using a IRR of 6%, a heat purchase price of 1 p/kWh and funding of £4 million. The £4 million of funding could be obtained through the government heat network investment project (HNIP) </w:t>
      </w:r>
      <w:r>
        <w:fldChar w:fldCharType="begin" w:fldLock="1"/>
      </w:r>
      <w:r>
        <w:instrText>ADDIN CSL_CITATION {"citationItems":[{"id":"ITEM-1","itemData":{"author":[{"dropping-particle":"","family":"BEIS","given":"","non-dropping-particle":"","parse-names":false,"suffix":""}],"id":"ITEM-1","issued":{"date-parts":[["2018"]]},"publisher-place":"London, England","title":"Delivering Financial Support for Heat Networks","type":"report"},"uris":["http://www.mendeley.com/documents/?uuid=490f0863-ad3e-475e-8d39-873c7feff1d4"]}],"mendeley":{"formattedCitation":"(BEIS, 2018a)","plainTextFormattedCitation":"(BEIS, 2018a)","previouslyFormattedCitation":"(BEIS, 2018a)"},"properties":{"noteIndex":0},"schema":"https://github.com/citation-style-language/schema/raw/master/csl-citation.json"}</w:instrText>
      </w:r>
      <w:r>
        <w:fldChar w:fldCharType="separate"/>
      </w:r>
      <w:r w:rsidRPr="002A6A73">
        <w:rPr>
          <w:noProof/>
        </w:rPr>
        <w:t>(BEIS, 2018a)</w:t>
      </w:r>
      <w:r>
        <w:fldChar w:fldCharType="end"/>
      </w:r>
      <w:r>
        <w:t xml:space="preserve">. </w:t>
      </w:r>
      <w:r>
        <w:lastRenderedPageBreak/>
        <w:t xml:space="preserve">A network is eligible for HNIP funding if 50% of its heat provision comes from renewable means. </w:t>
      </w:r>
    </w:p>
    <w:p w14:paraId="3D6C029C" w14:textId="17CBFE19" w:rsidR="005F2EFD" w:rsidRDefault="005F2EFD" w:rsidP="005F2EFD">
      <w:pPr>
        <w:pStyle w:val="Caption"/>
        <w:keepNext/>
      </w:pPr>
      <w:bookmarkStart w:id="885" w:name="_Ref529458640"/>
      <w:bookmarkStart w:id="886" w:name="_Toc7187714"/>
      <w:r>
        <w:t xml:space="preserve">Table </w:t>
      </w:r>
      <w:fldSimple w:instr=" STYLEREF 1 \s ">
        <w:r w:rsidR="00CB7456">
          <w:rPr>
            <w:noProof/>
          </w:rPr>
          <w:t>8</w:t>
        </w:r>
      </w:fldSimple>
      <w:r w:rsidR="009E1A67">
        <w:t>.</w:t>
      </w:r>
      <w:fldSimple w:instr=" SEQ Table \* ARABIC \s 1 ">
        <w:r w:rsidR="00CB7456">
          <w:rPr>
            <w:noProof/>
          </w:rPr>
          <w:t>7</w:t>
        </w:r>
      </w:fldSimple>
      <w:bookmarkEnd w:id="885"/>
      <w:r>
        <w:rPr>
          <w:noProof/>
        </w:rPr>
        <w:t>:</w:t>
      </w:r>
      <w:r>
        <w:t xml:space="preserve"> Summary of the results of the techno-economic assessment.</w:t>
      </w:r>
      <w:bookmarkEnd w:id="886"/>
    </w:p>
    <w:tbl>
      <w:tblPr>
        <w:tblStyle w:val="TableGrid"/>
        <w:tblW w:w="5529" w:type="dxa"/>
        <w:jc w:val="center"/>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34"/>
        <w:gridCol w:w="567"/>
        <w:gridCol w:w="1560"/>
        <w:gridCol w:w="850"/>
        <w:gridCol w:w="709"/>
        <w:gridCol w:w="709"/>
      </w:tblGrid>
      <w:tr w:rsidR="005F2EFD" w14:paraId="69D5080E" w14:textId="77777777" w:rsidTr="005F2EFD">
        <w:trPr>
          <w:jc w:val="center"/>
        </w:trPr>
        <w:tc>
          <w:tcPr>
            <w:tcW w:w="1134" w:type="dxa"/>
            <w:vMerge w:val="restart"/>
          </w:tcPr>
          <w:p w14:paraId="73ACEC7E" w14:textId="77777777" w:rsidR="005F2EFD" w:rsidRDefault="005F2EFD" w:rsidP="005F2EFD">
            <w:pPr>
              <w:jc w:val="center"/>
            </w:pPr>
            <w:r>
              <w:t>Grant funding (£ million)</w:t>
            </w:r>
          </w:p>
        </w:tc>
        <w:tc>
          <w:tcPr>
            <w:tcW w:w="567" w:type="dxa"/>
            <w:vMerge w:val="restart"/>
          </w:tcPr>
          <w:p w14:paraId="4BF98519" w14:textId="77777777" w:rsidR="005F2EFD" w:rsidRDefault="005F2EFD" w:rsidP="005F2EFD">
            <w:pPr>
              <w:jc w:val="center"/>
            </w:pPr>
            <w:r>
              <w:t>IRR (%)</w:t>
            </w:r>
          </w:p>
        </w:tc>
        <w:tc>
          <w:tcPr>
            <w:tcW w:w="1560" w:type="dxa"/>
            <w:vMerge w:val="restart"/>
          </w:tcPr>
          <w:p w14:paraId="3E73FC81" w14:textId="77777777" w:rsidR="005F2EFD" w:rsidRDefault="005F2EFD" w:rsidP="005F2EFD">
            <w:pPr>
              <w:jc w:val="center"/>
            </w:pPr>
            <w:r>
              <w:t>Heat purchase price (p/kWh)</w:t>
            </w:r>
          </w:p>
        </w:tc>
        <w:tc>
          <w:tcPr>
            <w:tcW w:w="2268" w:type="dxa"/>
            <w:gridSpan w:val="3"/>
            <w:tcBorders>
              <w:bottom w:val="single" w:sz="4" w:space="0" w:color="auto"/>
            </w:tcBorders>
          </w:tcPr>
          <w:p w14:paraId="02AAB456" w14:textId="77777777" w:rsidR="005F2EFD" w:rsidRDefault="005F2EFD" w:rsidP="005F2EFD">
            <w:pPr>
              <w:jc w:val="center"/>
            </w:pPr>
            <w:r>
              <w:t>NPV (£ million)</w:t>
            </w:r>
          </w:p>
        </w:tc>
      </w:tr>
      <w:tr w:rsidR="005F2EFD" w14:paraId="2C58C4D1" w14:textId="77777777" w:rsidTr="005F2EFD">
        <w:trPr>
          <w:jc w:val="center"/>
        </w:trPr>
        <w:tc>
          <w:tcPr>
            <w:tcW w:w="1134" w:type="dxa"/>
            <w:vMerge/>
          </w:tcPr>
          <w:p w14:paraId="2CA2DF80" w14:textId="77777777" w:rsidR="005F2EFD" w:rsidRDefault="005F2EFD" w:rsidP="005F2EFD">
            <w:pPr>
              <w:jc w:val="center"/>
            </w:pPr>
          </w:p>
        </w:tc>
        <w:tc>
          <w:tcPr>
            <w:tcW w:w="567" w:type="dxa"/>
            <w:vMerge/>
          </w:tcPr>
          <w:p w14:paraId="7F64F6E1" w14:textId="77777777" w:rsidR="005F2EFD" w:rsidRDefault="005F2EFD" w:rsidP="005F2EFD">
            <w:pPr>
              <w:jc w:val="center"/>
            </w:pPr>
          </w:p>
        </w:tc>
        <w:tc>
          <w:tcPr>
            <w:tcW w:w="1560" w:type="dxa"/>
            <w:vMerge/>
          </w:tcPr>
          <w:p w14:paraId="5F601D95" w14:textId="77777777" w:rsidR="005F2EFD" w:rsidRDefault="005F2EFD" w:rsidP="005F2EFD">
            <w:pPr>
              <w:jc w:val="center"/>
            </w:pPr>
          </w:p>
        </w:tc>
        <w:tc>
          <w:tcPr>
            <w:tcW w:w="2268" w:type="dxa"/>
            <w:gridSpan w:val="3"/>
            <w:tcBorders>
              <w:bottom w:val="single" w:sz="4" w:space="0" w:color="auto"/>
            </w:tcBorders>
          </w:tcPr>
          <w:p w14:paraId="055BC31C" w14:textId="77777777" w:rsidR="005F2EFD" w:rsidRDefault="005F2EFD" w:rsidP="005F2EFD">
            <w:pPr>
              <w:jc w:val="center"/>
            </w:pPr>
            <w:r>
              <w:t>Lifespan (years)</w:t>
            </w:r>
          </w:p>
        </w:tc>
      </w:tr>
      <w:tr w:rsidR="005F2EFD" w14:paraId="3E1B81A4" w14:textId="77777777" w:rsidTr="005F2EFD">
        <w:trPr>
          <w:jc w:val="center"/>
        </w:trPr>
        <w:tc>
          <w:tcPr>
            <w:tcW w:w="1134" w:type="dxa"/>
            <w:vMerge/>
            <w:tcBorders>
              <w:bottom w:val="single" w:sz="4" w:space="0" w:color="auto"/>
            </w:tcBorders>
          </w:tcPr>
          <w:p w14:paraId="64834FE1" w14:textId="77777777" w:rsidR="005F2EFD" w:rsidRDefault="005F2EFD" w:rsidP="005F2EFD">
            <w:pPr>
              <w:jc w:val="center"/>
            </w:pPr>
          </w:p>
        </w:tc>
        <w:tc>
          <w:tcPr>
            <w:tcW w:w="567" w:type="dxa"/>
            <w:vMerge/>
            <w:tcBorders>
              <w:bottom w:val="single" w:sz="4" w:space="0" w:color="auto"/>
            </w:tcBorders>
          </w:tcPr>
          <w:p w14:paraId="1C9C4F4B" w14:textId="77777777" w:rsidR="005F2EFD" w:rsidRDefault="005F2EFD" w:rsidP="005F2EFD">
            <w:pPr>
              <w:jc w:val="center"/>
            </w:pPr>
          </w:p>
        </w:tc>
        <w:tc>
          <w:tcPr>
            <w:tcW w:w="1560" w:type="dxa"/>
            <w:vMerge/>
            <w:tcBorders>
              <w:bottom w:val="single" w:sz="4" w:space="0" w:color="auto"/>
            </w:tcBorders>
          </w:tcPr>
          <w:p w14:paraId="339AC0F2" w14:textId="77777777" w:rsidR="005F2EFD" w:rsidRDefault="005F2EFD" w:rsidP="005F2EFD">
            <w:pPr>
              <w:jc w:val="center"/>
            </w:pPr>
          </w:p>
        </w:tc>
        <w:tc>
          <w:tcPr>
            <w:tcW w:w="850" w:type="dxa"/>
            <w:tcBorders>
              <w:bottom w:val="single" w:sz="4" w:space="0" w:color="auto"/>
            </w:tcBorders>
          </w:tcPr>
          <w:p w14:paraId="52E8CF71" w14:textId="77777777" w:rsidR="005F2EFD" w:rsidRDefault="005F2EFD" w:rsidP="005F2EFD">
            <w:pPr>
              <w:jc w:val="center"/>
            </w:pPr>
            <w:r>
              <w:t>20</w:t>
            </w:r>
          </w:p>
        </w:tc>
        <w:tc>
          <w:tcPr>
            <w:tcW w:w="709" w:type="dxa"/>
            <w:tcBorders>
              <w:bottom w:val="single" w:sz="4" w:space="0" w:color="auto"/>
            </w:tcBorders>
          </w:tcPr>
          <w:p w14:paraId="486AFF7C" w14:textId="77777777" w:rsidR="005F2EFD" w:rsidRDefault="005F2EFD" w:rsidP="005F2EFD">
            <w:pPr>
              <w:jc w:val="center"/>
            </w:pPr>
            <w:r>
              <w:t>30</w:t>
            </w:r>
          </w:p>
        </w:tc>
        <w:tc>
          <w:tcPr>
            <w:tcW w:w="709" w:type="dxa"/>
            <w:tcBorders>
              <w:bottom w:val="single" w:sz="4" w:space="0" w:color="auto"/>
            </w:tcBorders>
          </w:tcPr>
          <w:p w14:paraId="4BD8254B" w14:textId="77777777" w:rsidR="005F2EFD" w:rsidRDefault="005F2EFD" w:rsidP="005F2EFD">
            <w:pPr>
              <w:jc w:val="center"/>
            </w:pPr>
            <w:r>
              <w:t>40</w:t>
            </w:r>
          </w:p>
        </w:tc>
      </w:tr>
      <w:tr w:rsidR="005F2EFD" w14:paraId="4AED09D3" w14:textId="77777777" w:rsidTr="005F2EFD">
        <w:trPr>
          <w:jc w:val="center"/>
        </w:trPr>
        <w:tc>
          <w:tcPr>
            <w:tcW w:w="1134" w:type="dxa"/>
            <w:tcBorders>
              <w:top w:val="single" w:sz="4" w:space="0" w:color="auto"/>
              <w:bottom w:val="single" w:sz="4" w:space="0" w:color="auto"/>
            </w:tcBorders>
          </w:tcPr>
          <w:p w14:paraId="404950C9" w14:textId="77777777" w:rsidR="005F2EFD" w:rsidRDefault="005F2EFD" w:rsidP="005F2EFD">
            <w:pPr>
              <w:jc w:val="center"/>
            </w:pPr>
            <w:r>
              <w:t>4</w:t>
            </w:r>
          </w:p>
        </w:tc>
        <w:tc>
          <w:tcPr>
            <w:tcW w:w="567" w:type="dxa"/>
            <w:tcBorders>
              <w:top w:val="single" w:sz="4" w:space="0" w:color="auto"/>
              <w:bottom w:val="single" w:sz="4" w:space="0" w:color="auto"/>
            </w:tcBorders>
          </w:tcPr>
          <w:p w14:paraId="57AD118D" w14:textId="77777777" w:rsidR="005F2EFD" w:rsidRDefault="005F2EFD" w:rsidP="005F2EFD">
            <w:pPr>
              <w:jc w:val="center"/>
            </w:pPr>
            <w:r>
              <w:t>6</w:t>
            </w:r>
          </w:p>
        </w:tc>
        <w:tc>
          <w:tcPr>
            <w:tcW w:w="1560" w:type="dxa"/>
            <w:tcBorders>
              <w:top w:val="single" w:sz="4" w:space="0" w:color="auto"/>
              <w:bottom w:val="single" w:sz="4" w:space="0" w:color="auto"/>
            </w:tcBorders>
          </w:tcPr>
          <w:p w14:paraId="25872298" w14:textId="77777777" w:rsidR="005F2EFD" w:rsidRDefault="005F2EFD" w:rsidP="005F2EFD">
            <w:pPr>
              <w:jc w:val="center"/>
            </w:pPr>
            <w:r>
              <w:t>1</w:t>
            </w:r>
          </w:p>
        </w:tc>
        <w:tc>
          <w:tcPr>
            <w:tcW w:w="850" w:type="dxa"/>
            <w:tcBorders>
              <w:top w:val="single" w:sz="4" w:space="0" w:color="auto"/>
              <w:bottom w:val="single" w:sz="4" w:space="0" w:color="auto"/>
            </w:tcBorders>
          </w:tcPr>
          <w:p w14:paraId="4C46E8ED" w14:textId="77777777" w:rsidR="005F2EFD" w:rsidRDefault="005F2EFD" w:rsidP="005F2EFD">
            <w:pPr>
              <w:jc w:val="center"/>
            </w:pPr>
            <w:r w:rsidRPr="006C3B55">
              <w:t>0.860</w:t>
            </w:r>
          </w:p>
        </w:tc>
        <w:tc>
          <w:tcPr>
            <w:tcW w:w="709" w:type="dxa"/>
            <w:tcBorders>
              <w:top w:val="single" w:sz="4" w:space="0" w:color="auto"/>
              <w:bottom w:val="single" w:sz="4" w:space="0" w:color="auto"/>
            </w:tcBorders>
          </w:tcPr>
          <w:p w14:paraId="57629F6B" w14:textId="77777777" w:rsidR="005F2EFD" w:rsidRDefault="005F2EFD" w:rsidP="005F2EFD">
            <w:pPr>
              <w:jc w:val="center"/>
            </w:pPr>
            <w:r w:rsidRPr="006C3B55">
              <w:t>2.32</w:t>
            </w:r>
          </w:p>
        </w:tc>
        <w:tc>
          <w:tcPr>
            <w:tcW w:w="709" w:type="dxa"/>
            <w:tcBorders>
              <w:top w:val="single" w:sz="4" w:space="0" w:color="auto"/>
              <w:bottom w:val="single" w:sz="4" w:space="0" w:color="auto"/>
            </w:tcBorders>
          </w:tcPr>
          <w:p w14:paraId="7D8AA51B" w14:textId="77777777" w:rsidR="005F2EFD" w:rsidRDefault="005F2EFD" w:rsidP="005F2EFD">
            <w:pPr>
              <w:jc w:val="center"/>
            </w:pPr>
            <w:r w:rsidRPr="006C3B55">
              <w:t>3.13</w:t>
            </w:r>
          </w:p>
        </w:tc>
      </w:tr>
    </w:tbl>
    <w:p w14:paraId="029EB7CD" w14:textId="77777777" w:rsidR="005F2EFD" w:rsidRDefault="005F2EFD" w:rsidP="005F2EFD">
      <w:pPr>
        <w:pStyle w:val="NoSpacing"/>
      </w:pPr>
    </w:p>
    <w:p w14:paraId="1DFDE647" w14:textId="77777777" w:rsidR="005F2EFD" w:rsidRDefault="005F2EFD" w:rsidP="005F2EFD">
      <w:r>
        <w:t xml:space="preserve">A study by AECOM investigating the potential for DH in the case study area </w:t>
      </w:r>
      <w:bookmarkStart w:id="887" w:name="_Hlk529526552"/>
      <w:r>
        <w:t>found that it was possible to achieve a positive 40-year NPV with a 7% IRR and £5.37 million of funding</w:t>
      </w:r>
      <w:bookmarkEnd w:id="887"/>
      <w:r>
        <w:t xml:space="preserve"> </w:t>
      </w:r>
      <w:r>
        <w:fldChar w:fldCharType="begin" w:fldLock="1"/>
      </w:r>
      <w:r>
        <w:instrText>ADDIN CSL_CITATION {"citationItems":[{"id":"ITEM-1","itemData":{"author":[{"dropping-particle":"","family":"AECOM","given":"","non-dropping-particle":"","parse-names":false,"suffix":""}],"id":"ITEM-1","issued":{"date-parts":[["2018"]]},"publisher-place":"London, England","title":"Derbyshire County Council – Heat Mapping and Energy Masterplanning","type":"report"},"uris":["http://www.mendeley.com/documents/?uuid=512a3090-16e8-4a06-8b57-04e1cc147a93"]}],"mendeley":{"formattedCitation":"(AECOM, 2018)","plainTextFormattedCitation":"(AECOM, 2018)","previouslyFormattedCitation":"(AECOM, 2018)"},"properties":{"noteIndex":0},"schema":"https://github.com/citation-style-language/schema/raw/master/csl-citation.json"}</w:instrText>
      </w:r>
      <w:r>
        <w:fldChar w:fldCharType="separate"/>
      </w:r>
      <w:r w:rsidRPr="002A6A73">
        <w:rPr>
          <w:noProof/>
        </w:rPr>
        <w:t>(AECOM, 2018)</w:t>
      </w:r>
      <w:r>
        <w:fldChar w:fldCharType="end"/>
      </w:r>
      <w:r>
        <w:t>. The similarity between the results achieved in this thesis and by AECOM support the accuracy of the work done in the thesis.</w:t>
      </w:r>
    </w:p>
    <w:p w14:paraId="1D81ADB0" w14:textId="77777777" w:rsidR="000F16EB" w:rsidRDefault="000F16EB" w:rsidP="000F16EB">
      <w:pPr>
        <w:pStyle w:val="Heading3"/>
      </w:pPr>
      <w:bookmarkStart w:id="888" w:name="_Toc7187568"/>
      <w:r>
        <w:t>Environmental Assessment Results</w:t>
      </w:r>
      <w:bookmarkEnd w:id="888"/>
    </w:p>
    <w:p w14:paraId="43CC4096" w14:textId="7C96550C" w:rsidR="000F16EB" w:rsidRPr="005F2EFD" w:rsidRDefault="000F16EB" w:rsidP="005F2EFD">
      <w:pPr>
        <w:rPr>
          <w:b/>
          <w:bCs/>
          <w:sz w:val="18"/>
          <w:szCs w:val="18"/>
        </w:rPr>
      </w:pPr>
      <w:r>
        <w:t>The initial and yearly CO</w:t>
      </w:r>
      <w:r>
        <w:rPr>
          <w:vertAlign w:val="subscript"/>
        </w:rPr>
        <w:t>2</w:t>
      </w:r>
      <w:r>
        <w:t xml:space="preserve"> equivalent emissions associated with each component of the DHN were calculated, as shown in </w:t>
      </w:r>
      <w:r>
        <w:fldChar w:fldCharType="begin"/>
      </w:r>
      <w:r>
        <w:instrText xml:space="preserve"> REF _Ref529526474 \h </w:instrText>
      </w:r>
      <w:r>
        <w:fldChar w:fldCharType="separate"/>
      </w:r>
      <w:r w:rsidR="00CB7456">
        <w:t xml:space="preserve">Table </w:t>
      </w:r>
      <w:r w:rsidR="00CB7456">
        <w:rPr>
          <w:noProof/>
        </w:rPr>
        <w:t>8</w:t>
      </w:r>
      <w:r w:rsidR="00CB7456">
        <w:t>.</w:t>
      </w:r>
      <w:r w:rsidR="00CB7456">
        <w:rPr>
          <w:noProof/>
        </w:rPr>
        <w:t>8</w:t>
      </w:r>
      <w:r>
        <w:fldChar w:fldCharType="end"/>
      </w:r>
      <w:r>
        <w:t>.</w:t>
      </w:r>
      <w:bookmarkStart w:id="889" w:name="_Ref529523002"/>
      <w:r w:rsidR="005F2EFD">
        <w:t xml:space="preserve"> It is assumed that the yearly CO</w:t>
      </w:r>
      <w:r w:rsidR="005F2EFD">
        <w:rPr>
          <w:vertAlign w:val="subscript"/>
        </w:rPr>
        <w:t>2</w:t>
      </w:r>
      <w:r w:rsidR="005F2EFD">
        <w:t>e emissions from the pump are negligible.</w:t>
      </w:r>
    </w:p>
    <w:p w14:paraId="0DD6A5DE" w14:textId="088D6CFC" w:rsidR="000F16EB" w:rsidRDefault="000F16EB" w:rsidP="000F16EB">
      <w:pPr>
        <w:pStyle w:val="Caption"/>
        <w:keepNext/>
      </w:pPr>
      <w:bookmarkStart w:id="890" w:name="_Ref529526474"/>
      <w:bookmarkStart w:id="891" w:name="_Toc7187715"/>
      <w:r>
        <w:t xml:space="preserve">Table </w:t>
      </w:r>
      <w:fldSimple w:instr=" STYLEREF 1 \s ">
        <w:r w:rsidR="00CB7456">
          <w:rPr>
            <w:noProof/>
          </w:rPr>
          <w:t>8</w:t>
        </w:r>
      </w:fldSimple>
      <w:r w:rsidR="009E1A67">
        <w:t>.</w:t>
      </w:r>
      <w:fldSimple w:instr=" SEQ Table \* ARABIC \s 1 ">
        <w:r w:rsidR="00CB7456">
          <w:rPr>
            <w:noProof/>
          </w:rPr>
          <w:t>8</w:t>
        </w:r>
      </w:fldSimple>
      <w:bookmarkEnd w:id="889"/>
      <w:bookmarkEnd w:id="890"/>
      <w:r>
        <w:rPr>
          <w:noProof/>
        </w:rPr>
        <w:t>:</w:t>
      </w:r>
      <w:r>
        <w:t xml:space="preserve"> Yearly and initial CO</w:t>
      </w:r>
      <w:r>
        <w:rPr>
          <w:vertAlign w:val="subscript"/>
        </w:rPr>
        <w:t>2</w:t>
      </w:r>
      <w:r>
        <w:t>e emissions and savings for each component of the DHN.</w:t>
      </w:r>
      <w:bookmarkEnd w:id="891"/>
    </w:p>
    <w:tbl>
      <w:tblPr>
        <w:tblStyle w:val="TableGrid"/>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31"/>
        <w:gridCol w:w="2205"/>
        <w:gridCol w:w="2268"/>
      </w:tblGrid>
      <w:tr w:rsidR="000F16EB" w14:paraId="7E59574E" w14:textId="77777777" w:rsidTr="00A7521D">
        <w:trPr>
          <w:jc w:val="center"/>
        </w:trPr>
        <w:tc>
          <w:tcPr>
            <w:tcW w:w="2331" w:type="dxa"/>
            <w:tcBorders>
              <w:bottom w:val="single" w:sz="4" w:space="0" w:color="auto"/>
            </w:tcBorders>
          </w:tcPr>
          <w:p w14:paraId="7EA5F449" w14:textId="77777777" w:rsidR="000F16EB" w:rsidRDefault="000F16EB" w:rsidP="00A7521D">
            <w:pPr>
              <w:jc w:val="center"/>
            </w:pPr>
            <w:r>
              <w:t>Component</w:t>
            </w:r>
          </w:p>
        </w:tc>
        <w:tc>
          <w:tcPr>
            <w:tcW w:w="2205" w:type="dxa"/>
            <w:tcBorders>
              <w:bottom w:val="single" w:sz="4" w:space="0" w:color="auto"/>
            </w:tcBorders>
          </w:tcPr>
          <w:p w14:paraId="3F998F07" w14:textId="77777777" w:rsidR="000F16EB" w:rsidRPr="003D15D9" w:rsidRDefault="000F16EB" w:rsidP="00A7521D">
            <w:pPr>
              <w:jc w:val="center"/>
            </w:pPr>
            <w:r>
              <w:t>Initial CO</w:t>
            </w:r>
            <w:r>
              <w:rPr>
                <w:vertAlign w:val="subscript"/>
              </w:rPr>
              <w:t>2</w:t>
            </w:r>
            <w:r>
              <w:t>e emissions (tonnes CO</w:t>
            </w:r>
            <w:r>
              <w:rPr>
                <w:vertAlign w:val="subscript"/>
              </w:rPr>
              <w:t>2</w:t>
            </w:r>
            <w:r>
              <w:t>e)</w:t>
            </w:r>
          </w:p>
        </w:tc>
        <w:tc>
          <w:tcPr>
            <w:tcW w:w="2268" w:type="dxa"/>
            <w:tcBorders>
              <w:bottom w:val="single" w:sz="4" w:space="0" w:color="auto"/>
            </w:tcBorders>
          </w:tcPr>
          <w:p w14:paraId="0110D8C9" w14:textId="77777777" w:rsidR="000F16EB" w:rsidRDefault="000F16EB" w:rsidP="00A7521D">
            <w:pPr>
              <w:jc w:val="center"/>
            </w:pPr>
            <w:r>
              <w:t>Yearly CO</w:t>
            </w:r>
            <w:r>
              <w:rPr>
                <w:vertAlign w:val="subscript"/>
              </w:rPr>
              <w:t>2</w:t>
            </w:r>
            <w:r>
              <w:t>e emissions (tonnes CO</w:t>
            </w:r>
            <w:r>
              <w:rPr>
                <w:vertAlign w:val="subscript"/>
              </w:rPr>
              <w:t>2</w:t>
            </w:r>
            <w:r>
              <w:t>e)</w:t>
            </w:r>
          </w:p>
        </w:tc>
      </w:tr>
      <w:tr w:rsidR="000F16EB" w14:paraId="5DA53288" w14:textId="77777777" w:rsidTr="00A7521D">
        <w:trPr>
          <w:jc w:val="center"/>
        </w:trPr>
        <w:tc>
          <w:tcPr>
            <w:tcW w:w="2331" w:type="dxa"/>
            <w:tcBorders>
              <w:top w:val="single" w:sz="4" w:space="0" w:color="auto"/>
              <w:bottom w:val="nil"/>
            </w:tcBorders>
          </w:tcPr>
          <w:p w14:paraId="447745B2" w14:textId="77777777" w:rsidR="000F16EB" w:rsidRDefault="000F16EB" w:rsidP="00A7521D">
            <w:pPr>
              <w:jc w:val="center"/>
            </w:pPr>
            <w:r>
              <w:t>Boiler</w:t>
            </w:r>
          </w:p>
        </w:tc>
        <w:tc>
          <w:tcPr>
            <w:tcW w:w="2205" w:type="dxa"/>
            <w:tcBorders>
              <w:top w:val="single" w:sz="4" w:space="0" w:color="auto"/>
              <w:bottom w:val="nil"/>
            </w:tcBorders>
          </w:tcPr>
          <w:p w14:paraId="2EB99482" w14:textId="77777777" w:rsidR="000F16EB" w:rsidRDefault="000F16EB" w:rsidP="00A7521D">
            <w:pPr>
              <w:jc w:val="center"/>
            </w:pPr>
            <w:r>
              <w:t>54.6</w:t>
            </w:r>
          </w:p>
        </w:tc>
        <w:tc>
          <w:tcPr>
            <w:tcW w:w="2268" w:type="dxa"/>
            <w:tcBorders>
              <w:top w:val="single" w:sz="4" w:space="0" w:color="auto"/>
              <w:bottom w:val="nil"/>
            </w:tcBorders>
          </w:tcPr>
          <w:p w14:paraId="208306B6" w14:textId="77777777" w:rsidR="000F16EB" w:rsidRDefault="000F16EB" w:rsidP="00A7521D">
            <w:pPr>
              <w:jc w:val="center"/>
            </w:pPr>
            <w:r>
              <w:t>5,130</w:t>
            </w:r>
          </w:p>
        </w:tc>
      </w:tr>
      <w:tr w:rsidR="000F16EB" w14:paraId="4DD29DAA" w14:textId="77777777" w:rsidTr="00A7521D">
        <w:trPr>
          <w:jc w:val="center"/>
        </w:trPr>
        <w:tc>
          <w:tcPr>
            <w:tcW w:w="2331" w:type="dxa"/>
            <w:tcBorders>
              <w:top w:val="nil"/>
            </w:tcBorders>
          </w:tcPr>
          <w:p w14:paraId="25907103" w14:textId="77777777" w:rsidR="000F16EB" w:rsidRDefault="000F16EB" w:rsidP="00A7521D">
            <w:pPr>
              <w:jc w:val="center"/>
            </w:pPr>
            <w:r>
              <w:t>Pipe network</w:t>
            </w:r>
          </w:p>
        </w:tc>
        <w:tc>
          <w:tcPr>
            <w:tcW w:w="2205" w:type="dxa"/>
            <w:tcBorders>
              <w:top w:val="nil"/>
            </w:tcBorders>
          </w:tcPr>
          <w:p w14:paraId="314C3F41" w14:textId="77777777" w:rsidR="000F16EB" w:rsidRDefault="000F16EB" w:rsidP="00A7521D">
            <w:pPr>
              <w:jc w:val="center"/>
            </w:pPr>
            <w:r>
              <w:t>2,680</w:t>
            </w:r>
          </w:p>
        </w:tc>
        <w:tc>
          <w:tcPr>
            <w:tcW w:w="2268" w:type="dxa"/>
            <w:tcBorders>
              <w:top w:val="nil"/>
            </w:tcBorders>
          </w:tcPr>
          <w:p w14:paraId="55237F2C" w14:textId="77777777" w:rsidR="000F16EB" w:rsidRDefault="000F16EB" w:rsidP="00A7521D">
            <w:pPr>
              <w:jc w:val="center"/>
            </w:pPr>
            <w:r>
              <w:t>n/a</w:t>
            </w:r>
          </w:p>
        </w:tc>
      </w:tr>
      <w:tr w:rsidR="000F16EB" w14:paraId="3D23F980" w14:textId="77777777" w:rsidTr="00A7521D">
        <w:trPr>
          <w:jc w:val="center"/>
        </w:trPr>
        <w:tc>
          <w:tcPr>
            <w:tcW w:w="2331" w:type="dxa"/>
          </w:tcPr>
          <w:p w14:paraId="23F76511" w14:textId="77777777" w:rsidR="000F16EB" w:rsidRDefault="000F16EB" w:rsidP="00A7521D">
            <w:pPr>
              <w:jc w:val="center"/>
            </w:pPr>
            <w:r>
              <w:t>Pump</w:t>
            </w:r>
          </w:p>
        </w:tc>
        <w:tc>
          <w:tcPr>
            <w:tcW w:w="2205" w:type="dxa"/>
          </w:tcPr>
          <w:p w14:paraId="64ECFCA3" w14:textId="77777777" w:rsidR="000F16EB" w:rsidRDefault="000F16EB" w:rsidP="00A7521D">
            <w:pPr>
              <w:jc w:val="center"/>
            </w:pPr>
            <w:r>
              <w:t>18.0</w:t>
            </w:r>
          </w:p>
        </w:tc>
        <w:tc>
          <w:tcPr>
            <w:tcW w:w="2268" w:type="dxa"/>
          </w:tcPr>
          <w:p w14:paraId="72A4F3A5" w14:textId="77777777" w:rsidR="000F16EB" w:rsidRDefault="000F16EB" w:rsidP="00A7521D">
            <w:pPr>
              <w:jc w:val="center"/>
            </w:pPr>
            <w:r>
              <w:t>n/a</w:t>
            </w:r>
          </w:p>
        </w:tc>
      </w:tr>
      <w:tr w:rsidR="000F16EB" w14:paraId="1585A179" w14:textId="77777777" w:rsidTr="00A7521D">
        <w:trPr>
          <w:jc w:val="center"/>
        </w:trPr>
        <w:tc>
          <w:tcPr>
            <w:tcW w:w="2331" w:type="dxa"/>
            <w:tcBorders>
              <w:top w:val="single" w:sz="4" w:space="0" w:color="auto"/>
              <w:bottom w:val="single" w:sz="4" w:space="0" w:color="auto"/>
            </w:tcBorders>
          </w:tcPr>
          <w:p w14:paraId="28278762" w14:textId="77777777" w:rsidR="000F16EB" w:rsidRPr="003D15D9" w:rsidRDefault="000F16EB" w:rsidP="00A7521D">
            <w:pPr>
              <w:jc w:val="center"/>
            </w:pPr>
            <w:r>
              <w:t>CO</w:t>
            </w:r>
            <w:r>
              <w:rPr>
                <w:vertAlign w:val="subscript"/>
              </w:rPr>
              <w:t>2</w:t>
            </w:r>
            <w:r>
              <w:t>e savings</w:t>
            </w:r>
          </w:p>
        </w:tc>
        <w:tc>
          <w:tcPr>
            <w:tcW w:w="2205" w:type="dxa"/>
            <w:tcBorders>
              <w:top w:val="single" w:sz="4" w:space="0" w:color="auto"/>
              <w:bottom w:val="single" w:sz="4" w:space="0" w:color="auto"/>
            </w:tcBorders>
          </w:tcPr>
          <w:p w14:paraId="0F8172F3" w14:textId="77777777" w:rsidR="000F16EB" w:rsidRDefault="000F16EB" w:rsidP="00A7521D">
            <w:pPr>
              <w:jc w:val="center"/>
            </w:pPr>
            <w:r>
              <w:t>n/a</w:t>
            </w:r>
          </w:p>
        </w:tc>
        <w:tc>
          <w:tcPr>
            <w:tcW w:w="2268" w:type="dxa"/>
            <w:tcBorders>
              <w:top w:val="single" w:sz="4" w:space="0" w:color="auto"/>
              <w:bottom w:val="single" w:sz="4" w:space="0" w:color="auto"/>
            </w:tcBorders>
          </w:tcPr>
          <w:p w14:paraId="74239E87" w14:textId="77777777" w:rsidR="000F16EB" w:rsidRDefault="000F16EB" w:rsidP="00A7521D">
            <w:pPr>
              <w:jc w:val="center"/>
            </w:pPr>
            <w:r>
              <w:t>5,680</w:t>
            </w:r>
          </w:p>
        </w:tc>
      </w:tr>
    </w:tbl>
    <w:p w14:paraId="42905F52" w14:textId="77777777" w:rsidR="000F16EB" w:rsidRDefault="000F16EB" w:rsidP="002C79E5">
      <w:pPr>
        <w:pStyle w:val="NoSpacing"/>
      </w:pPr>
    </w:p>
    <w:p w14:paraId="37A5A7C1" w14:textId="3DF4FD23" w:rsidR="000F16EB" w:rsidRPr="003D15D9" w:rsidRDefault="000F16EB" w:rsidP="000F16EB">
      <w:r>
        <w:t xml:space="preserve">The results of the environmental assessment are shown in </w:t>
      </w:r>
      <w:r>
        <w:fldChar w:fldCharType="begin"/>
      </w:r>
      <w:r>
        <w:instrText xml:space="preserve"> REF _Ref529523183 \h </w:instrText>
      </w:r>
      <w:r>
        <w:fldChar w:fldCharType="separate"/>
      </w:r>
      <w:r w:rsidR="00CB7456">
        <w:t xml:space="preserve">Table </w:t>
      </w:r>
      <w:r w:rsidR="00CB7456">
        <w:rPr>
          <w:noProof/>
        </w:rPr>
        <w:t>8</w:t>
      </w:r>
      <w:r w:rsidR="00CB7456">
        <w:t>.</w:t>
      </w:r>
      <w:r w:rsidR="00CB7456">
        <w:rPr>
          <w:noProof/>
        </w:rPr>
        <w:t>9</w:t>
      </w:r>
      <w:r>
        <w:fldChar w:fldCharType="end"/>
      </w:r>
      <w:r>
        <w:t xml:space="preserve">. It took five years for the network to become environmentally beneficial when compared to the incumbent natural gas heating system. </w:t>
      </w:r>
      <w:bookmarkStart w:id="892" w:name="_Hlk529526651"/>
      <w:r>
        <w:t>After 40 years the network had saved an additional 19,300 tonnes of CO</w:t>
      </w:r>
      <w:r>
        <w:rPr>
          <w:vertAlign w:val="subscript"/>
        </w:rPr>
        <w:t>2</w:t>
      </w:r>
      <w:r>
        <w:t>e.</w:t>
      </w:r>
      <w:bookmarkEnd w:id="892"/>
    </w:p>
    <w:p w14:paraId="69215E38" w14:textId="36A68FAC" w:rsidR="000F16EB" w:rsidRDefault="000F16EB" w:rsidP="000F16EB">
      <w:pPr>
        <w:pStyle w:val="Caption"/>
        <w:keepNext/>
      </w:pPr>
      <w:bookmarkStart w:id="893" w:name="_Ref529523183"/>
      <w:bookmarkStart w:id="894" w:name="_Toc7187716"/>
      <w:r>
        <w:t xml:space="preserve">Table </w:t>
      </w:r>
      <w:fldSimple w:instr=" STYLEREF 1 \s ">
        <w:r w:rsidR="00CB7456">
          <w:rPr>
            <w:noProof/>
          </w:rPr>
          <w:t>8</w:t>
        </w:r>
      </w:fldSimple>
      <w:r w:rsidR="009E1A67">
        <w:t>.</w:t>
      </w:r>
      <w:fldSimple w:instr=" SEQ Table \* ARABIC \s 1 ">
        <w:r w:rsidR="00CB7456">
          <w:rPr>
            <w:noProof/>
          </w:rPr>
          <w:t>9</w:t>
        </w:r>
      </w:fldSimple>
      <w:bookmarkEnd w:id="893"/>
      <w:r>
        <w:t>: Results of the environmental assessment.</w:t>
      </w:r>
      <w:bookmarkEnd w:id="894"/>
    </w:p>
    <w:tbl>
      <w:tblPr>
        <w:tblStyle w:val="TableGrid"/>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7"/>
        <w:gridCol w:w="2551"/>
      </w:tblGrid>
      <w:tr w:rsidR="000F16EB" w14:paraId="54A8BDAC" w14:textId="77777777" w:rsidTr="00A7521D">
        <w:trPr>
          <w:jc w:val="center"/>
        </w:trPr>
        <w:tc>
          <w:tcPr>
            <w:tcW w:w="1697" w:type="dxa"/>
            <w:tcBorders>
              <w:bottom w:val="single" w:sz="4" w:space="0" w:color="auto"/>
            </w:tcBorders>
          </w:tcPr>
          <w:p w14:paraId="402872A5" w14:textId="77777777" w:rsidR="000F16EB" w:rsidRDefault="000F16EB" w:rsidP="00A7521D">
            <w:pPr>
              <w:jc w:val="center"/>
            </w:pPr>
            <w:r>
              <w:t>Network lifespan (years)</w:t>
            </w:r>
          </w:p>
        </w:tc>
        <w:tc>
          <w:tcPr>
            <w:tcW w:w="2551" w:type="dxa"/>
            <w:tcBorders>
              <w:bottom w:val="single" w:sz="4" w:space="0" w:color="auto"/>
            </w:tcBorders>
          </w:tcPr>
          <w:p w14:paraId="6AC2F7C9" w14:textId="77777777" w:rsidR="000F16EB" w:rsidRPr="00340AC8" w:rsidRDefault="000F16EB" w:rsidP="00A7521D">
            <w:pPr>
              <w:jc w:val="center"/>
            </w:pPr>
            <w:r>
              <w:t>Equivalent CO</w:t>
            </w:r>
            <w:r>
              <w:rPr>
                <w:vertAlign w:val="subscript"/>
              </w:rPr>
              <w:t>2</w:t>
            </w:r>
            <w:r>
              <w:t xml:space="preserve"> emissions saved (tonnes CO</w:t>
            </w:r>
            <w:r>
              <w:rPr>
                <w:vertAlign w:val="subscript"/>
              </w:rPr>
              <w:t>2</w:t>
            </w:r>
            <w:r>
              <w:t>)</w:t>
            </w:r>
          </w:p>
        </w:tc>
      </w:tr>
      <w:tr w:rsidR="000F16EB" w14:paraId="085DA977" w14:textId="77777777" w:rsidTr="00A7521D">
        <w:trPr>
          <w:jc w:val="center"/>
        </w:trPr>
        <w:tc>
          <w:tcPr>
            <w:tcW w:w="1697" w:type="dxa"/>
            <w:tcBorders>
              <w:top w:val="single" w:sz="4" w:space="0" w:color="auto"/>
              <w:bottom w:val="nil"/>
            </w:tcBorders>
          </w:tcPr>
          <w:p w14:paraId="68815FA6" w14:textId="77777777" w:rsidR="000F16EB" w:rsidRDefault="000F16EB" w:rsidP="00A7521D">
            <w:pPr>
              <w:jc w:val="center"/>
            </w:pPr>
            <w:r>
              <w:t>1</w:t>
            </w:r>
          </w:p>
        </w:tc>
        <w:tc>
          <w:tcPr>
            <w:tcW w:w="2551" w:type="dxa"/>
            <w:tcBorders>
              <w:top w:val="single" w:sz="4" w:space="0" w:color="auto"/>
              <w:bottom w:val="nil"/>
            </w:tcBorders>
          </w:tcPr>
          <w:p w14:paraId="463F6049" w14:textId="77777777" w:rsidR="000F16EB" w:rsidRDefault="000F16EB" w:rsidP="00A7521D">
            <w:pPr>
              <w:jc w:val="center"/>
            </w:pPr>
            <w:r>
              <w:t>-2,200</w:t>
            </w:r>
          </w:p>
        </w:tc>
      </w:tr>
      <w:tr w:rsidR="000F16EB" w14:paraId="3F59ACF7" w14:textId="77777777" w:rsidTr="00A7521D">
        <w:trPr>
          <w:jc w:val="center"/>
        </w:trPr>
        <w:tc>
          <w:tcPr>
            <w:tcW w:w="1697" w:type="dxa"/>
            <w:tcBorders>
              <w:top w:val="nil"/>
            </w:tcBorders>
          </w:tcPr>
          <w:p w14:paraId="0C3ADEA6" w14:textId="77777777" w:rsidR="000F16EB" w:rsidRDefault="000F16EB" w:rsidP="00A7521D">
            <w:pPr>
              <w:jc w:val="center"/>
            </w:pPr>
            <w:r>
              <w:t>5</w:t>
            </w:r>
          </w:p>
        </w:tc>
        <w:tc>
          <w:tcPr>
            <w:tcW w:w="2551" w:type="dxa"/>
            <w:tcBorders>
              <w:top w:val="nil"/>
            </w:tcBorders>
          </w:tcPr>
          <w:p w14:paraId="497C446C" w14:textId="77777777" w:rsidR="000F16EB" w:rsidRDefault="000F16EB" w:rsidP="00A7521D">
            <w:pPr>
              <w:jc w:val="center"/>
            </w:pPr>
            <w:r>
              <w:t>1</w:t>
            </w:r>
          </w:p>
        </w:tc>
      </w:tr>
      <w:tr w:rsidR="000F16EB" w14:paraId="24366987" w14:textId="77777777" w:rsidTr="00A7521D">
        <w:trPr>
          <w:jc w:val="center"/>
        </w:trPr>
        <w:tc>
          <w:tcPr>
            <w:tcW w:w="1697" w:type="dxa"/>
          </w:tcPr>
          <w:p w14:paraId="6E4D4F60" w14:textId="77777777" w:rsidR="000F16EB" w:rsidRDefault="000F16EB" w:rsidP="00A7521D">
            <w:pPr>
              <w:jc w:val="center"/>
            </w:pPr>
            <w:r>
              <w:t>10</w:t>
            </w:r>
          </w:p>
        </w:tc>
        <w:tc>
          <w:tcPr>
            <w:tcW w:w="2551" w:type="dxa"/>
          </w:tcPr>
          <w:p w14:paraId="26EB194D" w14:textId="77777777" w:rsidR="000F16EB" w:rsidRDefault="000F16EB" w:rsidP="00A7521D">
            <w:pPr>
              <w:jc w:val="center"/>
            </w:pPr>
            <w:r>
              <w:t>2,760</w:t>
            </w:r>
          </w:p>
        </w:tc>
      </w:tr>
      <w:tr w:rsidR="000F16EB" w14:paraId="4C402E4C" w14:textId="77777777" w:rsidTr="00A7521D">
        <w:trPr>
          <w:jc w:val="center"/>
        </w:trPr>
        <w:tc>
          <w:tcPr>
            <w:tcW w:w="1697" w:type="dxa"/>
          </w:tcPr>
          <w:p w14:paraId="567B2F9E" w14:textId="77777777" w:rsidR="000F16EB" w:rsidRDefault="000F16EB" w:rsidP="00A7521D">
            <w:pPr>
              <w:jc w:val="center"/>
            </w:pPr>
            <w:r>
              <w:t>20</w:t>
            </w:r>
          </w:p>
        </w:tc>
        <w:tc>
          <w:tcPr>
            <w:tcW w:w="2551" w:type="dxa"/>
          </w:tcPr>
          <w:p w14:paraId="4EDE967E" w14:textId="77777777" w:rsidR="000F16EB" w:rsidRDefault="000F16EB" w:rsidP="00A7521D">
            <w:pPr>
              <w:jc w:val="center"/>
            </w:pPr>
            <w:r>
              <w:t>8,270</w:t>
            </w:r>
          </w:p>
        </w:tc>
      </w:tr>
      <w:tr w:rsidR="000F16EB" w14:paraId="66D4B50C" w14:textId="77777777" w:rsidTr="00A7521D">
        <w:trPr>
          <w:jc w:val="center"/>
        </w:trPr>
        <w:tc>
          <w:tcPr>
            <w:tcW w:w="1697" w:type="dxa"/>
          </w:tcPr>
          <w:p w14:paraId="553D013C" w14:textId="77777777" w:rsidR="000F16EB" w:rsidRDefault="000F16EB" w:rsidP="00A7521D">
            <w:pPr>
              <w:jc w:val="center"/>
            </w:pPr>
            <w:r>
              <w:t>30</w:t>
            </w:r>
          </w:p>
        </w:tc>
        <w:tc>
          <w:tcPr>
            <w:tcW w:w="2551" w:type="dxa"/>
          </w:tcPr>
          <w:p w14:paraId="20653CA8" w14:textId="77777777" w:rsidR="000F16EB" w:rsidRDefault="000F16EB" w:rsidP="00A7521D">
            <w:pPr>
              <w:jc w:val="center"/>
            </w:pPr>
            <w:r>
              <w:t>13,800</w:t>
            </w:r>
          </w:p>
        </w:tc>
      </w:tr>
      <w:tr w:rsidR="000F16EB" w14:paraId="3E3BE141" w14:textId="77777777" w:rsidTr="00A7521D">
        <w:trPr>
          <w:jc w:val="center"/>
        </w:trPr>
        <w:tc>
          <w:tcPr>
            <w:tcW w:w="1697" w:type="dxa"/>
          </w:tcPr>
          <w:p w14:paraId="09327A29" w14:textId="77777777" w:rsidR="000F16EB" w:rsidRDefault="000F16EB" w:rsidP="00A7521D">
            <w:pPr>
              <w:jc w:val="center"/>
            </w:pPr>
            <w:r>
              <w:t>40</w:t>
            </w:r>
          </w:p>
        </w:tc>
        <w:tc>
          <w:tcPr>
            <w:tcW w:w="2551" w:type="dxa"/>
          </w:tcPr>
          <w:p w14:paraId="7085207A" w14:textId="77777777" w:rsidR="000F16EB" w:rsidRDefault="000F16EB" w:rsidP="00A7521D">
            <w:pPr>
              <w:jc w:val="center"/>
            </w:pPr>
            <w:r>
              <w:t>19,300</w:t>
            </w:r>
          </w:p>
        </w:tc>
      </w:tr>
    </w:tbl>
    <w:p w14:paraId="1A3D5B0C" w14:textId="77777777" w:rsidR="000F16EB" w:rsidRDefault="000F16EB" w:rsidP="002C79E5">
      <w:pPr>
        <w:pStyle w:val="NoSpacing"/>
      </w:pPr>
    </w:p>
    <w:p w14:paraId="3EDAAC6F" w14:textId="77777777" w:rsidR="000F16EB" w:rsidRDefault="000F16EB" w:rsidP="000F16EB">
      <w:pPr>
        <w:pStyle w:val="Heading3"/>
      </w:pPr>
      <w:bookmarkStart w:id="895" w:name="_Toc7187569"/>
      <w:r>
        <w:t>Sensitivity Analysis</w:t>
      </w:r>
      <w:bookmarkEnd w:id="895"/>
    </w:p>
    <w:p w14:paraId="6615E654" w14:textId="77777777" w:rsidR="000F16EB" w:rsidRDefault="000F16EB" w:rsidP="000F16EB">
      <w:r>
        <w:t>It is important to run sensitivity analysis of the techno-economic and environmental assessments, investigating how sensitive the answer is on the various components that it is comprised of.</w:t>
      </w:r>
    </w:p>
    <w:p w14:paraId="713213B5" w14:textId="77777777" w:rsidR="000F16EB" w:rsidRDefault="000F16EB" w:rsidP="000F16EB">
      <w:pPr>
        <w:pStyle w:val="Heading4"/>
      </w:pPr>
      <w:bookmarkStart w:id="896" w:name="_Toc7187570"/>
      <w:r>
        <w:lastRenderedPageBreak/>
        <w:t>Techno-Economic Sensitivity Analysis</w:t>
      </w:r>
      <w:bookmarkEnd w:id="896"/>
    </w:p>
    <w:p w14:paraId="292AF5E0" w14:textId="77777777" w:rsidR="000F16EB" w:rsidRDefault="000F16EB" w:rsidP="000F16EB">
      <w:r>
        <w:t>The results of the techno-economic sensitivity analysis suggested how varying the components that comprise the NPV affected the NPV. A sensitivity analysis was run, investigating the following:</w:t>
      </w:r>
    </w:p>
    <w:p w14:paraId="7027543C" w14:textId="77777777" w:rsidR="000F16EB" w:rsidRDefault="000F16EB" w:rsidP="00202E44">
      <w:pPr>
        <w:pStyle w:val="ListParagraph"/>
        <w:numPr>
          <w:ilvl w:val="0"/>
          <w:numId w:val="27"/>
        </w:numPr>
      </w:pPr>
      <w:r>
        <w:t>The total CAPEX costs of the DHN.</w:t>
      </w:r>
    </w:p>
    <w:p w14:paraId="2FD7750A" w14:textId="77777777" w:rsidR="000F16EB" w:rsidRDefault="000F16EB" w:rsidP="00202E44">
      <w:pPr>
        <w:pStyle w:val="ListParagraph"/>
        <w:numPr>
          <w:ilvl w:val="0"/>
          <w:numId w:val="27"/>
        </w:numPr>
      </w:pPr>
      <w:r>
        <w:t>The total OPEX costs of the DHN.</w:t>
      </w:r>
    </w:p>
    <w:p w14:paraId="77B1C231" w14:textId="77777777" w:rsidR="000F16EB" w:rsidRDefault="000F16EB" w:rsidP="00202E44">
      <w:pPr>
        <w:pStyle w:val="ListParagraph"/>
        <w:numPr>
          <w:ilvl w:val="0"/>
          <w:numId w:val="27"/>
        </w:numPr>
      </w:pPr>
      <w:r>
        <w:t>The heat purchase price from industry.</w:t>
      </w:r>
    </w:p>
    <w:p w14:paraId="7973CF87" w14:textId="77777777" w:rsidR="000F16EB" w:rsidRDefault="000F16EB" w:rsidP="00202E44">
      <w:pPr>
        <w:pStyle w:val="ListParagraph"/>
        <w:numPr>
          <w:ilvl w:val="0"/>
          <w:numId w:val="27"/>
        </w:numPr>
      </w:pPr>
      <w:r>
        <w:t>The costs of the buying the natural gas for the back-up burner.</w:t>
      </w:r>
    </w:p>
    <w:p w14:paraId="6AED6673" w14:textId="77777777" w:rsidR="000F16EB" w:rsidRDefault="000F16EB" w:rsidP="00202E44">
      <w:pPr>
        <w:pStyle w:val="ListParagraph"/>
        <w:numPr>
          <w:ilvl w:val="0"/>
          <w:numId w:val="27"/>
        </w:numPr>
      </w:pPr>
      <w:r>
        <w:t>The tariff of the heat sold to the customers.</w:t>
      </w:r>
    </w:p>
    <w:p w14:paraId="30804616" w14:textId="77777777" w:rsidR="000F16EB" w:rsidRDefault="000F16EB" w:rsidP="00202E44">
      <w:pPr>
        <w:pStyle w:val="ListParagraph"/>
        <w:numPr>
          <w:ilvl w:val="0"/>
          <w:numId w:val="27"/>
        </w:numPr>
      </w:pPr>
      <w:r>
        <w:t>The cost of connecting the customers to the network.</w:t>
      </w:r>
    </w:p>
    <w:p w14:paraId="440D7AA8" w14:textId="77777777" w:rsidR="000F16EB" w:rsidRDefault="000F16EB" w:rsidP="00202E44">
      <w:pPr>
        <w:pStyle w:val="ListParagraph"/>
        <w:numPr>
          <w:ilvl w:val="0"/>
          <w:numId w:val="27"/>
        </w:numPr>
      </w:pPr>
      <w:r>
        <w:t>The CAPEX of the back-up burner.</w:t>
      </w:r>
    </w:p>
    <w:p w14:paraId="54274F81" w14:textId="1061DFA1" w:rsidR="000F16EB" w:rsidRPr="0077303E" w:rsidRDefault="000F16EB" w:rsidP="000F16EB">
      <w:r>
        <w:t xml:space="preserve">The results of the sensitivity analysis are shown in </w:t>
      </w:r>
      <w:r>
        <w:fldChar w:fldCharType="begin"/>
      </w:r>
      <w:r>
        <w:instrText xml:space="preserve"> REF _Ref529521292 \h </w:instrText>
      </w:r>
      <w:r>
        <w:fldChar w:fldCharType="separate"/>
      </w:r>
      <w:r w:rsidR="00CB7456">
        <w:t xml:space="preserve">Figure </w:t>
      </w:r>
      <w:r w:rsidR="00CB7456">
        <w:rPr>
          <w:noProof/>
        </w:rPr>
        <w:t>8</w:t>
      </w:r>
      <w:r w:rsidR="00CB7456">
        <w:t>.</w:t>
      </w:r>
      <w:r w:rsidR="00CB7456">
        <w:rPr>
          <w:noProof/>
        </w:rPr>
        <w:t>2</w:t>
      </w:r>
      <w:r>
        <w:fldChar w:fldCharType="end"/>
      </w:r>
      <w:r>
        <w:t>.</w:t>
      </w:r>
    </w:p>
    <w:p w14:paraId="0321E4DA" w14:textId="77777777" w:rsidR="000F16EB" w:rsidRDefault="000F16EB" w:rsidP="000F16EB">
      <w:pPr>
        <w:keepNext/>
        <w:jc w:val="center"/>
      </w:pPr>
      <w:r>
        <w:rPr>
          <w:noProof/>
        </w:rPr>
        <w:drawing>
          <wp:inline distT="0" distB="0" distL="0" distR="0" wp14:anchorId="32168F82" wp14:editId="268C4166">
            <wp:extent cx="5040000" cy="4466996"/>
            <wp:effectExtent l="19050" t="19050" r="27305" b="1016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ensitivity analysis.jpg"/>
                    <pic:cNvPicPr/>
                  </pic:nvPicPr>
                  <pic:blipFill rotWithShape="1">
                    <a:blip r:embed="rId60" cstate="print">
                      <a:extLst>
                        <a:ext uri="{28A0092B-C50C-407E-A947-70E740481C1C}">
                          <a14:useLocalDpi xmlns:a14="http://schemas.microsoft.com/office/drawing/2010/main" val="0"/>
                        </a:ext>
                      </a:extLst>
                    </a:blip>
                    <a:srcRect l="7126" r="6541"/>
                    <a:stretch/>
                  </pic:blipFill>
                  <pic:spPr bwMode="auto">
                    <a:xfrm>
                      <a:off x="0" y="0"/>
                      <a:ext cx="5040000" cy="446699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65542A1" w14:textId="3BDCF0ED" w:rsidR="000F16EB" w:rsidRDefault="000F16EB" w:rsidP="000F16EB">
      <w:pPr>
        <w:pStyle w:val="Caption"/>
      </w:pPr>
      <w:bookmarkStart w:id="897" w:name="_Ref529521292"/>
      <w:bookmarkStart w:id="898" w:name="_Toc7187660"/>
      <w:r>
        <w:t xml:space="preserve">Figure </w:t>
      </w:r>
      <w:fldSimple w:instr=" STYLEREF 1 \s ">
        <w:r w:rsidR="00CB7456">
          <w:rPr>
            <w:noProof/>
          </w:rPr>
          <w:t>8</w:t>
        </w:r>
      </w:fldSimple>
      <w:r w:rsidR="007B29C3">
        <w:t>.</w:t>
      </w:r>
      <w:fldSimple w:instr=" SEQ Figure \* ARABIC \s 1 ">
        <w:r w:rsidR="00CB7456">
          <w:rPr>
            <w:noProof/>
          </w:rPr>
          <w:t>2</w:t>
        </w:r>
      </w:fldSimple>
      <w:bookmarkEnd w:id="897"/>
      <w:r>
        <w:t>: Sensitivity analysis of the techno-economic assessment.</w:t>
      </w:r>
      <w:bookmarkEnd w:id="898"/>
    </w:p>
    <w:p w14:paraId="4FEA069D" w14:textId="40A0BC8D" w:rsidR="000F16EB" w:rsidRDefault="000F16EB" w:rsidP="000F16EB">
      <w:r>
        <w:fldChar w:fldCharType="begin"/>
      </w:r>
      <w:r>
        <w:instrText xml:space="preserve"> REF _Ref529521292 \h </w:instrText>
      </w:r>
      <w:r>
        <w:fldChar w:fldCharType="separate"/>
      </w:r>
      <w:r w:rsidR="00CB7456">
        <w:t xml:space="preserve">Figure </w:t>
      </w:r>
      <w:r w:rsidR="00CB7456">
        <w:rPr>
          <w:noProof/>
        </w:rPr>
        <w:t>8</w:t>
      </w:r>
      <w:r w:rsidR="00CB7456">
        <w:t>.</w:t>
      </w:r>
      <w:r w:rsidR="00CB7456">
        <w:rPr>
          <w:noProof/>
        </w:rPr>
        <w:t>2</w:t>
      </w:r>
      <w:r>
        <w:fldChar w:fldCharType="end"/>
      </w:r>
      <w:r>
        <w:t xml:space="preserve"> shows that the NPV of the DHN was highly sensitive to </w:t>
      </w:r>
      <w:bookmarkStart w:id="899" w:name="_Hlk529526698"/>
      <w:r>
        <w:t xml:space="preserve">the heat sales tariff, the OPEX and the gas purchase price. </w:t>
      </w:r>
      <w:bookmarkEnd w:id="899"/>
      <w:r>
        <w:t xml:space="preserve">It would not be recommended to vary the heat tariff as it would either prevent the network from being profitable or prevent customers from signing up to it. However, it would be possible to reduce the tariff by approximately 5% whilst keeping the network profitable. Applying for a grant to reduce the costs of the natural gas </w:t>
      </w:r>
      <w:r>
        <w:lastRenderedPageBreak/>
        <w:t>would reduce both the OPEX and the gas purchase price, both of which would increase the NPV of the network. The EU ETS scheme could provide an additional yearly revenue stream to the network, reducing the OPEX and effectively reducing the gas purchase price</w:t>
      </w:r>
      <w:r w:rsidR="006F4DD7">
        <w:t xml:space="preserve"> </w:t>
      </w:r>
      <w:r w:rsidR="006F4DD7">
        <w:fldChar w:fldCharType="begin" w:fldLock="1"/>
      </w:r>
      <w:r w:rsidR="006F4DD7">
        <w:instrText>ADDIN CSL_CITATION {"citationItems":[{"id":"ITEM-1","itemData":{"URL":"https://ec.europa.eu/clima/policies/ets_en","accessed":{"date-parts":[["2018","7","16"]]},"author":[{"dropping-particle":"","family":"EC","given":"","non-dropping-particle":"","parse-names":false,"suffix":""}],"id":"ITEM-1","issued":{"date-parts":[["2016"]]},"title":"EU Emissions Trading System (EU ETS)","type":"webpage"},"uris":["http://www.mendeley.com/documents/?uuid=46407d23-4157-4bec-9ca1-418da5e86cba"]}],"mendeley":{"formattedCitation":"(EC, 2016)","plainTextFormattedCitation":"(EC, 2016)","previouslyFormattedCitation":"(EC, 2016)"},"properties":{"noteIndex":0},"schema":"https://github.com/citation-style-language/schema/raw/master/csl-citation.json"}</w:instrText>
      </w:r>
      <w:r w:rsidR="006F4DD7">
        <w:fldChar w:fldCharType="separate"/>
      </w:r>
      <w:r w:rsidR="006F4DD7" w:rsidRPr="002A6A73">
        <w:rPr>
          <w:noProof/>
        </w:rPr>
        <w:t>(EC, 2016)</w:t>
      </w:r>
      <w:r w:rsidR="006F4DD7">
        <w:fldChar w:fldCharType="end"/>
      </w:r>
      <w:r>
        <w:t>. The network would be viable for the EU ETS scheme as a carbon avoidance technology.</w:t>
      </w:r>
    </w:p>
    <w:p w14:paraId="600C83A2" w14:textId="77777777" w:rsidR="000F16EB" w:rsidRDefault="000F16EB" w:rsidP="000F16EB">
      <w:pPr>
        <w:pStyle w:val="Heading4"/>
      </w:pPr>
      <w:bookmarkStart w:id="900" w:name="_Toc7187571"/>
      <w:r>
        <w:t>Environmental Sensitivity Analysis</w:t>
      </w:r>
      <w:bookmarkEnd w:id="900"/>
    </w:p>
    <w:p w14:paraId="5B22CC72" w14:textId="77777777" w:rsidR="000F16EB" w:rsidRDefault="000F16EB" w:rsidP="000F16EB">
      <w:r>
        <w:t>The results of the environmental sensitivity analysis suggested how varying the components that comprise the CO</w:t>
      </w:r>
      <w:r>
        <w:rPr>
          <w:vertAlign w:val="subscript"/>
        </w:rPr>
        <w:t>2</w:t>
      </w:r>
      <w:r>
        <w:t>e would affect the emissions. A sensitivity analysis was run, investigating the following:</w:t>
      </w:r>
    </w:p>
    <w:p w14:paraId="610A0F26" w14:textId="77777777" w:rsidR="000F16EB" w:rsidRDefault="000F16EB" w:rsidP="00202E44">
      <w:pPr>
        <w:pStyle w:val="ListParagraph"/>
        <w:numPr>
          <w:ilvl w:val="0"/>
          <w:numId w:val="28"/>
        </w:numPr>
      </w:pPr>
      <w:r>
        <w:t>The imbedded CO</w:t>
      </w:r>
      <w:r>
        <w:rPr>
          <w:vertAlign w:val="subscript"/>
        </w:rPr>
        <w:t>2</w:t>
      </w:r>
      <w:r>
        <w:t>e emissions in the back-up burner.</w:t>
      </w:r>
    </w:p>
    <w:p w14:paraId="59F4078F" w14:textId="77777777" w:rsidR="000F16EB" w:rsidRDefault="000F16EB" w:rsidP="00202E44">
      <w:pPr>
        <w:pStyle w:val="ListParagraph"/>
        <w:numPr>
          <w:ilvl w:val="0"/>
          <w:numId w:val="28"/>
        </w:numPr>
      </w:pPr>
      <w:r>
        <w:t>The number of years in between burner replacement.</w:t>
      </w:r>
    </w:p>
    <w:p w14:paraId="01D2E23A" w14:textId="77777777" w:rsidR="000F16EB" w:rsidRDefault="000F16EB" w:rsidP="00202E44">
      <w:pPr>
        <w:pStyle w:val="ListParagraph"/>
        <w:numPr>
          <w:ilvl w:val="0"/>
          <w:numId w:val="28"/>
        </w:numPr>
      </w:pPr>
      <w:r>
        <w:t>The imbedded CO</w:t>
      </w:r>
      <w:r>
        <w:rPr>
          <w:vertAlign w:val="subscript"/>
        </w:rPr>
        <w:t>2</w:t>
      </w:r>
      <w:r>
        <w:t>e emissions in the pipe network.</w:t>
      </w:r>
    </w:p>
    <w:p w14:paraId="123D866B" w14:textId="77777777" w:rsidR="000F16EB" w:rsidRDefault="000F16EB" w:rsidP="00202E44">
      <w:pPr>
        <w:pStyle w:val="ListParagraph"/>
        <w:numPr>
          <w:ilvl w:val="0"/>
          <w:numId w:val="28"/>
        </w:numPr>
      </w:pPr>
      <w:r>
        <w:t>The imbedded CO</w:t>
      </w:r>
      <w:r>
        <w:rPr>
          <w:vertAlign w:val="subscript"/>
        </w:rPr>
        <w:t>2</w:t>
      </w:r>
      <w:r>
        <w:t>e emissions in the pump.</w:t>
      </w:r>
    </w:p>
    <w:p w14:paraId="5D5A64F4" w14:textId="77777777" w:rsidR="000F16EB" w:rsidRDefault="000F16EB" w:rsidP="00202E44">
      <w:pPr>
        <w:pStyle w:val="ListParagraph"/>
        <w:numPr>
          <w:ilvl w:val="0"/>
          <w:numId w:val="28"/>
        </w:numPr>
      </w:pPr>
      <w:r>
        <w:t>The annual natural gas usage in the back-up burner.</w:t>
      </w:r>
    </w:p>
    <w:p w14:paraId="6FDFCA51" w14:textId="77777777" w:rsidR="000F16EB" w:rsidRDefault="000F16EB" w:rsidP="00202E44">
      <w:pPr>
        <w:pStyle w:val="ListParagraph"/>
        <w:numPr>
          <w:ilvl w:val="0"/>
          <w:numId w:val="28"/>
        </w:numPr>
      </w:pPr>
      <w:r>
        <w:t>The imbedded CO</w:t>
      </w:r>
      <w:r>
        <w:rPr>
          <w:vertAlign w:val="subscript"/>
        </w:rPr>
        <w:t>2</w:t>
      </w:r>
      <w:r>
        <w:t>e emissions in the saved energy (the energy that would normally be used to heat the buildings).</w:t>
      </w:r>
    </w:p>
    <w:p w14:paraId="776171EB" w14:textId="43990A3D" w:rsidR="000F16EB" w:rsidRDefault="000F16EB" w:rsidP="000F16EB">
      <w:r>
        <w:t xml:space="preserve">The results of the sensitivity analysis are shown in </w:t>
      </w:r>
      <w:r>
        <w:fldChar w:fldCharType="begin"/>
      </w:r>
      <w:r>
        <w:instrText xml:space="preserve"> REF _Ref529524124 \h </w:instrText>
      </w:r>
      <w:r>
        <w:fldChar w:fldCharType="separate"/>
      </w:r>
      <w:r w:rsidR="00CB7456">
        <w:t xml:space="preserve">Figure </w:t>
      </w:r>
      <w:r w:rsidR="00CB7456">
        <w:rPr>
          <w:noProof/>
        </w:rPr>
        <w:t>8</w:t>
      </w:r>
      <w:r w:rsidR="00CB7456">
        <w:t>.</w:t>
      </w:r>
      <w:r w:rsidR="00CB7456">
        <w:rPr>
          <w:noProof/>
        </w:rPr>
        <w:t>3</w:t>
      </w:r>
      <w:r>
        <w:fldChar w:fldCharType="end"/>
      </w:r>
      <w:r>
        <w:t>.</w:t>
      </w:r>
    </w:p>
    <w:p w14:paraId="705C452C" w14:textId="77777777" w:rsidR="000F16EB" w:rsidRDefault="000F16EB" w:rsidP="000F16EB">
      <w:pPr>
        <w:keepNext/>
        <w:jc w:val="center"/>
      </w:pPr>
      <w:r>
        <w:rPr>
          <w:noProof/>
        </w:rPr>
        <w:drawing>
          <wp:inline distT="0" distB="0" distL="0" distR="0" wp14:anchorId="6DB5B15B" wp14:editId="6E61DEF3">
            <wp:extent cx="5040000" cy="4243094"/>
            <wp:effectExtent l="19050" t="19050" r="27305" b="2413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environmental sensitivity analysis.jpg"/>
                    <pic:cNvPicPr/>
                  </pic:nvPicPr>
                  <pic:blipFill rotWithShape="1">
                    <a:blip r:embed="rId61" cstate="print">
                      <a:extLst>
                        <a:ext uri="{28A0092B-C50C-407E-A947-70E740481C1C}">
                          <a14:useLocalDpi xmlns:a14="http://schemas.microsoft.com/office/drawing/2010/main" val="0"/>
                        </a:ext>
                      </a:extLst>
                    </a:blip>
                    <a:srcRect l="1883" r="7227"/>
                    <a:stretch/>
                  </pic:blipFill>
                  <pic:spPr bwMode="auto">
                    <a:xfrm>
                      <a:off x="0" y="0"/>
                      <a:ext cx="5040000" cy="424309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ED68C1E" w14:textId="2386D755" w:rsidR="000F16EB" w:rsidRDefault="000F16EB" w:rsidP="000F16EB">
      <w:pPr>
        <w:pStyle w:val="Caption"/>
      </w:pPr>
      <w:bookmarkStart w:id="901" w:name="_Ref529524124"/>
      <w:bookmarkStart w:id="902" w:name="_Toc7187661"/>
      <w:r>
        <w:t xml:space="preserve">Figure </w:t>
      </w:r>
      <w:fldSimple w:instr=" STYLEREF 1 \s ">
        <w:r w:rsidR="00CB7456">
          <w:rPr>
            <w:noProof/>
          </w:rPr>
          <w:t>8</w:t>
        </w:r>
      </w:fldSimple>
      <w:r w:rsidR="007B29C3">
        <w:t>.</w:t>
      </w:r>
      <w:fldSimple w:instr=" SEQ Figure \* ARABIC \s 1 ">
        <w:r w:rsidR="00CB7456">
          <w:rPr>
            <w:noProof/>
          </w:rPr>
          <w:t>3</w:t>
        </w:r>
      </w:fldSimple>
      <w:bookmarkEnd w:id="901"/>
      <w:r>
        <w:rPr>
          <w:noProof/>
        </w:rPr>
        <w:t>:</w:t>
      </w:r>
      <w:r>
        <w:t xml:space="preserve"> Sensitivity analysis of the environmental assessment.</w:t>
      </w:r>
      <w:bookmarkEnd w:id="902"/>
    </w:p>
    <w:p w14:paraId="27CA1A5D" w14:textId="5595F487" w:rsidR="000F16EB" w:rsidRPr="00313C57" w:rsidRDefault="000F16EB" w:rsidP="000F16EB">
      <w:r>
        <w:fldChar w:fldCharType="begin"/>
      </w:r>
      <w:r>
        <w:instrText xml:space="preserve"> REF _Ref529524124 \h </w:instrText>
      </w:r>
      <w:r>
        <w:fldChar w:fldCharType="separate"/>
      </w:r>
      <w:r w:rsidR="00CB7456">
        <w:t xml:space="preserve">Figure </w:t>
      </w:r>
      <w:r w:rsidR="00CB7456">
        <w:rPr>
          <w:noProof/>
        </w:rPr>
        <w:t>8</w:t>
      </w:r>
      <w:r w:rsidR="00CB7456">
        <w:t>.</w:t>
      </w:r>
      <w:r w:rsidR="00CB7456">
        <w:rPr>
          <w:noProof/>
        </w:rPr>
        <w:t>3</w:t>
      </w:r>
      <w:r>
        <w:fldChar w:fldCharType="end"/>
      </w:r>
      <w:r>
        <w:t xml:space="preserve"> shows that the environmental assessment was highly sensitive </w:t>
      </w:r>
      <w:bookmarkStart w:id="903" w:name="_Hlk529526789"/>
      <w:r>
        <w:t>to the use of the natural gas in the back-up burner and the imbedded CO</w:t>
      </w:r>
      <w:r>
        <w:rPr>
          <w:vertAlign w:val="subscript"/>
        </w:rPr>
        <w:t>2</w:t>
      </w:r>
      <w:r>
        <w:t xml:space="preserve">e in the UK natural gas network. </w:t>
      </w:r>
      <w:bookmarkEnd w:id="903"/>
      <w:r>
        <w:lastRenderedPageBreak/>
        <w:t>Increasing the WHR recovery from the HJE site, which would be possible if more streams were assessed for the WH potential, would decrease the annual natural gas usage. Decreasing the annual natural gas usage would increase the CO</w:t>
      </w:r>
      <w:r>
        <w:rPr>
          <w:vertAlign w:val="subscript"/>
        </w:rPr>
        <w:t>2</w:t>
      </w:r>
      <w:r>
        <w:t>e saved emissions. An increase to the imbedded</w:t>
      </w:r>
      <w:r w:rsidRPr="00130311">
        <w:t xml:space="preserve"> </w:t>
      </w:r>
      <w:r>
        <w:t>CO</w:t>
      </w:r>
      <w:r>
        <w:rPr>
          <w:vertAlign w:val="subscript"/>
        </w:rPr>
        <w:t>2</w:t>
      </w:r>
      <w:r>
        <w:t>e in the UK natural gas network, which may come from a change in the UK gas supply would increase the CO</w:t>
      </w:r>
      <w:r>
        <w:rPr>
          <w:vertAlign w:val="subscript"/>
        </w:rPr>
        <w:t>2</w:t>
      </w:r>
      <w:r>
        <w:t>e saved emissions.</w:t>
      </w:r>
    </w:p>
    <w:p w14:paraId="0F6235DC" w14:textId="77777777" w:rsidR="000F16EB" w:rsidRDefault="000F16EB" w:rsidP="000F16EB">
      <w:pPr>
        <w:pStyle w:val="Heading2"/>
      </w:pPr>
      <w:bookmarkStart w:id="904" w:name="_Toc7187572"/>
      <w:r>
        <w:t>Conclusion</w:t>
      </w:r>
      <w:bookmarkEnd w:id="904"/>
    </w:p>
    <w:p w14:paraId="45B8E4C1" w14:textId="77777777" w:rsidR="000F16EB" w:rsidRDefault="000F16EB" w:rsidP="000F16EB">
      <w:r>
        <w:t>Generic, simple models for the techno-economic and environmental assessment of any DHN was generated. The assessment models were simple enough that they could be operated by a non-technical user and generic enough that they could apply to any DHN in the UK. The assessments were completed for the case study DHN and were compared to industrial models to assess their accuracy.</w:t>
      </w:r>
    </w:p>
    <w:p w14:paraId="612CA3EB" w14:textId="77777777" w:rsidR="000F16EB" w:rsidRDefault="000F16EB" w:rsidP="000F16EB">
      <w:r>
        <w:t xml:space="preserve">It was </w:t>
      </w:r>
      <w:bookmarkStart w:id="905" w:name="_Hlk529528705"/>
      <w:r>
        <w:t xml:space="preserve">shown that, </w:t>
      </w:r>
      <w:bookmarkStart w:id="906" w:name="_Hlk529527943"/>
      <w:r>
        <w:t xml:space="preserve">with </w:t>
      </w:r>
      <w:bookmarkStart w:id="907" w:name="_Hlk529526978"/>
      <w:r>
        <w:t xml:space="preserve">grant funding of £4 million, an IRR of 6%, and a heat purchase price of 1 p/kWh, it would possible to achieve </w:t>
      </w:r>
      <w:proofErr w:type="gramStart"/>
      <w:r>
        <w:t>a</w:t>
      </w:r>
      <w:proofErr w:type="gramEnd"/>
      <w:r>
        <w:t xml:space="preserve"> NPV of £3.13 million</w:t>
      </w:r>
      <w:bookmarkEnd w:id="906"/>
      <w:bookmarkEnd w:id="907"/>
      <w:r>
        <w:t xml:space="preserve">. </w:t>
      </w:r>
      <w:bookmarkStart w:id="908" w:name="_Hlk529526986"/>
      <w:bookmarkEnd w:id="905"/>
      <w:r>
        <w:t xml:space="preserve">An equivalent study from AECOM found that </w:t>
      </w:r>
      <w:bookmarkStart w:id="909" w:name="_Hlk529527964"/>
      <w:r>
        <w:t xml:space="preserve">it was possible to achieve a positive 40-year NPV with a 7% IRR and £5.37 million of funding. </w:t>
      </w:r>
      <w:bookmarkEnd w:id="909"/>
      <w:r>
        <w:t>The similarity between the AECOM results and the results from this assessment support the accuracy of the assessment models generated in this thesis</w:t>
      </w:r>
      <w:bookmarkEnd w:id="908"/>
      <w:r>
        <w:t>.</w:t>
      </w:r>
    </w:p>
    <w:p w14:paraId="0899461E" w14:textId="77777777" w:rsidR="000F16EB" w:rsidRDefault="000F16EB" w:rsidP="000F16EB">
      <w:r>
        <w:t xml:space="preserve">It was shown that </w:t>
      </w:r>
      <w:bookmarkStart w:id="910" w:name="_Hlk529526999"/>
      <w:r>
        <w:t>the network became environmentally beneficial, when compared to natural gas heating systems, within five years. After 40 years the network was shown to save an additional 19,300 tonnes of CO</w:t>
      </w:r>
      <w:r>
        <w:rPr>
          <w:vertAlign w:val="subscript"/>
        </w:rPr>
        <w:t>2</w:t>
      </w:r>
      <w:r>
        <w:t>e.</w:t>
      </w:r>
    </w:p>
    <w:p w14:paraId="7B2394E8" w14:textId="77777777" w:rsidR="000F16EB" w:rsidRDefault="000F16EB" w:rsidP="000F16EB">
      <w:bookmarkStart w:id="911" w:name="_Hlk529527009"/>
      <w:bookmarkEnd w:id="910"/>
      <w:r>
        <w:t xml:space="preserve">Techno-economic sensitivity analysis showed that the techno-economic assessment was highly sensitive to the heat sales tariff, the OPEX and the gas purchase price. </w:t>
      </w:r>
      <w:bookmarkEnd w:id="911"/>
      <w:r>
        <w:t>It was suggested that the EU ETS scheme could be used to effectively reduce the natural gas price, reducing the OPEX and increasing the NPV of the network.</w:t>
      </w:r>
    </w:p>
    <w:p w14:paraId="1F148856" w14:textId="77777777" w:rsidR="000F16EB" w:rsidRDefault="000F16EB" w:rsidP="000F16EB">
      <w:bookmarkStart w:id="912" w:name="_Hlk529527022"/>
      <w:r>
        <w:t>Environmental sensitivity analysis showed that the environmental assessment was highly sensitive to the use of the natural gas in the back-up burner and the imbedded CO</w:t>
      </w:r>
      <w:r>
        <w:rPr>
          <w:vertAlign w:val="subscript"/>
        </w:rPr>
        <w:t>2</w:t>
      </w:r>
      <w:r>
        <w:t>e in the UK natural gas network</w:t>
      </w:r>
      <w:bookmarkEnd w:id="912"/>
      <w:r>
        <w:t>. It was suggested that a future increase in the WHR from HJE would decrease the use of the natural gas burner, improving the environmental performance of the DHN.</w:t>
      </w:r>
    </w:p>
    <w:p w14:paraId="6E552086" w14:textId="77777777" w:rsidR="00A7521D" w:rsidRDefault="00A7521D">
      <w:pPr>
        <w:jc w:val="left"/>
      </w:pPr>
      <w:r>
        <w:br w:type="page"/>
      </w:r>
    </w:p>
    <w:p w14:paraId="3C53F9BC" w14:textId="30102B60" w:rsidR="00A7521D" w:rsidRDefault="00A7521D" w:rsidP="00A7521D">
      <w:pPr>
        <w:pStyle w:val="Heading1"/>
      </w:pPr>
      <w:bookmarkStart w:id="913" w:name="_Toc525230034"/>
      <w:bookmarkStart w:id="914" w:name="_Toc7187573"/>
      <w:r>
        <w:lastRenderedPageBreak/>
        <w:t>Discussion</w:t>
      </w:r>
      <w:bookmarkEnd w:id="913"/>
      <w:bookmarkEnd w:id="914"/>
    </w:p>
    <w:p w14:paraId="775CDC03" w14:textId="37D14128" w:rsidR="00A63DA7" w:rsidRPr="00A63DA7" w:rsidRDefault="00A63DA7" w:rsidP="00A63DA7">
      <w:r>
        <w:t xml:space="preserve">Each of the main chapters contains a discussion pertaining to the work described. </w:t>
      </w:r>
      <w:proofErr w:type="gramStart"/>
      <w:r>
        <w:t>Therefore</w:t>
      </w:r>
      <w:proofErr w:type="gramEnd"/>
      <w:r>
        <w:t xml:space="preserve"> the discussion bought forward in this chapter are more general issues that cut across the totality of the work. It also provides an overview of how well the research questions were addressed.</w:t>
      </w:r>
    </w:p>
    <w:p w14:paraId="7CA0675A" w14:textId="3DE8E5F9" w:rsidR="00A7521D" w:rsidRDefault="00A7521D" w:rsidP="00A7521D">
      <w:r>
        <w:t xml:space="preserve">The aims of this thesis were to design a DH feasibility model, that </w:t>
      </w:r>
      <w:r w:rsidR="005F2EFD">
        <w:t>could be generalised enough to work for multiple DHNs</w:t>
      </w:r>
      <w:r>
        <w:t xml:space="preserve"> in the UK and that was simple enough that it could be operated by a non-technical user. The thesis specialised in DHNs that were supplied by an industrial WH source. The methodology was split into six chapters, which covered the following:</w:t>
      </w:r>
    </w:p>
    <w:p w14:paraId="30A9E188" w14:textId="77777777" w:rsidR="00A7521D" w:rsidRDefault="00A7521D" w:rsidP="00202E44">
      <w:pPr>
        <w:pStyle w:val="ListParagraph"/>
        <w:numPr>
          <w:ilvl w:val="0"/>
          <w:numId w:val="30"/>
        </w:numPr>
      </w:pPr>
      <w:r>
        <w:t>Using heat maps to assess if the local area had a HD sufficient to meet the minimum threshold for profitable DH whilst also having a sufficient number of anchor loads.</w:t>
      </w:r>
    </w:p>
    <w:p w14:paraId="003DDF60" w14:textId="0A0F8661" w:rsidR="00A7521D" w:rsidRDefault="00A7521D" w:rsidP="00202E44">
      <w:pPr>
        <w:pStyle w:val="ListParagraph"/>
        <w:numPr>
          <w:ilvl w:val="0"/>
          <w:numId w:val="30"/>
        </w:numPr>
      </w:pPr>
      <w:r>
        <w:t>Quantifying the heat supply variation available at a</w:t>
      </w:r>
      <w:r w:rsidR="00537667">
        <w:t>n</w:t>
      </w:r>
      <w:r>
        <w:t xml:space="preserve"> industrial site, either through communication with the staff or through mass and energy balances.</w:t>
      </w:r>
    </w:p>
    <w:p w14:paraId="60AF057E" w14:textId="77777777" w:rsidR="00A7521D" w:rsidRDefault="00A7521D" w:rsidP="00202E44">
      <w:pPr>
        <w:pStyle w:val="ListParagraph"/>
        <w:numPr>
          <w:ilvl w:val="0"/>
          <w:numId w:val="30"/>
        </w:numPr>
      </w:pPr>
      <w:r>
        <w:t>Choosing the optimum WHR technology to use, quantifying the variation in the heat supply after the WHR had occurred.</w:t>
      </w:r>
    </w:p>
    <w:p w14:paraId="3572A5A4" w14:textId="77777777" w:rsidR="00A7521D" w:rsidRDefault="00A7521D" w:rsidP="00202E44">
      <w:pPr>
        <w:pStyle w:val="ListParagraph"/>
        <w:numPr>
          <w:ilvl w:val="0"/>
          <w:numId w:val="30"/>
        </w:numPr>
      </w:pPr>
      <w:r>
        <w:t>Quantifying the HD variation available in the local area whilst minimising the allowable heat losses in the network.</w:t>
      </w:r>
    </w:p>
    <w:p w14:paraId="0A4957E7" w14:textId="77777777" w:rsidR="00A7521D" w:rsidRDefault="00A7521D" w:rsidP="00202E44">
      <w:pPr>
        <w:pStyle w:val="ListParagraph"/>
        <w:numPr>
          <w:ilvl w:val="0"/>
          <w:numId w:val="30"/>
        </w:numPr>
      </w:pPr>
      <w:r>
        <w:t>Optimising the DHN using TES to match the heat supply and demand, choosing the optimum TES technology.</w:t>
      </w:r>
    </w:p>
    <w:p w14:paraId="3ABDEBCC" w14:textId="3D27352E" w:rsidR="00A7521D" w:rsidRDefault="00A7521D" w:rsidP="00202E44">
      <w:pPr>
        <w:pStyle w:val="ListParagraph"/>
        <w:numPr>
          <w:ilvl w:val="0"/>
          <w:numId w:val="30"/>
        </w:numPr>
      </w:pPr>
      <w:r>
        <w:t xml:space="preserve">Generating models to test the techno-economic and environmental feasibility of </w:t>
      </w:r>
      <w:r w:rsidR="005F2EFD">
        <w:t>multiple</w:t>
      </w:r>
      <w:r>
        <w:t xml:space="preserve"> DHN</w:t>
      </w:r>
      <w:r w:rsidR="005F2EFD">
        <w:t>s</w:t>
      </w:r>
      <w:r>
        <w:t>.</w:t>
      </w:r>
    </w:p>
    <w:p w14:paraId="230BB166" w14:textId="77777777" w:rsidR="00A7521D" w:rsidRDefault="00A7521D" w:rsidP="00A7521D">
      <w:r>
        <w:t>The process used in each individual chapter did not necessarily have to be highly accurate, as the purpose of the thesis was to estimate the feasibility of a possible DHN. It was more important to keep the methodology quick and simple than to maintain a high level of accuracy. If the DHN was proven to be feasible, an engineering consultancy could be employed to accurately design the network. However, the accuracy of the model had to be assessed, to see if it was within acceptable thresholds.</w:t>
      </w:r>
    </w:p>
    <w:p w14:paraId="12A16A0D" w14:textId="77777777" w:rsidR="00A7521D" w:rsidRDefault="00A7521D" w:rsidP="00A7521D">
      <w:r>
        <w:t>The work was applied to a case study, based around HJE and the local area, assessing if a DHN in that location was economically and environmentally feasible. The case study DHN was to be supplied by the heat that is currently unutilised at the HJE site. All six of the research chapters were applied to the case study DHN.</w:t>
      </w:r>
    </w:p>
    <w:p w14:paraId="556E3FF3" w14:textId="77777777" w:rsidR="00A7521D" w:rsidRDefault="00A7521D" w:rsidP="00A7521D">
      <w:r>
        <w:t>Regarding the overall aims of the thesis, the discussion covers three elements:</w:t>
      </w:r>
    </w:p>
    <w:p w14:paraId="01983535" w14:textId="77777777" w:rsidR="00A7521D" w:rsidRDefault="00A7521D" w:rsidP="00202E44">
      <w:pPr>
        <w:pStyle w:val="ListParagraph"/>
        <w:numPr>
          <w:ilvl w:val="0"/>
          <w:numId w:val="31"/>
        </w:numPr>
      </w:pPr>
      <w:r>
        <w:t>Is the simple DH feasibility model accurate?</w:t>
      </w:r>
    </w:p>
    <w:p w14:paraId="473DE342" w14:textId="3EF07F8B" w:rsidR="00A7521D" w:rsidRDefault="00A7521D" w:rsidP="00202E44">
      <w:pPr>
        <w:pStyle w:val="ListParagraph"/>
        <w:numPr>
          <w:ilvl w:val="0"/>
          <w:numId w:val="31"/>
        </w:numPr>
      </w:pPr>
      <w:r>
        <w:t xml:space="preserve">Can the feasibility model be applied to </w:t>
      </w:r>
      <w:r w:rsidR="005F2EFD">
        <w:t>multiple</w:t>
      </w:r>
      <w:r>
        <w:t xml:space="preserve"> DHN</w:t>
      </w:r>
      <w:r w:rsidR="005F2EFD">
        <w:t>s</w:t>
      </w:r>
      <w:r>
        <w:t xml:space="preserve"> in the UK?</w:t>
      </w:r>
    </w:p>
    <w:p w14:paraId="2C442CE0" w14:textId="77777777" w:rsidR="00A7521D" w:rsidRDefault="00A7521D" w:rsidP="00202E44">
      <w:pPr>
        <w:pStyle w:val="ListParagraph"/>
        <w:numPr>
          <w:ilvl w:val="0"/>
          <w:numId w:val="31"/>
        </w:numPr>
      </w:pPr>
      <w:r>
        <w:t>Is the case study DHN feasible?</w:t>
      </w:r>
    </w:p>
    <w:p w14:paraId="4E7A60C5" w14:textId="27EEBABE" w:rsidR="00A7521D" w:rsidRDefault="00A7521D" w:rsidP="00A7521D">
      <w:pPr>
        <w:pStyle w:val="Heading2"/>
      </w:pPr>
      <w:bookmarkStart w:id="915" w:name="_Toc525230035"/>
      <w:bookmarkStart w:id="916" w:name="_Toc7187574"/>
      <w:r>
        <w:lastRenderedPageBreak/>
        <w:t xml:space="preserve">Is the Simple Feasibility Model of </w:t>
      </w:r>
      <w:r w:rsidR="00892E1B">
        <w:t>a</w:t>
      </w:r>
      <w:r>
        <w:t xml:space="preserve"> District Heating Network Accurate?</w:t>
      </w:r>
      <w:bookmarkEnd w:id="915"/>
      <w:bookmarkEnd w:id="916"/>
    </w:p>
    <w:p w14:paraId="47DF45C6" w14:textId="7F754420" w:rsidR="00A7521D" w:rsidRDefault="00A7521D" w:rsidP="00A7521D">
      <w:r>
        <w:t xml:space="preserve">Each of the six chapters are assessed to see if that particular stage of the feasibility model is accurate. If the work done in a chapter is proven to be inaccurate, is it possible to adapt that section of the feasibility model, to ensure that the overall model is still accurate? </w:t>
      </w:r>
      <w:r w:rsidR="00D61E7E">
        <w:t>Alternatively</w:t>
      </w:r>
      <w:r>
        <w:t xml:space="preserve">, is the overall feasibility model accurate, but the number of objectives that the model is capable of achieving are not as thorough as was initially desired? </w:t>
      </w:r>
      <w:r w:rsidR="00D61E7E">
        <w:t>Finally</w:t>
      </w:r>
      <w:r>
        <w:t>, is the overall feasibility model inaccurate, meaning that local authorities will need to continue employing engineering consultancies to assess the feasibility of DHNs in their local area?</w:t>
      </w:r>
    </w:p>
    <w:p w14:paraId="5B849F76" w14:textId="77777777" w:rsidR="00A7521D" w:rsidRDefault="00A7521D" w:rsidP="00A7521D">
      <w:pPr>
        <w:pStyle w:val="Heading3"/>
      </w:pPr>
      <w:bookmarkStart w:id="917" w:name="_Toc525230036"/>
      <w:bookmarkStart w:id="918" w:name="_Toc7187575"/>
      <w:r>
        <w:t>Is the Heat Mapping Methodology Accurate?</w:t>
      </w:r>
      <w:bookmarkEnd w:id="917"/>
      <w:bookmarkEnd w:id="918"/>
    </w:p>
    <w:p w14:paraId="09E6463D" w14:textId="57312958" w:rsidR="00A7521D" w:rsidRDefault="00A7521D" w:rsidP="00A7521D">
      <w:r>
        <w:t xml:space="preserve">The aim of this chapter was to build a methodology that could be used to generate a heat map of </w:t>
      </w:r>
      <w:r w:rsidR="00892E1B">
        <w:t>multiple</w:t>
      </w:r>
      <w:r>
        <w:t xml:space="preserve"> local area</w:t>
      </w:r>
      <w:r w:rsidR="00892E1B">
        <w:t>s</w:t>
      </w:r>
      <w:r>
        <w:t xml:space="preserve"> in the UK. The heat map would identify parts of a local area of interest that had HD densities higher than that threshold identified by the UK government for profitable DH, as well as a sufficient number of anchor loads. If no parts of the local area were identified with a profitable HD density or anchor loads, then the DHN would not be feasibility and the overall feasibility study should be stopped. If parts of the local area of interest were identified as having a profitable HD density in addition to anchor loads, the DHN would not definitely be feasible, but further feasibility assessments would be justified. </w:t>
      </w:r>
    </w:p>
    <w:p w14:paraId="622159DD" w14:textId="42E5F7A2" w:rsidR="00A7521D" w:rsidRDefault="00A7521D" w:rsidP="00A7521D">
      <w:r>
        <w:t xml:space="preserve">The accuracy of the heat mapping methodology was assessed by comparing the results to the UK government CHP development map </w:t>
      </w:r>
      <w:r>
        <w:fldChar w:fldCharType="begin" w:fldLock="1"/>
      </w:r>
      <w:r w:rsidR="002A6A73">
        <w:instrText>ADDIN CSL_CITATION {"citationItems":[{"id":"ITEM-1","itemData":{"URL":"http://chptools.decc.gov.uk/developmentmap/#","accessed":{"date-parts":[["2018","9","7"]]},"author":[{"dropping-particle":"","family":"DECC","given":"","non-dropping-particle":"","parse-names":false,"suffix":""}],"id":"ITEM-1","issued":{"date-parts":[["2011"]]},"title":"UK CHP Development Map","type":"webpage"},"uris":["http://www.mendeley.com/documents/?uuid=a64dc9f9-2edc-442f-9aef-d800a8b1bda8"]}],"mendeley":{"formattedCitation":"(DECC, 2011)","plainTextFormattedCitation":"(DECC, 2011)","previouslyFormattedCitation":"(DECC, 2011)"},"properties":{"noteIndex":0},"schema":"https://github.com/citation-style-language/schema/raw/master/csl-citation.json"}</w:instrText>
      </w:r>
      <w:r>
        <w:fldChar w:fldCharType="separate"/>
      </w:r>
      <w:r w:rsidR="002A6A73" w:rsidRPr="002A6A73">
        <w:rPr>
          <w:noProof/>
        </w:rPr>
        <w:t>(DECC, 2011)</w:t>
      </w:r>
      <w:r>
        <w:fldChar w:fldCharType="end"/>
      </w:r>
      <w:r>
        <w:t>. The CHP development map has developed a heat mapping methodology for the entirety of the UK, plotting the results graphically and generating tables showing the total HD of highlighted areas. The map is proven to be reliable. Therefore, an agreement between the heat mapping methodology generated in this chapter and the CHP development map would prove that the heat mapping methodology is accurate.</w:t>
      </w:r>
    </w:p>
    <w:p w14:paraId="34816CF8" w14:textId="588AC867" w:rsidR="00A7521D" w:rsidRPr="00AA3106" w:rsidRDefault="00537667" w:rsidP="00A7521D">
      <w:r>
        <w:fldChar w:fldCharType="begin"/>
      </w:r>
      <w:r>
        <w:instrText xml:space="preserve"> REF _Ref522719227 \h </w:instrText>
      </w:r>
      <w:r>
        <w:fldChar w:fldCharType="separate"/>
      </w:r>
      <w:r w:rsidR="00CB7456">
        <w:t xml:space="preserve">Figure </w:t>
      </w:r>
      <w:r w:rsidR="00CB7456">
        <w:rPr>
          <w:noProof/>
        </w:rPr>
        <w:t>3</w:t>
      </w:r>
      <w:r w:rsidR="00CB7456">
        <w:t>.</w:t>
      </w:r>
      <w:r w:rsidR="00CB7456">
        <w:rPr>
          <w:noProof/>
        </w:rPr>
        <w:t>10</w:t>
      </w:r>
      <w:r>
        <w:fldChar w:fldCharType="end"/>
      </w:r>
      <w:r w:rsidR="00A7521D">
        <w:t xml:space="preserve"> compares the heat maps produced by the UK CHP development map and by this chapter. It is worth noting initially that the size and shapes of the areas that each heat map is split into differs. It is also worth noting that the CHP development map highlights areas with a minimum HD density of at least 1,000 MWh/km</w:t>
      </w:r>
      <w:r w:rsidR="00A7521D">
        <w:rPr>
          <w:vertAlign w:val="superscript"/>
        </w:rPr>
        <w:t>2</w:t>
      </w:r>
      <w:r w:rsidR="00A7521D">
        <w:t>. The heat map produced as part of the work in this thesis only highlights areas with a HD density of at least 8,700 MWh/km</w:t>
      </w:r>
      <w:r w:rsidR="00A7521D">
        <w:rPr>
          <w:vertAlign w:val="superscript"/>
        </w:rPr>
        <w:t>2</w:t>
      </w:r>
      <w:r w:rsidR="00A7521D">
        <w:t xml:space="preserve">, the minimum HD density required for profitable DH </w:t>
      </w:r>
      <w:r w:rsidR="00A7521D" w:rsidRPr="003D7103">
        <w:fldChar w:fldCharType="begin" w:fldLock="1"/>
      </w:r>
      <w:r w:rsidR="002A6A73">
        <w:instrText>ADDIN CSL_CITATION {"citationItems":[{"id":"ITEM-1","itemData":{"ISBN":"9780108508158","author":[{"dropping-particle":"","family":"DECC","given":"","non-dropping-particle":"","parse-names":false,"suffix":""}],"id":"ITEM-1","issued":{"date-parts":[["2009"]]},"publisher-place":"London, England","title":"HEAT AND ENERGY SAVING STRATEGY: Consultation","type":"report"},"uris":["http://www.mendeley.com/documents/?uuid=c859c22b-3035-4801-9bfb-6699a3da9716"]}],"mendeley":{"formattedCitation":"(DECC, 2009a)","plainTextFormattedCitation":"(DECC, 2009a)","previouslyFormattedCitation":"(DECC, 2009a)"},"properties":{"noteIndex":0},"schema":"https://github.com/citation-style-language/schema/raw/master/csl-citation.json"}</w:instrText>
      </w:r>
      <w:r w:rsidR="00A7521D" w:rsidRPr="003D7103">
        <w:fldChar w:fldCharType="separate"/>
      </w:r>
      <w:r w:rsidR="002A6A73" w:rsidRPr="002A6A73">
        <w:rPr>
          <w:noProof/>
        </w:rPr>
        <w:t>(DECC, 2009a)</w:t>
      </w:r>
      <w:r w:rsidR="00A7521D" w:rsidRPr="003D7103">
        <w:fldChar w:fldCharType="end"/>
      </w:r>
      <w:r w:rsidR="00A7521D" w:rsidRPr="003D7103">
        <w:t>.</w:t>
      </w:r>
      <w:r w:rsidR="00A7521D">
        <w:t xml:space="preserve"> When comparing the two heat maps, areas in the CHP development map that show HD densities less than 8,700 MWh/km</w:t>
      </w:r>
      <w:r w:rsidR="00A7521D">
        <w:rPr>
          <w:vertAlign w:val="superscript"/>
        </w:rPr>
        <w:t>2</w:t>
      </w:r>
      <w:r w:rsidR="00A7521D">
        <w:t xml:space="preserve"> should be ignored. Comparing the two heat maps shows that similar areas have been identified as having a minimum HD of at least 8,700 MWh/km</w:t>
      </w:r>
      <w:r w:rsidR="00A7521D">
        <w:rPr>
          <w:vertAlign w:val="superscript"/>
        </w:rPr>
        <w:t>2</w:t>
      </w:r>
      <w:r w:rsidR="00A7521D">
        <w:t>. If the CHP development map was used to identify parts of an area with profitable HDs, it would identify the same locations as the maps from this chapter. Therefore, the heat mapping methodology generated in this chapter is shown to be accurate at identifying locations with profitable HD densities.</w:t>
      </w:r>
    </w:p>
    <w:p w14:paraId="643E3F55" w14:textId="65A878BD" w:rsidR="00A7521D" w:rsidRDefault="00537667" w:rsidP="00A7521D">
      <w:r>
        <w:fldChar w:fldCharType="begin"/>
      </w:r>
      <w:r>
        <w:instrText xml:space="preserve"> REF _Ref468117053 \h </w:instrText>
      </w:r>
      <w:r>
        <w:fldChar w:fldCharType="separate"/>
      </w:r>
      <w:r w:rsidR="00CB7456" w:rsidRPr="003D7103">
        <w:t xml:space="preserve">Table </w:t>
      </w:r>
      <w:r w:rsidR="00CB7456">
        <w:rPr>
          <w:noProof/>
        </w:rPr>
        <w:t>3</w:t>
      </w:r>
      <w:r w:rsidR="00CB7456">
        <w:t>.</w:t>
      </w:r>
      <w:r w:rsidR="00CB7456">
        <w:rPr>
          <w:noProof/>
        </w:rPr>
        <w:t>6</w:t>
      </w:r>
      <w:r>
        <w:fldChar w:fldCharType="end"/>
      </w:r>
      <w:r>
        <w:t xml:space="preserve"> and </w:t>
      </w:r>
      <w:r>
        <w:fldChar w:fldCharType="begin"/>
      </w:r>
      <w:r>
        <w:instrText xml:space="preserve"> REF _Ref466301705 \h </w:instrText>
      </w:r>
      <w:r>
        <w:fldChar w:fldCharType="separate"/>
      </w:r>
      <w:r w:rsidR="00CB7456" w:rsidRPr="003D7103">
        <w:t xml:space="preserve">Table </w:t>
      </w:r>
      <w:r w:rsidR="00CB7456">
        <w:rPr>
          <w:noProof/>
        </w:rPr>
        <w:t>3</w:t>
      </w:r>
      <w:r w:rsidR="00CB7456">
        <w:t>.</w:t>
      </w:r>
      <w:r w:rsidR="00CB7456">
        <w:rPr>
          <w:noProof/>
        </w:rPr>
        <w:t>7</w:t>
      </w:r>
      <w:r>
        <w:fldChar w:fldCharType="end"/>
      </w:r>
      <w:r w:rsidR="00A7521D">
        <w:t xml:space="preserve"> compare the total HDs found in the area being mapped, using both the chapter and CHP development map methodologies. It is worth noting that the methodology used in the thesis only considers the seven locations shown in </w:t>
      </w:r>
      <w:r>
        <w:fldChar w:fldCharType="begin"/>
      </w:r>
      <w:r>
        <w:instrText xml:space="preserve"> REF _Ref525661718 \h </w:instrText>
      </w:r>
      <w:r>
        <w:fldChar w:fldCharType="separate"/>
      </w:r>
      <w:r w:rsidR="00CB7456">
        <w:t xml:space="preserve">Figure </w:t>
      </w:r>
      <w:r w:rsidR="00CB7456">
        <w:rPr>
          <w:noProof/>
        </w:rPr>
        <w:t>3</w:t>
      </w:r>
      <w:r w:rsidR="00CB7456">
        <w:t>.</w:t>
      </w:r>
      <w:r w:rsidR="00CB7456">
        <w:rPr>
          <w:noProof/>
        </w:rPr>
        <w:t>1</w:t>
      </w:r>
      <w:r>
        <w:fldChar w:fldCharType="end"/>
      </w:r>
      <w:r w:rsidR="00A7521D">
        <w:t xml:space="preserve">, </w:t>
      </w:r>
      <w:r w:rsidR="00A7521D">
        <w:lastRenderedPageBreak/>
        <w:t xml:space="preserve">whereas the UK CHP development map considers the entire area of interest within an 8 km radius of the HJE site. Both </w:t>
      </w:r>
      <w:r>
        <w:fldChar w:fldCharType="begin"/>
      </w:r>
      <w:r>
        <w:instrText xml:space="preserve"> REF _Ref468117053 \h </w:instrText>
      </w:r>
      <w:r>
        <w:fldChar w:fldCharType="separate"/>
      </w:r>
      <w:r w:rsidR="00CB7456" w:rsidRPr="003D7103">
        <w:t xml:space="preserve">Table </w:t>
      </w:r>
      <w:r w:rsidR="00CB7456">
        <w:rPr>
          <w:noProof/>
        </w:rPr>
        <w:t>3</w:t>
      </w:r>
      <w:r w:rsidR="00CB7456">
        <w:t>.</w:t>
      </w:r>
      <w:r w:rsidR="00CB7456">
        <w:rPr>
          <w:noProof/>
        </w:rPr>
        <w:t>6</w:t>
      </w:r>
      <w:r>
        <w:fldChar w:fldCharType="end"/>
      </w:r>
      <w:r>
        <w:t xml:space="preserve"> and </w:t>
      </w:r>
      <w:r>
        <w:fldChar w:fldCharType="begin"/>
      </w:r>
      <w:r>
        <w:instrText xml:space="preserve"> REF _Ref466301705 \h </w:instrText>
      </w:r>
      <w:r>
        <w:fldChar w:fldCharType="separate"/>
      </w:r>
      <w:r w:rsidR="00CB7456" w:rsidRPr="003D7103">
        <w:t xml:space="preserve">Table </w:t>
      </w:r>
      <w:r w:rsidR="00CB7456">
        <w:rPr>
          <w:noProof/>
        </w:rPr>
        <w:t>3</w:t>
      </w:r>
      <w:r w:rsidR="00CB7456">
        <w:t>.</w:t>
      </w:r>
      <w:r w:rsidR="00CB7456">
        <w:rPr>
          <w:noProof/>
        </w:rPr>
        <w:t>7</w:t>
      </w:r>
      <w:r>
        <w:fldChar w:fldCharType="end"/>
      </w:r>
      <w:r w:rsidR="00A7521D">
        <w:t xml:space="preserve"> split the total HD into commercial and domestic demands. The total commercial HD found by the CHP development map is 42,000 MWh, whereas the total commercial HD found in this chapter is 49,000 MWh. The difference between the two HDs is 14% which is lower than industrial reported variations, so is acceptable. If the total commercial HDs are within an acceptable threshold, it can be assumed that the HD of each individual commercial building is also within an acceptable threshold. The agreement between the two values for the total commercial HD supports the identification of anchor loads found in this chapter. Therefore, the heat mapping methodology generated in this chapter is shown to be accurate at identifying anchor loads.</w:t>
      </w:r>
    </w:p>
    <w:p w14:paraId="43108688" w14:textId="77777777" w:rsidR="00A7521D" w:rsidRDefault="00A7521D" w:rsidP="00A7521D">
      <w:r>
        <w:t>The total domestic HD found by the CHP development map is 322,000 MWh, whereas the total domestic HD found in this chapter is 200,000 MWh.</w:t>
      </w:r>
      <w:r w:rsidRPr="00D84E6E">
        <w:t xml:space="preserve"> </w:t>
      </w:r>
      <w:r>
        <w:t>The difference between the two HDs is 38%, which is higher than industrial reported variations, so is significant. However, the purpose of the heat mapping methodology is to not calculate the overall domestic HD of an area. Instead, the purpose is to identify areas with profitable HDs and anchor loads. It only matters if the two heat maps agree in terms of the total commercial HD and the locations of areas with profitable HD densities. Therefore, the disagreement between the total domestic HDs does not mean that the heat mapping methodology presented in this chapter is inaccurate. Overall, the heat mapping methodology presented in this chapter has been proven to be accurate and can be used in future work.</w:t>
      </w:r>
    </w:p>
    <w:p w14:paraId="6C05E366" w14:textId="77777777" w:rsidR="00A7521D" w:rsidRDefault="00A7521D" w:rsidP="00A7521D">
      <w:pPr>
        <w:pStyle w:val="Heading3"/>
      </w:pPr>
      <w:bookmarkStart w:id="919" w:name="_Toc525230037"/>
      <w:bookmarkStart w:id="920" w:name="_Toc7187576"/>
      <w:r>
        <w:t>Is the Quantification of the Industrial Heat Supply Variation Accurate?</w:t>
      </w:r>
      <w:bookmarkEnd w:id="919"/>
      <w:bookmarkEnd w:id="920"/>
    </w:p>
    <w:p w14:paraId="38F1B1A6" w14:textId="3D347652" w:rsidR="00A7521D" w:rsidRDefault="00A7521D" w:rsidP="00A7521D">
      <w:r>
        <w:t xml:space="preserve">The aim of this chapter was to build a model to quantify the WH variation from </w:t>
      </w:r>
      <w:r w:rsidR="00892E1B">
        <w:t>multiple</w:t>
      </w:r>
      <w:r>
        <w:t xml:space="preserve"> industrial location</w:t>
      </w:r>
      <w:r w:rsidR="00892E1B">
        <w:t>s</w:t>
      </w:r>
      <w:r>
        <w:t>. Ideally, the industrial site would keep records of the enthalpy and temperatures of each stream in their process. In that case, the quantification process would be simple and accurate, only requiring a possible simplification to remove some of the noise from the variation. If the industrial site kept records of the variation in the temperature, composition and mass flowrates of each stream in their process, the quantification would still be simple and accurate. All that would be required would two equations, Equation</w:t>
      </w:r>
      <w:r w:rsidR="00537667">
        <w:t xml:space="preserve"> </w:t>
      </w:r>
      <w:r w:rsidR="00537667">
        <w:fldChar w:fldCharType="begin"/>
      </w:r>
      <w:r w:rsidR="00537667">
        <w:instrText xml:space="preserve"> REF _Ref531101836 \h </w:instrText>
      </w:r>
      <w:r w:rsidR="00537667">
        <w:fldChar w:fldCharType="separate"/>
      </w:r>
      <w:r w:rsidR="00CB7456">
        <w:rPr>
          <w:noProof/>
        </w:rPr>
        <w:t>4</w:t>
      </w:r>
      <w:r w:rsidR="00CB7456">
        <w:t>.</w:t>
      </w:r>
      <w:r w:rsidR="00CB7456">
        <w:rPr>
          <w:noProof/>
        </w:rPr>
        <w:t>2</w:t>
      </w:r>
      <w:r w:rsidR="00537667">
        <w:fldChar w:fldCharType="end"/>
      </w:r>
      <w:r>
        <w:t xml:space="preserve"> and Equation </w:t>
      </w:r>
      <w:r w:rsidR="00537667">
        <w:fldChar w:fldCharType="begin"/>
      </w:r>
      <w:r w:rsidR="00537667">
        <w:instrText xml:space="preserve"> REF _Ref531101921 \h </w:instrText>
      </w:r>
      <w:r w:rsidR="00537667">
        <w:fldChar w:fldCharType="separate"/>
      </w:r>
      <w:r w:rsidR="00CB7456">
        <w:rPr>
          <w:noProof/>
        </w:rPr>
        <w:t>4</w:t>
      </w:r>
      <w:r w:rsidR="00CB7456">
        <w:t>.</w:t>
      </w:r>
      <w:r w:rsidR="00CB7456">
        <w:rPr>
          <w:noProof/>
        </w:rPr>
        <w:t>3</w:t>
      </w:r>
      <w:r w:rsidR="00537667">
        <w:fldChar w:fldCharType="end"/>
      </w:r>
      <w:r>
        <w:t>, as well as the removal of the noise from the variation.</w:t>
      </w:r>
    </w:p>
    <w:p w14:paraId="2B38EEDE" w14:textId="279F2B65" w:rsidR="00A7521D" w:rsidRDefault="00A7521D" w:rsidP="00A7521D">
      <w:r>
        <w:t xml:space="preserve">If the industrial site does not keep accurate records of the variation, mass and energy balances would need to be carried out. Using the case study of HJE, it was explained that the mass and energy balances would be more complicated than a non-technical user would be capable of completing. Therefore, it was proven that a simple model of WH quantification from </w:t>
      </w:r>
      <w:r w:rsidR="00892E1B">
        <w:t>multiple</w:t>
      </w:r>
      <w:r>
        <w:t xml:space="preserve"> industrial location</w:t>
      </w:r>
      <w:r w:rsidR="00892E1B">
        <w:t>s</w:t>
      </w:r>
      <w:r>
        <w:t xml:space="preserve"> was not possible to build and could not be used in future work.</w:t>
      </w:r>
    </w:p>
    <w:p w14:paraId="42309204" w14:textId="77777777" w:rsidR="00A7521D" w:rsidRDefault="00A7521D" w:rsidP="00A7521D">
      <w:r>
        <w:t xml:space="preserve">Instead, it was advised that the non-technical user should speak to the owner or operator of the industrial site, to obtain the WH variation. It is likely that the owner or operator could be convinced that a new DHN would be beneficial to the company, providing a customer for their WH and introducing a new revenue stream. In that case, it is likely that a member of staff at the industrial site would be instructed to quantify the WH variation. If the variation had been calculated by a trained individual, the results would be accurate enough to use in </w:t>
      </w:r>
      <w:r>
        <w:lastRenderedPageBreak/>
        <w:t>the overall DH feasibility study. Therefore, even though the model for WH variation is not possible, an alternative solution has been proposed that will allow the rest of the feasibility study to continue.</w:t>
      </w:r>
    </w:p>
    <w:p w14:paraId="5C5E7559" w14:textId="77777777" w:rsidR="00A7521D" w:rsidRDefault="00A7521D" w:rsidP="00A7521D">
      <w:pPr>
        <w:pStyle w:val="Heading3"/>
      </w:pPr>
      <w:bookmarkStart w:id="921" w:name="_Toc525230038"/>
      <w:bookmarkStart w:id="922" w:name="_Toc7187577"/>
      <w:r>
        <w:t>Is the Waste Heat Recovery Model Accurate?</w:t>
      </w:r>
      <w:bookmarkEnd w:id="921"/>
      <w:bookmarkEnd w:id="922"/>
    </w:p>
    <w:p w14:paraId="2EC8C5A1" w14:textId="5A96675B" w:rsidR="00A7521D" w:rsidRDefault="00A7521D" w:rsidP="00527AD2">
      <w:pPr>
        <w:jc w:val="left"/>
      </w:pPr>
      <w:r>
        <w:t xml:space="preserve">The aim of this chapter was to build a model that could choose the optimum WHR technology by comparing the CAPEX, OPEX, and revenues of a number of different options. In addition, the variation in the heat levels post WHR would be quantified. As shown in </w:t>
      </w:r>
      <w:r w:rsidR="00527AD2">
        <w:fldChar w:fldCharType="begin"/>
      </w:r>
      <w:r w:rsidR="00527AD2">
        <w:instrText xml:space="preserve"> REF _Ref5876346 \h </w:instrText>
      </w:r>
      <w:r w:rsidR="00527AD2">
        <w:fldChar w:fldCharType="separate"/>
      </w:r>
      <w:r w:rsidR="00CB7456">
        <w:t xml:space="preserve">Table </w:t>
      </w:r>
      <w:r w:rsidR="00CB7456">
        <w:rPr>
          <w:noProof/>
        </w:rPr>
        <w:t>5</w:t>
      </w:r>
      <w:r w:rsidR="00CB7456">
        <w:t>.</w:t>
      </w:r>
      <w:r w:rsidR="00CB7456">
        <w:rPr>
          <w:noProof/>
        </w:rPr>
        <w:t>10</w:t>
      </w:r>
      <w:r w:rsidR="00527AD2">
        <w:fldChar w:fldCharType="end"/>
      </w:r>
      <w:r w:rsidR="00527AD2">
        <w:t xml:space="preserve"> </w:t>
      </w:r>
      <w:r w:rsidR="00537667">
        <w:t>and</w:t>
      </w:r>
      <w:r w:rsidR="00527AD2">
        <w:t xml:space="preserve"> </w:t>
      </w:r>
      <w:r w:rsidR="00527AD2">
        <w:fldChar w:fldCharType="begin"/>
      </w:r>
      <w:r w:rsidR="00527AD2">
        <w:instrText xml:space="preserve"> REF _Ref5788398 \h </w:instrText>
      </w:r>
      <w:r w:rsidR="00527AD2">
        <w:fldChar w:fldCharType="separate"/>
      </w:r>
      <w:r w:rsidR="00CB7456">
        <w:t xml:space="preserve">Table </w:t>
      </w:r>
      <w:r w:rsidR="00CB7456">
        <w:rPr>
          <w:noProof/>
        </w:rPr>
        <w:t>5</w:t>
      </w:r>
      <w:r w:rsidR="00CB7456">
        <w:t>.</w:t>
      </w:r>
      <w:r w:rsidR="00CB7456">
        <w:rPr>
          <w:noProof/>
        </w:rPr>
        <w:t>11</w:t>
      </w:r>
      <w:r w:rsidR="00527AD2">
        <w:fldChar w:fldCharType="end"/>
      </w:r>
      <w:r>
        <w:t>, the WHR modelling process required 65 different inputs to be made. A non</w:t>
      </w:r>
      <w:r>
        <w:noBreakHyphen/>
        <w:t xml:space="preserve">technical user would not be capable of accurately inputting 65 different inputs. Therefore, a number of the inputs were predetermined, said to be dependent on other variables, or discretised, offering a small list of variables that could be chosen as the input. In total, the 65 different inputs were reduced to 7 continuous and 17 discrete inputs, which would be more feasible for the user. The process of reducing the 65 inputs required 54 assumptions to be made. Each assumption needed testing with MC simulations, both individually and then globally. </w:t>
      </w:r>
    </w:p>
    <w:p w14:paraId="67527359" w14:textId="77777777" w:rsidR="00A7521D" w:rsidRDefault="00A7521D" w:rsidP="00A7521D">
      <w:r>
        <w:t xml:space="preserve">An initial six MC simulations were run, with four of the six failing to run to completion. In the WHR model, the Excel spreadsheet was designed to automatically run iterative based calculations and to find the output values of graphs and tables based on their input values. The four MC simulations failed as either the iterative calculations diverged or the input values of the graphs or the tables were outside of the allowable range. A non-technical user would not be able to fix problems such as these. Therefore, it was proven that the simple WHR model was not possible and should not be used in future work. </w:t>
      </w:r>
    </w:p>
    <w:p w14:paraId="61201092" w14:textId="20B07C17" w:rsidR="00A7521D" w:rsidRDefault="00A7521D" w:rsidP="00A7521D">
      <w:r>
        <w:t>A solution was proposed in which, instead of choosing the optimum WHR technology, the effects of the WHR processes were estimated. Based on a report by the Carbon Trust, a WHR efficiency of 60% was assumed</w:t>
      </w:r>
      <w:r w:rsidR="006F4DD7">
        <w:t xml:space="preserve"> </w:t>
      </w:r>
      <w:r w:rsidR="006F4DD7">
        <w:fldChar w:fldCharType="begin" w:fldLock="1"/>
      </w:r>
      <w:r w:rsidR="006F4DD7">
        <w:instrText>ADDIN CSL_CITATION {"citationItems":[{"id":"ITEM-1","itemData":{"abstract":"This guide is intended for anyone who has responsibility for the efficient and cost-effective operation of buildings, or those who use an industrial process where heat might be unnecessarily wasted. The application of heat recovery techniques can significantly reduce energy consumption, running costs and carbon emissions. These techniques can be applied in isolation, but would be better as part of an overall strategy to reduce energy cost and carbon.","author":[{"dropping-particle":"","family":"Carbon Trust","given":"","non-dropping-particle":"","parse-names":false,"suffix":""}],"id":"ITEM-1","issued":{"date-parts":[["2011"]]},"publisher-place":"London, England","title":"Heat recovery: A guide to key systems and applications","type":"report"},"uris":["http://www.mendeley.com/documents/?uuid=60a2ac18-607c-4132-a5b5-083ee1934127"]}],"mendeley":{"formattedCitation":"(Carbon Trust, 2011)","plainTextFormattedCitation":"(Carbon Trust, 2011)","previouslyFormattedCitation":"(Carbon Trust, 2011)"},"properties":{"noteIndex":0},"schema":"https://github.com/citation-style-language/schema/raw/master/csl-citation.json"}</w:instrText>
      </w:r>
      <w:r w:rsidR="006F4DD7">
        <w:fldChar w:fldCharType="separate"/>
      </w:r>
      <w:r w:rsidR="006F4DD7" w:rsidRPr="002A6A73">
        <w:rPr>
          <w:noProof/>
        </w:rPr>
        <w:t>(Carbon Trust, 2011)</w:t>
      </w:r>
      <w:r w:rsidR="006F4DD7">
        <w:fldChar w:fldCharType="end"/>
      </w:r>
      <w:r>
        <w:t xml:space="preserve">. </w:t>
      </w:r>
      <w:r w:rsidR="00537667">
        <w:fldChar w:fldCharType="begin"/>
      </w:r>
      <w:r w:rsidR="00537667">
        <w:instrText xml:space="preserve"> REF _Ref525116733 \h </w:instrText>
      </w:r>
      <w:r w:rsidR="00537667">
        <w:fldChar w:fldCharType="separate"/>
      </w:r>
      <w:r w:rsidR="00CB7456">
        <w:t xml:space="preserve">Figure </w:t>
      </w:r>
      <w:r w:rsidR="00CB7456">
        <w:rPr>
          <w:noProof/>
        </w:rPr>
        <w:t>5</w:t>
      </w:r>
      <w:r w:rsidR="00CB7456">
        <w:t>.</w:t>
      </w:r>
      <w:r w:rsidR="00CB7456">
        <w:rPr>
          <w:noProof/>
        </w:rPr>
        <w:t>7</w:t>
      </w:r>
      <w:r w:rsidR="00537667">
        <w:fldChar w:fldCharType="end"/>
      </w:r>
      <w:r>
        <w:t xml:space="preserve"> compared the variation in the assumed WHR to the WHR calculated in the case study, finding differences of only 7%. A 7% difference is acceptable in the overall feasibility study, so the 60% efficiency assumption was acceptable. The costs and environmental effects of the WHR processes should be considered as belonging to the industrial site. Therefore, the techno-economic and environmental assessments of the DHN would not have to consider the WHR processes. Even though the model for the WHR was not possible, an alternative solution has been proposed that will allow the rest of the feasibility study to continue.</w:t>
      </w:r>
    </w:p>
    <w:p w14:paraId="262898D1" w14:textId="77777777" w:rsidR="00A7521D" w:rsidRDefault="00A7521D" w:rsidP="00A7521D">
      <w:pPr>
        <w:pStyle w:val="Heading3"/>
      </w:pPr>
      <w:bookmarkStart w:id="923" w:name="_Toc525230039"/>
      <w:bookmarkStart w:id="924" w:name="_Toc7187578"/>
      <w:r>
        <w:t>Is the Heat Demand Model Accurate?</w:t>
      </w:r>
      <w:bookmarkEnd w:id="923"/>
      <w:bookmarkEnd w:id="924"/>
    </w:p>
    <w:p w14:paraId="7E7B535A" w14:textId="77777777" w:rsidR="00A7521D" w:rsidRDefault="00A7521D" w:rsidP="00A7521D">
      <w:r>
        <w:t xml:space="preserve">The aim of this chapter was to build a generic model of the HD variation in a local area. To meet the aim of keeping the model simple, three assumptions were made. The assumptions were: </w:t>
      </w:r>
    </w:p>
    <w:p w14:paraId="5C39A432" w14:textId="77777777" w:rsidR="00A7521D" w:rsidRDefault="00A7521D" w:rsidP="00202E44">
      <w:pPr>
        <w:pStyle w:val="ListParagraph"/>
        <w:numPr>
          <w:ilvl w:val="0"/>
          <w:numId w:val="39"/>
        </w:numPr>
      </w:pPr>
      <w:r>
        <w:t xml:space="preserve">That each building in the same archetype category was of the same, assumed size. </w:t>
      </w:r>
    </w:p>
    <w:p w14:paraId="2A5CFFC9" w14:textId="77777777" w:rsidR="00A7521D" w:rsidRDefault="00A7521D" w:rsidP="00202E44">
      <w:pPr>
        <w:pStyle w:val="ListParagraph"/>
        <w:numPr>
          <w:ilvl w:val="0"/>
          <w:numId w:val="39"/>
        </w:numPr>
      </w:pPr>
      <w:r>
        <w:t xml:space="preserve">That each building in the same archetype category had the same hourly HD profile, as was described by the industrial source. </w:t>
      </w:r>
    </w:p>
    <w:p w14:paraId="4CCD91E5" w14:textId="77777777" w:rsidR="00A7521D" w:rsidRDefault="00A7521D" w:rsidP="00202E44">
      <w:pPr>
        <w:pStyle w:val="ListParagraph"/>
        <w:numPr>
          <w:ilvl w:val="0"/>
          <w:numId w:val="39"/>
        </w:numPr>
      </w:pPr>
      <w:r>
        <w:t>T</w:t>
      </w:r>
      <w:r w:rsidRPr="00E6425E">
        <w:t>hat the pipe route r</w:t>
      </w:r>
      <w:r>
        <w:t>a</w:t>
      </w:r>
      <w:r w:rsidRPr="00E6425E">
        <w:t>n in the shortest possible straight-line distance from the heat source to the customer</w:t>
      </w:r>
      <w:r>
        <w:t>,</w:t>
      </w:r>
      <w:r w:rsidRPr="00E6425E">
        <w:t xml:space="preserve"> via the centre</w:t>
      </w:r>
      <w:r>
        <w:t>s</w:t>
      </w:r>
      <w:r w:rsidRPr="00E6425E">
        <w:t xml:space="preserve"> of the node and the </w:t>
      </w:r>
      <w:proofErr w:type="spellStart"/>
      <w:r w:rsidRPr="00E6425E">
        <w:t>subnode</w:t>
      </w:r>
      <w:proofErr w:type="spellEnd"/>
      <w:r>
        <w:t xml:space="preserve">. </w:t>
      </w:r>
    </w:p>
    <w:p w14:paraId="0DD158C6" w14:textId="77777777" w:rsidR="0052748F" w:rsidRDefault="00A7521D" w:rsidP="00537667">
      <w:r>
        <w:lastRenderedPageBreak/>
        <w:t>The assumptions were tested using MC simulations.</w:t>
      </w:r>
    </w:p>
    <w:p w14:paraId="39E45527" w14:textId="5F17A1D8" w:rsidR="00A7521D" w:rsidRDefault="00537667" w:rsidP="00537667">
      <w:pPr>
        <w:rPr>
          <w:color w:val="000000" w:themeColor="text1"/>
        </w:rPr>
      </w:pPr>
      <w:r>
        <w:fldChar w:fldCharType="begin"/>
      </w:r>
      <w:r>
        <w:instrText xml:space="preserve"> REF _Ref523394610 \h </w:instrText>
      </w:r>
      <w:r>
        <w:fldChar w:fldCharType="separate"/>
      </w:r>
      <w:r w:rsidR="00CB7456">
        <w:t xml:space="preserve">Figure </w:t>
      </w:r>
      <w:r w:rsidR="00CB7456">
        <w:rPr>
          <w:noProof/>
        </w:rPr>
        <w:t>6</w:t>
      </w:r>
      <w:r w:rsidR="00CB7456">
        <w:t>.</w:t>
      </w:r>
      <w:r w:rsidR="00CB7456">
        <w:rPr>
          <w:noProof/>
        </w:rPr>
        <w:t>5</w:t>
      </w:r>
      <w:r>
        <w:fldChar w:fldCharType="end"/>
      </w:r>
      <w:r>
        <w:t xml:space="preserve">, </w:t>
      </w:r>
      <w:r>
        <w:fldChar w:fldCharType="begin"/>
      </w:r>
      <w:r>
        <w:instrText xml:space="preserve"> REF _Ref523395297 \h </w:instrText>
      </w:r>
      <w:r>
        <w:fldChar w:fldCharType="separate"/>
      </w:r>
      <w:r w:rsidR="00CB7456">
        <w:t xml:space="preserve">Figure </w:t>
      </w:r>
      <w:r w:rsidR="00CB7456">
        <w:rPr>
          <w:noProof/>
        </w:rPr>
        <w:t>6</w:t>
      </w:r>
      <w:r w:rsidR="00CB7456">
        <w:t>.</w:t>
      </w:r>
      <w:r w:rsidR="00CB7456">
        <w:rPr>
          <w:noProof/>
        </w:rPr>
        <w:t>6</w:t>
      </w:r>
      <w:r>
        <w:fldChar w:fldCharType="end"/>
      </w:r>
      <w:r>
        <w:t xml:space="preserve"> and </w:t>
      </w:r>
      <w:r>
        <w:fldChar w:fldCharType="begin"/>
      </w:r>
      <w:r>
        <w:instrText xml:space="preserve"> REF _Ref526087704 \h </w:instrText>
      </w:r>
      <w:r>
        <w:fldChar w:fldCharType="separate"/>
      </w:r>
      <w:r w:rsidR="00CB7456">
        <w:t xml:space="preserve">Table </w:t>
      </w:r>
      <w:r w:rsidR="00CB7456">
        <w:rPr>
          <w:noProof/>
        </w:rPr>
        <w:t>6</w:t>
      </w:r>
      <w:r w:rsidR="00CB7456">
        <w:t>.</w:t>
      </w:r>
      <w:r w:rsidR="00CB7456">
        <w:rPr>
          <w:noProof/>
        </w:rPr>
        <w:t>4</w:t>
      </w:r>
      <w:r>
        <w:fldChar w:fldCharType="end"/>
      </w:r>
      <w:r>
        <w:t xml:space="preserve"> </w:t>
      </w:r>
      <w:r w:rsidR="00A7521D">
        <w:t xml:space="preserve">show the results of the individual MC simulations. The output variation of assumption (1) was shown to be highly </w:t>
      </w:r>
      <w:r w:rsidR="00A7521D">
        <w:rPr>
          <w:color w:val="000000" w:themeColor="text1"/>
        </w:rPr>
        <w:t xml:space="preserve">sensitive </w:t>
      </w:r>
      <w:r w:rsidR="00A7521D">
        <w:t xml:space="preserve">to the input variation. </w:t>
      </w:r>
      <w:r w:rsidR="00A7521D">
        <w:rPr>
          <w:color w:val="000000" w:themeColor="text1"/>
        </w:rPr>
        <w:t xml:space="preserve">A 90% variation in the input uncertainty caused 247% variation in the output uncertainty, which is significantly higher than industrial reported variations. It was not clear how sensitive the output variation of assumption (2) was to the input variation, so more assessment was needed. The </w:t>
      </w:r>
      <w:r w:rsidR="00A7521D">
        <w:t xml:space="preserve">output variation of assumption (3) was shown to be insensitive to the input variation. </w:t>
      </w:r>
      <w:r w:rsidR="00A7521D">
        <w:rPr>
          <w:color w:val="000000" w:themeColor="text1"/>
        </w:rPr>
        <w:t xml:space="preserve">A 90% variation in the input uncertainty caused 29% variation in the output uncertainty, which is comparable to industrial reported variations. </w:t>
      </w:r>
      <w:r>
        <w:rPr>
          <w:color w:val="000000" w:themeColor="text1"/>
        </w:rPr>
        <w:fldChar w:fldCharType="begin"/>
      </w:r>
      <w:r>
        <w:rPr>
          <w:color w:val="000000" w:themeColor="text1"/>
        </w:rPr>
        <w:instrText xml:space="preserve"> REF _Ref523396019 \h </w:instrText>
      </w:r>
      <w:r>
        <w:rPr>
          <w:color w:val="000000" w:themeColor="text1"/>
        </w:rPr>
      </w:r>
      <w:r>
        <w:rPr>
          <w:color w:val="000000" w:themeColor="text1"/>
        </w:rPr>
        <w:fldChar w:fldCharType="separate"/>
      </w:r>
      <w:r w:rsidR="00CB7456">
        <w:t xml:space="preserve">Figure </w:t>
      </w:r>
      <w:r w:rsidR="00CB7456">
        <w:rPr>
          <w:noProof/>
        </w:rPr>
        <w:t>6</w:t>
      </w:r>
      <w:r w:rsidR="00CB7456">
        <w:t>.</w:t>
      </w:r>
      <w:r w:rsidR="00CB7456">
        <w:rPr>
          <w:noProof/>
        </w:rPr>
        <w:t>7</w:t>
      </w:r>
      <w:r>
        <w:rPr>
          <w:color w:val="000000" w:themeColor="text1"/>
        </w:rPr>
        <w:fldChar w:fldCharType="end"/>
      </w:r>
      <w:r w:rsidR="00A7521D">
        <w:rPr>
          <w:color w:val="000000" w:themeColor="text1"/>
        </w:rPr>
        <w:t xml:space="preserve"> compared the distributions of the input and output variations in assumption (2). It was shown that the variation in the output was identical to the variation in the input, the variation in HDs found in actual buildings. It was shown that assumption (1) was inaccurate and could not be used in future work whereas assumptions (2) and (3) were both accurate when assessed individually.</w:t>
      </w:r>
    </w:p>
    <w:p w14:paraId="07A37BEF" w14:textId="4254ED5E" w:rsidR="00A7521D" w:rsidRDefault="00A7521D" w:rsidP="00A7521D">
      <w:pPr>
        <w:rPr>
          <w:color w:val="000000" w:themeColor="text1"/>
        </w:rPr>
      </w:pPr>
      <w:r>
        <w:rPr>
          <w:color w:val="000000" w:themeColor="text1"/>
        </w:rPr>
        <w:t xml:space="preserve">The accuracy of assumptions (2) and (3) were compared simultaneously, as shown in </w:t>
      </w:r>
      <w:r w:rsidR="00537667">
        <w:rPr>
          <w:color w:val="000000" w:themeColor="text1"/>
        </w:rPr>
        <w:fldChar w:fldCharType="begin"/>
      </w:r>
      <w:r w:rsidR="00537667">
        <w:rPr>
          <w:color w:val="000000" w:themeColor="text1"/>
        </w:rPr>
        <w:instrText xml:space="preserve"> REF _Ref523396466 \h </w:instrText>
      </w:r>
      <w:r w:rsidR="00537667">
        <w:rPr>
          <w:color w:val="000000" w:themeColor="text1"/>
        </w:rPr>
      </w:r>
      <w:r w:rsidR="00537667">
        <w:rPr>
          <w:color w:val="000000" w:themeColor="text1"/>
        </w:rPr>
        <w:fldChar w:fldCharType="separate"/>
      </w:r>
      <w:r w:rsidR="00CB7456">
        <w:t xml:space="preserve">Figure </w:t>
      </w:r>
      <w:r w:rsidR="00CB7456">
        <w:rPr>
          <w:noProof/>
        </w:rPr>
        <w:t>6</w:t>
      </w:r>
      <w:r w:rsidR="00CB7456">
        <w:t>.</w:t>
      </w:r>
      <w:r w:rsidR="00CB7456">
        <w:rPr>
          <w:noProof/>
        </w:rPr>
        <w:t>8</w:t>
      </w:r>
      <w:r w:rsidR="00537667">
        <w:rPr>
          <w:color w:val="000000" w:themeColor="text1"/>
        </w:rPr>
        <w:fldChar w:fldCharType="end"/>
      </w:r>
      <w:r>
        <w:rPr>
          <w:color w:val="000000" w:themeColor="text1"/>
        </w:rPr>
        <w:t xml:space="preserve">. The output variation of the global MC simulations </w:t>
      </w:r>
      <w:proofErr w:type="gramStart"/>
      <w:r>
        <w:rPr>
          <w:color w:val="000000" w:themeColor="text1"/>
        </w:rPr>
        <w:t>were</w:t>
      </w:r>
      <w:proofErr w:type="gramEnd"/>
      <w:r>
        <w:rPr>
          <w:color w:val="000000" w:themeColor="text1"/>
        </w:rPr>
        <w:t xml:space="preserve"> similar to the variation of the model inputs, the variations in actual building HDs and DH pipe lengths. Therefore, assumptions (2) and (3) were shown to be accurate and could be kept in future work.</w:t>
      </w:r>
    </w:p>
    <w:p w14:paraId="25D62D3C" w14:textId="1C0682B4" w:rsidR="00A7521D" w:rsidRDefault="00A7521D" w:rsidP="00A7521D">
      <w:pPr>
        <w:rPr>
          <w:color w:val="000000" w:themeColor="text1"/>
        </w:rPr>
      </w:pPr>
      <w:r>
        <w:rPr>
          <w:color w:val="000000" w:themeColor="text1"/>
        </w:rPr>
        <w:t xml:space="preserve">A new technique was proposed, where the building sizes were measured manually using Google Maps and Google Street View. Using Google to measure the building sizes introduced error of 3.54% into the work </w:t>
      </w:r>
      <w:r>
        <w:fldChar w:fldCharType="begin" w:fldLock="1"/>
      </w:r>
      <w:r w:rsidR="002A6A73">
        <w:instrText>ADDIN CSL_CITATION {"citationItems":[{"id":"ITEM-1","itemData":{"abstract":"Objetivou-se avaliar a qualidade posicional e geométrica das imagens de alta resolução disponibilizadas pelo Google Earth, utilizando como referência um mapeamento em escala 1/2.000 do município de Barbacena – MG. Em seguida, verificou-se a possibilidade da utilização das imagens do Google Earth como fontes de dados para a produção de mapas, definindo, nesse caso, seus tipos e a resolução versus escala, apontando fatores limitantes e excludentes no uso dessas imagens para fins de mapeamento. Os testes realizados demonstraram eficiência ao ilustrarem numericamente a realidade geométrica e posicional da imagem avaliada presente no banco de dados do Google Earth. A partir das análises, foi elaborada uma proposta metodológica contendo procedimentos e recomendações para a utilização consciente e responsável das imagens do Google Earth, além de considerações a respeito de suas limitações.","author":[{"dropping-particle":"","family":"Lopes","given":"Edésio Elias","non-dropping-particle":"","parse-names":false,"suffix":""},{"dropping-particle":"","family":"Nogueira","given":"Ruth Emilia","non-dropping-particle":"","parse-names":false,"suffix":""}],"container-title":"Ufsc","id":"ITEM-1","issued":{"date-parts":[["2009"]]},"title":"Proposta Metodológica para Validação de Imagens de Alta Resolução do Google Earth para a Produção de Mapas","type":"article-journal"},"uris":["http://www.mendeley.com/documents/?uuid=b5c9eb17-813f-4f64-8895-8faca3df6df4"]}],"mendeley":{"formattedCitation":"(Lopes and Nogueira, 2009)","plainTextFormattedCitation":"(Lopes and Nogueira, 2009)","previouslyFormattedCitation":"(Lopes and Nogueira, 2009)"},"properties":{"noteIndex":0},"schema":"https://github.com/citation-style-language/schema/raw/master/csl-citation.json"}</w:instrText>
      </w:r>
      <w:r>
        <w:fldChar w:fldCharType="separate"/>
      </w:r>
      <w:r w:rsidR="002A6A73" w:rsidRPr="002A6A73">
        <w:rPr>
          <w:noProof/>
        </w:rPr>
        <w:t>(Lopes and Nogueira, 2009)</w:t>
      </w:r>
      <w:r>
        <w:fldChar w:fldCharType="end"/>
      </w:r>
      <w:r>
        <w:t>. A global MC simulation</w:t>
      </w:r>
      <w:r>
        <w:rPr>
          <w:color w:val="000000" w:themeColor="text1"/>
        </w:rPr>
        <w:t xml:space="preserve"> was run comparing assumptions (2) and (3) and the 3.54% error, as shown in </w:t>
      </w:r>
      <w:r w:rsidR="00537667">
        <w:rPr>
          <w:color w:val="000000" w:themeColor="text1"/>
        </w:rPr>
        <w:fldChar w:fldCharType="begin"/>
      </w:r>
      <w:r w:rsidR="00537667">
        <w:rPr>
          <w:color w:val="000000" w:themeColor="text1"/>
        </w:rPr>
        <w:instrText xml:space="preserve"> REF _Ref523403037 \h </w:instrText>
      </w:r>
      <w:r w:rsidR="00537667">
        <w:rPr>
          <w:color w:val="000000" w:themeColor="text1"/>
        </w:rPr>
      </w:r>
      <w:r w:rsidR="00537667">
        <w:rPr>
          <w:color w:val="000000" w:themeColor="text1"/>
        </w:rPr>
        <w:fldChar w:fldCharType="separate"/>
      </w:r>
      <w:r w:rsidR="00CB7456">
        <w:t xml:space="preserve">Figure </w:t>
      </w:r>
      <w:r w:rsidR="00CB7456">
        <w:rPr>
          <w:noProof/>
        </w:rPr>
        <w:t>6</w:t>
      </w:r>
      <w:r w:rsidR="00CB7456">
        <w:t>.</w:t>
      </w:r>
      <w:r w:rsidR="00CB7456">
        <w:rPr>
          <w:noProof/>
        </w:rPr>
        <w:t>10</w:t>
      </w:r>
      <w:r w:rsidR="00537667">
        <w:rPr>
          <w:color w:val="000000" w:themeColor="text1"/>
        </w:rPr>
        <w:fldChar w:fldCharType="end"/>
      </w:r>
      <w:r>
        <w:rPr>
          <w:color w:val="000000" w:themeColor="text1"/>
        </w:rPr>
        <w:t xml:space="preserve">. The output variation of the global MC simulations </w:t>
      </w:r>
      <w:proofErr w:type="gramStart"/>
      <w:r>
        <w:rPr>
          <w:color w:val="000000" w:themeColor="text1"/>
        </w:rPr>
        <w:t>were</w:t>
      </w:r>
      <w:proofErr w:type="gramEnd"/>
      <w:r>
        <w:rPr>
          <w:color w:val="000000" w:themeColor="text1"/>
        </w:rPr>
        <w:t xml:space="preserve"> similar to the variations of the model inputs. Therefore, the 3.54% measurement error and assumptions (2) and (3) were shown to be accurate and could be kept in future work. The MC assessment proved that the generic HD model is accurate, so it can be used in future work.</w:t>
      </w:r>
    </w:p>
    <w:p w14:paraId="24920D1F" w14:textId="77777777" w:rsidR="00A7521D" w:rsidRDefault="00A7521D" w:rsidP="00A7521D">
      <w:pPr>
        <w:pStyle w:val="Heading3"/>
      </w:pPr>
      <w:bookmarkStart w:id="925" w:name="_Toc525230040"/>
      <w:bookmarkStart w:id="926" w:name="_Toc7187579"/>
      <w:r>
        <w:t>Is the District Heating Optimisation Model Accurate?</w:t>
      </w:r>
      <w:bookmarkEnd w:id="925"/>
      <w:bookmarkEnd w:id="926"/>
    </w:p>
    <w:p w14:paraId="120E2C31" w14:textId="18198C65" w:rsidR="00A7521D" w:rsidRDefault="00A7521D" w:rsidP="00A7521D">
      <w:r>
        <w:t xml:space="preserve">The aim of this chapter was to build </w:t>
      </w:r>
      <w:proofErr w:type="gramStart"/>
      <w:r>
        <w:t>a</w:t>
      </w:r>
      <w:proofErr w:type="gramEnd"/>
      <w:r>
        <w:t xml:space="preserve"> optimisation model </w:t>
      </w:r>
      <w:r w:rsidR="00892E1B">
        <w:t>that could be generalised enough to work for multiple</w:t>
      </w:r>
      <w:r>
        <w:t xml:space="preserve"> DHN</w:t>
      </w:r>
      <w:r w:rsidR="00892E1B">
        <w:t>s</w:t>
      </w:r>
      <w:r>
        <w:t>, that uses TES to match the variation in the heat supply and demand. Unlike the other chapters in the thesis, the models used in this chapter were not novel. Instead, the chapter pulled together three different optimisation models that were presented across two papers and compared the results. Both the papers were reputable, and the accuracy of the work had already been assessed, being published in reputable journals. The confidence that came from using already assessed models proved that the DH optimisation model was accurate. Therefore, the DH optimisation model can be used in future work.</w:t>
      </w:r>
    </w:p>
    <w:p w14:paraId="44C203AE" w14:textId="77777777" w:rsidR="00A7521D" w:rsidRDefault="00A7521D" w:rsidP="00A7521D">
      <w:pPr>
        <w:pStyle w:val="Heading3"/>
      </w:pPr>
      <w:bookmarkStart w:id="927" w:name="_Toc7187580"/>
      <w:r>
        <w:t>Are the Techno-Economic and Environmental Models Accurate?</w:t>
      </w:r>
      <w:bookmarkEnd w:id="927"/>
    </w:p>
    <w:p w14:paraId="621406AC" w14:textId="77777777" w:rsidR="00A7521D" w:rsidRDefault="00A7521D" w:rsidP="00A7521D">
      <w:r>
        <w:t xml:space="preserve">The aim of this chapter was to build generic models for the techno-economic and environmental assessments of DHNs. Due to time constraints, it was not possible to run a thorough validation model on the assessments. However, a study done by AECOM </w:t>
      </w:r>
      <w:r>
        <w:lastRenderedPageBreak/>
        <w:t>investigating the feasibility of DH in Derbyshire found similar results to the results calculated in this chapter. The model generated in this chapter found that with grant funding of £4 million, an IRR of 6% and a heat purchase price of 1 p/kWh, it would possible to achieve a 40-year NPV of £3.13 million. The AECOM feasibility assessment found that it was possible to achieve a positive 40-year NPV, with a 7% IRR and £5.37 million of funding. AECOM have extensive industrial experience with their DH feasibility model, so the model can be treated as accurate. If the AECOM model shows agreement with the model generated in this thesis, the techno-economic and environmental assessment models can be said to be accurate.</w:t>
      </w:r>
    </w:p>
    <w:p w14:paraId="3550D3DE" w14:textId="7989D763" w:rsidR="00A7521D" w:rsidRPr="0006132A" w:rsidRDefault="00A7521D" w:rsidP="00A7521D">
      <w:pPr>
        <w:pStyle w:val="Heading2"/>
      </w:pPr>
      <w:bookmarkStart w:id="928" w:name="_Toc525230041"/>
      <w:bookmarkStart w:id="929" w:name="_Toc7187581"/>
      <w:r>
        <w:t xml:space="preserve">Can the Feasibility Model be Applied to </w:t>
      </w:r>
      <w:r w:rsidR="00892E1B">
        <w:t>multiple</w:t>
      </w:r>
      <w:r>
        <w:t xml:space="preserve"> District Heating Network</w:t>
      </w:r>
      <w:r w:rsidR="00892E1B">
        <w:t>s</w:t>
      </w:r>
      <w:r>
        <w:t xml:space="preserve"> in the UK?</w:t>
      </w:r>
      <w:bookmarkEnd w:id="928"/>
      <w:bookmarkEnd w:id="929"/>
    </w:p>
    <w:p w14:paraId="78DCCE40" w14:textId="6D17689A" w:rsidR="00A7521D" w:rsidRDefault="00A7521D" w:rsidP="00A7521D">
      <w:pPr>
        <w:rPr>
          <w:color w:val="000000" w:themeColor="text1"/>
        </w:rPr>
      </w:pPr>
      <w:r>
        <w:rPr>
          <w:color w:val="000000" w:themeColor="text1"/>
        </w:rPr>
        <w:t>It has been shown that the feasibility model, with minor changes to two of the stages (chapters), is accurate enough to use in future work. The next question is</w:t>
      </w:r>
      <w:r w:rsidR="00892E1B">
        <w:rPr>
          <w:color w:val="000000" w:themeColor="text1"/>
        </w:rPr>
        <w:t>:</w:t>
      </w:r>
      <w:r>
        <w:rPr>
          <w:color w:val="000000" w:themeColor="text1"/>
        </w:rPr>
        <w:t xml:space="preserve"> </w:t>
      </w:r>
      <w:r w:rsidR="00892E1B">
        <w:rPr>
          <w:color w:val="000000" w:themeColor="text1"/>
        </w:rPr>
        <w:t xml:space="preserve">is </w:t>
      </w:r>
      <w:r>
        <w:rPr>
          <w:color w:val="000000" w:themeColor="text1"/>
        </w:rPr>
        <w:t>the feasibility model</w:t>
      </w:r>
      <w:r w:rsidR="00892E1B">
        <w:rPr>
          <w:color w:val="000000" w:themeColor="text1"/>
        </w:rPr>
        <w:t xml:space="preserve"> generalisable enough to</w:t>
      </w:r>
      <w:r>
        <w:rPr>
          <w:color w:val="000000" w:themeColor="text1"/>
        </w:rPr>
        <w:t xml:space="preserve"> be applied to </w:t>
      </w:r>
      <w:r w:rsidR="00892E1B">
        <w:rPr>
          <w:color w:val="000000" w:themeColor="text1"/>
        </w:rPr>
        <w:t>multiple</w:t>
      </w:r>
      <w:r>
        <w:rPr>
          <w:color w:val="000000" w:themeColor="text1"/>
        </w:rPr>
        <w:t xml:space="preserve"> DHN</w:t>
      </w:r>
      <w:r w:rsidR="00892E1B">
        <w:rPr>
          <w:color w:val="000000" w:themeColor="text1"/>
        </w:rPr>
        <w:t>s</w:t>
      </w:r>
      <w:r>
        <w:rPr>
          <w:color w:val="000000" w:themeColor="text1"/>
        </w:rPr>
        <w:t xml:space="preserve"> in the UK? The model would be considerably more useful if it could be applied to </w:t>
      </w:r>
      <w:r w:rsidR="00892E1B">
        <w:rPr>
          <w:color w:val="000000" w:themeColor="text1"/>
        </w:rPr>
        <w:t>multiple</w:t>
      </w:r>
      <w:r>
        <w:rPr>
          <w:color w:val="000000" w:themeColor="text1"/>
        </w:rPr>
        <w:t xml:space="preserve"> DHN</w:t>
      </w:r>
      <w:r w:rsidR="00892E1B">
        <w:rPr>
          <w:color w:val="000000" w:themeColor="text1"/>
        </w:rPr>
        <w:t>s</w:t>
      </w:r>
      <w:r>
        <w:rPr>
          <w:color w:val="000000" w:themeColor="text1"/>
        </w:rPr>
        <w:t xml:space="preserve"> in </w:t>
      </w:r>
      <w:r w:rsidR="00892E1B">
        <w:rPr>
          <w:color w:val="000000" w:themeColor="text1"/>
        </w:rPr>
        <w:t>multiple</w:t>
      </w:r>
      <w:r>
        <w:rPr>
          <w:color w:val="000000" w:themeColor="text1"/>
        </w:rPr>
        <w:t xml:space="preserve"> location</w:t>
      </w:r>
      <w:r w:rsidR="00892E1B">
        <w:rPr>
          <w:color w:val="000000" w:themeColor="text1"/>
        </w:rPr>
        <w:t>s</w:t>
      </w:r>
      <w:r>
        <w:rPr>
          <w:color w:val="000000" w:themeColor="text1"/>
        </w:rPr>
        <w:t xml:space="preserve"> in the UK than it would be if it could only be applied to rural or urban DHNs. The two chapters that deal with the WH quantification and WHR are not applicable in this question. The other four chapters will be focused on in this section of the discussion.</w:t>
      </w:r>
    </w:p>
    <w:p w14:paraId="49E16EF3" w14:textId="586ACE93" w:rsidR="00A7521D" w:rsidRDefault="00A7521D" w:rsidP="00A7521D">
      <w:pPr>
        <w:pStyle w:val="Heading3"/>
      </w:pPr>
      <w:bookmarkStart w:id="930" w:name="_Toc525230042"/>
      <w:bookmarkStart w:id="931" w:name="_Ref529528628"/>
      <w:bookmarkStart w:id="932" w:name="_Toc7187582"/>
      <w:r>
        <w:t xml:space="preserve">Can the Heat Mapping Methodology be Applied to </w:t>
      </w:r>
      <w:r w:rsidR="00892E1B">
        <w:t>multiple</w:t>
      </w:r>
      <w:r>
        <w:t xml:space="preserve"> District Heating Network</w:t>
      </w:r>
      <w:r w:rsidR="00892E1B">
        <w:t>s</w:t>
      </w:r>
      <w:r>
        <w:t xml:space="preserve"> in the UK?</w:t>
      </w:r>
      <w:bookmarkEnd w:id="930"/>
      <w:bookmarkEnd w:id="931"/>
      <w:bookmarkEnd w:id="932"/>
    </w:p>
    <w:p w14:paraId="686A4A4C" w14:textId="77777777" w:rsidR="00A7521D" w:rsidRDefault="00A7521D" w:rsidP="00A7521D">
      <w:r>
        <w:t xml:space="preserve">The methodology presented in the heat mapping work does not include significant details that would vary from location to location. In addition, the result of the heat mapping assessment is a simple yes or no, which is not a complex enough answer to be influenced by the location. The only factor that would change on a case by case basis is the size and shape of the area(s) to consider in the heat mapping. </w:t>
      </w:r>
    </w:p>
    <w:p w14:paraId="50B146A3" w14:textId="0EA0652A" w:rsidR="00A7521D" w:rsidRDefault="00A7521D" w:rsidP="00A7521D">
      <w:r>
        <w:t xml:space="preserve">In a rural location, as demonstrated in the case study, the heat mapping methodology only considers locations with a minimum population of 1,000, within an 8 km radius of the heat source, as shown in </w:t>
      </w:r>
      <w:r w:rsidR="00537667">
        <w:fldChar w:fldCharType="begin"/>
      </w:r>
      <w:r w:rsidR="00537667">
        <w:instrText xml:space="preserve"> REF _Ref525661718 \h </w:instrText>
      </w:r>
      <w:r w:rsidR="00537667">
        <w:fldChar w:fldCharType="separate"/>
      </w:r>
      <w:r w:rsidR="00CB7456">
        <w:t xml:space="preserve">Figure </w:t>
      </w:r>
      <w:r w:rsidR="00CB7456">
        <w:rPr>
          <w:noProof/>
        </w:rPr>
        <w:t>3</w:t>
      </w:r>
      <w:r w:rsidR="00CB7456">
        <w:t>.</w:t>
      </w:r>
      <w:r w:rsidR="00CB7456">
        <w:rPr>
          <w:noProof/>
        </w:rPr>
        <w:t>1</w:t>
      </w:r>
      <w:r w:rsidR="00537667">
        <w:fldChar w:fldCharType="end"/>
      </w:r>
      <w:r>
        <w:t>. The reason to omit locations with a population of less than 1,000 is to save time. It would be possible to map the entirety of the 8 km radius but doing so would drastically increase the time taken to complete the mapping process. In addition, it is unlikely that an area with a population of less than 1,000 would have a HD density above the threshold for profitable DH. The reason to omit locations further than 8 km away from the heat source is it is unlikely that the heat could travel that far without incurring significant losses. It is likely that the later HD modelling work will prioritise closer locations when omitting pipes with the highest heat losses.</w:t>
      </w:r>
    </w:p>
    <w:p w14:paraId="3BEFACD0" w14:textId="0D8098F5" w:rsidR="00A7521D" w:rsidRDefault="00A7521D" w:rsidP="00A7521D">
      <w:r>
        <w:t xml:space="preserve">In an urban location, minor changes to the mapping process are recommended. It is likely that the DHN will connect to either the largest buildings in the area, such as shopping centres, blocks of flats, and offices, or the buildings closest to the heat source. It would be suggested to the non-technical user that the heat mapping process should start with the largest buildings in the area and the area within 3 km of the heat source. The 3 km suggestion is supported by looking at the maximum distance of approximately 3 km in-between the heat source and customers in the Sheffield DHN </w:t>
      </w:r>
      <w:r>
        <w:fldChar w:fldCharType="begin" w:fldLock="1"/>
      </w:r>
      <w:r w:rsidR="002A6A73">
        <w:instrText>ADDIN CSL_CITATION {"citationItems":[{"id":"ITEM-1","itemData":{"DOI":"10.1016/j.applthermaleng.2012.10.038","ISBN":"13594311","ISSN":"13594311","abstract":"This paper presents an overview of heat transfer issues arising from the current national situation regarding energy sustainability and global warming. An important concern addressed is the inefficiency of present fuel usage in the UK - namely large-scale, fossil-fuelled power stations and energy-from-waste plants that discharge huge quantities of low-grade heat to the atmosphere. Other countries recover this thermal energy and use it to supply heating and hot water to nearby domestic, commercial and industrial buildings. Such district heating schemes can provide cost-effective and low-carbon energy to local populations. Although the amount of district heating in the UK is small, Sheffield currently has an award-winning city-wide district energy network that incorporates a combined-heat-and-power energy-from-waste facility, providing electricity and district heating; this scheme is explored herein, with the purpose of identifying potential expansions through heat mapping. Heat transfer will clearly need to play a major part in one or more of the various power generation technologies proposed to meet the demands of the developing energy situation - these comprise high-efficiency systems using high-temperature regenerators or high-pressure combustion and energy storage utilising supercritical steam accumulators, which are all considered in this paper. ?? 2012 Elsevier Ltd. All rights reserved.","author":[{"dropping-particle":"","family":"Swithenbank","given":"Jim","non-dropping-particle":"","parse-names":false,"suffix":""},{"dropping-particle":"","family":"Finney","given":"Karen N.","non-dropping-particle":"","parse-names":false,"suffix":""},{"dropping-particle":"","family":"Chen","given":"Qun","non-dropping-particle":"","parse-names":false,"suffix":""},{"dropping-particle":"Bin","family":"Yang","given":"Yao","non-dropping-particle":"","parse-names":false,"suffix":""},{"dropping-particle":"","family":"Nolan","given":"Andy","non-dropping-particle":"","parse-names":false,"suffix":""},{"dropping-particle":"","family":"Sharifi","given":"Vida N.","non-dropping-particle":"","parse-names":false,"suffix":""}],"container-title":"Applied Thermal Engineering","id":"ITEM-1","issued":{"date-parts":[["2012"]]},"page":"430-440","title":"Waste heat usage","type":"article-journal","volume":"60"},"uris":["http://www.mendeley.com/documents/?uuid=ac065a42-799f-487d-8bb8-36306dcd3376"]}],"mendeley":{"formattedCitation":"(Swithenbank &lt;i&gt;et al.&lt;/i&gt;, 2012)","plainTextFormattedCitation":"(Swithenbank et al., 2012)","previouslyFormattedCitation":"(Swithenbank &lt;i&gt;et al.&lt;/i&gt;, 2012)"},"properties":{"noteIndex":0},"schema":"https://github.com/citation-style-language/schema/raw/master/csl-citation.json"}</w:instrText>
      </w:r>
      <w:r>
        <w:fldChar w:fldCharType="separate"/>
      </w:r>
      <w:r w:rsidR="002A6A73" w:rsidRPr="002A6A73">
        <w:rPr>
          <w:noProof/>
        </w:rPr>
        <w:t xml:space="preserve">(Swithenbank </w:t>
      </w:r>
      <w:r w:rsidR="002A6A73" w:rsidRPr="002A6A73">
        <w:rPr>
          <w:i/>
          <w:noProof/>
        </w:rPr>
        <w:t>et al.</w:t>
      </w:r>
      <w:r w:rsidR="002A6A73" w:rsidRPr="002A6A73">
        <w:rPr>
          <w:noProof/>
        </w:rPr>
        <w:t>, 2012)</w:t>
      </w:r>
      <w:r>
        <w:fldChar w:fldCharType="end"/>
      </w:r>
      <w:r>
        <w:t xml:space="preserve">. If the initial heat </w:t>
      </w:r>
      <w:r>
        <w:lastRenderedPageBreak/>
        <w:t xml:space="preserve">mapping work does not find a significant number of areas with a profitable HD or large number of anchor loads, the heat map can be expanded. The heat mapping methodology </w:t>
      </w:r>
      <w:r w:rsidR="00892E1B">
        <w:t>is generalisable enough to</w:t>
      </w:r>
      <w:r>
        <w:t xml:space="preserve"> be applied to </w:t>
      </w:r>
      <w:r w:rsidR="00892E1B">
        <w:t>multiple</w:t>
      </w:r>
      <w:r>
        <w:t xml:space="preserve"> DHN</w:t>
      </w:r>
      <w:r w:rsidR="00892E1B">
        <w:t>s</w:t>
      </w:r>
      <w:r>
        <w:t xml:space="preserve"> in the UK, with only minor recommended differences between urban and rural locations.</w:t>
      </w:r>
    </w:p>
    <w:p w14:paraId="74C579FB" w14:textId="795565A6" w:rsidR="00A7521D" w:rsidRDefault="00A7521D" w:rsidP="00A7521D">
      <w:pPr>
        <w:pStyle w:val="Heading3"/>
      </w:pPr>
      <w:bookmarkStart w:id="933" w:name="_Toc525230043"/>
      <w:bookmarkStart w:id="934" w:name="_Toc7187583"/>
      <w:r>
        <w:t xml:space="preserve">Can the Heat Demand Model be Applied to </w:t>
      </w:r>
      <w:r w:rsidR="00892E1B">
        <w:t>multiple</w:t>
      </w:r>
      <w:r>
        <w:t xml:space="preserve"> District Heating Network</w:t>
      </w:r>
      <w:r w:rsidR="00892E1B">
        <w:t>s</w:t>
      </w:r>
      <w:r>
        <w:t xml:space="preserve"> in the UK?</w:t>
      </w:r>
      <w:bookmarkEnd w:id="933"/>
      <w:bookmarkEnd w:id="934"/>
    </w:p>
    <w:p w14:paraId="56E58AE4" w14:textId="77777777" w:rsidR="00A7521D" w:rsidRDefault="00A7521D" w:rsidP="00A7521D">
      <w:r>
        <w:t>The data collection of the HD model is not significantly more complicated than that of the heat mapping. Therefore, the technique of counting the buildings in an area should be applicable to both urban and rural locations. However, the results of the HD modelling work are more complicated than a simple yes or no, so significant variation might occur if the same methodology is applied to both urban and rural locations.</w:t>
      </w:r>
    </w:p>
    <w:p w14:paraId="3F0E3EA5" w14:textId="76E8B135" w:rsidR="00A7521D" w:rsidRDefault="00A7521D" w:rsidP="00A7521D">
      <w:r>
        <w:t xml:space="preserve">To test the applicability of using the same methodology in different parts of the UK, three case studies were modelled and compared. Case study 1 was based in Darley Dale, England, representing a rural location. Case study 2 was based in Sheffield, England, representing a heavily populated urban location. Case study 3 was based in </w:t>
      </w:r>
      <w:proofErr w:type="spellStart"/>
      <w:r>
        <w:t>Hayange</w:t>
      </w:r>
      <w:proofErr w:type="spellEnd"/>
      <w:r>
        <w:t xml:space="preserve">, France, representing a sparsely populated urban location. The HD profiles generated for all three case studies are shown in </w:t>
      </w:r>
      <w:r w:rsidR="00D82F1A">
        <w:fldChar w:fldCharType="begin"/>
      </w:r>
      <w:r w:rsidR="00D82F1A">
        <w:instrText xml:space="preserve"> REF _Ref523325447 \h </w:instrText>
      </w:r>
      <w:r w:rsidR="00D82F1A">
        <w:fldChar w:fldCharType="separate"/>
      </w:r>
      <w:r w:rsidR="00CB7456">
        <w:t xml:space="preserve">Figure </w:t>
      </w:r>
      <w:r w:rsidR="00CB7456">
        <w:rPr>
          <w:noProof/>
        </w:rPr>
        <w:t>6</w:t>
      </w:r>
      <w:r w:rsidR="00CB7456">
        <w:t>.</w:t>
      </w:r>
      <w:r w:rsidR="00CB7456">
        <w:rPr>
          <w:noProof/>
        </w:rPr>
        <w:t>2</w:t>
      </w:r>
      <w:r w:rsidR="00D82F1A">
        <w:fldChar w:fldCharType="end"/>
      </w:r>
      <w:r>
        <w:t xml:space="preserve">. The HD profiles of case studies 1 and 3 resembled the HD profiles of domestic buildings, suggesting that case studies 1 and 3 were mainly comprised of domestic buildings. </w:t>
      </w:r>
      <w:r w:rsidR="00D82F1A">
        <w:fldChar w:fldCharType="begin"/>
      </w:r>
      <w:r w:rsidR="00D82F1A">
        <w:instrText xml:space="preserve"> REF _Ref525663825 \h </w:instrText>
      </w:r>
      <w:r w:rsidR="00D82F1A">
        <w:fldChar w:fldCharType="separate"/>
      </w:r>
      <w:r w:rsidR="00CB7456">
        <w:t xml:space="preserve">Table </w:t>
      </w:r>
      <w:r w:rsidR="00CB7456">
        <w:rPr>
          <w:noProof/>
        </w:rPr>
        <w:t>6</w:t>
      </w:r>
      <w:r w:rsidR="00CB7456">
        <w:t>.</w:t>
      </w:r>
      <w:r w:rsidR="00CB7456">
        <w:rPr>
          <w:noProof/>
        </w:rPr>
        <w:t>2</w:t>
      </w:r>
      <w:r w:rsidR="00D82F1A">
        <w:fldChar w:fldCharType="end"/>
      </w:r>
      <w:r>
        <w:t xml:space="preserve"> shows the type of buildings connected to the DHN in each case study, proving that case studies 1 and 3 were mainly comprised of small domestic buildings. </w:t>
      </w:r>
    </w:p>
    <w:p w14:paraId="20861669" w14:textId="0C9C312D" w:rsidR="00A7521D" w:rsidRDefault="00D82F1A" w:rsidP="00A7521D">
      <w:r>
        <w:fldChar w:fldCharType="begin"/>
      </w:r>
      <w:r>
        <w:instrText xml:space="preserve"> REF _Ref523325447 \h </w:instrText>
      </w:r>
      <w:r>
        <w:fldChar w:fldCharType="separate"/>
      </w:r>
      <w:r w:rsidR="00CB7456">
        <w:t xml:space="preserve">Figure </w:t>
      </w:r>
      <w:r w:rsidR="00CB7456">
        <w:rPr>
          <w:noProof/>
        </w:rPr>
        <w:t>6</w:t>
      </w:r>
      <w:r w:rsidR="00CB7456">
        <w:t>.</w:t>
      </w:r>
      <w:r w:rsidR="00CB7456">
        <w:rPr>
          <w:noProof/>
        </w:rPr>
        <w:t>2</w:t>
      </w:r>
      <w:r>
        <w:fldChar w:fldCharType="end"/>
      </w:r>
      <w:r>
        <w:t xml:space="preserve"> and </w:t>
      </w:r>
      <w:r>
        <w:fldChar w:fldCharType="begin"/>
      </w:r>
      <w:r>
        <w:instrText xml:space="preserve"> REF _Ref525663825 \h </w:instrText>
      </w:r>
      <w:r>
        <w:fldChar w:fldCharType="separate"/>
      </w:r>
      <w:r w:rsidR="00CB7456">
        <w:t xml:space="preserve">Table </w:t>
      </w:r>
      <w:r w:rsidR="00CB7456">
        <w:rPr>
          <w:noProof/>
        </w:rPr>
        <w:t>6</w:t>
      </w:r>
      <w:r w:rsidR="00CB7456">
        <w:t>.</w:t>
      </w:r>
      <w:r w:rsidR="00CB7456">
        <w:rPr>
          <w:noProof/>
        </w:rPr>
        <w:t>2</w:t>
      </w:r>
      <w:r>
        <w:fldChar w:fldCharType="end"/>
      </w:r>
      <w:r w:rsidR="00A7521D">
        <w:t xml:space="preserve"> prove that case study 2 was mainly comprised of large commercial buildings. The case studies prove that if the HD model was applied to areas with small populations, the DHN will mainly be comprised of small domestic buildings. DHNs with a large proportion of small domestic buildings would struggle to make a viable business case, as small domestic buildings generate less profit per unit heat sale </w:t>
      </w:r>
      <w:r w:rsidR="00A7521D">
        <w:fldChar w:fldCharType="begin" w:fldLock="1"/>
      </w:r>
      <w:r w:rsidR="002A6A73">
        <w:instrText>ADDIN CSL_CITATION {"citationItems":[{"id":"ITEM-1","itemData":{"DOI":"10.1016/j.apenergy.2009.05.007","ISBN":"0306-2619","ISSN":"03062619","PMID":"320","abstract":"District heating companies' efficiency of providing district heating to small houses in Finland and Sweden is studied. The method used is Data Envelopment Analysis (DEA). The results indicate that Finnish companies, overall, are more efficient when offering district heat to small house customers. In Finland, price increases demand and impacts district heating company efficiency the most. The lower price level in Finland, compared to Sweden, might be a reflection of competition between different heating goods. In Sweden, network size and company size (large companies are more efficient in providing small houses with heat than small ones) drive the efficiency of small house district heating. © 2009 Elsevier Ltd. All rights reserved.","author":[{"dropping-particle":"","family":"Lygnerud","given":"Kristina","non-dropping-particle":"","parse-names":false,"suffix":""},{"dropping-particle":"","family":"Peltola-Ojala","given":"Päivi","non-dropping-particle":"","parse-names":false,"suffix":""}],"container-title":"Applied Energy","id":"ITEM-1","issue":"1","issued":{"date-parts":[["2010"]]},"page":"185-190","publisher":"Elsevier Ltd","title":"Factors impacting district heating companies' decision to provide small house customers with heat","type":"article-journal","volume":"87"},"uris":["http://www.mendeley.com/documents/?uuid=d784da46-84e1-4de5-b728-480d07dbb969"]}],"mendeley":{"formattedCitation":"(Lygnerud and Peltola-Ojala, 2010)","plainTextFormattedCitation":"(Lygnerud and Peltola-Ojala, 2010)","previouslyFormattedCitation":"(Lygnerud and Peltola-Ojala, 2010)"},"properties":{"noteIndex":0},"schema":"https://github.com/citation-style-language/schema/raw/master/csl-citation.json"}</w:instrText>
      </w:r>
      <w:r w:rsidR="00A7521D">
        <w:fldChar w:fldCharType="separate"/>
      </w:r>
      <w:r w:rsidR="002A6A73" w:rsidRPr="002A6A73">
        <w:rPr>
          <w:noProof/>
        </w:rPr>
        <w:t>(Lygnerud and Peltola-Ojala, 2010)</w:t>
      </w:r>
      <w:r w:rsidR="00A7521D">
        <w:fldChar w:fldCharType="end"/>
      </w:r>
      <w:r w:rsidR="00A7521D">
        <w:t>. It is worth noting that large domestic customers, such as blocks of flats and housing associations, do not harm the business case of a DHN. (</w:t>
      </w:r>
      <w:r>
        <w:fldChar w:fldCharType="begin"/>
      </w:r>
      <w:r>
        <w:instrText xml:space="preserve"> REF _Ref523325447 \h </w:instrText>
      </w:r>
      <w:r>
        <w:fldChar w:fldCharType="separate"/>
      </w:r>
      <w:r w:rsidR="00CB7456">
        <w:t xml:space="preserve">Figure </w:t>
      </w:r>
      <w:r w:rsidR="00CB7456">
        <w:rPr>
          <w:noProof/>
        </w:rPr>
        <w:t>6</w:t>
      </w:r>
      <w:r w:rsidR="00CB7456">
        <w:t>.</w:t>
      </w:r>
      <w:r w:rsidR="00CB7456">
        <w:rPr>
          <w:noProof/>
        </w:rPr>
        <w:t>2</w:t>
      </w:r>
      <w:r>
        <w:fldChar w:fldCharType="end"/>
      </w:r>
      <w:r>
        <w:t xml:space="preserve"> and </w:t>
      </w:r>
      <w:r>
        <w:fldChar w:fldCharType="begin"/>
      </w:r>
      <w:r>
        <w:instrText xml:space="preserve"> REF _Ref525663825 \h </w:instrText>
      </w:r>
      <w:r>
        <w:fldChar w:fldCharType="separate"/>
      </w:r>
      <w:r w:rsidR="00CB7456">
        <w:t xml:space="preserve">Table </w:t>
      </w:r>
      <w:r w:rsidR="00CB7456">
        <w:rPr>
          <w:noProof/>
        </w:rPr>
        <w:t>6</w:t>
      </w:r>
      <w:r w:rsidR="00CB7456">
        <w:t>.</w:t>
      </w:r>
      <w:r w:rsidR="00CB7456">
        <w:rPr>
          <w:noProof/>
        </w:rPr>
        <w:t>2</w:t>
      </w:r>
      <w:r>
        <w:fldChar w:fldCharType="end"/>
      </w:r>
      <w:r w:rsidR="00A7521D">
        <w:t>prove that the HD model needs to be modified so that small domestic customers are omitted. With this modification, the HD model</w:t>
      </w:r>
      <w:r w:rsidR="00892E1B">
        <w:t xml:space="preserve"> is generalisable enough to</w:t>
      </w:r>
      <w:r w:rsidR="00A7521D">
        <w:t xml:space="preserve"> be applied to </w:t>
      </w:r>
      <w:r w:rsidR="00892E1B">
        <w:t>multiple</w:t>
      </w:r>
      <w:r w:rsidR="00A7521D">
        <w:t xml:space="preserve"> DHN</w:t>
      </w:r>
      <w:r w:rsidR="00892E1B">
        <w:t>s</w:t>
      </w:r>
      <w:r w:rsidR="00A7521D">
        <w:t xml:space="preserve"> in the UK.</w:t>
      </w:r>
    </w:p>
    <w:p w14:paraId="53168526" w14:textId="235A094B" w:rsidR="00A7521D" w:rsidRDefault="00A7521D" w:rsidP="00A7521D">
      <w:pPr>
        <w:pStyle w:val="Heading3"/>
      </w:pPr>
      <w:bookmarkStart w:id="935" w:name="_Toc525230044"/>
      <w:bookmarkStart w:id="936" w:name="_Ref530495638"/>
      <w:bookmarkStart w:id="937" w:name="_Toc7187584"/>
      <w:r>
        <w:t xml:space="preserve">Can the District Heating Optimisation Model be Applied to </w:t>
      </w:r>
      <w:r w:rsidR="00892E1B">
        <w:t>multiple</w:t>
      </w:r>
      <w:r>
        <w:t xml:space="preserve"> District Heating Network</w:t>
      </w:r>
      <w:r w:rsidR="00892E1B">
        <w:t>s</w:t>
      </w:r>
      <w:r>
        <w:t xml:space="preserve"> in the UK?</w:t>
      </w:r>
      <w:bookmarkEnd w:id="935"/>
      <w:bookmarkEnd w:id="936"/>
      <w:bookmarkEnd w:id="937"/>
    </w:p>
    <w:p w14:paraId="21FED5D4" w14:textId="6526A5ED" w:rsidR="00A7521D" w:rsidRDefault="00A7521D" w:rsidP="00A7521D">
      <w:r>
        <w:t>The DH optimisation model does not include any factor for distance, which may be significantly different from location to location. The optimisation model only includes the HD and heat supply profiles along with the potential of the network and buildings mass to act as TES, as inputs to the model. Therefore, the same optimisation technique can be used from case to case, but will likely yield different results in different locations, which is the aim of the optimisation work. The DH optimisation model</w:t>
      </w:r>
      <w:r w:rsidR="00892E1B">
        <w:t xml:space="preserve"> is generalisable enough to</w:t>
      </w:r>
      <w:r>
        <w:t xml:space="preserve"> be applied to </w:t>
      </w:r>
      <w:r w:rsidR="00892E1B">
        <w:t>multiple</w:t>
      </w:r>
      <w:r>
        <w:t xml:space="preserve"> DHN</w:t>
      </w:r>
      <w:r w:rsidR="00892E1B">
        <w:t>s</w:t>
      </w:r>
      <w:r>
        <w:t xml:space="preserve"> in the UK.</w:t>
      </w:r>
    </w:p>
    <w:p w14:paraId="485DE362" w14:textId="5BFB468A" w:rsidR="00A7521D" w:rsidRDefault="00A7521D" w:rsidP="00A7521D">
      <w:pPr>
        <w:pStyle w:val="Heading3"/>
      </w:pPr>
      <w:bookmarkStart w:id="938" w:name="_Ref529528629"/>
      <w:bookmarkStart w:id="939" w:name="_Toc7187585"/>
      <w:r>
        <w:lastRenderedPageBreak/>
        <w:t>Can the Techno-Economic and Environmental</w:t>
      </w:r>
      <w:r w:rsidR="00BE60A4">
        <w:t xml:space="preserve"> Assess</w:t>
      </w:r>
      <w:r w:rsidR="00A72D92">
        <w:t>m</w:t>
      </w:r>
      <w:r w:rsidR="00BE60A4">
        <w:t>ent</w:t>
      </w:r>
      <w:r>
        <w:t xml:space="preserve"> Models be Applied to </w:t>
      </w:r>
      <w:r w:rsidR="00892E1B">
        <w:t>multiple</w:t>
      </w:r>
      <w:r>
        <w:t xml:space="preserve"> District Heating Network</w:t>
      </w:r>
      <w:r w:rsidR="00892E1B">
        <w:t>s</w:t>
      </w:r>
      <w:r>
        <w:t xml:space="preserve"> in the UK?</w:t>
      </w:r>
      <w:bookmarkEnd w:id="938"/>
      <w:bookmarkEnd w:id="939"/>
    </w:p>
    <w:p w14:paraId="54E8F760" w14:textId="77777777" w:rsidR="00A7521D" w:rsidRDefault="00A7521D" w:rsidP="00A7521D">
      <w:r>
        <w:t>The techno-economic and environmental models do not require any inputs other than parameters already calculated in the overall feasibility assessment. The required inputs include:</w:t>
      </w:r>
    </w:p>
    <w:p w14:paraId="0866F060" w14:textId="77777777" w:rsidR="00A7521D" w:rsidRDefault="00A7521D" w:rsidP="00202E44">
      <w:pPr>
        <w:pStyle w:val="ListParagraph"/>
        <w:numPr>
          <w:ilvl w:val="0"/>
          <w:numId w:val="38"/>
        </w:numPr>
      </w:pPr>
      <w:r>
        <w:t>The number of buildings connected to the DHN.</w:t>
      </w:r>
    </w:p>
    <w:p w14:paraId="702045D3" w14:textId="77777777" w:rsidR="00A7521D" w:rsidRDefault="00A7521D" w:rsidP="00202E44">
      <w:pPr>
        <w:pStyle w:val="ListParagraph"/>
        <w:numPr>
          <w:ilvl w:val="0"/>
          <w:numId w:val="38"/>
        </w:numPr>
      </w:pPr>
      <w:r>
        <w:t>The lengths and diameters of the pipes in the pipe network.</w:t>
      </w:r>
    </w:p>
    <w:p w14:paraId="21239D46" w14:textId="77777777" w:rsidR="00A7521D" w:rsidRDefault="00A7521D" w:rsidP="00202E44">
      <w:pPr>
        <w:pStyle w:val="ListParagraph"/>
        <w:numPr>
          <w:ilvl w:val="0"/>
          <w:numId w:val="38"/>
        </w:numPr>
      </w:pPr>
      <w:r>
        <w:t>The total heat demand of the customers connected to the DHN.</w:t>
      </w:r>
    </w:p>
    <w:p w14:paraId="6E555660" w14:textId="77777777" w:rsidR="00A7521D" w:rsidRDefault="00A7521D" w:rsidP="00202E44">
      <w:pPr>
        <w:pStyle w:val="ListParagraph"/>
        <w:numPr>
          <w:ilvl w:val="0"/>
          <w:numId w:val="38"/>
        </w:numPr>
      </w:pPr>
      <w:r>
        <w:t>The total heat demand experienced by the thermal energy generating centre.</w:t>
      </w:r>
    </w:p>
    <w:p w14:paraId="5ADF99CF" w14:textId="77777777" w:rsidR="00A7521D" w:rsidRDefault="00A7521D" w:rsidP="00202E44">
      <w:pPr>
        <w:pStyle w:val="ListParagraph"/>
        <w:numPr>
          <w:ilvl w:val="0"/>
          <w:numId w:val="38"/>
        </w:numPr>
      </w:pPr>
      <w:r>
        <w:t>The flowrate of the water in the network.</w:t>
      </w:r>
    </w:p>
    <w:p w14:paraId="4F1C7AA2" w14:textId="77777777" w:rsidR="00A7521D" w:rsidRDefault="00A7521D" w:rsidP="00202E44">
      <w:pPr>
        <w:pStyle w:val="ListParagraph"/>
        <w:numPr>
          <w:ilvl w:val="0"/>
          <w:numId w:val="38"/>
        </w:numPr>
      </w:pPr>
      <w:r>
        <w:t>The size of the TES.</w:t>
      </w:r>
    </w:p>
    <w:p w14:paraId="129969ED" w14:textId="77777777" w:rsidR="00A7521D" w:rsidRDefault="00A7521D" w:rsidP="00202E44">
      <w:pPr>
        <w:pStyle w:val="ListParagraph"/>
        <w:numPr>
          <w:ilvl w:val="0"/>
          <w:numId w:val="38"/>
        </w:numPr>
      </w:pPr>
      <w:r>
        <w:t>The size of the back-up burner.</w:t>
      </w:r>
    </w:p>
    <w:p w14:paraId="2281711B" w14:textId="77777777" w:rsidR="00A7521D" w:rsidRDefault="00A7521D" w:rsidP="00202E44">
      <w:pPr>
        <w:pStyle w:val="ListParagraph"/>
        <w:numPr>
          <w:ilvl w:val="0"/>
          <w:numId w:val="38"/>
        </w:numPr>
      </w:pPr>
      <w:r>
        <w:t>The natural gas used by the back-up burner.</w:t>
      </w:r>
    </w:p>
    <w:p w14:paraId="5ADCE1A3" w14:textId="374C9031" w:rsidR="00A7521D" w:rsidRDefault="00A7521D" w:rsidP="00A7521D">
      <w:r>
        <w:t xml:space="preserve">As the assessment models do not require any new inputs and are only reliant on other parts of the model, if the other parts of the model can be used for multiple DHNs, so can the assessment models. As has been discussed in section </w:t>
      </w:r>
      <w:r>
        <w:fldChar w:fldCharType="begin"/>
      </w:r>
      <w:r>
        <w:instrText xml:space="preserve"> REF _Ref529528628 \r \h </w:instrText>
      </w:r>
      <w:r>
        <w:fldChar w:fldCharType="separate"/>
      </w:r>
      <w:r w:rsidR="00CB7456">
        <w:t>9.2.1</w:t>
      </w:r>
      <w:r>
        <w:fldChar w:fldCharType="end"/>
      </w:r>
      <w:r>
        <w:t xml:space="preserve"> to section </w:t>
      </w:r>
      <w:r>
        <w:fldChar w:fldCharType="begin"/>
      </w:r>
      <w:r>
        <w:instrText xml:space="preserve"> REF _Ref530495638 \n \h </w:instrText>
      </w:r>
      <w:r>
        <w:fldChar w:fldCharType="separate"/>
      </w:r>
      <w:r w:rsidR="00CB7456">
        <w:t>9.2.3</w:t>
      </w:r>
      <w:r>
        <w:fldChar w:fldCharType="end"/>
      </w:r>
      <w:r>
        <w:t xml:space="preserve">, the other components of the DH feasibility model can be used for </w:t>
      </w:r>
      <w:r w:rsidR="00892E1B">
        <w:t>multiple</w:t>
      </w:r>
      <w:r>
        <w:t xml:space="preserve"> DHN</w:t>
      </w:r>
      <w:r w:rsidR="00892E1B">
        <w:t>s</w:t>
      </w:r>
      <w:r>
        <w:t xml:space="preserve"> in the UK. Therefore, the techno-economic and environmental assessment models can be used for </w:t>
      </w:r>
      <w:r w:rsidR="00892E1B">
        <w:t>multiple</w:t>
      </w:r>
      <w:r>
        <w:t xml:space="preserve"> DHN</w:t>
      </w:r>
      <w:r w:rsidR="00892E1B">
        <w:t>s</w:t>
      </w:r>
      <w:r>
        <w:t xml:space="preserve"> in the UK.</w:t>
      </w:r>
    </w:p>
    <w:p w14:paraId="66C91955" w14:textId="77777777" w:rsidR="00A7521D" w:rsidRDefault="00A7521D" w:rsidP="00A7521D">
      <w:pPr>
        <w:pStyle w:val="Heading2"/>
      </w:pPr>
      <w:bookmarkStart w:id="940" w:name="_Toc525230045"/>
      <w:bookmarkStart w:id="941" w:name="_Hlk534990701"/>
      <w:bookmarkStart w:id="942" w:name="_Toc7187586"/>
      <w:r>
        <w:t>Is the Case Study District Heating Network Feasible?</w:t>
      </w:r>
      <w:bookmarkEnd w:id="940"/>
      <w:bookmarkEnd w:id="942"/>
    </w:p>
    <w:bookmarkEnd w:id="941"/>
    <w:p w14:paraId="4BDDBA07" w14:textId="77777777" w:rsidR="00A7521D" w:rsidRDefault="00A7521D" w:rsidP="00A7521D">
      <w:r>
        <w:t>The final question that the thesis aimed to answer was: “is the DHN being proposed in the case study feasible”? Every chapter answered a particular aspect of that question and will be discussed here.</w:t>
      </w:r>
    </w:p>
    <w:p w14:paraId="14368AD1" w14:textId="705755BD" w:rsidR="00A7521D" w:rsidRDefault="00A7521D" w:rsidP="00A7521D">
      <w:r>
        <w:t xml:space="preserve">The heat mapping process proved that there are areas in </w:t>
      </w:r>
      <w:bookmarkStart w:id="943" w:name="_Hlk534990765"/>
      <w:r>
        <w:t xml:space="preserve">Matlock, Darley Dale, Bakewell, and </w:t>
      </w:r>
      <w:proofErr w:type="spellStart"/>
      <w:r>
        <w:t>Youlgreave</w:t>
      </w:r>
      <w:proofErr w:type="spellEnd"/>
      <w:r>
        <w:t xml:space="preserve"> with a HD density higher than the threshold for profitable DH. </w:t>
      </w:r>
      <w:bookmarkEnd w:id="943"/>
      <w:r>
        <w:t xml:space="preserve">It is also proved that </w:t>
      </w:r>
      <w:bookmarkStart w:id="944" w:name="_Hlk534990832"/>
      <w:r>
        <w:t>Matlock, Darley Dale, and Bakewell each have a high proportion</w:t>
      </w:r>
      <w:r w:rsidR="00D82F1A">
        <w:t xml:space="preserve"> of</w:t>
      </w:r>
      <w:r>
        <w:t xml:space="preserve"> customers with large HDs that can act as anchor loads. </w:t>
      </w:r>
      <w:bookmarkEnd w:id="944"/>
      <w:r>
        <w:t>Therefore, it was proven that a DHN based around Matlock, Darley Dale, and Bakewell may be feasible and warranted more assessment.</w:t>
      </w:r>
    </w:p>
    <w:p w14:paraId="0B783976" w14:textId="77777777" w:rsidR="00A7521D" w:rsidRDefault="00A7521D" w:rsidP="00A7521D">
      <w:r>
        <w:t>The WH quantification process proved that the best location for WHR at the HJE site was the PCC exit. At the PCC exit, the thermal power available varied from 2.79 – 5.33 MW, which is sufficient to supply a DHN. The temperature variation at the PCC exit varied from 30.8 – 372 °C, which is sufficiently high to supply a DHN.</w:t>
      </w:r>
    </w:p>
    <w:p w14:paraId="1E412CED" w14:textId="77777777" w:rsidR="00A7521D" w:rsidRDefault="00A7521D" w:rsidP="00A7521D">
      <w:r>
        <w:t xml:space="preserve">The WHR modelling identified a FH as the best technology to use. The initial CAPEX costs of the FH were found to be </w:t>
      </w:r>
      <w:bookmarkStart w:id="945" w:name="_Hlk534990919"/>
      <w:r>
        <w:t xml:space="preserve">£95,600 with a yearly profit of £448,000. </w:t>
      </w:r>
      <w:bookmarkEnd w:id="945"/>
      <w:r>
        <w:t>After the WHR had occurred, the WH variation was found to be 0.228 – 3.29 MW, which is still sufficient to supply a reasonably sized DHN.</w:t>
      </w:r>
    </w:p>
    <w:p w14:paraId="45653765" w14:textId="21FD0F6A" w:rsidR="00A7521D" w:rsidRDefault="00A7521D" w:rsidP="00A7521D">
      <w:r>
        <w:lastRenderedPageBreak/>
        <w:t xml:space="preserve">The HD model found four daily cycles of HD variation for each of the heating seasons, as shown in </w:t>
      </w:r>
      <w:r>
        <w:fldChar w:fldCharType="begin"/>
      </w:r>
      <w:r>
        <w:instrText xml:space="preserve"> REF _Ref525920530 \h </w:instrText>
      </w:r>
      <w:r>
        <w:fldChar w:fldCharType="separate"/>
      </w:r>
      <w:r w:rsidR="00CB7456">
        <w:t xml:space="preserve">Table </w:t>
      </w:r>
      <w:r w:rsidR="00CB7456">
        <w:rPr>
          <w:noProof/>
        </w:rPr>
        <w:t>9</w:t>
      </w:r>
      <w:r w:rsidR="00CB7456">
        <w:t>.</w:t>
      </w:r>
      <w:r w:rsidR="00CB7456">
        <w:rPr>
          <w:noProof/>
        </w:rPr>
        <w:t>1</w:t>
      </w:r>
      <w:r>
        <w:fldChar w:fldCharType="end"/>
      </w:r>
      <w:r>
        <w:t>. The HD variation is higher than the heat supply variation, but the HD could be supplied using a combination of WHR and back-up heat generation.</w:t>
      </w:r>
    </w:p>
    <w:p w14:paraId="570AF97A" w14:textId="060C1287" w:rsidR="00A7521D" w:rsidRDefault="00A7521D" w:rsidP="00A7521D">
      <w:pPr>
        <w:pStyle w:val="Caption"/>
        <w:keepNext/>
      </w:pPr>
      <w:bookmarkStart w:id="946" w:name="_Ref525920530"/>
      <w:bookmarkStart w:id="947" w:name="_Toc7187717"/>
      <w:r>
        <w:t xml:space="preserve">Table </w:t>
      </w:r>
      <w:fldSimple w:instr=" STYLEREF 1 \s ">
        <w:r w:rsidR="00CB7456">
          <w:rPr>
            <w:noProof/>
          </w:rPr>
          <w:t>9</w:t>
        </w:r>
      </w:fldSimple>
      <w:r w:rsidR="009E1A67">
        <w:t>.</w:t>
      </w:r>
      <w:fldSimple w:instr=" SEQ Table \* ARABIC \s 1 ">
        <w:r w:rsidR="00CB7456">
          <w:rPr>
            <w:noProof/>
          </w:rPr>
          <w:t>1</w:t>
        </w:r>
      </w:fldSimple>
      <w:bookmarkEnd w:id="946"/>
      <w:r>
        <w:rPr>
          <w:noProof/>
        </w:rPr>
        <w:t>:</w:t>
      </w:r>
      <w:r>
        <w:t xml:space="preserve"> HD variation in each of the heating season.</w:t>
      </w:r>
      <w:bookmarkEnd w:id="947"/>
    </w:p>
    <w:tbl>
      <w:tblPr>
        <w:tblStyle w:val="TableGrid"/>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0"/>
        <w:gridCol w:w="2008"/>
      </w:tblGrid>
      <w:tr w:rsidR="00A7521D" w14:paraId="559E7687" w14:textId="77777777" w:rsidTr="00A7521D">
        <w:trPr>
          <w:jc w:val="center"/>
        </w:trPr>
        <w:tc>
          <w:tcPr>
            <w:tcW w:w="1690" w:type="dxa"/>
            <w:tcBorders>
              <w:bottom w:val="single" w:sz="4" w:space="0" w:color="auto"/>
            </w:tcBorders>
          </w:tcPr>
          <w:p w14:paraId="5B11AAB7" w14:textId="77777777" w:rsidR="00A7521D" w:rsidRDefault="00A7521D" w:rsidP="00A7521D">
            <w:pPr>
              <w:jc w:val="center"/>
            </w:pPr>
            <w:r>
              <w:t>Heating season</w:t>
            </w:r>
          </w:p>
        </w:tc>
        <w:tc>
          <w:tcPr>
            <w:tcW w:w="2008" w:type="dxa"/>
            <w:tcBorders>
              <w:bottom w:val="single" w:sz="4" w:space="0" w:color="auto"/>
            </w:tcBorders>
          </w:tcPr>
          <w:p w14:paraId="4FCF0FD0" w14:textId="77777777" w:rsidR="00A7521D" w:rsidRDefault="00A7521D" w:rsidP="00A7521D">
            <w:pPr>
              <w:jc w:val="center"/>
            </w:pPr>
            <w:r>
              <w:t>HD variation (MW)</w:t>
            </w:r>
          </w:p>
        </w:tc>
      </w:tr>
      <w:tr w:rsidR="00A7521D" w14:paraId="0EC7388C" w14:textId="77777777" w:rsidTr="00A7521D">
        <w:trPr>
          <w:jc w:val="center"/>
        </w:trPr>
        <w:tc>
          <w:tcPr>
            <w:tcW w:w="1690" w:type="dxa"/>
            <w:tcBorders>
              <w:top w:val="single" w:sz="4" w:space="0" w:color="auto"/>
              <w:bottom w:val="nil"/>
            </w:tcBorders>
          </w:tcPr>
          <w:p w14:paraId="3B35FC53" w14:textId="77777777" w:rsidR="00A7521D" w:rsidRDefault="00A7521D" w:rsidP="00A7521D">
            <w:pPr>
              <w:jc w:val="center"/>
            </w:pPr>
            <w:r>
              <w:t>Summer</w:t>
            </w:r>
          </w:p>
        </w:tc>
        <w:tc>
          <w:tcPr>
            <w:tcW w:w="2008" w:type="dxa"/>
            <w:tcBorders>
              <w:top w:val="single" w:sz="4" w:space="0" w:color="auto"/>
              <w:bottom w:val="nil"/>
            </w:tcBorders>
          </w:tcPr>
          <w:p w14:paraId="211DC97B" w14:textId="77777777" w:rsidR="00A7521D" w:rsidRDefault="00A7521D" w:rsidP="00A7521D">
            <w:pPr>
              <w:jc w:val="center"/>
            </w:pPr>
            <w:r>
              <w:t>2.0 – 4.7</w:t>
            </w:r>
          </w:p>
        </w:tc>
      </w:tr>
      <w:tr w:rsidR="00A7521D" w14:paraId="669CB671" w14:textId="77777777" w:rsidTr="00A7521D">
        <w:trPr>
          <w:jc w:val="center"/>
        </w:trPr>
        <w:tc>
          <w:tcPr>
            <w:tcW w:w="1690" w:type="dxa"/>
            <w:tcBorders>
              <w:top w:val="nil"/>
            </w:tcBorders>
          </w:tcPr>
          <w:p w14:paraId="0BD10391" w14:textId="77777777" w:rsidR="00A7521D" w:rsidRDefault="00A7521D" w:rsidP="00A7521D">
            <w:pPr>
              <w:jc w:val="center"/>
            </w:pPr>
            <w:r>
              <w:t>Autumn</w:t>
            </w:r>
          </w:p>
        </w:tc>
        <w:tc>
          <w:tcPr>
            <w:tcW w:w="2008" w:type="dxa"/>
            <w:tcBorders>
              <w:top w:val="nil"/>
            </w:tcBorders>
          </w:tcPr>
          <w:p w14:paraId="6C8287B2" w14:textId="77777777" w:rsidR="00A7521D" w:rsidRDefault="00A7521D" w:rsidP="00A7521D">
            <w:pPr>
              <w:jc w:val="center"/>
            </w:pPr>
            <w:r>
              <w:t>2.1 – 5.5</w:t>
            </w:r>
          </w:p>
        </w:tc>
      </w:tr>
      <w:tr w:rsidR="00A7521D" w14:paraId="7C324F15" w14:textId="77777777" w:rsidTr="00A7521D">
        <w:trPr>
          <w:jc w:val="center"/>
        </w:trPr>
        <w:tc>
          <w:tcPr>
            <w:tcW w:w="1690" w:type="dxa"/>
          </w:tcPr>
          <w:p w14:paraId="250FF3C8" w14:textId="77777777" w:rsidR="00A7521D" w:rsidRDefault="00A7521D" w:rsidP="00A7521D">
            <w:pPr>
              <w:jc w:val="center"/>
            </w:pPr>
            <w:r>
              <w:t>Winter</w:t>
            </w:r>
          </w:p>
        </w:tc>
        <w:tc>
          <w:tcPr>
            <w:tcW w:w="2008" w:type="dxa"/>
          </w:tcPr>
          <w:p w14:paraId="7007F441" w14:textId="77777777" w:rsidR="00A7521D" w:rsidRDefault="00A7521D" w:rsidP="00A7521D">
            <w:pPr>
              <w:jc w:val="center"/>
            </w:pPr>
            <w:r>
              <w:t>2.3 – 6.7</w:t>
            </w:r>
          </w:p>
        </w:tc>
      </w:tr>
      <w:tr w:rsidR="00A7521D" w14:paraId="409A63C1" w14:textId="77777777" w:rsidTr="00A7521D">
        <w:trPr>
          <w:jc w:val="center"/>
        </w:trPr>
        <w:tc>
          <w:tcPr>
            <w:tcW w:w="1690" w:type="dxa"/>
          </w:tcPr>
          <w:p w14:paraId="3110C101" w14:textId="77777777" w:rsidR="00A7521D" w:rsidRDefault="00A7521D" w:rsidP="00A7521D">
            <w:pPr>
              <w:jc w:val="center"/>
            </w:pPr>
            <w:r>
              <w:t>Spring</w:t>
            </w:r>
          </w:p>
        </w:tc>
        <w:tc>
          <w:tcPr>
            <w:tcW w:w="2008" w:type="dxa"/>
          </w:tcPr>
          <w:p w14:paraId="6AC91E40" w14:textId="77777777" w:rsidR="00A7521D" w:rsidRDefault="00A7521D" w:rsidP="00A7521D">
            <w:pPr>
              <w:jc w:val="center"/>
            </w:pPr>
            <w:r>
              <w:t>2.1 – 5.6</w:t>
            </w:r>
          </w:p>
        </w:tc>
      </w:tr>
    </w:tbl>
    <w:p w14:paraId="7DF1A92B" w14:textId="77777777" w:rsidR="00A7521D" w:rsidRDefault="00A7521D" w:rsidP="00A7521D"/>
    <w:p w14:paraId="3AF3D075" w14:textId="77777777" w:rsidR="00A7521D" w:rsidRDefault="00A7521D" w:rsidP="00A7521D">
      <w:r>
        <w:t xml:space="preserve">The TES optimisation model showed that best option was TES utilising the thermal inertia of the water in the DH pipe network. Compared to a reference scenario, that does not use any TES, using network-based TES would save </w:t>
      </w:r>
      <w:bookmarkStart w:id="948" w:name="_Hlk534991000"/>
      <w:r>
        <w:t>£33,000 and 204 tonnes CO</w:t>
      </w:r>
      <w:r>
        <w:rPr>
          <w:vertAlign w:val="subscript"/>
        </w:rPr>
        <w:t>2</w:t>
      </w:r>
      <w:r>
        <w:t>e per year</w:t>
      </w:r>
      <w:bookmarkEnd w:id="948"/>
      <w:r>
        <w:t>. The CAPEX and initial environmental impacts of the network-based TES were shown to be negligible.</w:t>
      </w:r>
    </w:p>
    <w:p w14:paraId="3690D978" w14:textId="3347596E" w:rsidR="00A7521D" w:rsidRDefault="00A7521D" w:rsidP="00A7521D">
      <w:r>
        <w:t xml:space="preserve">Techno-economic and environmental assessments were carried out for the case study DHN. The techno-economic assessment showed that </w:t>
      </w:r>
      <w:bookmarkStart w:id="949" w:name="_Hlk534991023"/>
      <w:r>
        <w:t>with grant funding of £4 million, an IRR of 6%, and a heat purchase price of 1 p/kWh, it would possible to achieve a 40-year NPV of £3.13 million</w:t>
      </w:r>
      <w:bookmarkEnd w:id="949"/>
      <w:r>
        <w:t>. The environmental assessment showed that the network became environmentally beneficial, when compared to natural gas heating systems, within five years. After 40 years the network was shown to save 19,300 tonnes of CO</w:t>
      </w:r>
      <w:r>
        <w:rPr>
          <w:vertAlign w:val="subscript"/>
        </w:rPr>
        <w:t>2</w:t>
      </w:r>
      <w:r>
        <w:t>e. As the case study DHN is profitable and saves CO</w:t>
      </w:r>
      <w:r>
        <w:rPr>
          <w:vertAlign w:val="subscript"/>
        </w:rPr>
        <w:t>2</w:t>
      </w:r>
      <w:r>
        <w:t>e emissions when compared to natural gas heating, the case study DHN is both economically and environmentally feasible.</w:t>
      </w:r>
    </w:p>
    <w:p w14:paraId="533E9EF6" w14:textId="4BA63924" w:rsidR="0052748F" w:rsidRPr="00BD44BB" w:rsidRDefault="0052748F" w:rsidP="00A7521D">
      <w:r>
        <w:t>It is worth noting that all of the costs published in this work were accurate at the time of calculation and are subject to change.</w:t>
      </w:r>
    </w:p>
    <w:p w14:paraId="13A370B7" w14:textId="77777777" w:rsidR="00A63DA7" w:rsidRDefault="00A63DA7">
      <w:pPr>
        <w:jc w:val="left"/>
        <w:rPr>
          <w:rFonts w:asciiTheme="majorHAnsi" w:eastAsiaTheme="majorEastAsia" w:hAnsiTheme="majorHAnsi" w:cstheme="majorBidi"/>
          <w:b/>
          <w:bCs/>
          <w:color w:val="000000" w:themeColor="text1"/>
          <w:sz w:val="40"/>
          <w:szCs w:val="28"/>
        </w:rPr>
      </w:pPr>
      <w:bookmarkStart w:id="950" w:name="_Toc525230046"/>
      <w:r>
        <w:br w:type="page"/>
      </w:r>
    </w:p>
    <w:p w14:paraId="6DF39693" w14:textId="69EF1271" w:rsidR="00A7521D" w:rsidRDefault="00A7521D" w:rsidP="00A7521D">
      <w:pPr>
        <w:pStyle w:val="Heading1"/>
      </w:pPr>
      <w:bookmarkStart w:id="951" w:name="_Toc7187587"/>
      <w:r>
        <w:lastRenderedPageBreak/>
        <w:t>Conclusions</w:t>
      </w:r>
      <w:bookmarkEnd w:id="950"/>
      <w:bookmarkEnd w:id="951"/>
    </w:p>
    <w:p w14:paraId="31268477" w14:textId="70B31E64" w:rsidR="0084392A" w:rsidRDefault="0084392A" w:rsidP="0084392A">
      <w:r>
        <w:t>District heating should be treated as a priority technology in the UK as a method of providing thermal energy in a manner that is economically and environmentally friendly. The current uptake of district heating is low, providing approximately 2% of the total heat demand in the UK, partially due to the need for local authorities to lead the design any new district heating network. Local authorities in the UK do not have the capability to assess the feasibility of a new district heating network and instead employ engineering consultanc</w:t>
      </w:r>
      <w:r w:rsidR="00F93949">
        <w:t>ies</w:t>
      </w:r>
      <w:r>
        <w:t xml:space="preserve"> to do the work, which increases the costs. In some cases, the increase is cost prohibitive to the local authority. A simple model that would allow a non-technical </w:t>
      </w:r>
      <w:r w:rsidR="00F93949">
        <w:t>individual</w:t>
      </w:r>
      <w:r>
        <w:t xml:space="preserve"> at a local authority to test the techno-economic and environmental feasibility of </w:t>
      </w:r>
      <w:r w:rsidR="009701F4">
        <w:t>multiple</w:t>
      </w:r>
      <w:r>
        <w:t xml:space="preserve"> new district heating network</w:t>
      </w:r>
      <w:r w:rsidR="009701F4">
        <w:t>s</w:t>
      </w:r>
      <w:r>
        <w:t xml:space="preserve"> should hopefully allow more networks to be assessed. In turn, an increase in the number district heating feasibility assessments should hopefully increase the number of networks being installed. The work in this thesis investigated the design of </w:t>
      </w:r>
      <w:r w:rsidR="00F93949">
        <w:t>a</w:t>
      </w:r>
      <w:r>
        <w:t xml:space="preserve"> simple feasibility model that could be used for </w:t>
      </w:r>
      <w:r w:rsidR="009701F4">
        <w:t>multiple</w:t>
      </w:r>
      <w:r>
        <w:t xml:space="preserve"> new district heating network</w:t>
      </w:r>
      <w:r w:rsidR="009701F4">
        <w:t>s</w:t>
      </w:r>
      <w:r>
        <w:t>. A summary of the key findings is given here.</w:t>
      </w:r>
    </w:p>
    <w:p w14:paraId="2DB489BF" w14:textId="77777777" w:rsidR="0084392A" w:rsidRDefault="0084392A" w:rsidP="0084392A">
      <w:r>
        <w:t>The overall feasibility study was split into six sections, each of which was covered in one of the experimental chapters in the thesis. A conclusion of each section of work can be found at the end of each chapter, the conclusions here will focus more on how the feasibility study as a whole met each of the proposed research questions.</w:t>
      </w:r>
    </w:p>
    <w:p w14:paraId="021526ED" w14:textId="5DBC7199" w:rsidR="0084392A" w:rsidRDefault="0084392A" w:rsidP="0084392A">
      <w:pPr>
        <w:pStyle w:val="Heading2"/>
      </w:pPr>
      <w:bookmarkStart w:id="952" w:name="_Toc7187588"/>
      <w:r>
        <w:t xml:space="preserve">Is the Simple Feasibility Model of </w:t>
      </w:r>
      <w:r w:rsidR="009701F4">
        <w:t>multiple</w:t>
      </w:r>
      <w:r>
        <w:t xml:space="preserve"> District Heating Network</w:t>
      </w:r>
      <w:r w:rsidR="009701F4">
        <w:t>s</w:t>
      </w:r>
      <w:r>
        <w:t xml:space="preserve"> Accurate?</w:t>
      </w:r>
      <w:bookmarkEnd w:id="952"/>
    </w:p>
    <w:p w14:paraId="008310F7" w14:textId="77777777" w:rsidR="0084392A" w:rsidRPr="00B25874" w:rsidRDefault="0084392A" w:rsidP="0084392A">
      <w:r>
        <w:t>Each of the six experimental chapters were assessed to see if the results were accurate enough to be used in the overall district heating feasibility study.</w:t>
      </w:r>
    </w:p>
    <w:p w14:paraId="3F2E966B" w14:textId="77777777" w:rsidR="0084392A" w:rsidRDefault="0084392A" w:rsidP="0084392A">
      <w:r>
        <w:t xml:space="preserve">The heat maps produced as part of the thesis were compared to the UK combined heat and power development heat maps produced by the UK government. </w:t>
      </w:r>
    </w:p>
    <w:p w14:paraId="794D6AAB" w14:textId="0B82D5C0" w:rsidR="0084392A" w:rsidRDefault="0084392A" w:rsidP="0084392A">
      <w:pPr>
        <w:pStyle w:val="ListParagraph"/>
        <w:numPr>
          <w:ilvl w:val="0"/>
          <w:numId w:val="41"/>
        </w:numPr>
      </w:pPr>
      <w:r>
        <w:t>The two maps show</w:t>
      </w:r>
      <w:r w:rsidR="00F93949">
        <w:t>ed</w:t>
      </w:r>
      <w:r>
        <w:t xml:space="preserve"> areas</w:t>
      </w:r>
      <w:r w:rsidR="00F93949">
        <w:t xml:space="preserve"> of a similar size and shape</w:t>
      </w:r>
      <w:r>
        <w:t xml:space="preserve"> with heat demand densit</w:t>
      </w:r>
      <w:r w:rsidR="00F93949">
        <w:t>ies</w:t>
      </w:r>
      <w:r>
        <w:t xml:space="preserve"> of at least 8,700 MWh/km</w:t>
      </w:r>
      <w:r w:rsidRPr="00A13E17">
        <w:rPr>
          <w:vertAlign w:val="superscript"/>
        </w:rPr>
        <w:t>2</w:t>
      </w:r>
      <w:r>
        <w:t xml:space="preserve">, the minimum heat demand needed for profitable district heating. </w:t>
      </w:r>
    </w:p>
    <w:p w14:paraId="2A020D1F" w14:textId="14D05A0B" w:rsidR="0084392A" w:rsidRDefault="0084392A" w:rsidP="0084392A">
      <w:pPr>
        <w:pStyle w:val="ListParagraph"/>
        <w:numPr>
          <w:ilvl w:val="0"/>
          <w:numId w:val="41"/>
        </w:numPr>
      </w:pPr>
      <w:r>
        <w:t xml:space="preserve">The total commercial heat demand found using the two heat mapping techniques </w:t>
      </w:r>
      <w:r w:rsidR="00F93949">
        <w:t>differed by</w:t>
      </w:r>
      <w:r>
        <w:t xml:space="preserve"> 14%, less than the acceptable variation in industrial district heating studies. </w:t>
      </w:r>
    </w:p>
    <w:p w14:paraId="2BBE206D" w14:textId="6A8ED869" w:rsidR="0084392A" w:rsidRDefault="0084392A" w:rsidP="0084392A">
      <w:pPr>
        <w:pStyle w:val="ListParagraph"/>
        <w:numPr>
          <w:ilvl w:val="0"/>
          <w:numId w:val="41"/>
        </w:numPr>
      </w:pPr>
      <w:r>
        <w:t xml:space="preserve">The agreement between the two heat maps prove that the heat mapping technique </w:t>
      </w:r>
      <w:r w:rsidR="00F93949">
        <w:t>generated and utilised</w:t>
      </w:r>
      <w:r>
        <w:t xml:space="preserve"> in this thesis is accurate.</w:t>
      </w:r>
    </w:p>
    <w:p w14:paraId="37EEB7FC" w14:textId="3B7E1F9A" w:rsidR="0084392A" w:rsidRDefault="0084392A" w:rsidP="0084392A">
      <w:r>
        <w:t xml:space="preserve">A model for quantifying the levels of waste heat available from </w:t>
      </w:r>
      <w:r w:rsidR="003E5CBE">
        <w:t>multiple</w:t>
      </w:r>
      <w:r>
        <w:t xml:space="preserve"> waste heat source</w:t>
      </w:r>
      <w:r w:rsidR="003E5CBE">
        <w:t>s</w:t>
      </w:r>
      <w:r>
        <w:t xml:space="preserve"> was presented and tested using the industrial case study.</w:t>
      </w:r>
    </w:p>
    <w:p w14:paraId="5C1515D6" w14:textId="43F43F44" w:rsidR="0084392A" w:rsidRDefault="0084392A" w:rsidP="0084392A">
      <w:pPr>
        <w:pStyle w:val="ListParagraph"/>
        <w:numPr>
          <w:ilvl w:val="0"/>
          <w:numId w:val="42"/>
        </w:numPr>
      </w:pPr>
      <w:r>
        <w:t xml:space="preserve">It was shown that any method that </w:t>
      </w:r>
      <w:r w:rsidR="00F93949">
        <w:t>was capable of</w:t>
      </w:r>
      <w:r>
        <w:t xml:space="preserve"> accurately predict</w:t>
      </w:r>
      <w:r w:rsidR="00F93949">
        <w:t>ing</w:t>
      </w:r>
      <w:r>
        <w:t xml:space="preserve"> the waste heat levels from a company as complex as HJ </w:t>
      </w:r>
      <w:proofErr w:type="spellStart"/>
      <w:r>
        <w:t>Enthoven</w:t>
      </w:r>
      <w:proofErr w:type="spellEnd"/>
      <w:r>
        <w:t xml:space="preserve"> would be too complicated for a non-technical individual to use.</w:t>
      </w:r>
    </w:p>
    <w:p w14:paraId="2FF3A409" w14:textId="6F74E051" w:rsidR="0084392A" w:rsidRDefault="0084392A" w:rsidP="0084392A">
      <w:pPr>
        <w:pStyle w:val="ListParagraph"/>
        <w:numPr>
          <w:ilvl w:val="0"/>
          <w:numId w:val="42"/>
        </w:numPr>
      </w:pPr>
      <w:r>
        <w:lastRenderedPageBreak/>
        <w:t xml:space="preserve">It was proposed instead that the industrial site should </w:t>
      </w:r>
      <w:r w:rsidR="00F93949">
        <w:t>calculate</w:t>
      </w:r>
      <w:r>
        <w:t xml:space="preserve"> the</w:t>
      </w:r>
      <w:r w:rsidR="00F93949">
        <w:t>ir</w:t>
      </w:r>
      <w:r>
        <w:t xml:space="preserve"> waste heat levels, a process that would be accurate enough for the overall simple district heating feasibility study.</w:t>
      </w:r>
    </w:p>
    <w:p w14:paraId="30E8B953" w14:textId="77777777" w:rsidR="0084392A" w:rsidRDefault="0084392A" w:rsidP="0084392A">
      <w:r>
        <w:t>A method for costing and quantifying the efficiency of the of the waste heat recovery process was proposed. Monte Carlo simulations were used to test the sensitivity of this method.</w:t>
      </w:r>
    </w:p>
    <w:p w14:paraId="6B1A66A3" w14:textId="7956CBC2" w:rsidR="0084392A" w:rsidRDefault="0084392A" w:rsidP="0084392A">
      <w:pPr>
        <w:pStyle w:val="ListParagraph"/>
        <w:numPr>
          <w:ilvl w:val="0"/>
          <w:numId w:val="43"/>
        </w:numPr>
      </w:pPr>
      <w:r>
        <w:t>To keep the waste heat recovery model simple enough that it could be operated by a non-technical individual</w:t>
      </w:r>
      <w:r w:rsidR="00F93949">
        <w:t>,</w:t>
      </w:r>
      <w:r>
        <w:t xml:space="preserve"> a total of 54 assumptions </w:t>
      </w:r>
      <w:r w:rsidR="00F93949">
        <w:t>were</w:t>
      </w:r>
      <w:r>
        <w:t xml:space="preserve"> made.</w:t>
      </w:r>
    </w:p>
    <w:p w14:paraId="6EE071F9" w14:textId="5606D572" w:rsidR="0084392A" w:rsidRDefault="0084392A" w:rsidP="0084392A">
      <w:pPr>
        <w:pStyle w:val="ListParagraph"/>
        <w:numPr>
          <w:ilvl w:val="0"/>
          <w:numId w:val="43"/>
        </w:numPr>
      </w:pPr>
      <w:r>
        <w:t xml:space="preserve">An initial six Monte Carlo simulations were run, out of which four failed, proving that the waste heat recovery model was unable to be used under </w:t>
      </w:r>
      <w:r w:rsidR="00F93949">
        <w:t>a range of input</w:t>
      </w:r>
      <w:r>
        <w:t xml:space="preserve"> conditions and should be treated as inaccurate.</w:t>
      </w:r>
    </w:p>
    <w:p w14:paraId="338159EA" w14:textId="4E48E364" w:rsidR="0084392A" w:rsidRDefault="0084392A" w:rsidP="0084392A">
      <w:pPr>
        <w:pStyle w:val="ListParagraph"/>
        <w:numPr>
          <w:ilvl w:val="0"/>
          <w:numId w:val="43"/>
        </w:numPr>
      </w:pPr>
      <w:r>
        <w:t>Instead</w:t>
      </w:r>
      <w:r w:rsidR="00F93949">
        <w:t>,</w:t>
      </w:r>
      <w:r>
        <w:t xml:space="preserve"> it was proposed that an assumption of 60% efficient waste heat recovery should be used. When compared to accurate modelling work the differences were</w:t>
      </w:r>
      <w:r w:rsidR="00F93949">
        <w:t xml:space="preserve"> only</w:t>
      </w:r>
      <w:r>
        <w:t xml:space="preserve"> 7%. A 7% difference is less than the acceptable variation in industrial district heating studies. Therefore, the 60% efficient waste heat recovery assumption was proven to be accurate.</w:t>
      </w:r>
    </w:p>
    <w:p w14:paraId="0463349D" w14:textId="77777777" w:rsidR="0084392A" w:rsidRDefault="0084392A" w:rsidP="0084392A">
      <w:r>
        <w:t>A model quantifying the variation in the heat demand in the local area was proposed and tested using Monte Carlo simulations. Three major assumptions were highlighted to require testing with the Monte Carlo simulations.</w:t>
      </w:r>
    </w:p>
    <w:p w14:paraId="6CE60CE6" w14:textId="77777777" w:rsidR="0084392A" w:rsidRPr="00AC1252" w:rsidRDefault="0084392A" w:rsidP="0084392A">
      <w:pPr>
        <w:pStyle w:val="ListParagraph"/>
        <w:numPr>
          <w:ilvl w:val="0"/>
          <w:numId w:val="44"/>
        </w:numPr>
      </w:pPr>
      <w:r>
        <w:t xml:space="preserve">The output variation of assumption (1), that each building in the same archetype category was of the same size, was shown to be highly sensitive to the input variation. </w:t>
      </w:r>
      <w:r>
        <w:rPr>
          <w:color w:val="000000" w:themeColor="text1"/>
        </w:rPr>
        <w:t>A 90% variation in the input uncertainty caused 247% variation in the output uncertainty. Therefore, assumption (1) was proven to be too inaccurate for use in further work.</w:t>
      </w:r>
    </w:p>
    <w:p w14:paraId="5089D7A7" w14:textId="77777777" w:rsidR="0084392A" w:rsidRDefault="0084392A" w:rsidP="0084392A">
      <w:pPr>
        <w:pStyle w:val="ListParagraph"/>
        <w:numPr>
          <w:ilvl w:val="0"/>
          <w:numId w:val="44"/>
        </w:numPr>
      </w:pPr>
      <w:r>
        <w:t xml:space="preserve">The output variation of assumption (2), each building in the same archetype category had the same hourly heat demand profile, was shown to be nearly identical to the variation in building heat demands found practically. Therefore, assumption (2) was shown to be accurate enough to justify further testing. </w:t>
      </w:r>
    </w:p>
    <w:p w14:paraId="5323047F" w14:textId="68D4027D" w:rsidR="0084392A" w:rsidRDefault="0084392A" w:rsidP="0084392A">
      <w:pPr>
        <w:pStyle w:val="ListParagraph"/>
        <w:numPr>
          <w:ilvl w:val="0"/>
          <w:numId w:val="44"/>
        </w:numPr>
      </w:pPr>
      <w:r>
        <w:t>The output variation of assumption (3),</w:t>
      </w:r>
      <w:r w:rsidR="00F93949">
        <w:t xml:space="preserve"> that</w:t>
      </w:r>
      <w:r>
        <w:t xml:space="preserve"> </w:t>
      </w:r>
      <w:r w:rsidRPr="00E6425E">
        <w:t>the pipe route r</w:t>
      </w:r>
      <w:r>
        <w:t>a</w:t>
      </w:r>
      <w:r w:rsidRPr="00E6425E">
        <w:t>n in the shortest possible straight</w:t>
      </w:r>
      <w:r>
        <w:noBreakHyphen/>
      </w:r>
      <w:r w:rsidRPr="00E6425E">
        <w:t>line distance from the heat source to the customer</w:t>
      </w:r>
      <w:r>
        <w:t xml:space="preserve">, was shown to be highly insensitive to the input variation. </w:t>
      </w:r>
      <w:r>
        <w:rPr>
          <w:color w:val="000000" w:themeColor="text1"/>
        </w:rPr>
        <w:t xml:space="preserve">A 90% variation in the input uncertainty caused 29% variation in the output uncertainty. </w:t>
      </w:r>
      <w:r>
        <w:t xml:space="preserve">Therefore, assumption (3) was shown to be accurate enough to justify further testing. </w:t>
      </w:r>
    </w:p>
    <w:p w14:paraId="01706C62" w14:textId="2D639654" w:rsidR="0084392A" w:rsidRDefault="0084392A" w:rsidP="0084392A">
      <w:pPr>
        <w:pStyle w:val="ListParagraph"/>
        <w:numPr>
          <w:ilvl w:val="0"/>
          <w:numId w:val="44"/>
        </w:numPr>
      </w:pPr>
      <w:r>
        <w:t>A global MC simulation of assumption</w:t>
      </w:r>
      <w:r w:rsidR="00F93949">
        <w:t>s</w:t>
      </w:r>
      <w:r>
        <w:t xml:space="preserve"> (2) and (3) showed similar levels of variation to the variation in building heat demands and district heating network pipe length</w:t>
      </w:r>
      <w:r w:rsidR="00F93949">
        <w:t>s</w:t>
      </w:r>
      <w:r>
        <w:t xml:space="preserve"> found practically. Therefore, assumptions (2) and (3) were shown to be accurate.</w:t>
      </w:r>
    </w:p>
    <w:p w14:paraId="50FAA2D3" w14:textId="31771D4A" w:rsidR="0084392A" w:rsidRDefault="0084392A" w:rsidP="0084392A">
      <w:r>
        <w:t xml:space="preserve">A model for the optimisation of </w:t>
      </w:r>
      <w:r w:rsidR="003E5CBE">
        <w:t>multiple</w:t>
      </w:r>
      <w:r>
        <w:t xml:space="preserve"> district heating network</w:t>
      </w:r>
      <w:r w:rsidR="003E5CBE">
        <w:t>s</w:t>
      </w:r>
      <w:r>
        <w:t xml:space="preserve"> was created by comb</w:t>
      </w:r>
      <w:r w:rsidR="00F93949">
        <w:t>in</w:t>
      </w:r>
      <w:r>
        <w:t>ing multiple models found in peer reviewed journals.</w:t>
      </w:r>
    </w:p>
    <w:p w14:paraId="3A454D79" w14:textId="44B5DF17" w:rsidR="0084392A" w:rsidRDefault="0084392A" w:rsidP="0084392A">
      <w:pPr>
        <w:pStyle w:val="ListParagraph"/>
        <w:numPr>
          <w:ilvl w:val="0"/>
          <w:numId w:val="45"/>
        </w:numPr>
      </w:pPr>
      <w:r>
        <w:t>As the optimisation model was created using three models from peer reviewed journals that were not modified it was explained that the optimisation model was already proven to be accurate.</w:t>
      </w:r>
    </w:p>
    <w:p w14:paraId="0FB9F194" w14:textId="4CCA4543" w:rsidR="0084392A" w:rsidRDefault="0084392A" w:rsidP="0084392A">
      <w:r>
        <w:lastRenderedPageBreak/>
        <w:t xml:space="preserve">Techno-economic and environmental models of </w:t>
      </w:r>
      <w:r w:rsidR="003E5CBE">
        <w:t>multiple</w:t>
      </w:r>
      <w:r>
        <w:t xml:space="preserve"> district heating network</w:t>
      </w:r>
      <w:r w:rsidR="003E5CBE">
        <w:t>s</w:t>
      </w:r>
      <w:r>
        <w:t xml:space="preserve"> were created. The accuracy of the techno</w:t>
      </w:r>
      <w:r>
        <w:noBreakHyphen/>
        <w:t>economic and environmental models were tested by comparing the results to a study completed by AECOM.</w:t>
      </w:r>
    </w:p>
    <w:p w14:paraId="6B756D57" w14:textId="77777777" w:rsidR="0084392A" w:rsidRDefault="0084392A" w:rsidP="0084392A">
      <w:pPr>
        <w:pStyle w:val="ListParagraph"/>
        <w:numPr>
          <w:ilvl w:val="0"/>
          <w:numId w:val="45"/>
        </w:numPr>
      </w:pPr>
      <w:r>
        <w:t>The model generated in the thesis found with grant funding of £4 million, an internal rate of return of 6% and a heat purchase price of 1 p/kWh, it would possible to achieve a 40-year net present value of £3.13 million.</w:t>
      </w:r>
    </w:p>
    <w:p w14:paraId="12F093C0" w14:textId="103C4DED" w:rsidR="0084392A" w:rsidRDefault="0084392A" w:rsidP="0084392A">
      <w:pPr>
        <w:pStyle w:val="ListParagraph"/>
        <w:numPr>
          <w:ilvl w:val="0"/>
          <w:numId w:val="45"/>
        </w:numPr>
      </w:pPr>
      <w:r>
        <w:t>The AECOM model found that was possible to achieve a positive 40-year net present value, with a 7% internal rate of return and £5.37 million of funding.</w:t>
      </w:r>
    </w:p>
    <w:p w14:paraId="3260EB04" w14:textId="77777777" w:rsidR="0084392A" w:rsidRDefault="0084392A" w:rsidP="0084392A">
      <w:pPr>
        <w:pStyle w:val="ListParagraph"/>
        <w:numPr>
          <w:ilvl w:val="0"/>
          <w:numId w:val="45"/>
        </w:numPr>
      </w:pPr>
      <w:r>
        <w:t>The similarity of the two models proved that the techno-economic and environmental models generated in this thesis were accurate.</w:t>
      </w:r>
    </w:p>
    <w:p w14:paraId="4B24D01E" w14:textId="56826645" w:rsidR="0084392A" w:rsidRPr="0006132A" w:rsidRDefault="0084392A" w:rsidP="0084392A">
      <w:pPr>
        <w:pStyle w:val="Heading2"/>
      </w:pPr>
      <w:bookmarkStart w:id="953" w:name="_Toc7187589"/>
      <w:r>
        <w:t xml:space="preserve">Can the Feasibility Model be Applied to </w:t>
      </w:r>
      <w:r w:rsidR="003E5CBE">
        <w:t>multiple</w:t>
      </w:r>
      <w:r>
        <w:t xml:space="preserve"> District Heating Network</w:t>
      </w:r>
      <w:r w:rsidR="003E5CBE">
        <w:t>s</w:t>
      </w:r>
      <w:r>
        <w:t xml:space="preserve"> in the UK?</w:t>
      </w:r>
      <w:bookmarkEnd w:id="953"/>
    </w:p>
    <w:p w14:paraId="5E50FCAB" w14:textId="43489900" w:rsidR="0084392A" w:rsidRDefault="0084392A" w:rsidP="0084392A">
      <w:r>
        <w:t xml:space="preserve">Each of the four experimental chapters with proven reliable results were assessed to see if the same methodology could be applied to </w:t>
      </w:r>
      <w:r w:rsidR="003E5CBE">
        <w:t>multiple</w:t>
      </w:r>
      <w:r>
        <w:t xml:space="preserve"> district heating network</w:t>
      </w:r>
      <w:r w:rsidR="003E5CBE">
        <w:t>s</w:t>
      </w:r>
      <w:r>
        <w:t xml:space="preserve"> in the country.</w:t>
      </w:r>
    </w:p>
    <w:p w14:paraId="63FA09EE" w14:textId="1533BBF0" w:rsidR="0084392A" w:rsidRDefault="0084392A" w:rsidP="0084392A">
      <w:r>
        <w:t xml:space="preserve">The methodology of the heat mapping process was assessed to investigate its applicability to </w:t>
      </w:r>
      <w:r w:rsidR="003E5CBE">
        <w:t>multiple</w:t>
      </w:r>
      <w:r>
        <w:t xml:space="preserve"> location</w:t>
      </w:r>
      <w:r w:rsidR="003E5CBE">
        <w:t>s</w:t>
      </w:r>
      <w:r>
        <w:t xml:space="preserve"> in the country.</w:t>
      </w:r>
    </w:p>
    <w:p w14:paraId="0A5BD930" w14:textId="3A104081" w:rsidR="0084392A" w:rsidRDefault="0084392A" w:rsidP="0084392A">
      <w:pPr>
        <w:pStyle w:val="ListParagraph"/>
        <w:numPr>
          <w:ilvl w:val="0"/>
          <w:numId w:val="46"/>
        </w:numPr>
      </w:pPr>
      <w:r>
        <w:t xml:space="preserve">The methodology was shown to be vague enough that the same process could be applied to </w:t>
      </w:r>
      <w:r w:rsidR="003E5CBE">
        <w:t>multiple</w:t>
      </w:r>
      <w:r>
        <w:t xml:space="preserve"> location</w:t>
      </w:r>
      <w:r w:rsidR="003E5CBE">
        <w:t>s</w:t>
      </w:r>
      <w:r>
        <w:t xml:space="preserve"> in the country.</w:t>
      </w:r>
    </w:p>
    <w:p w14:paraId="00A7C53B" w14:textId="2B5E8422" w:rsidR="0084392A" w:rsidRDefault="0084392A" w:rsidP="0084392A">
      <w:pPr>
        <w:pStyle w:val="ListParagraph"/>
        <w:numPr>
          <w:ilvl w:val="0"/>
          <w:numId w:val="46"/>
        </w:numPr>
      </w:pPr>
      <w:r>
        <w:t>In a rural location it was shown that the maximum distance between the heat source and areas to be heat mapped would have to be capped at 8 km.</w:t>
      </w:r>
    </w:p>
    <w:p w14:paraId="3F462427" w14:textId="12A8A181" w:rsidR="0084392A" w:rsidRDefault="0084392A" w:rsidP="0084392A">
      <w:pPr>
        <w:pStyle w:val="ListParagraph"/>
        <w:numPr>
          <w:ilvl w:val="0"/>
          <w:numId w:val="46"/>
        </w:numPr>
      </w:pPr>
      <w:r>
        <w:t>In an urban location it was shown that the maximum distance between the heat source and areas to be heat mapped would have to be capped at 3 km.</w:t>
      </w:r>
    </w:p>
    <w:p w14:paraId="00E5BD19" w14:textId="58E011A8" w:rsidR="0084392A" w:rsidRDefault="0084392A" w:rsidP="0084392A">
      <w:r>
        <w:t xml:space="preserve">Three case studies were used to assess the applicability of using the heat demand model in </w:t>
      </w:r>
      <w:r w:rsidR="003E5CBE">
        <w:t>multiple</w:t>
      </w:r>
      <w:r>
        <w:t xml:space="preserve"> location</w:t>
      </w:r>
      <w:r w:rsidR="003E5CBE">
        <w:t>s</w:t>
      </w:r>
      <w:r>
        <w:t xml:space="preserve"> in the country.</w:t>
      </w:r>
    </w:p>
    <w:p w14:paraId="08940742" w14:textId="77777777" w:rsidR="0084392A" w:rsidRDefault="0084392A" w:rsidP="0084392A">
      <w:pPr>
        <w:pStyle w:val="ListParagraph"/>
        <w:numPr>
          <w:ilvl w:val="0"/>
          <w:numId w:val="47"/>
        </w:numPr>
      </w:pPr>
      <w:r>
        <w:t>The heat demand profiles of case studies 1 and 3, the rural location and the sparsely populated urban location, resembled the heat demand profiles of domestic buildings. It was proven that case studies 1 and 3 were mainly comprised of domestic buildings.</w:t>
      </w:r>
    </w:p>
    <w:p w14:paraId="31E711AC" w14:textId="77777777" w:rsidR="0084392A" w:rsidRDefault="0084392A" w:rsidP="0084392A">
      <w:pPr>
        <w:pStyle w:val="ListParagraph"/>
        <w:numPr>
          <w:ilvl w:val="0"/>
          <w:numId w:val="47"/>
        </w:numPr>
      </w:pPr>
      <w:r>
        <w:t>The heat demand profile of case study 2, the heavily populated urban location, resembled the heat demand profiles of commercial buildings. It was proven that case study 2 was mainly comprised of commercial buildings.</w:t>
      </w:r>
    </w:p>
    <w:p w14:paraId="089DB649" w14:textId="7C968C38" w:rsidR="0084392A" w:rsidRDefault="0084392A" w:rsidP="0084392A">
      <w:pPr>
        <w:pStyle w:val="ListParagraph"/>
        <w:numPr>
          <w:ilvl w:val="0"/>
          <w:numId w:val="47"/>
        </w:numPr>
      </w:pPr>
      <w:r>
        <w:t xml:space="preserve">It was explained that district heating networks with a large proportion of domestic buildings </w:t>
      </w:r>
      <w:r w:rsidR="00F93949">
        <w:t xml:space="preserve">would </w:t>
      </w:r>
      <w:r>
        <w:t>struggle to make a viable business case. Therefore, the heat demand methodology was modified to omit domestic buildings.</w:t>
      </w:r>
    </w:p>
    <w:p w14:paraId="2566D298" w14:textId="7C903CBE" w:rsidR="0084392A" w:rsidRDefault="0084392A" w:rsidP="0084392A">
      <w:r>
        <w:t xml:space="preserve">The methodology of the district heating optimisation was assessed to investigate its applicability to </w:t>
      </w:r>
      <w:r w:rsidR="003E5CBE">
        <w:t>multiple</w:t>
      </w:r>
      <w:r>
        <w:t xml:space="preserve"> location</w:t>
      </w:r>
      <w:r w:rsidR="003E5CBE">
        <w:t>s</w:t>
      </w:r>
      <w:r>
        <w:t xml:space="preserve"> in the country.</w:t>
      </w:r>
    </w:p>
    <w:p w14:paraId="74A9D8A9" w14:textId="225AC513" w:rsidR="0084392A" w:rsidRDefault="0084392A" w:rsidP="0084392A">
      <w:pPr>
        <w:pStyle w:val="ListParagraph"/>
        <w:numPr>
          <w:ilvl w:val="0"/>
          <w:numId w:val="47"/>
        </w:numPr>
      </w:pPr>
      <w:r>
        <w:t xml:space="preserve">It was explained the optimisation model did not include any factor for distance or any other parameter that might change from location to location. Therefore, the district heating optimisation model </w:t>
      </w:r>
      <w:r w:rsidR="00F93949">
        <w:t>was shown to be</w:t>
      </w:r>
      <w:r>
        <w:t xml:space="preserve"> applicable for </w:t>
      </w:r>
      <w:r w:rsidR="003E5CBE">
        <w:t>multiple</w:t>
      </w:r>
      <w:r>
        <w:t xml:space="preserve"> district heating network</w:t>
      </w:r>
      <w:r w:rsidR="003E5CBE">
        <w:t>s</w:t>
      </w:r>
      <w:r>
        <w:t xml:space="preserve"> in the country.</w:t>
      </w:r>
    </w:p>
    <w:p w14:paraId="32E9BFDF" w14:textId="7CE14BF5" w:rsidR="0084392A" w:rsidRDefault="0084392A" w:rsidP="0084392A">
      <w:r>
        <w:lastRenderedPageBreak/>
        <w:t>The methodolog</w:t>
      </w:r>
      <w:r w:rsidR="00F93949">
        <w:t>ies</w:t>
      </w:r>
      <w:r>
        <w:t xml:space="preserve"> of the techno-economic and environmental assessments were assessed to investigate </w:t>
      </w:r>
      <w:r w:rsidR="00F93949">
        <w:t>their</w:t>
      </w:r>
      <w:r>
        <w:t xml:space="preserve"> applicability to </w:t>
      </w:r>
      <w:r w:rsidR="003E5CBE">
        <w:t>multiple</w:t>
      </w:r>
      <w:r>
        <w:t xml:space="preserve"> location</w:t>
      </w:r>
      <w:r w:rsidR="003E5CBE">
        <w:t>s</w:t>
      </w:r>
      <w:r>
        <w:t xml:space="preserve"> in the country.</w:t>
      </w:r>
    </w:p>
    <w:p w14:paraId="4C72A29B" w14:textId="21558012" w:rsidR="0084392A" w:rsidRDefault="0084392A" w:rsidP="0084392A">
      <w:pPr>
        <w:pStyle w:val="ListParagraph"/>
        <w:numPr>
          <w:ilvl w:val="0"/>
          <w:numId w:val="47"/>
        </w:numPr>
      </w:pPr>
      <w:r>
        <w:t xml:space="preserve">It was explained that all of the inputs for the assessments had been calculated in </w:t>
      </w:r>
      <w:r w:rsidR="00F93949">
        <w:t xml:space="preserve">earlier stages of </w:t>
      </w:r>
      <w:r>
        <w:t xml:space="preserve">the overall district heating feasibility study. Therefore, the assessment models were applicable to </w:t>
      </w:r>
      <w:r w:rsidR="003E5CBE">
        <w:t>multiple</w:t>
      </w:r>
      <w:r>
        <w:t xml:space="preserve"> district heating network</w:t>
      </w:r>
      <w:r w:rsidR="003E5CBE">
        <w:t>s</w:t>
      </w:r>
      <w:r>
        <w:t xml:space="preserve"> in the UK.</w:t>
      </w:r>
    </w:p>
    <w:p w14:paraId="64D4F0EB" w14:textId="77777777" w:rsidR="0084392A" w:rsidRDefault="0084392A" w:rsidP="0084392A">
      <w:pPr>
        <w:pStyle w:val="Heading2"/>
      </w:pPr>
      <w:bookmarkStart w:id="954" w:name="_Toc7187590"/>
      <w:r>
        <w:t>Is the Case Study District Heating Network Feasible?</w:t>
      </w:r>
      <w:bookmarkEnd w:id="954"/>
    </w:p>
    <w:p w14:paraId="582B54B1" w14:textId="7D3FAC98" w:rsidR="0084392A" w:rsidRDefault="0084392A" w:rsidP="0084392A">
      <w:r>
        <w:t xml:space="preserve">The district heating feasibility study was completed for a case study of HJ </w:t>
      </w:r>
      <w:proofErr w:type="spellStart"/>
      <w:r>
        <w:t>Enthoven</w:t>
      </w:r>
      <w:proofErr w:type="spellEnd"/>
      <w:r>
        <w:t xml:space="preserve"> and the surrounding area to investigate if a district heating network in that area </w:t>
      </w:r>
      <w:r w:rsidR="00F93949">
        <w:t>was</w:t>
      </w:r>
      <w:r>
        <w:t xml:space="preserve"> feasible.</w:t>
      </w:r>
    </w:p>
    <w:p w14:paraId="115CE4AB" w14:textId="42D6D045" w:rsidR="0084392A" w:rsidRDefault="0084392A" w:rsidP="0084392A">
      <w:pPr>
        <w:pStyle w:val="ListParagraph"/>
        <w:numPr>
          <w:ilvl w:val="0"/>
          <w:numId w:val="47"/>
        </w:numPr>
      </w:pPr>
      <w:r>
        <w:t>The heat mapping process proved that there were areas in Matlock, Darley Dale</w:t>
      </w:r>
      <w:r w:rsidR="00F93949">
        <w:t>,</w:t>
      </w:r>
      <w:r>
        <w:t xml:space="preserve"> and Bakewell with heat demand densit</w:t>
      </w:r>
      <w:r w:rsidR="00F93949">
        <w:t>ies</w:t>
      </w:r>
      <w:r>
        <w:t xml:space="preserve"> higher than the threshold for profitable district heating and a large number of potential anchor loads.</w:t>
      </w:r>
    </w:p>
    <w:p w14:paraId="33BD29D9" w14:textId="6A9FC6F8" w:rsidR="0084392A" w:rsidRDefault="0084392A" w:rsidP="0084392A">
      <w:pPr>
        <w:pStyle w:val="ListParagraph"/>
        <w:numPr>
          <w:ilvl w:val="0"/>
          <w:numId w:val="47"/>
        </w:numPr>
      </w:pPr>
      <w:r>
        <w:t>The best location for waste heat recovery was found to be the post combustion chamber exit</w:t>
      </w:r>
      <w:r w:rsidR="00F93949">
        <w:t>,</w:t>
      </w:r>
      <w:r>
        <w:t xml:space="preserve"> where the power levels varied from 2.</w:t>
      </w:r>
      <w:r w:rsidR="00F93949">
        <w:t>8</w:t>
      </w:r>
      <w:r>
        <w:t xml:space="preserve"> – 5.3 MW.</w:t>
      </w:r>
    </w:p>
    <w:p w14:paraId="7AFB265F" w14:textId="16A46EEC" w:rsidR="0084392A" w:rsidRDefault="0084392A" w:rsidP="0084392A">
      <w:pPr>
        <w:pStyle w:val="ListParagraph"/>
        <w:numPr>
          <w:ilvl w:val="0"/>
          <w:numId w:val="47"/>
        </w:numPr>
      </w:pPr>
      <w:r>
        <w:t>The best waste heat</w:t>
      </w:r>
      <w:r w:rsidR="00F93949">
        <w:t xml:space="preserve"> recovery</w:t>
      </w:r>
      <w:r>
        <w:t xml:space="preserve"> technology was found to be a fired heater which would cost £9</w:t>
      </w:r>
      <w:r w:rsidR="00F93949">
        <w:t>6</w:t>
      </w:r>
      <w:r>
        <w:t>,</w:t>
      </w:r>
      <w:r w:rsidR="00F93949">
        <w:t>0</w:t>
      </w:r>
      <w:r>
        <w:t>00 with a yearly profit of £4</w:t>
      </w:r>
      <w:r w:rsidR="00F93949">
        <w:t>50</w:t>
      </w:r>
      <w:r>
        <w:t>,000. After waste heat recovery the power levels were found to be 0.2</w:t>
      </w:r>
      <w:r w:rsidR="00F93949">
        <w:t>3</w:t>
      </w:r>
      <w:r>
        <w:t> – 3.</w:t>
      </w:r>
      <w:r w:rsidR="00F93949">
        <w:t>3</w:t>
      </w:r>
      <w:r>
        <w:t xml:space="preserve"> MW.</w:t>
      </w:r>
    </w:p>
    <w:p w14:paraId="0FFC01BA" w14:textId="77777777" w:rsidR="0084392A" w:rsidRDefault="0084392A" w:rsidP="0084392A">
      <w:pPr>
        <w:pStyle w:val="ListParagraph"/>
        <w:numPr>
          <w:ilvl w:val="0"/>
          <w:numId w:val="47"/>
        </w:numPr>
      </w:pPr>
      <w:r>
        <w:t>The local area heat demand was found to vary from 2.0 – 6.7 MW.</w:t>
      </w:r>
    </w:p>
    <w:p w14:paraId="51DAEFBF" w14:textId="5CA6712F" w:rsidR="0084392A" w:rsidRDefault="0084392A" w:rsidP="0084392A">
      <w:pPr>
        <w:pStyle w:val="ListParagraph"/>
        <w:numPr>
          <w:ilvl w:val="0"/>
          <w:numId w:val="47"/>
        </w:numPr>
      </w:pPr>
      <w:r>
        <w:t>The best thermal energy storage technology in the district heating optimisation process was found to be network based thermal energy storage, saving £33,000 and 20</w:t>
      </w:r>
      <w:r w:rsidR="00F93949">
        <w:t>0</w:t>
      </w:r>
      <w:r>
        <w:t xml:space="preserve"> tonnes CO</w:t>
      </w:r>
      <w:r>
        <w:rPr>
          <w:vertAlign w:val="subscript"/>
        </w:rPr>
        <w:t>2</w:t>
      </w:r>
      <w:r>
        <w:t>e per year.</w:t>
      </w:r>
    </w:p>
    <w:p w14:paraId="572C4E8C" w14:textId="43347419" w:rsidR="0084392A" w:rsidRDefault="0084392A" w:rsidP="0084392A">
      <w:pPr>
        <w:pStyle w:val="ListParagraph"/>
        <w:numPr>
          <w:ilvl w:val="0"/>
          <w:numId w:val="47"/>
        </w:numPr>
      </w:pPr>
      <w:r>
        <w:t>It was shown that with grant funding of £4</w:t>
      </w:r>
      <w:r w:rsidR="00F93949">
        <w:t>.0</w:t>
      </w:r>
      <w:r>
        <w:t xml:space="preserve"> million, an internal rate of return of 6</w:t>
      </w:r>
      <w:r w:rsidR="00F93949">
        <w:t>.0</w:t>
      </w:r>
      <w:r>
        <w:t>%, and a heat purchase price of 1</w:t>
      </w:r>
      <w:r w:rsidR="00F93949">
        <w:t>.0</w:t>
      </w:r>
      <w:r>
        <w:t xml:space="preserve"> p/kWh, it would possible to achieve a 40-year net present value of £3.1 million. The network was shown to save 19,</w:t>
      </w:r>
      <w:r w:rsidR="00F93949">
        <w:t>0</w:t>
      </w:r>
      <w:r>
        <w:t>00 tonnes of CO</w:t>
      </w:r>
      <w:r>
        <w:rPr>
          <w:vertAlign w:val="subscript"/>
        </w:rPr>
        <w:t>2</w:t>
      </w:r>
      <w:r>
        <w:t>e over 40 years.</w:t>
      </w:r>
    </w:p>
    <w:p w14:paraId="4F957881" w14:textId="77777777" w:rsidR="00A7521D" w:rsidRPr="005E1AC9" w:rsidRDefault="00A7521D" w:rsidP="00202E44">
      <w:pPr>
        <w:pStyle w:val="ListParagraph"/>
        <w:numPr>
          <w:ilvl w:val="0"/>
          <w:numId w:val="36"/>
        </w:numPr>
        <w:jc w:val="left"/>
        <w:rPr>
          <w:color w:val="FF0000"/>
        </w:rPr>
      </w:pPr>
      <w:r w:rsidRPr="005E1AC9">
        <w:rPr>
          <w:color w:val="FF0000"/>
        </w:rPr>
        <w:br w:type="page"/>
      </w:r>
    </w:p>
    <w:p w14:paraId="343CD730" w14:textId="77777777" w:rsidR="00A7521D" w:rsidRDefault="00A7521D" w:rsidP="00A7521D">
      <w:pPr>
        <w:pStyle w:val="Heading1"/>
      </w:pPr>
      <w:bookmarkStart w:id="955" w:name="_Toc525230047"/>
      <w:bookmarkStart w:id="956" w:name="_Toc7187591"/>
      <w:r>
        <w:lastRenderedPageBreak/>
        <w:t>Future Work</w:t>
      </w:r>
      <w:bookmarkEnd w:id="955"/>
      <w:bookmarkEnd w:id="956"/>
    </w:p>
    <w:p w14:paraId="1D181C9D" w14:textId="77777777" w:rsidR="00A7521D" w:rsidRDefault="00A7521D" w:rsidP="00A7521D">
      <w:r>
        <w:t>Due to the time constraints of a PhD, there are topics that could be further explored, elaborated, and added to the feasibility model, improving the scope and accuracy of the model. The main topics that could be further elaborated on are:</w:t>
      </w:r>
    </w:p>
    <w:p w14:paraId="410E7426" w14:textId="77777777" w:rsidR="00A7521D" w:rsidRDefault="00A7521D" w:rsidP="00202E44">
      <w:pPr>
        <w:pStyle w:val="ListParagraph"/>
        <w:numPr>
          <w:ilvl w:val="0"/>
          <w:numId w:val="35"/>
        </w:numPr>
      </w:pPr>
      <w:r>
        <w:t>Including more TE generating options.</w:t>
      </w:r>
    </w:p>
    <w:p w14:paraId="628AA9B9" w14:textId="77777777" w:rsidR="00A7521D" w:rsidRDefault="00A7521D" w:rsidP="00202E44">
      <w:pPr>
        <w:pStyle w:val="ListParagraph"/>
        <w:numPr>
          <w:ilvl w:val="0"/>
          <w:numId w:val="35"/>
        </w:numPr>
      </w:pPr>
      <w:r>
        <w:t>Considering more than one heat source in the DHN.</w:t>
      </w:r>
    </w:p>
    <w:p w14:paraId="7C9E08D4" w14:textId="77777777" w:rsidR="00A7521D" w:rsidRDefault="00A7521D" w:rsidP="00202E44">
      <w:pPr>
        <w:pStyle w:val="ListParagraph"/>
        <w:numPr>
          <w:ilvl w:val="0"/>
          <w:numId w:val="35"/>
        </w:numPr>
      </w:pPr>
      <w:r>
        <w:t>Using different pipe diameters in the DHN.</w:t>
      </w:r>
    </w:p>
    <w:p w14:paraId="55C59910" w14:textId="77777777" w:rsidR="00A7521D" w:rsidRDefault="00A7521D" w:rsidP="00202E44">
      <w:pPr>
        <w:pStyle w:val="ListParagraph"/>
        <w:numPr>
          <w:ilvl w:val="0"/>
          <w:numId w:val="35"/>
        </w:numPr>
      </w:pPr>
      <w:r>
        <w:t>Expanding on the DH optimisation.</w:t>
      </w:r>
    </w:p>
    <w:p w14:paraId="188DD1F5" w14:textId="77777777" w:rsidR="00A7521D" w:rsidRDefault="00A7521D" w:rsidP="00202E44">
      <w:pPr>
        <w:pStyle w:val="ListParagraph"/>
        <w:numPr>
          <w:ilvl w:val="0"/>
          <w:numId w:val="35"/>
        </w:numPr>
      </w:pPr>
      <w:r>
        <w:t>Running a validation study for the DH optimisation model.</w:t>
      </w:r>
    </w:p>
    <w:p w14:paraId="13BC6100" w14:textId="77777777" w:rsidR="00A7521D" w:rsidRDefault="00A7521D" w:rsidP="00202E44">
      <w:pPr>
        <w:pStyle w:val="ListParagraph"/>
        <w:numPr>
          <w:ilvl w:val="0"/>
          <w:numId w:val="35"/>
        </w:numPr>
      </w:pPr>
      <w:r>
        <w:t>More detailed techno-economic and environmental assessments.</w:t>
      </w:r>
    </w:p>
    <w:p w14:paraId="3CE1EAEE" w14:textId="77777777" w:rsidR="00A7521D" w:rsidRDefault="00A7521D" w:rsidP="00202E44">
      <w:pPr>
        <w:pStyle w:val="ListParagraph"/>
        <w:numPr>
          <w:ilvl w:val="0"/>
          <w:numId w:val="35"/>
        </w:numPr>
      </w:pPr>
      <w:r>
        <w:t>Using the overall feasibility model for more than one case study.</w:t>
      </w:r>
    </w:p>
    <w:p w14:paraId="41FE9390" w14:textId="77777777" w:rsidR="00A7521D" w:rsidRDefault="00A7521D" w:rsidP="00A7521D">
      <w:pPr>
        <w:pStyle w:val="Heading2"/>
      </w:pPr>
      <w:bookmarkStart w:id="957" w:name="_Toc525230049"/>
      <w:bookmarkStart w:id="958" w:name="_Toc7187592"/>
      <w:r>
        <w:t>Including More Thermal Energy Generating Options</w:t>
      </w:r>
      <w:bookmarkEnd w:id="957"/>
      <w:bookmarkEnd w:id="958"/>
    </w:p>
    <w:p w14:paraId="5E6FD2C1" w14:textId="6415FF18" w:rsidR="00A7521D" w:rsidRDefault="00A7521D" w:rsidP="00A7521D">
      <w:r>
        <w:t xml:space="preserve">One of the major advantages of DH is that a large number of options exist for the TE generating centre. Technologies such as CHP, boilers, and heat pumps and heat sources such as renewables, </w:t>
      </w:r>
      <w:proofErr w:type="spellStart"/>
      <w:r>
        <w:t>WtE</w:t>
      </w:r>
      <w:proofErr w:type="spellEnd"/>
      <w:r>
        <w:t xml:space="preserve">, fossil fuels and nuclear can be considered. Every combination of options </w:t>
      </w:r>
      <w:r w:rsidR="00D82F1A">
        <w:t>introduces</w:t>
      </w:r>
      <w:r>
        <w:t xml:space="preserve"> a unique set of advantages and disadvantages which will affect DH feasibility. The current feasibility work only considers a DHN supplied by industrial WH using WHR technologies. Modelling all different options would allow the non-technical user more flexibility when assessing the feasibility of the DHN.</w:t>
      </w:r>
    </w:p>
    <w:p w14:paraId="02F50EFB" w14:textId="77777777" w:rsidR="00A7521D" w:rsidRDefault="00A7521D" w:rsidP="00A7521D">
      <w:r>
        <w:t>Modelling the heat supply from a boiler or heat pump would be very simple, only requiring a series of equations to estimate the heat output from the fuel input. Modelling a CHP unit would be more complex but could lead to interesting studies to see how various control strategies affect the heat output. It is possible to change the proportion of heat to electricity provision, change the priority of the CHP unit operator, and introduce time variable factors such as variable electricity prices.</w:t>
      </w:r>
    </w:p>
    <w:p w14:paraId="0E4C76FF" w14:textId="77777777" w:rsidR="00A7521D" w:rsidRDefault="00A7521D" w:rsidP="00A7521D">
      <w:r>
        <w:t xml:space="preserve">Reliable fuels, such as fossil fuels and nuclear, would be simple with constant and reliable heat outputs. </w:t>
      </w:r>
      <w:proofErr w:type="spellStart"/>
      <w:r>
        <w:t>WtE</w:t>
      </w:r>
      <w:proofErr w:type="spellEnd"/>
      <w:r>
        <w:t xml:space="preserve"> would introduce challenges due to the constantly changing fuel input with a constantly changing heating value. </w:t>
      </w:r>
      <w:proofErr w:type="spellStart"/>
      <w:r>
        <w:t>WtE</w:t>
      </w:r>
      <w:proofErr w:type="spellEnd"/>
      <w:r>
        <w:t xml:space="preserve"> would be simpler than renewable options due to the constant fuel input rate. Renewable heat sources would introduce intermittency issues that would cause a constantly changing and unpredictable heat supply, requiring reliable back-up heat generation.</w:t>
      </w:r>
    </w:p>
    <w:p w14:paraId="267DD6E1" w14:textId="77777777" w:rsidR="00A7521D" w:rsidRDefault="00A7521D" w:rsidP="00A7521D">
      <w:pPr>
        <w:pStyle w:val="Heading2"/>
      </w:pPr>
      <w:bookmarkStart w:id="959" w:name="_Toc7187593"/>
      <w:r>
        <w:t>Considering More than One Heat Source in the District Heating Network</w:t>
      </w:r>
      <w:bookmarkEnd w:id="959"/>
    </w:p>
    <w:p w14:paraId="44A92FBC" w14:textId="77777777" w:rsidR="00A7521D" w:rsidRDefault="00A7521D" w:rsidP="00A7521D">
      <w:r>
        <w:t>Even though the case study had the potential to include a second heat source from Chatsworth House, the feasibility model did not. Chatsworth House was ignored due to the difficulties in obtaining any primary information from the house that could be used to model the variation in the available heat supply.</w:t>
      </w:r>
    </w:p>
    <w:p w14:paraId="29990967" w14:textId="77777777" w:rsidR="00A7521D" w:rsidRDefault="00A7521D" w:rsidP="00A7521D">
      <w:r>
        <w:lastRenderedPageBreak/>
        <w:t xml:space="preserve">Including multiple heat sources at multiple locations would make balancing the supply and demand in the DHN complicated. Complication would occur as the time delays and heat losses associated with the supply of the heat would vary depending on which heat source supplied the heat to a customer. </w:t>
      </w:r>
    </w:p>
    <w:p w14:paraId="6F0A808B" w14:textId="77777777" w:rsidR="00A7521D" w:rsidRPr="002A11FC" w:rsidRDefault="00A7521D" w:rsidP="00A7521D">
      <w:r>
        <w:t>It is likely that only way that multiple heat sources could be considered on a single DHN would be to split the overall network into individual zones based on their proximity to the heat sources. Each zone could interact with the others, allowing for the transfer of heat from one zone to other when the heat supplies and demands in each zone were imbalanced. Treating the overall DHN as a bunch of smaller networks, each supplied by their own heat source, should keep the optimisation work simple enough to be used by a non-technical user.</w:t>
      </w:r>
    </w:p>
    <w:p w14:paraId="00F24352" w14:textId="7E584F6C" w:rsidR="00A7521D" w:rsidRDefault="00A7521D" w:rsidP="00A7521D">
      <w:pPr>
        <w:pStyle w:val="Heading2"/>
      </w:pPr>
      <w:bookmarkStart w:id="960" w:name="_Toc7187594"/>
      <w:r>
        <w:t>Using Different Pipe Diameters</w:t>
      </w:r>
      <w:r w:rsidR="006C2BA2">
        <w:t xml:space="preserve"> and Pump Sizes</w:t>
      </w:r>
      <w:r>
        <w:t xml:space="preserve"> in the District Heating Network</w:t>
      </w:r>
      <w:bookmarkEnd w:id="960"/>
    </w:p>
    <w:p w14:paraId="690D46C7" w14:textId="77777777" w:rsidR="00A7521D" w:rsidRDefault="00A7521D" w:rsidP="00A7521D">
      <w:r>
        <w:t xml:space="preserve">Changing the diameter of the pipe network would affect the rate of energy loss from the network, which would affect the techno-economic modelling. Using a pipe network with a larger diameter should allow for more water to travel around the network with lower losses as a percentage of the overall heat flow. Therefore, using large diameters pipes should either allow for more heat to be sold to the customers, less heat to be bought from the heat source, or both. All three of the options should positively affect the techno-economic model of the network. </w:t>
      </w:r>
    </w:p>
    <w:p w14:paraId="3D611DA8" w14:textId="1CEBE31D" w:rsidR="00A7521D" w:rsidRDefault="00A7521D" w:rsidP="00A7521D">
      <w:r>
        <w:t>However, pipes with larger pipe diameters are more expensive, both in terms of construction and installation, which should negatively affect the techno-economic model of the network. Changing the pipe diameters is a balance between the ratio of heat bought and sold by the network and the costs of the pipe network itself. Using a range of different pipe diameters in the work should allow for the best pipe diameter in each situation to be selected.</w:t>
      </w:r>
    </w:p>
    <w:p w14:paraId="20749333" w14:textId="0E73ED59" w:rsidR="006C2BA2" w:rsidRPr="00F36E9C" w:rsidRDefault="006C2BA2" w:rsidP="00A7521D">
      <w:r>
        <w:t xml:space="preserve">Changing the sizes of the pumps would have a direct </w:t>
      </w:r>
      <w:proofErr w:type="spellStart"/>
      <w:r>
        <w:t>affect</w:t>
      </w:r>
      <w:proofErr w:type="spellEnd"/>
      <w:r>
        <w:t xml:space="preserve"> on the CAPEX and OPEX of the pumps in the network. It would have an indirect </w:t>
      </w:r>
      <w:proofErr w:type="spellStart"/>
      <w:r>
        <w:t>affect</w:t>
      </w:r>
      <w:proofErr w:type="spellEnd"/>
      <w:r>
        <w:t xml:space="preserve"> on the pipe sizes, as discussed above.</w:t>
      </w:r>
    </w:p>
    <w:p w14:paraId="51BB8169" w14:textId="4517CCC6" w:rsidR="00A7521D" w:rsidRDefault="00A7521D" w:rsidP="00A7521D">
      <w:pPr>
        <w:pStyle w:val="Heading2"/>
      </w:pPr>
      <w:bookmarkStart w:id="961" w:name="_Toc525230050"/>
      <w:bookmarkStart w:id="962" w:name="_Toc7187595"/>
      <w:r>
        <w:t>Expanding the District Heating Optimisation</w:t>
      </w:r>
      <w:bookmarkEnd w:id="961"/>
      <w:r w:rsidR="00BE60A4">
        <w:t xml:space="preserve"> Model</w:t>
      </w:r>
      <w:bookmarkEnd w:id="962"/>
    </w:p>
    <w:p w14:paraId="216068A5" w14:textId="77777777" w:rsidR="00A7521D" w:rsidRDefault="00A7521D" w:rsidP="00A7521D">
      <w:r>
        <w:t xml:space="preserve">Currently the DH optimisation is simple, only considering short term TES, a single value for the allowable temperature change in the TEs options, and one HD profile. Modelling seasonal TES options such as CAES and pit TES will assess if </w:t>
      </w:r>
      <w:proofErr w:type="spellStart"/>
      <w:r>
        <w:t>interseasonal</w:t>
      </w:r>
      <w:proofErr w:type="spellEnd"/>
      <w:r>
        <w:t xml:space="preserve"> TES is possible. It is worth noting however, that seasonal TES has been shown to only be worth implementing in large DHNs in cold climates and may not be feasible in the UK. </w:t>
      </w:r>
    </w:p>
    <w:p w14:paraId="0A9B5112" w14:textId="59201327" w:rsidR="00A7521D" w:rsidRDefault="00A7521D" w:rsidP="00A7521D">
      <w:r>
        <w:t xml:space="preserve">In the DH optimisation work, the allowable temperature changes in the network and the buildings were kept as </w:t>
      </w:r>
      <w:r w:rsidR="00C36B79">
        <w:t>± 1</w:t>
      </w:r>
      <w:r w:rsidRPr="00FF7473">
        <w:t xml:space="preserve"> °C</w:t>
      </w:r>
      <w:r>
        <w:t xml:space="preserve"> and</w:t>
      </w:r>
      <w:r w:rsidRPr="00FF7473">
        <w:t xml:space="preserve"> </w:t>
      </w:r>
      <w:r w:rsidR="00C36B79">
        <w:t>± 0.5</w:t>
      </w:r>
      <w:r w:rsidRPr="00FF7473">
        <w:t xml:space="preserve"> °C</w:t>
      </w:r>
      <w:r>
        <w:t xml:space="preserve"> respectively. Increasing the allowable temperature change would allow more TE to be stored, potentially changing the results of the optimisation study. It is worth noting that the temperature changes could not be significant without affecting the performance of the DHN or the thermal comfort in the buildings, so the differences may not be extensive.</w:t>
      </w:r>
    </w:p>
    <w:p w14:paraId="0381CBD3" w14:textId="77777777" w:rsidR="00A7521D" w:rsidRPr="00564CC2" w:rsidRDefault="00A7521D" w:rsidP="00A7521D">
      <w:r>
        <w:lastRenderedPageBreak/>
        <w:t xml:space="preserve">The optimisation work considers which TES technology is best at certain ratios of peak heat supply to peak HD. The changing ratios is achieved by changing the heat supply. Another study could be achieved by changing the TE demand, </w:t>
      </w:r>
      <w:proofErr w:type="gramStart"/>
      <w:r>
        <w:t>similarly</w:t>
      </w:r>
      <w:proofErr w:type="gramEnd"/>
      <w:r>
        <w:t xml:space="preserve"> changing the ratio of supply to demand. </w:t>
      </w:r>
    </w:p>
    <w:p w14:paraId="25751E8B" w14:textId="77777777" w:rsidR="00A7521D" w:rsidRDefault="00A7521D" w:rsidP="00A7521D">
      <w:pPr>
        <w:pStyle w:val="Heading2"/>
      </w:pPr>
      <w:bookmarkStart w:id="963" w:name="_Toc7187596"/>
      <w:r>
        <w:t>Running a Validation Study for the District Heating Optimisation Model</w:t>
      </w:r>
      <w:bookmarkEnd w:id="963"/>
    </w:p>
    <w:p w14:paraId="19217983" w14:textId="77777777" w:rsidR="00A7521D" w:rsidRDefault="00A7521D" w:rsidP="00A7521D">
      <w:r>
        <w:t>Due to time constraints, no validation study was run to test the accuracy of the DH optimisation model. Instead, a comment was made that the model was not novel to this thesis and instead was a comparison between different optimisation models found in multiple papers. Each model came from a peer reviewed paper allowing the accuracy of the work to be considered as pre</w:t>
      </w:r>
      <w:r>
        <w:noBreakHyphen/>
        <w:t>approved. Therefore, as no modifications were made to the models in this thesis, the accuracy of the DH optimisation work can be considered as pre-approved.</w:t>
      </w:r>
    </w:p>
    <w:p w14:paraId="343F6737" w14:textId="77777777" w:rsidR="00A7521D" w:rsidRPr="002B62C1" w:rsidRDefault="00A7521D" w:rsidP="00A7521D">
      <w:r>
        <w:t>The advantage of running a validation study of the DH optimisation model, is that it will allow future modifications to the work. If the validation study has already been run, it will be easier to repeat. Having the ability to easily repeat the validation study will make modifying the model quicker and easier to complete, allowing for a near instantaneous validation study to be completed.</w:t>
      </w:r>
    </w:p>
    <w:p w14:paraId="7F676D89" w14:textId="100006A4" w:rsidR="00A7521D" w:rsidRDefault="00A7521D" w:rsidP="00A7521D">
      <w:pPr>
        <w:pStyle w:val="Heading2"/>
      </w:pPr>
      <w:bookmarkStart w:id="964" w:name="_Toc525230048"/>
      <w:bookmarkStart w:id="965" w:name="_Toc7187597"/>
      <w:r>
        <w:t xml:space="preserve">More Detailed </w:t>
      </w:r>
      <w:bookmarkEnd w:id="964"/>
      <w:r>
        <w:t>Techno-Economic and Environmental Assessment</w:t>
      </w:r>
      <w:r w:rsidR="00BE60A4">
        <w:t xml:space="preserve"> Models</w:t>
      </w:r>
      <w:bookmarkEnd w:id="965"/>
    </w:p>
    <w:p w14:paraId="3DE228B1" w14:textId="77777777" w:rsidR="00A7521D" w:rsidRDefault="00A7521D" w:rsidP="00A7521D">
      <w:r>
        <w:t>The techno-economic and environmental assessments in the thesis is simple, merely evaluating whether the cost of the heat delivery is lower than the cost of natural gas. The environmental model only considers if the environmental effects of the DHN are lower than those of natural gas delivery. Both elements of the techno-economic model could be expanded upon.</w:t>
      </w:r>
    </w:p>
    <w:p w14:paraId="283FD4F6" w14:textId="77777777" w:rsidR="00A7521D" w:rsidRDefault="00A7521D" w:rsidP="00A7521D">
      <w:r>
        <w:t>The techno-economic modelling work could firstly be expanded to consider future projections of costs and how they will change the techno-economic modelling. The future projections include estimations of how inflation will affect the component and current heat prices. It will also include estimations of how the relevant markets will or will not change in the future. If the cost of natural gas rises, then the costs of the DHN will become more favourable. The techno-economic model could also be expanded to compare the effects that different types of contract, both with the heat provider and the customers, will have on the results.</w:t>
      </w:r>
    </w:p>
    <w:p w14:paraId="33D99FDC" w14:textId="77777777" w:rsidR="00A7521D" w:rsidRDefault="00A7521D" w:rsidP="00A7521D">
      <w:r>
        <w:t>The environmental modelling could be expanded to include a cradle to grave LCA. A cradle to grave LCA would consider every emission related to the product from the initial extraction of the raw materials to the final disposal. A cradle to grave LCA of DH would include the excavation of the roads during the installation process both during installation and decommissioning.</w:t>
      </w:r>
    </w:p>
    <w:p w14:paraId="3ED68121" w14:textId="0311B2EE" w:rsidR="00A7521D" w:rsidRDefault="00A7521D" w:rsidP="00A7521D">
      <w:r>
        <w:t>Due to time constraints, it was not possible to run a validation study into the techno</w:t>
      </w:r>
      <w:r>
        <w:noBreakHyphen/>
        <w:t xml:space="preserve">economic and environmental assessments. Instead, the assessments were briefly </w:t>
      </w:r>
      <w:r>
        <w:lastRenderedPageBreak/>
        <w:t xml:space="preserve">validated by comparing the results to the results of a techno-economic and environmental assessment of the same DHN by AECOM. Therefore, it has been proven that the assessment models are accurate for the case study DHN; more accurate validation work would prove that the assessments are accurate for any network. </w:t>
      </w:r>
    </w:p>
    <w:p w14:paraId="4624B065" w14:textId="77777777" w:rsidR="00A7521D" w:rsidRDefault="00A7521D" w:rsidP="00A7521D">
      <w:pPr>
        <w:pStyle w:val="Heading2"/>
      </w:pPr>
      <w:bookmarkStart w:id="966" w:name="_Toc7187598"/>
      <w:r>
        <w:t>Using the Overall Feasibility Model for More than One Case Study</w:t>
      </w:r>
      <w:bookmarkEnd w:id="966"/>
    </w:p>
    <w:p w14:paraId="088FF1A1" w14:textId="77777777" w:rsidR="00A7521D" w:rsidRPr="00010E5A" w:rsidRDefault="00A7521D" w:rsidP="00A7521D">
      <w:r>
        <w:t>In the discussion, it was explained why the heat mapping, district heating optimisation, and techno-economic model should work for any DHN in the UK. However, none of the three stages were proven to work for multiple different locations with case studies. The failure to do so is due to time constraints and the lack of available primary data making the work impossible. Repeating the entire DH feasibility study and not just the HD modelling for the three different case studies would prove that the entire feasibility model would work for any DHN in the UK.</w:t>
      </w:r>
    </w:p>
    <w:p w14:paraId="64BD07C3" w14:textId="77777777" w:rsidR="002A6A73" w:rsidRDefault="002A6A73">
      <w:pPr>
        <w:jc w:val="left"/>
      </w:pPr>
      <w:r>
        <w:br w:type="page"/>
      </w:r>
    </w:p>
    <w:p w14:paraId="00EB529A" w14:textId="77777777" w:rsidR="002A6A73" w:rsidRDefault="002A6A73" w:rsidP="002A6A73">
      <w:pPr>
        <w:pStyle w:val="Heading1"/>
      </w:pPr>
      <w:bookmarkStart w:id="967" w:name="_Toc7187599"/>
      <w:r>
        <w:lastRenderedPageBreak/>
        <w:t>References</w:t>
      </w:r>
      <w:bookmarkEnd w:id="967"/>
    </w:p>
    <w:p w14:paraId="36B44DD4" w14:textId="1080DC41" w:rsidR="00D31CA5" w:rsidRPr="00D31CA5" w:rsidRDefault="002A6A73" w:rsidP="00D31CA5">
      <w:pPr>
        <w:widowControl w:val="0"/>
        <w:autoSpaceDE w:val="0"/>
        <w:autoSpaceDN w:val="0"/>
        <w:adjustRightInd w:val="0"/>
        <w:spacing w:line="240" w:lineRule="auto"/>
        <w:rPr>
          <w:rFonts w:ascii="Calibri" w:hAnsi="Calibri" w:cs="Calibri"/>
          <w:noProof/>
          <w:szCs w:val="24"/>
        </w:rPr>
      </w:pPr>
      <w:r>
        <w:fldChar w:fldCharType="begin" w:fldLock="1"/>
      </w:r>
      <w:r>
        <w:instrText xml:space="preserve">ADDIN Mendeley Bibliography CSL_BIBLIOGRAPHY </w:instrText>
      </w:r>
      <w:r>
        <w:fldChar w:fldCharType="separate"/>
      </w:r>
      <w:r w:rsidR="00D31CA5" w:rsidRPr="00D31CA5">
        <w:rPr>
          <w:rFonts w:ascii="Calibri" w:hAnsi="Calibri" w:cs="Calibri"/>
          <w:noProof/>
          <w:szCs w:val="24"/>
        </w:rPr>
        <w:t xml:space="preserve">Abu-Ebid, M. (2015) </w:t>
      </w:r>
      <w:r w:rsidR="00D31CA5" w:rsidRPr="00D31CA5">
        <w:rPr>
          <w:rFonts w:ascii="Calibri" w:hAnsi="Calibri" w:cs="Calibri"/>
          <w:i/>
          <w:iCs/>
          <w:noProof/>
          <w:szCs w:val="24"/>
        </w:rPr>
        <w:t>National Comprehensive Assessment of the Potential for Combined Heat and Power and District Heating and Cooling in the UK - Report for DECC</w:t>
      </w:r>
      <w:r w:rsidR="00D31CA5" w:rsidRPr="00D31CA5">
        <w:rPr>
          <w:rFonts w:ascii="Calibri" w:hAnsi="Calibri" w:cs="Calibri"/>
          <w:noProof/>
          <w:szCs w:val="24"/>
        </w:rPr>
        <w:t>. Didcot, England.</w:t>
      </w:r>
    </w:p>
    <w:p w14:paraId="3E1A89C5"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Achaichia, A. and Cowell, T. A. (1988) ‘Heat transfer and pressure drop characteristics of flat tube and louvered plate fin surfaces’, </w:t>
      </w:r>
      <w:r w:rsidRPr="00D31CA5">
        <w:rPr>
          <w:rFonts w:ascii="Calibri" w:hAnsi="Calibri" w:cs="Calibri"/>
          <w:i/>
          <w:iCs/>
          <w:noProof/>
          <w:szCs w:val="24"/>
        </w:rPr>
        <w:t>Experimental Thermal and Fluid Science</w:t>
      </w:r>
      <w:r w:rsidRPr="00D31CA5">
        <w:rPr>
          <w:rFonts w:ascii="Calibri" w:hAnsi="Calibri" w:cs="Calibri"/>
          <w:noProof/>
          <w:szCs w:val="24"/>
        </w:rPr>
        <w:t>, 1(2), pp. 147–157. doi: 10.1016/0894-1777(88)90032-5.</w:t>
      </w:r>
    </w:p>
    <w:p w14:paraId="1B24168C"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ADE (2018) </w:t>
      </w:r>
      <w:r w:rsidRPr="00D31CA5">
        <w:rPr>
          <w:rFonts w:ascii="Calibri" w:hAnsi="Calibri" w:cs="Calibri"/>
          <w:i/>
          <w:iCs/>
          <w:noProof/>
          <w:szCs w:val="24"/>
        </w:rPr>
        <w:t>Market Report: Heat Networks in the UK</w:t>
      </w:r>
      <w:r w:rsidRPr="00D31CA5">
        <w:rPr>
          <w:rFonts w:ascii="Calibri" w:hAnsi="Calibri" w:cs="Calibri"/>
          <w:noProof/>
          <w:szCs w:val="24"/>
        </w:rPr>
        <w:t>. London, England. Available at: https://www.theade.co.uk/assets/docs/resources/Heat Networks in the UK_v5 web single pages.pdf.</w:t>
      </w:r>
    </w:p>
    <w:p w14:paraId="5281B361"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Adolfsson, M. and Rashid, S. (2016) </w:t>
      </w:r>
      <w:r w:rsidRPr="00D31CA5">
        <w:rPr>
          <w:rFonts w:ascii="Calibri" w:hAnsi="Calibri" w:cs="Calibri"/>
          <w:i/>
          <w:iCs/>
          <w:noProof/>
          <w:szCs w:val="24"/>
        </w:rPr>
        <w:t>Life Cycle Assessment and Life Cycle Cost of Heat Exchangers. A Case for Inter Terminals Sweden AB Located in Port of Gothenburg.</w:t>
      </w:r>
      <w:r w:rsidRPr="00D31CA5">
        <w:rPr>
          <w:rFonts w:ascii="Calibri" w:hAnsi="Calibri" w:cs="Calibri"/>
          <w:noProof/>
          <w:szCs w:val="24"/>
        </w:rPr>
        <w:t xml:space="preserve"> Chalmers.</w:t>
      </w:r>
    </w:p>
    <w:p w14:paraId="54CB64C2"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AECOM (2018) </w:t>
      </w:r>
      <w:r w:rsidRPr="00D31CA5">
        <w:rPr>
          <w:rFonts w:ascii="Calibri" w:hAnsi="Calibri" w:cs="Calibri"/>
          <w:i/>
          <w:iCs/>
          <w:noProof/>
          <w:szCs w:val="24"/>
        </w:rPr>
        <w:t>Derbyshire County Council – Heat Mapping and Energy Masterplanning</w:t>
      </w:r>
      <w:r w:rsidRPr="00D31CA5">
        <w:rPr>
          <w:rFonts w:ascii="Calibri" w:hAnsi="Calibri" w:cs="Calibri"/>
          <w:noProof/>
          <w:szCs w:val="24"/>
        </w:rPr>
        <w:t>. London, England.</w:t>
      </w:r>
    </w:p>
    <w:p w14:paraId="19E53C1F"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Ahmed, F. (1996) ‘The battery recycling loop: a European perspective’, </w:t>
      </w:r>
      <w:r w:rsidRPr="00D31CA5">
        <w:rPr>
          <w:rFonts w:ascii="Calibri" w:hAnsi="Calibri" w:cs="Calibri"/>
          <w:i/>
          <w:iCs/>
          <w:noProof/>
          <w:szCs w:val="24"/>
        </w:rPr>
        <w:t>Journal of Power Sources</w:t>
      </w:r>
      <w:r w:rsidRPr="00D31CA5">
        <w:rPr>
          <w:rFonts w:ascii="Calibri" w:hAnsi="Calibri" w:cs="Calibri"/>
          <w:noProof/>
          <w:szCs w:val="24"/>
        </w:rPr>
        <w:t>, 59(1–2), pp. 107–111. doi: 10.1016/0378-7753(95)02309-7.</w:t>
      </w:r>
    </w:p>
    <w:p w14:paraId="0A403C58"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Ajah, A. N. </w:t>
      </w:r>
      <w:r w:rsidRPr="00D31CA5">
        <w:rPr>
          <w:rFonts w:ascii="Calibri" w:hAnsi="Calibri" w:cs="Calibri"/>
          <w:i/>
          <w:iCs/>
          <w:noProof/>
          <w:szCs w:val="24"/>
        </w:rPr>
        <w:t>et al.</w:t>
      </w:r>
      <w:r w:rsidRPr="00D31CA5">
        <w:rPr>
          <w:rFonts w:ascii="Calibri" w:hAnsi="Calibri" w:cs="Calibri"/>
          <w:noProof/>
          <w:szCs w:val="24"/>
        </w:rPr>
        <w:t xml:space="preserve"> (2007) ‘Integrated conceptual design of a robust and reliable waste-heat district heating system’, </w:t>
      </w:r>
      <w:r w:rsidRPr="00D31CA5">
        <w:rPr>
          <w:rFonts w:ascii="Calibri" w:hAnsi="Calibri" w:cs="Calibri"/>
          <w:i/>
          <w:iCs/>
          <w:noProof/>
          <w:szCs w:val="24"/>
        </w:rPr>
        <w:t>Applied Thermal Engineering</w:t>
      </w:r>
      <w:r w:rsidRPr="00D31CA5">
        <w:rPr>
          <w:rFonts w:ascii="Calibri" w:hAnsi="Calibri" w:cs="Calibri"/>
          <w:noProof/>
          <w:szCs w:val="24"/>
        </w:rPr>
        <w:t>, 27(7 SPEC. ISS.), pp. 1158–1164. doi: 10.1016/j.applthermaleng.2006.02.039.</w:t>
      </w:r>
    </w:p>
    <w:p w14:paraId="5D57AF98" w14:textId="77777777" w:rsidR="00D31CA5" w:rsidRPr="00D31CA5" w:rsidRDefault="00D31CA5" w:rsidP="00F52A05">
      <w:pPr>
        <w:widowControl w:val="0"/>
        <w:autoSpaceDE w:val="0"/>
        <w:autoSpaceDN w:val="0"/>
        <w:adjustRightInd w:val="0"/>
        <w:spacing w:line="240" w:lineRule="auto"/>
        <w:ind w:left="720" w:hanging="720"/>
        <w:rPr>
          <w:rFonts w:ascii="Calibri" w:hAnsi="Calibri" w:cs="Calibri"/>
          <w:noProof/>
          <w:szCs w:val="24"/>
        </w:rPr>
      </w:pPr>
      <w:r w:rsidRPr="00D31CA5">
        <w:rPr>
          <w:rFonts w:ascii="Calibri" w:hAnsi="Calibri" w:cs="Calibri"/>
          <w:noProof/>
          <w:szCs w:val="24"/>
        </w:rPr>
        <w:t xml:space="preserve">Al-Rabghi, O. M. </w:t>
      </w:r>
      <w:r w:rsidRPr="00D31CA5">
        <w:rPr>
          <w:rFonts w:ascii="Calibri" w:hAnsi="Calibri" w:cs="Calibri"/>
          <w:i/>
          <w:iCs/>
          <w:noProof/>
          <w:szCs w:val="24"/>
        </w:rPr>
        <w:t>et al.</w:t>
      </w:r>
      <w:r w:rsidRPr="00D31CA5">
        <w:rPr>
          <w:rFonts w:ascii="Calibri" w:hAnsi="Calibri" w:cs="Calibri"/>
          <w:noProof/>
          <w:szCs w:val="24"/>
        </w:rPr>
        <w:t xml:space="preserve"> (1993) ‘Recovery and utilization of waste heat’, </w:t>
      </w:r>
      <w:r w:rsidRPr="00D31CA5">
        <w:rPr>
          <w:rFonts w:ascii="Calibri" w:hAnsi="Calibri" w:cs="Calibri"/>
          <w:i/>
          <w:iCs/>
          <w:noProof/>
          <w:szCs w:val="24"/>
        </w:rPr>
        <w:t>Heat Recovery Systems and CHP</w:t>
      </w:r>
      <w:r w:rsidRPr="00D31CA5">
        <w:rPr>
          <w:rFonts w:ascii="Calibri" w:hAnsi="Calibri" w:cs="Calibri"/>
          <w:noProof/>
          <w:szCs w:val="24"/>
        </w:rPr>
        <w:t>, 13(5), pp. 463–470. doi: http://dx.doi.org/10.1016/0890-4332(93)90047-Y.</w:t>
      </w:r>
    </w:p>
    <w:p w14:paraId="07F839D5"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Amjady, N. (2001) ‘Short-Term Hourly Load Forecasting Using Time-Series Modeling with Peak Load Estimation Capability’, </w:t>
      </w:r>
      <w:r w:rsidRPr="00D31CA5">
        <w:rPr>
          <w:rFonts w:ascii="Calibri" w:hAnsi="Calibri" w:cs="Calibri"/>
          <w:i/>
          <w:iCs/>
          <w:noProof/>
          <w:szCs w:val="24"/>
        </w:rPr>
        <w:t>Power Systems</w:t>
      </w:r>
      <w:r w:rsidRPr="00D31CA5">
        <w:rPr>
          <w:rFonts w:ascii="Calibri" w:hAnsi="Calibri" w:cs="Calibri"/>
          <w:noProof/>
          <w:szCs w:val="24"/>
        </w:rPr>
        <w:t>, 16(3), pp. 789–805. doi: 10.1109/59.932287.</w:t>
      </w:r>
    </w:p>
    <w:p w14:paraId="58CF4B29"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Ammar, Y. </w:t>
      </w:r>
      <w:r w:rsidRPr="00D31CA5">
        <w:rPr>
          <w:rFonts w:ascii="Calibri" w:hAnsi="Calibri" w:cs="Calibri"/>
          <w:i/>
          <w:iCs/>
          <w:noProof/>
          <w:szCs w:val="24"/>
        </w:rPr>
        <w:t>et al.</w:t>
      </w:r>
      <w:r w:rsidRPr="00D31CA5">
        <w:rPr>
          <w:rFonts w:ascii="Calibri" w:hAnsi="Calibri" w:cs="Calibri"/>
          <w:noProof/>
          <w:szCs w:val="24"/>
        </w:rPr>
        <w:t xml:space="preserve"> (2012) ‘Low grade thermal energy sources and uses from the process industry in the UK’, </w:t>
      </w:r>
      <w:r w:rsidRPr="00D31CA5">
        <w:rPr>
          <w:rFonts w:ascii="Calibri" w:hAnsi="Calibri" w:cs="Calibri"/>
          <w:i/>
          <w:iCs/>
          <w:noProof/>
          <w:szCs w:val="24"/>
        </w:rPr>
        <w:t>Applied Energy</w:t>
      </w:r>
      <w:r w:rsidRPr="00D31CA5">
        <w:rPr>
          <w:rFonts w:ascii="Calibri" w:hAnsi="Calibri" w:cs="Calibri"/>
          <w:noProof/>
          <w:szCs w:val="24"/>
        </w:rPr>
        <w:t>. Elsevier Ltd, 89(1), pp. 3–20. doi: 10.1016/j.apenergy.2011.06.003.</w:t>
      </w:r>
    </w:p>
    <w:p w14:paraId="2383593C"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Andrić, I. </w:t>
      </w:r>
      <w:r w:rsidRPr="00D31CA5">
        <w:rPr>
          <w:rFonts w:ascii="Calibri" w:hAnsi="Calibri" w:cs="Calibri"/>
          <w:i/>
          <w:iCs/>
          <w:noProof/>
          <w:szCs w:val="24"/>
        </w:rPr>
        <w:t>et al.</w:t>
      </w:r>
      <w:r w:rsidRPr="00D31CA5">
        <w:rPr>
          <w:rFonts w:ascii="Calibri" w:hAnsi="Calibri" w:cs="Calibri"/>
          <w:noProof/>
          <w:szCs w:val="24"/>
        </w:rPr>
        <w:t xml:space="preserve"> (2018) ‘The impact of global warming and building renovation measures on district heating system techno-economic parameters’, </w:t>
      </w:r>
      <w:r w:rsidRPr="00D31CA5">
        <w:rPr>
          <w:rFonts w:ascii="Calibri" w:hAnsi="Calibri" w:cs="Calibri"/>
          <w:i/>
          <w:iCs/>
          <w:noProof/>
          <w:szCs w:val="24"/>
        </w:rPr>
        <w:t>Energy</w:t>
      </w:r>
      <w:r w:rsidRPr="00D31CA5">
        <w:rPr>
          <w:rFonts w:ascii="Calibri" w:hAnsi="Calibri" w:cs="Calibri"/>
          <w:noProof/>
          <w:szCs w:val="24"/>
        </w:rPr>
        <w:t>, 150, pp. 926–937. doi: 10.1016/j.energy.2018.03.027.</w:t>
      </w:r>
    </w:p>
    <w:p w14:paraId="01031783"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Antics, M. and Sanner, B. (2007) ‘Status of Geothermal Energy Use and Resources in Europe’, in </w:t>
      </w:r>
      <w:r w:rsidRPr="00D31CA5">
        <w:rPr>
          <w:rFonts w:ascii="Calibri" w:hAnsi="Calibri" w:cs="Calibri"/>
          <w:i/>
          <w:iCs/>
          <w:noProof/>
          <w:szCs w:val="24"/>
        </w:rPr>
        <w:t>Proceedings European Geothermal Congress 2007</w:t>
      </w:r>
      <w:r w:rsidRPr="00D31CA5">
        <w:rPr>
          <w:rFonts w:ascii="Calibri" w:hAnsi="Calibri" w:cs="Calibri"/>
          <w:noProof/>
          <w:szCs w:val="24"/>
        </w:rPr>
        <w:t>. Unterhaching, Germany: European Geothermal Congress. Available at: y:%5CARCHIV_GEOWATT%5CPaper%5CPaper_archiviert%5CAntics_2007_EGC_GeothEnergyUseEurope.pdf.</w:t>
      </w:r>
    </w:p>
    <w:p w14:paraId="6EA99F5B"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Aras, H. and Aras, N. (2004) ‘Forecasting residential natural gas demand’, </w:t>
      </w:r>
      <w:r w:rsidRPr="00D31CA5">
        <w:rPr>
          <w:rFonts w:ascii="Calibri" w:hAnsi="Calibri" w:cs="Calibri"/>
          <w:i/>
          <w:iCs/>
          <w:noProof/>
          <w:szCs w:val="24"/>
        </w:rPr>
        <w:t>Energy Sources</w:t>
      </w:r>
      <w:r w:rsidRPr="00D31CA5">
        <w:rPr>
          <w:rFonts w:ascii="Calibri" w:hAnsi="Calibri" w:cs="Calibri"/>
          <w:noProof/>
          <w:szCs w:val="24"/>
        </w:rPr>
        <w:t>, 26(5), pp. 463–472. doi: 10.1080/00908310490429740.</w:t>
      </w:r>
    </w:p>
    <w:p w14:paraId="7C534AAF"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Arup (2007) ‘Level 2 Heat Networks Tool’. Manchester, England: Arup.</w:t>
      </w:r>
    </w:p>
    <w:p w14:paraId="22652538"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Arup (2013) </w:t>
      </w:r>
      <w:r w:rsidRPr="00D31CA5">
        <w:rPr>
          <w:rFonts w:ascii="Calibri" w:hAnsi="Calibri" w:cs="Calibri"/>
          <w:i/>
          <w:iCs/>
          <w:noProof/>
          <w:szCs w:val="24"/>
        </w:rPr>
        <w:t>District heating manual for London</w:t>
      </w:r>
      <w:r w:rsidRPr="00D31CA5">
        <w:rPr>
          <w:rFonts w:ascii="Calibri" w:hAnsi="Calibri" w:cs="Calibri"/>
          <w:noProof/>
          <w:szCs w:val="24"/>
        </w:rPr>
        <w:t>. London, England. Available at: http://www.londonheatmap.org.uk/Content/uploaded/documents/DH_Manual_for_Londo</w:t>
      </w:r>
      <w:r w:rsidRPr="00D31CA5">
        <w:rPr>
          <w:rFonts w:ascii="Calibri" w:hAnsi="Calibri" w:cs="Calibri"/>
          <w:noProof/>
          <w:szCs w:val="24"/>
        </w:rPr>
        <w:lastRenderedPageBreak/>
        <w:t>n_February_2013_v1.0.pdf.</w:t>
      </w:r>
    </w:p>
    <w:p w14:paraId="1D51A2BF"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Arup (2017) </w:t>
      </w:r>
      <w:r w:rsidRPr="00D31CA5">
        <w:rPr>
          <w:rFonts w:ascii="Calibri" w:hAnsi="Calibri" w:cs="Calibri"/>
          <w:i/>
          <w:iCs/>
          <w:noProof/>
          <w:szCs w:val="24"/>
        </w:rPr>
        <w:t>Macclesfield Town Centre Heat Network, Detailed Feasibility Study</w:t>
      </w:r>
      <w:r w:rsidRPr="00D31CA5">
        <w:rPr>
          <w:rFonts w:ascii="Calibri" w:hAnsi="Calibri" w:cs="Calibri"/>
          <w:noProof/>
          <w:szCs w:val="24"/>
        </w:rPr>
        <w:t>. Manchester, England.</w:t>
      </w:r>
    </w:p>
    <w:p w14:paraId="5FDD4536"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Arzbaecher, C., Fouche, E. and Parmenter, K. (2007) ‘Industrial Waste-Heat Recovery: Benefits and Recent Advancements in Technology and Applications’, in </w:t>
      </w:r>
      <w:r w:rsidRPr="00D31CA5">
        <w:rPr>
          <w:rFonts w:ascii="Calibri" w:hAnsi="Calibri" w:cs="Calibri"/>
          <w:i/>
          <w:iCs/>
          <w:noProof/>
          <w:szCs w:val="24"/>
        </w:rPr>
        <w:t>ACEEE Summer Study on Energy Efficiency in Industry</w:t>
      </w:r>
      <w:r w:rsidRPr="00D31CA5">
        <w:rPr>
          <w:rFonts w:ascii="Calibri" w:hAnsi="Calibri" w:cs="Calibri"/>
          <w:noProof/>
          <w:szCs w:val="24"/>
        </w:rPr>
        <w:t>. White Plains, USA: American Council for an Energy-Efficient Economy.</w:t>
      </w:r>
    </w:p>
    <w:p w14:paraId="46B521ED"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Awomewe, A. F. and Ogundele, O. O. (2008) </w:t>
      </w:r>
      <w:r w:rsidRPr="00D31CA5">
        <w:rPr>
          <w:rFonts w:ascii="Calibri" w:hAnsi="Calibri" w:cs="Calibri"/>
          <w:i/>
          <w:iCs/>
          <w:noProof/>
          <w:szCs w:val="24"/>
        </w:rPr>
        <w:t>The importance of the payback method in capital budgeting decision</w:t>
      </w:r>
      <w:r w:rsidRPr="00D31CA5">
        <w:rPr>
          <w:rFonts w:ascii="Calibri" w:hAnsi="Calibri" w:cs="Calibri"/>
          <w:noProof/>
          <w:szCs w:val="24"/>
        </w:rPr>
        <w:t>. Blekinge Institute of Technology.</w:t>
      </w:r>
    </w:p>
    <w:p w14:paraId="2DE35DDC"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Bachmaier, A. </w:t>
      </w:r>
      <w:r w:rsidRPr="00D31CA5">
        <w:rPr>
          <w:rFonts w:ascii="Calibri" w:hAnsi="Calibri" w:cs="Calibri"/>
          <w:i/>
          <w:iCs/>
          <w:noProof/>
          <w:szCs w:val="24"/>
        </w:rPr>
        <w:t>et al.</w:t>
      </w:r>
      <w:r w:rsidRPr="00D31CA5">
        <w:rPr>
          <w:rFonts w:ascii="Calibri" w:hAnsi="Calibri" w:cs="Calibri"/>
          <w:noProof/>
          <w:szCs w:val="24"/>
        </w:rPr>
        <w:t xml:space="preserve"> (2016) ‘Spatial distribution of thermal energy storage systems in urban areas connected to district heating for grid balancing—A techno-economical optimization based on a case study’, </w:t>
      </w:r>
      <w:r w:rsidRPr="00D31CA5">
        <w:rPr>
          <w:rFonts w:ascii="Calibri" w:hAnsi="Calibri" w:cs="Calibri"/>
          <w:i/>
          <w:iCs/>
          <w:noProof/>
          <w:szCs w:val="24"/>
        </w:rPr>
        <w:t>Journal of Energy Storage</w:t>
      </w:r>
      <w:r w:rsidRPr="00D31CA5">
        <w:rPr>
          <w:rFonts w:ascii="Calibri" w:hAnsi="Calibri" w:cs="Calibri"/>
          <w:noProof/>
          <w:szCs w:val="24"/>
        </w:rPr>
        <w:t>. Elsevier Ltd, 8, pp. 349–357. doi: 10.1016/j.est.2016.05.004.</w:t>
      </w:r>
    </w:p>
    <w:p w14:paraId="069495D2"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Badami, M., Gerboni, R. and Portoraro, A. (2017) ‘Determination and assessment of indices for the energy performance of district heating with cogeneration plants’, </w:t>
      </w:r>
      <w:r w:rsidRPr="00D31CA5">
        <w:rPr>
          <w:rFonts w:ascii="Calibri" w:hAnsi="Calibri" w:cs="Calibri"/>
          <w:i/>
          <w:iCs/>
          <w:noProof/>
          <w:szCs w:val="24"/>
        </w:rPr>
        <w:t>Energy</w:t>
      </w:r>
      <w:r w:rsidRPr="00D31CA5">
        <w:rPr>
          <w:rFonts w:ascii="Calibri" w:hAnsi="Calibri" w:cs="Calibri"/>
          <w:noProof/>
          <w:szCs w:val="24"/>
        </w:rPr>
        <w:t>. Elsevier Ltd, 127, pp. 697–703. doi: 10.1016/j.energy.2017.03.136.</w:t>
      </w:r>
    </w:p>
    <w:p w14:paraId="0D44450D"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Badescu, V. (2004) ‘Optimal operation of thermal energy storage units based on stratified and fully mixed water tanks’, </w:t>
      </w:r>
      <w:r w:rsidRPr="00D31CA5">
        <w:rPr>
          <w:rFonts w:ascii="Calibri" w:hAnsi="Calibri" w:cs="Calibri"/>
          <w:i/>
          <w:iCs/>
          <w:noProof/>
          <w:szCs w:val="24"/>
        </w:rPr>
        <w:t>Applied Thermal Engineering</w:t>
      </w:r>
      <w:r w:rsidRPr="00D31CA5">
        <w:rPr>
          <w:rFonts w:ascii="Calibri" w:hAnsi="Calibri" w:cs="Calibri"/>
          <w:noProof/>
          <w:szCs w:val="24"/>
        </w:rPr>
        <w:t>, 24(14–15), pp. 2101–2116. doi: 10.1016/j.applthermaleng.2004.02.009.</w:t>
      </w:r>
    </w:p>
    <w:p w14:paraId="0F19BA33"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Balcombe, P., Rigby, D. and Azapagic, A. (2015) ‘Energy self-sufficiency, grid demand variability and consumer costs: Integrating solar PV, Stirling engine CHP and battery storage’, </w:t>
      </w:r>
      <w:r w:rsidRPr="00D31CA5">
        <w:rPr>
          <w:rFonts w:ascii="Calibri" w:hAnsi="Calibri" w:cs="Calibri"/>
          <w:i/>
          <w:iCs/>
          <w:noProof/>
          <w:szCs w:val="24"/>
        </w:rPr>
        <w:t>Applied Energy</w:t>
      </w:r>
      <w:r w:rsidRPr="00D31CA5">
        <w:rPr>
          <w:rFonts w:ascii="Calibri" w:hAnsi="Calibri" w:cs="Calibri"/>
          <w:noProof/>
          <w:szCs w:val="24"/>
        </w:rPr>
        <w:t>. Elsevier Ltd, 155, pp. 393–408. doi: 10.1016/j.apenergy.2015.06.017.</w:t>
      </w:r>
    </w:p>
    <w:p w14:paraId="6908EC06"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Basciotti, D. </w:t>
      </w:r>
      <w:r w:rsidRPr="00D31CA5">
        <w:rPr>
          <w:rFonts w:ascii="Calibri" w:hAnsi="Calibri" w:cs="Calibri"/>
          <w:i/>
          <w:iCs/>
          <w:noProof/>
          <w:szCs w:val="24"/>
        </w:rPr>
        <w:t>et al.</w:t>
      </w:r>
      <w:r w:rsidRPr="00D31CA5">
        <w:rPr>
          <w:rFonts w:ascii="Calibri" w:hAnsi="Calibri" w:cs="Calibri"/>
          <w:noProof/>
          <w:szCs w:val="24"/>
        </w:rPr>
        <w:t xml:space="preserve"> (2011) ‘Sensible heat storage in district heating networks : a novel control strategy using the network as storage’, in </w:t>
      </w:r>
      <w:r w:rsidRPr="00D31CA5">
        <w:rPr>
          <w:rFonts w:ascii="Calibri" w:hAnsi="Calibri" w:cs="Calibri"/>
          <w:i/>
          <w:iCs/>
          <w:noProof/>
          <w:szCs w:val="24"/>
        </w:rPr>
        <w:t>6th international renewable energy storage conference IRES</w:t>
      </w:r>
      <w:r w:rsidRPr="00D31CA5">
        <w:rPr>
          <w:rFonts w:ascii="Calibri" w:hAnsi="Calibri" w:cs="Calibri"/>
          <w:noProof/>
          <w:szCs w:val="24"/>
        </w:rPr>
        <w:t>. Berlin, Germany: Eurosolar.</w:t>
      </w:r>
    </w:p>
    <w:p w14:paraId="1653968C"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BEIS (2016) </w:t>
      </w:r>
      <w:r w:rsidRPr="00D31CA5">
        <w:rPr>
          <w:rFonts w:ascii="Calibri" w:hAnsi="Calibri" w:cs="Calibri"/>
          <w:i/>
          <w:iCs/>
          <w:noProof/>
          <w:szCs w:val="24"/>
        </w:rPr>
        <w:t>Energy Consumption in the UK</w:t>
      </w:r>
      <w:r w:rsidRPr="00D31CA5">
        <w:rPr>
          <w:rFonts w:ascii="Calibri" w:hAnsi="Calibri" w:cs="Calibri"/>
          <w:noProof/>
          <w:szCs w:val="24"/>
        </w:rPr>
        <w:t xml:space="preserve">, </w:t>
      </w:r>
      <w:r w:rsidRPr="00D31CA5">
        <w:rPr>
          <w:rFonts w:ascii="Calibri" w:hAnsi="Calibri" w:cs="Calibri"/>
          <w:i/>
          <w:iCs/>
          <w:noProof/>
          <w:szCs w:val="24"/>
        </w:rPr>
        <w:t>Energy Consumption in the UK</w:t>
      </w:r>
      <w:r w:rsidRPr="00D31CA5">
        <w:rPr>
          <w:rFonts w:ascii="Calibri" w:hAnsi="Calibri" w:cs="Calibri"/>
          <w:noProof/>
          <w:szCs w:val="24"/>
        </w:rPr>
        <w:t>. London, England. doi: Publication URN 13D/153.</w:t>
      </w:r>
    </w:p>
    <w:p w14:paraId="1FC32FB6"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BEIS (2017a) </w:t>
      </w:r>
      <w:r w:rsidRPr="00D31CA5">
        <w:rPr>
          <w:rFonts w:ascii="Calibri" w:hAnsi="Calibri" w:cs="Calibri"/>
          <w:i/>
          <w:iCs/>
          <w:noProof/>
          <w:szCs w:val="24"/>
        </w:rPr>
        <w:t>Heat Networks Consumer Survey: Executive Summary</w:t>
      </w:r>
      <w:r w:rsidRPr="00D31CA5">
        <w:rPr>
          <w:rFonts w:ascii="Calibri" w:hAnsi="Calibri" w:cs="Calibri"/>
          <w:noProof/>
          <w:szCs w:val="24"/>
        </w:rPr>
        <w:t>. London, England. Available at: https://assets.publishing.service.gov.uk/government/uploads/system/uploads/attachment_data/file/665444/HNCS_Executive_Summary_-_FINAL.pdf.</w:t>
      </w:r>
    </w:p>
    <w:p w14:paraId="1E0A0B19"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BEIS (2017b) </w:t>
      </w:r>
      <w:r w:rsidRPr="00D31CA5">
        <w:rPr>
          <w:rFonts w:ascii="Calibri" w:hAnsi="Calibri" w:cs="Calibri"/>
          <w:i/>
          <w:iCs/>
          <w:noProof/>
          <w:szCs w:val="24"/>
        </w:rPr>
        <w:t>Industrial Heat Recovery Support Programme - Programme design and evidence collection</w:t>
      </w:r>
      <w:r w:rsidRPr="00D31CA5">
        <w:rPr>
          <w:rFonts w:ascii="Calibri" w:hAnsi="Calibri" w:cs="Calibri"/>
          <w:noProof/>
          <w:szCs w:val="24"/>
        </w:rPr>
        <w:t>. London, England.</w:t>
      </w:r>
    </w:p>
    <w:p w14:paraId="0258777B"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BEIS (2017c) </w:t>
      </w:r>
      <w:r w:rsidRPr="00D31CA5">
        <w:rPr>
          <w:rFonts w:ascii="Calibri" w:hAnsi="Calibri" w:cs="Calibri"/>
          <w:i/>
          <w:iCs/>
          <w:noProof/>
          <w:szCs w:val="24"/>
        </w:rPr>
        <w:t>Prices of fuels purchased by non-domestic consumers in the United Kingdom</w:t>
      </w:r>
      <w:r w:rsidRPr="00D31CA5">
        <w:rPr>
          <w:rFonts w:ascii="Calibri" w:hAnsi="Calibri" w:cs="Calibri"/>
          <w:noProof/>
          <w:szCs w:val="24"/>
        </w:rPr>
        <w:t>. London, England.</w:t>
      </w:r>
    </w:p>
    <w:p w14:paraId="16EC6268"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BEIS (2018a) </w:t>
      </w:r>
      <w:r w:rsidRPr="00D31CA5">
        <w:rPr>
          <w:rFonts w:ascii="Calibri" w:hAnsi="Calibri" w:cs="Calibri"/>
          <w:i/>
          <w:iCs/>
          <w:noProof/>
          <w:szCs w:val="24"/>
        </w:rPr>
        <w:t>Delivering Financial Support for Heat Networks</w:t>
      </w:r>
      <w:r w:rsidRPr="00D31CA5">
        <w:rPr>
          <w:rFonts w:ascii="Calibri" w:hAnsi="Calibri" w:cs="Calibri"/>
          <w:noProof/>
          <w:szCs w:val="24"/>
        </w:rPr>
        <w:t>. London, England.</w:t>
      </w:r>
    </w:p>
    <w:p w14:paraId="0587F685"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BEIS (2018b) </w:t>
      </w:r>
      <w:r w:rsidRPr="00D31CA5">
        <w:rPr>
          <w:rFonts w:ascii="Calibri" w:hAnsi="Calibri" w:cs="Calibri"/>
          <w:i/>
          <w:iCs/>
          <w:noProof/>
          <w:szCs w:val="24"/>
        </w:rPr>
        <w:t>Heat Networks Delivery Unit: 2018 Q1 Pipeline</w:t>
      </w:r>
      <w:r w:rsidRPr="00D31CA5">
        <w:rPr>
          <w:rFonts w:ascii="Calibri" w:hAnsi="Calibri" w:cs="Calibri"/>
          <w:noProof/>
          <w:szCs w:val="24"/>
        </w:rPr>
        <w:t>. London, England.</w:t>
      </w:r>
    </w:p>
    <w:p w14:paraId="4C09026A"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BEIS (2018c) </w:t>
      </w:r>
      <w:r w:rsidRPr="00D31CA5">
        <w:rPr>
          <w:rFonts w:ascii="Calibri" w:hAnsi="Calibri" w:cs="Calibri"/>
          <w:i/>
          <w:iCs/>
          <w:noProof/>
          <w:szCs w:val="24"/>
        </w:rPr>
        <w:t>The Energy Technology List &amp; Enhanced Capital Allowances Scheme</w:t>
      </w:r>
      <w:r w:rsidRPr="00D31CA5">
        <w:rPr>
          <w:rFonts w:ascii="Calibri" w:hAnsi="Calibri" w:cs="Calibri"/>
          <w:noProof/>
          <w:szCs w:val="24"/>
        </w:rPr>
        <w:t>. London, England.</w:t>
      </w:r>
    </w:p>
    <w:p w14:paraId="10AE7BE5"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Bell, L. E. (2008) ‘Cooling, Heating, Generating Power, and Recovering Waste Heat with </w:t>
      </w:r>
      <w:r w:rsidRPr="00D31CA5">
        <w:rPr>
          <w:rFonts w:ascii="Calibri" w:hAnsi="Calibri" w:cs="Calibri"/>
          <w:noProof/>
          <w:szCs w:val="24"/>
        </w:rPr>
        <w:lastRenderedPageBreak/>
        <w:t xml:space="preserve">Thermoelectric Systems’, </w:t>
      </w:r>
      <w:r w:rsidRPr="00D31CA5">
        <w:rPr>
          <w:rFonts w:ascii="Calibri" w:hAnsi="Calibri" w:cs="Calibri"/>
          <w:i/>
          <w:iCs/>
          <w:noProof/>
          <w:szCs w:val="24"/>
        </w:rPr>
        <w:t>Science</w:t>
      </w:r>
      <w:r w:rsidRPr="00D31CA5">
        <w:rPr>
          <w:rFonts w:ascii="Calibri" w:hAnsi="Calibri" w:cs="Calibri"/>
          <w:noProof/>
          <w:szCs w:val="24"/>
        </w:rPr>
        <w:t>, 321, pp. 1457–1461. doi: 10.1126/science.1158899.</w:t>
      </w:r>
    </w:p>
    <w:p w14:paraId="10D3BC70"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Bloch, H. P. and Singh, M. P. (2009) ‘Elliott Shortcut Selection Method for Multivalve, Multistage Steam Turbines’, in </w:t>
      </w:r>
      <w:r w:rsidRPr="00D31CA5">
        <w:rPr>
          <w:rFonts w:ascii="Calibri" w:hAnsi="Calibri" w:cs="Calibri"/>
          <w:i/>
          <w:iCs/>
          <w:noProof/>
          <w:szCs w:val="24"/>
        </w:rPr>
        <w:t>Steam Turbines - Design, Applications and Re-Rating</w:t>
      </w:r>
      <w:r w:rsidRPr="00D31CA5">
        <w:rPr>
          <w:rFonts w:ascii="Calibri" w:hAnsi="Calibri" w:cs="Calibri"/>
          <w:noProof/>
          <w:szCs w:val="24"/>
        </w:rPr>
        <w:t>. 2nd edn. New York, America: McGraw-Hill, pp. 309–328.</w:t>
      </w:r>
    </w:p>
    <w:p w14:paraId="25F0C9AA"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BOC (no date a) </w:t>
      </w:r>
      <w:r w:rsidRPr="00D31CA5">
        <w:rPr>
          <w:rFonts w:ascii="Calibri" w:hAnsi="Calibri" w:cs="Calibri"/>
          <w:i/>
          <w:iCs/>
          <w:noProof/>
          <w:szCs w:val="24"/>
        </w:rPr>
        <w:t>Carbon Dioxide, Research Grade Cylinder</w:t>
      </w:r>
      <w:r w:rsidRPr="00D31CA5">
        <w:rPr>
          <w:rFonts w:ascii="Calibri" w:hAnsi="Calibri" w:cs="Calibri"/>
          <w:noProof/>
          <w:szCs w:val="24"/>
        </w:rPr>
        <w:t>. Available at: https://www.boconline.co.uk/shop/en/uk/carbon-dioxide--research-grade-cylinder-270182 (Accessed: 14 September 2018).</w:t>
      </w:r>
    </w:p>
    <w:p w14:paraId="21754258"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BOC (no date b) </w:t>
      </w:r>
      <w:r w:rsidRPr="00D31CA5">
        <w:rPr>
          <w:rFonts w:ascii="Calibri" w:hAnsi="Calibri" w:cs="Calibri"/>
          <w:i/>
          <w:iCs/>
          <w:noProof/>
          <w:szCs w:val="24"/>
        </w:rPr>
        <w:t>Helium, Grade A, Manifolded Cylinder Pallet</w:t>
      </w:r>
      <w:r w:rsidRPr="00D31CA5">
        <w:rPr>
          <w:rFonts w:ascii="Calibri" w:hAnsi="Calibri" w:cs="Calibri"/>
          <w:noProof/>
          <w:szCs w:val="24"/>
        </w:rPr>
        <w:t>. Available at: https://www.boconlineshop.com/shop/en/uk/helium-291885-101 (Accessed: 14 September 2018).</w:t>
      </w:r>
    </w:p>
    <w:p w14:paraId="2A7EFDAA"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BOC (no date c) </w:t>
      </w:r>
      <w:r w:rsidRPr="00D31CA5">
        <w:rPr>
          <w:rFonts w:ascii="Calibri" w:hAnsi="Calibri" w:cs="Calibri"/>
          <w:i/>
          <w:iCs/>
          <w:noProof/>
          <w:szCs w:val="24"/>
        </w:rPr>
        <w:t>Methane, Research Grade Cylinder</w:t>
      </w:r>
      <w:r w:rsidRPr="00D31CA5">
        <w:rPr>
          <w:rFonts w:ascii="Calibri" w:hAnsi="Calibri" w:cs="Calibri"/>
          <w:noProof/>
          <w:szCs w:val="24"/>
        </w:rPr>
        <w:t>. Available at: https://www.boconlineshop.com/shop/en/uk/methane--research-grade-cylinder-158402 (Accessed: 14 September 2018).</w:t>
      </w:r>
    </w:p>
    <w:p w14:paraId="64D63879"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BOC (no date d) </w:t>
      </w:r>
      <w:r w:rsidRPr="00D31CA5">
        <w:rPr>
          <w:rFonts w:ascii="Calibri" w:hAnsi="Calibri" w:cs="Calibri"/>
          <w:i/>
          <w:iCs/>
          <w:noProof/>
          <w:szCs w:val="24"/>
        </w:rPr>
        <w:t>Nitrogen 300bar Manifolded Cylinder Pallet</w:t>
      </w:r>
      <w:r w:rsidRPr="00D31CA5">
        <w:rPr>
          <w:rFonts w:ascii="Calibri" w:hAnsi="Calibri" w:cs="Calibri"/>
          <w:noProof/>
          <w:szCs w:val="24"/>
        </w:rPr>
        <w:t>. Available at: https://www.boconlineshop.com/shop/en/uk/nitrogen-300-bar-manifolded-cylinder-pallet (Accessed: 14 September 2018).</w:t>
      </w:r>
    </w:p>
    <w:p w14:paraId="0941725F"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BOC (no date e) </w:t>
      </w:r>
      <w:r w:rsidRPr="00D31CA5">
        <w:rPr>
          <w:rFonts w:ascii="Calibri" w:hAnsi="Calibri" w:cs="Calibri"/>
          <w:i/>
          <w:iCs/>
          <w:noProof/>
          <w:szCs w:val="24"/>
        </w:rPr>
        <w:t>R134a Refrigerant Cylinder</w:t>
      </w:r>
      <w:r w:rsidRPr="00D31CA5">
        <w:rPr>
          <w:rFonts w:ascii="Calibri" w:hAnsi="Calibri" w:cs="Calibri"/>
          <w:noProof/>
          <w:szCs w:val="24"/>
        </w:rPr>
        <w:t>. Available at: https://www.boconlineshop.com/shop/en/uk/gas/refrigerant-gas/r134a-cylinder?_ga=2.64198570.487161449.1520339042-74645771.1520339042 (Accessed: 14 September 2018).</w:t>
      </w:r>
    </w:p>
    <w:p w14:paraId="2ECD5605"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Bogdan, Ž. and Kopjar, D. (2006) ‘Improvement of the cogeneration plant economy by using heat accumulator’, </w:t>
      </w:r>
      <w:r w:rsidRPr="00D31CA5">
        <w:rPr>
          <w:rFonts w:ascii="Calibri" w:hAnsi="Calibri" w:cs="Calibri"/>
          <w:i/>
          <w:iCs/>
          <w:noProof/>
          <w:szCs w:val="24"/>
        </w:rPr>
        <w:t>Energy</w:t>
      </w:r>
      <w:r w:rsidRPr="00D31CA5">
        <w:rPr>
          <w:rFonts w:ascii="Calibri" w:hAnsi="Calibri" w:cs="Calibri"/>
          <w:noProof/>
          <w:szCs w:val="24"/>
        </w:rPr>
        <w:t>, 31(13), pp. 1949–1956. doi: 10.1016/j.energy.2006.01.012.</w:t>
      </w:r>
    </w:p>
    <w:p w14:paraId="1669B770"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Boiler Juice (no date) </w:t>
      </w:r>
      <w:r w:rsidRPr="00D31CA5">
        <w:rPr>
          <w:rFonts w:ascii="Calibri" w:hAnsi="Calibri" w:cs="Calibri"/>
          <w:i/>
          <w:iCs/>
          <w:noProof/>
          <w:szCs w:val="24"/>
        </w:rPr>
        <w:t>Red Diesel (Gas Oil) Prices in the UK</w:t>
      </w:r>
      <w:r w:rsidRPr="00D31CA5">
        <w:rPr>
          <w:rFonts w:ascii="Calibri" w:hAnsi="Calibri" w:cs="Calibri"/>
          <w:noProof/>
          <w:szCs w:val="24"/>
        </w:rPr>
        <w:t>. Available at: https://www.boilerjuice.com/red-diesel-prices/ (Accessed: 14 September 2018).</w:t>
      </w:r>
    </w:p>
    <w:p w14:paraId="70AF1150"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BRANZ (2014) </w:t>
      </w:r>
      <w:r w:rsidRPr="00D31CA5">
        <w:rPr>
          <w:rFonts w:ascii="Calibri" w:hAnsi="Calibri" w:cs="Calibri"/>
          <w:i/>
          <w:iCs/>
          <w:noProof/>
          <w:szCs w:val="24"/>
        </w:rPr>
        <w:t>Building energy end-use study</w:t>
      </w:r>
      <w:r w:rsidRPr="00D31CA5">
        <w:rPr>
          <w:rFonts w:ascii="Calibri" w:hAnsi="Calibri" w:cs="Calibri"/>
          <w:noProof/>
          <w:szCs w:val="24"/>
        </w:rPr>
        <w:t>. Porirua City, New Zealand.</w:t>
      </w:r>
    </w:p>
    <w:p w14:paraId="07380ACC"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Braun, M. R., Altan, H. and Beck, S. B. M. (2014) ‘Using regression analysis to predict the future energy consumption of a supermarket in the UK’, </w:t>
      </w:r>
      <w:r w:rsidRPr="00D31CA5">
        <w:rPr>
          <w:rFonts w:ascii="Calibri" w:hAnsi="Calibri" w:cs="Calibri"/>
          <w:i/>
          <w:iCs/>
          <w:noProof/>
          <w:szCs w:val="24"/>
        </w:rPr>
        <w:t>Applied Energy</w:t>
      </w:r>
      <w:r w:rsidRPr="00D31CA5">
        <w:rPr>
          <w:rFonts w:ascii="Calibri" w:hAnsi="Calibri" w:cs="Calibri"/>
          <w:noProof/>
          <w:szCs w:val="24"/>
        </w:rPr>
        <w:t>. Elsevier Ltd, 130, pp. 305–313. doi: 10.1016/j.apenergy.2014.05.062.</w:t>
      </w:r>
    </w:p>
    <w:p w14:paraId="0C02FAC5"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BRE Trust (2015) </w:t>
      </w:r>
      <w:r w:rsidRPr="00D31CA5">
        <w:rPr>
          <w:rFonts w:ascii="Calibri" w:hAnsi="Calibri" w:cs="Calibri"/>
          <w:i/>
          <w:iCs/>
          <w:noProof/>
          <w:szCs w:val="24"/>
        </w:rPr>
        <w:t>BRE FIRE CONFERENCE 2015</w:t>
      </w:r>
      <w:r w:rsidRPr="00D31CA5">
        <w:rPr>
          <w:rFonts w:ascii="Calibri" w:hAnsi="Calibri" w:cs="Calibri"/>
          <w:noProof/>
          <w:szCs w:val="24"/>
        </w:rPr>
        <w:t>. Watford, England.</w:t>
      </w:r>
    </w:p>
    <w:p w14:paraId="695B160E"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British Steel (2017) </w:t>
      </w:r>
      <w:r w:rsidRPr="00D31CA5">
        <w:rPr>
          <w:rFonts w:ascii="Calibri" w:hAnsi="Calibri" w:cs="Calibri"/>
          <w:i/>
          <w:iCs/>
          <w:noProof/>
          <w:szCs w:val="24"/>
        </w:rPr>
        <w:t>Manufacturing</w:t>
      </w:r>
      <w:r w:rsidRPr="00D31CA5">
        <w:rPr>
          <w:rFonts w:ascii="Calibri" w:hAnsi="Calibri" w:cs="Calibri"/>
          <w:noProof/>
          <w:szCs w:val="24"/>
        </w:rPr>
        <w:t>. Available at: http://britishsteel.co.uk/who-we-are/sites-locations/manufacturing/ (Accessed: 14 September 2018).</w:t>
      </w:r>
    </w:p>
    <w:p w14:paraId="666A03A8"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Brückner, S. </w:t>
      </w:r>
      <w:r w:rsidRPr="00D31CA5">
        <w:rPr>
          <w:rFonts w:ascii="Calibri" w:hAnsi="Calibri" w:cs="Calibri"/>
          <w:i/>
          <w:iCs/>
          <w:noProof/>
          <w:szCs w:val="24"/>
        </w:rPr>
        <w:t>et al.</w:t>
      </w:r>
      <w:r w:rsidRPr="00D31CA5">
        <w:rPr>
          <w:rFonts w:ascii="Calibri" w:hAnsi="Calibri" w:cs="Calibri"/>
          <w:noProof/>
          <w:szCs w:val="24"/>
        </w:rPr>
        <w:t xml:space="preserve"> (2015) ‘Industrial waste heat recovery technologies: An economic analysis of heat transformation technologies’, </w:t>
      </w:r>
      <w:r w:rsidRPr="00D31CA5">
        <w:rPr>
          <w:rFonts w:ascii="Calibri" w:hAnsi="Calibri" w:cs="Calibri"/>
          <w:i/>
          <w:iCs/>
          <w:noProof/>
          <w:szCs w:val="24"/>
        </w:rPr>
        <w:t>Applied Energy</w:t>
      </w:r>
      <w:r w:rsidRPr="00D31CA5">
        <w:rPr>
          <w:rFonts w:ascii="Calibri" w:hAnsi="Calibri" w:cs="Calibri"/>
          <w:noProof/>
          <w:szCs w:val="24"/>
        </w:rPr>
        <w:t>, 151, pp. 157–167. doi: 10.1016/j.apenergy.2015.01.147.</w:t>
      </w:r>
    </w:p>
    <w:p w14:paraId="0C1B2571"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Bühler, F. </w:t>
      </w:r>
      <w:r w:rsidRPr="00D31CA5">
        <w:rPr>
          <w:rFonts w:ascii="Calibri" w:hAnsi="Calibri" w:cs="Calibri"/>
          <w:i/>
          <w:iCs/>
          <w:noProof/>
          <w:szCs w:val="24"/>
        </w:rPr>
        <w:t>et al.</w:t>
      </w:r>
      <w:r w:rsidRPr="00D31CA5">
        <w:rPr>
          <w:rFonts w:ascii="Calibri" w:hAnsi="Calibri" w:cs="Calibri"/>
          <w:noProof/>
          <w:szCs w:val="24"/>
        </w:rPr>
        <w:t xml:space="preserve"> (2017) ‘Industrial excess heat for district heating in Denmark’, </w:t>
      </w:r>
      <w:r w:rsidRPr="00D31CA5">
        <w:rPr>
          <w:rFonts w:ascii="Calibri" w:hAnsi="Calibri" w:cs="Calibri"/>
          <w:i/>
          <w:iCs/>
          <w:noProof/>
          <w:szCs w:val="24"/>
        </w:rPr>
        <w:t>Applied Energy</w:t>
      </w:r>
      <w:r w:rsidRPr="00D31CA5">
        <w:rPr>
          <w:rFonts w:ascii="Calibri" w:hAnsi="Calibri" w:cs="Calibri"/>
          <w:noProof/>
          <w:szCs w:val="24"/>
        </w:rPr>
        <w:t>, 205, pp. 991–1001. doi: 10.1016/j.apenergy.2017.08.032.</w:t>
      </w:r>
    </w:p>
    <w:p w14:paraId="087818A0"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Buoro, D., Pinamonti, P. and Reini, M. (2014) ‘Optimization of a Distributed Cogeneration System with solar district heating’, </w:t>
      </w:r>
      <w:r w:rsidRPr="00D31CA5">
        <w:rPr>
          <w:rFonts w:ascii="Calibri" w:hAnsi="Calibri" w:cs="Calibri"/>
          <w:i/>
          <w:iCs/>
          <w:noProof/>
          <w:szCs w:val="24"/>
        </w:rPr>
        <w:t>Applied Energy</w:t>
      </w:r>
      <w:r w:rsidRPr="00D31CA5">
        <w:rPr>
          <w:rFonts w:ascii="Calibri" w:hAnsi="Calibri" w:cs="Calibri"/>
          <w:noProof/>
          <w:szCs w:val="24"/>
        </w:rPr>
        <w:t>. Elsevier Ltd, 124, pp. 298–308. doi: 10.1016/j.apenergy.2014.02.062.</w:t>
      </w:r>
    </w:p>
    <w:p w14:paraId="02556AED"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Burzynski, R. </w:t>
      </w:r>
      <w:r w:rsidRPr="00D31CA5">
        <w:rPr>
          <w:rFonts w:ascii="Calibri" w:hAnsi="Calibri" w:cs="Calibri"/>
          <w:i/>
          <w:iCs/>
          <w:noProof/>
          <w:szCs w:val="24"/>
        </w:rPr>
        <w:t>et al.</w:t>
      </w:r>
      <w:r w:rsidRPr="00D31CA5">
        <w:rPr>
          <w:rFonts w:ascii="Calibri" w:hAnsi="Calibri" w:cs="Calibri"/>
          <w:noProof/>
          <w:szCs w:val="24"/>
        </w:rPr>
        <w:t xml:space="preserve"> (2011) ‘Heat Demand Analysis Of Residential Development In London </w:t>
      </w:r>
      <w:r w:rsidRPr="00D31CA5">
        <w:rPr>
          <w:rFonts w:ascii="Calibri" w:hAnsi="Calibri" w:cs="Calibri"/>
          <w:noProof/>
          <w:szCs w:val="24"/>
        </w:rPr>
        <w:lastRenderedPageBreak/>
        <w:t xml:space="preserve">Connected To District Heating Scheme’, in </w:t>
      </w:r>
      <w:r w:rsidRPr="00D31CA5">
        <w:rPr>
          <w:rFonts w:ascii="Calibri" w:hAnsi="Calibri" w:cs="Calibri"/>
          <w:i/>
          <w:iCs/>
          <w:noProof/>
          <w:szCs w:val="24"/>
        </w:rPr>
        <w:t>TSBE EngD Conference</w:t>
      </w:r>
      <w:r w:rsidRPr="00D31CA5">
        <w:rPr>
          <w:rFonts w:ascii="Calibri" w:hAnsi="Calibri" w:cs="Calibri"/>
          <w:noProof/>
          <w:szCs w:val="24"/>
        </w:rPr>
        <w:t>. Reading, England: University of Reading.</w:t>
      </w:r>
    </w:p>
    <w:p w14:paraId="21F3AD70"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Bush, R. E. </w:t>
      </w:r>
      <w:r w:rsidRPr="00D31CA5">
        <w:rPr>
          <w:rFonts w:ascii="Calibri" w:hAnsi="Calibri" w:cs="Calibri"/>
          <w:i/>
          <w:iCs/>
          <w:noProof/>
          <w:szCs w:val="24"/>
        </w:rPr>
        <w:t>et al.</w:t>
      </w:r>
      <w:r w:rsidRPr="00D31CA5">
        <w:rPr>
          <w:rFonts w:ascii="Calibri" w:hAnsi="Calibri" w:cs="Calibri"/>
          <w:noProof/>
          <w:szCs w:val="24"/>
        </w:rPr>
        <w:t xml:space="preserve"> (2017) ‘The role of intermediaries in low carbon transitions – Empowering innovations to unlock district heating in the UK’, </w:t>
      </w:r>
      <w:r w:rsidRPr="00D31CA5">
        <w:rPr>
          <w:rFonts w:ascii="Calibri" w:hAnsi="Calibri" w:cs="Calibri"/>
          <w:i/>
          <w:iCs/>
          <w:noProof/>
          <w:szCs w:val="24"/>
        </w:rPr>
        <w:t>Journal of Cleaner Production</w:t>
      </w:r>
      <w:r w:rsidRPr="00D31CA5">
        <w:rPr>
          <w:rFonts w:ascii="Calibri" w:hAnsi="Calibri" w:cs="Calibri"/>
          <w:noProof/>
          <w:szCs w:val="24"/>
        </w:rPr>
        <w:t>. Elsevier Ltd, 148, pp. 137–147. doi: 10.1016/j.jclepro.2017.01.129.</w:t>
      </w:r>
    </w:p>
    <w:p w14:paraId="1C516308"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Campana, F. </w:t>
      </w:r>
      <w:r w:rsidRPr="00D31CA5">
        <w:rPr>
          <w:rFonts w:ascii="Calibri" w:hAnsi="Calibri" w:cs="Calibri"/>
          <w:i/>
          <w:iCs/>
          <w:noProof/>
          <w:szCs w:val="24"/>
        </w:rPr>
        <w:t>et al.</w:t>
      </w:r>
      <w:r w:rsidRPr="00D31CA5">
        <w:rPr>
          <w:rFonts w:ascii="Calibri" w:hAnsi="Calibri" w:cs="Calibri"/>
          <w:noProof/>
          <w:szCs w:val="24"/>
        </w:rPr>
        <w:t xml:space="preserve"> (2013) ‘ORC waste heat recovery in European energy intensive industries: Energy and GHG savings’, </w:t>
      </w:r>
      <w:r w:rsidRPr="00D31CA5">
        <w:rPr>
          <w:rFonts w:ascii="Calibri" w:hAnsi="Calibri" w:cs="Calibri"/>
          <w:i/>
          <w:iCs/>
          <w:noProof/>
          <w:szCs w:val="24"/>
        </w:rPr>
        <w:t>Energy Conversion and Management</w:t>
      </w:r>
      <w:r w:rsidRPr="00D31CA5">
        <w:rPr>
          <w:rFonts w:ascii="Calibri" w:hAnsi="Calibri" w:cs="Calibri"/>
          <w:noProof/>
          <w:szCs w:val="24"/>
        </w:rPr>
        <w:t>. Elsevier Ltd, 76, pp. 244–252. doi: 10.1016/j.enconman.2013.07.041.</w:t>
      </w:r>
    </w:p>
    <w:p w14:paraId="7950DD01"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Capuder, T. and Mancarella, P. (2014) ‘Techno-economic and environmental modelling and optimization of flexible distributed multi-generation options’, </w:t>
      </w:r>
      <w:r w:rsidRPr="00D31CA5">
        <w:rPr>
          <w:rFonts w:ascii="Calibri" w:hAnsi="Calibri" w:cs="Calibri"/>
          <w:i/>
          <w:iCs/>
          <w:noProof/>
          <w:szCs w:val="24"/>
        </w:rPr>
        <w:t>Energy</w:t>
      </w:r>
      <w:r w:rsidRPr="00D31CA5">
        <w:rPr>
          <w:rFonts w:ascii="Calibri" w:hAnsi="Calibri" w:cs="Calibri"/>
          <w:noProof/>
          <w:szCs w:val="24"/>
        </w:rPr>
        <w:t>. Elsevier Ltd, 71, pp. 516–533. doi: 10.1016/j.energy.2014.04.097.</w:t>
      </w:r>
    </w:p>
    <w:p w14:paraId="2E3B6AEC"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Carbon Trust (2011) </w:t>
      </w:r>
      <w:r w:rsidRPr="00D31CA5">
        <w:rPr>
          <w:rFonts w:ascii="Calibri" w:hAnsi="Calibri" w:cs="Calibri"/>
          <w:i/>
          <w:iCs/>
          <w:noProof/>
          <w:szCs w:val="24"/>
        </w:rPr>
        <w:t>Heat recovery: A guide to key systems and applications</w:t>
      </w:r>
      <w:r w:rsidRPr="00D31CA5">
        <w:rPr>
          <w:rFonts w:ascii="Calibri" w:hAnsi="Calibri" w:cs="Calibri"/>
          <w:noProof/>
          <w:szCs w:val="24"/>
        </w:rPr>
        <w:t>. London, England.</w:t>
      </w:r>
    </w:p>
    <w:p w14:paraId="3881A771"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Carbon Trust (2012) </w:t>
      </w:r>
      <w:r w:rsidRPr="00D31CA5">
        <w:rPr>
          <w:rFonts w:ascii="Calibri" w:hAnsi="Calibri" w:cs="Calibri"/>
          <w:i/>
          <w:iCs/>
          <w:noProof/>
          <w:szCs w:val="24"/>
        </w:rPr>
        <w:t>Degree days for energy management</w:t>
      </w:r>
      <w:r w:rsidRPr="00D31CA5">
        <w:rPr>
          <w:rFonts w:ascii="Calibri" w:hAnsi="Calibri" w:cs="Calibri"/>
          <w:noProof/>
          <w:szCs w:val="24"/>
        </w:rPr>
        <w:t>. London, England.</w:t>
      </w:r>
    </w:p>
    <w:p w14:paraId="61016D5F"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Cavallini, A. </w:t>
      </w:r>
      <w:r w:rsidRPr="00D31CA5">
        <w:rPr>
          <w:rFonts w:ascii="Calibri" w:hAnsi="Calibri" w:cs="Calibri"/>
          <w:i/>
          <w:iCs/>
          <w:noProof/>
          <w:szCs w:val="24"/>
        </w:rPr>
        <w:t>et al.</w:t>
      </w:r>
      <w:r w:rsidRPr="00D31CA5">
        <w:rPr>
          <w:rFonts w:ascii="Calibri" w:hAnsi="Calibri" w:cs="Calibri"/>
          <w:noProof/>
          <w:szCs w:val="24"/>
        </w:rPr>
        <w:t xml:space="preserve"> (2001) ‘Experimental investigation on condensation heat transfer and pressure drop of new HFC refrigerants (R134a, R125, R32, R410A, R236ea) in a horizontal smooth tube’, </w:t>
      </w:r>
      <w:r w:rsidRPr="00D31CA5">
        <w:rPr>
          <w:rFonts w:ascii="Calibri" w:hAnsi="Calibri" w:cs="Calibri"/>
          <w:i/>
          <w:iCs/>
          <w:noProof/>
          <w:szCs w:val="24"/>
        </w:rPr>
        <w:t>International Journal of Refrigeration</w:t>
      </w:r>
      <w:r w:rsidRPr="00D31CA5">
        <w:rPr>
          <w:rFonts w:ascii="Calibri" w:hAnsi="Calibri" w:cs="Calibri"/>
          <w:noProof/>
          <w:szCs w:val="24"/>
        </w:rPr>
        <w:t>, 24(1), pp. 73–87. doi: 10.1016/S0140-7007(00)00070-0.</w:t>
      </w:r>
    </w:p>
    <w:p w14:paraId="0ECDAEC1"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Chemicals (no date) </w:t>
      </w:r>
      <w:r w:rsidRPr="00D31CA5">
        <w:rPr>
          <w:rFonts w:ascii="Calibri" w:hAnsi="Calibri" w:cs="Calibri"/>
          <w:i/>
          <w:iCs/>
          <w:noProof/>
          <w:szCs w:val="24"/>
        </w:rPr>
        <w:t>Ethylene Glycol</w:t>
      </w:r>
      <w:r w:rsidRPr="00D31CA5">
        <w:rPr>
          <w:rFonts w:ascii="Calibri" w:hAnsi="Calibri" w:cs="Calibri"/>
          <w:noProof/>
          <w:szCs w:val="24"/>
        </w:rPr>
        <w:t>. Available at: https://www.chemicals.co.uk/ethylene-glycol (Accessed: 14 September 2018).</w:t>
      </w:r>
    </w:p>
    <w:p w14:paraId="03B5E268"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Chen, B.-J., Chang, M.-W. and Lin, C.-J. (2004) ‘Load forecasting using support vector machines: a study on EUNITE competition 2001’, </w:t>
      </w:r>
      <w:r w:rsidRPr="00D31CA5">
        <w:rPr>
          <w:rFonts w:ascii="Calibri" w:hAnsi="Calibri" w:cs="Calibri"/>
          <w:i/>
          <w:iCs/>
          <w:noProof/>
          <w:szCs w:val="24"/>
        </w:rPr>
        <w:t>IEEE Transactions on Power Systems</w:t>
      </w:r>
      <w:r w:rsidRPr="00D31CA5">
        <w:rPr>
          <w:rFonts w:ascii="Calibri" w:hAnsi="Calibri" w:cs="Calibri"/>
          <w:noProof/>
          <w:szCs w:val="24"/>
        </w:rPr>
        <w:t>, 19(4), pp. 1821–1830. doi: 10.1109/TPWRS.2004.835679.</w:t>
      </w:r>
    </w:p>
    <w:p w14:paraId="73BB5D69"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Chen, X. </w:t>
      </w:r>
      <w:r w:rsidRPr="00D31CA5">
        <w:rPr>
          <w:rFonts w:ascii="Calibri" w:hAnsi="Calibri" w:cs="Calibri"/>
          <w:i/>
          <w:iCs/>
          <w:noProof/>
          <w:szCs w:val="24"/>
        </w:rPr>
        <w:t>et al.</w:t>
      </w:r>
      <w:r w:rsidRPr="00D31CA5">
        <w:rPr>
          <w:rFonts w:ascii="Calibri" w:hAnsi="Calibri" w:cs="Calibri"/>
          <w:noProof/>
          <w:szCs w:val="24"/>
        </w:rPr>
        <w:t xml:space="preserve"> (2015) ‘Increasing the Flexibility of Combined Heat and Power for Wind Power Integration in China: Modeling and Implications’, </w:t>
      </w:r>
      <w:r w:rsidRPr="00D31CA5">
        <w:rPr>
          <w:rFonts w:ascii="Calibri" w:hAnsi="Calibri" w:cs="Calibri"/>
          <w:i/>
          <w:iCs/>
          <w:noProof/>
          <w:szCs w:val="24"/>
        </w:rPr>
        <w:t>IEEE Transactions on Power Systems</w:t>
      </w:r>
      <w:r w:rsidRPr="00D31CA5">
        <w:rPr>
          <w:rFonts w:ascii="Calibri" w:hAnsi="Calibri" w:cs="Calibri"/>
          <w:noProof/>
          <w:szCs w:val="24"/>
        </w:rPr>
        <w:t>, 30(4), pp. 1848–1857. doi: 10.1109/TPWRS.2014.2356723.</w:t>
      </w:r>
    </w:p>
    <w:p w14:paraId="75FB76BC"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CIBSE (2008) </w:t>
      </w:r>
      <w:r w:rsidRPr="00D31CA5">
        <w:rPr>
          <w:rFonts w:ascii="Calibri" w:hAnsi="Calibri" w:cs="Calibri"/>
          <w:i/>
          <w:iCs/>
          <w:noProof/>
          <w:szCs w:val="24"/>
        </w:rPr>
        <w:t>Energy benchmarks TM46: 2008</w:t>
      </w:r>
      <w:r w:rsidRPr="00D31CA5">
        <w:rPr>
          <w:rFonts w:ascii="Calibri" w:hAnsi="Calibri" w:cs="Calibri"/>
          <w:noProof/>
          <w:szCs w:val="24"/>
        </w:rPr>
        <w:t>. London, England.</w:t>
      </w:r>
    </w:p>
    <w:p w14:paraId="4B06F239"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CLASP (2011) </w:t>
      </w:r>
      <w:r w:rsidRPr="00D31CA5">
        <w:rPr>
          <w:rFonts w:ascii="Calibri" w:hAnsi="Calibri" w:cs="Calibri"/>
          <w:i/>
          <w:iCs/>
          <w:noProof/>
          <w:szCs w:val="24"/>
        </w:rPr>
        <w:t>An introduction to District Heating</w:t>
      </w:r>
      <w:r w:rsidRPr="00D31CA5">
        <w:rPr>
          <w:rFonts w:ascii="Calibri" w:hAnsi="Calibri" w:cs="Calibri"/>
          <w:noProof/>
          <w:szCs w:val="24"/>
        </w:rPr>
        <w:t>. Penrith, England. Available at: http://www.claspinfo.org/sites/default/files/Cumbria_Factsheet_District_Heating_FINAL3.pdf.</w:t>
      </w:r>
    </w:p>
    <w:p w14:paraId="64874C25"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Connolly, D. </w:t>
      </w:r>
      <w:r w:rsidRPr="00D31CA5">
        <w:rPr>
          <w:rFonts w:ascii="Calibri" w:hAnsi="Calibri" w:cs="Calibri"/>
          <w:i/>
          <w:iCs/>
          <w:noProof/>
          <w:szCs w:val="24"/>
        </w:rPr>
        <w:t>et al.</w:t>
      </w:r>
      <w:r w:rsidRPr="00D31CA5">
        <w:rPr>
          <w:rFonts w:ascii="Calibri" w:hAnsi="Calibri" w:cs="Calibri"/>
          <w:noProof/>
          <w:szCs w:val="24"/>
        </w:rPr>
        <w:t xml:space="preserve"> (2014) ‘Heat Roadmap Europe: Combining district heating with heat savings to decarbonise the EU energy system’, </w:t>
      </w:r>
      <w:r w:rsidRPr="00D31CA5">
        <w:rPr>
          <w:rFonts w:ascii="Calibri" w:hAnsi="Calibri" w:cs="Calibri"/>
          <w:i/>
          <w:iCs/>
          <w:noProof/>
          <w:szCs w:val="24"/>
        </w:rPr>
        <w:t>Energy Policy</w:t>
      </w:r>
      <w:r w:rsidRPr="00D31CA5">
        <w:rPr>
          <w:rFonts w:ascii="Calibri" w:hAnsi="Calibri" w:cs="Calibri"/>
          <w:noProof/>
          <w:szCs w:val="24"/>
        </w:rPr>
        <w:t>. Elsevier, 65, pp. 475–489. doi: 10.1016/j.enpol.2013.10.035.</w:t>
      </w:r>
    </w:p>
    <w:p w14:paraId="358126AC"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Curran, P. J. and Hobson, T. A. (1987) ‘Landsat MSS imagery to estimate residential heat-load density’, </w:t>
      </w:r>
      <w:r w:rsidRPr="00D31CA5">
        <w:rPr>
          <w:rFonts w:ascii="Calibri" w:hAnsi="Calibri" w:cs="Calibri"/>
          <w:i/>
          <w:iCs/>
          <w:noProof/>
          <w:szCs w:val="24"/>
        </w:rPr>
        <w:t>Environment and Planning A: Economy and Space</w:t>
      </w:r>
      <w:r w:rsidRPr="00D31CA5">
        <w:rPr>
          <w:rFonts w:ascii="Calibri" w:hAnsi="Calibri" w:cs="Calibri"/>
          <w:noProof/>
          <w:szCs w:val="24"/>
        </w:rPr>
        <w:t>, 19(12), pp. 1597–1610.</w:t>
      </w:r>
    </w:p>
    <w:p w14:paraId="36B5584C"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Davies, G. and Woods, P. (2009) </w:t>
      </w:r>
      <w:r w:rsidRPr="00D31CA5">
        <w:rPr>
          <w:rFonts w:ascii="Calibri" w:hAnsi="Calibri" w:cs="Calibri"/>
          <w:i/>
          <w:iCs/>
          <w:noProof/>
          <w:szCs w:val="24"/>
        </w:rPr>
        <w:t>The Potential and Costs of District Heating Networks</w:t>
      </w:r>
      <w:r w:rsidRPr="00D31CA5">
        <w:rPr>
          <w:rFonts w:ascii="Calibri" w:hAnsi="Calibri" w:cs="Calibri"/>
          <w:noProof/>
          <w:szCs w:val="24"/>
        </w:rPr>
        <w:t>. Oxford, England. Available at: http://www.flexenergy.co.uk/wp-content/uploads/2012/12/1467-potential-costs-district-heating-network.pdf%5Cnhttp://webarchive.nationalarchives.gov.uk/20121205174605/http:/decc.gov.uk/assets/decc/what we do/uk energy supply/energy mix/distributed energy heat.</w:t>
      </w:r>
    </w:p>
    <w:p w14:paraId="66091DD8"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DCLG (2006) </w:t>
      </w:r>
      <w:r w:rsidRPr="00D31CA5">
        <w:rPr>
          <w:rFonts w:ascii="Calibri" w:hAnsi="Calibri" w:cs="Calibri"/>
          <w:i/>
          <w:iCs/>
          <w:noProof/>
          <w:szCs w:val="24"/>
        </w:rPr>
        <w:t>Building A Greener Future: Towards Zero Carbon Development</w:t>
      </w:r>
      <w:r w:rsidRPr="00D31CA5">
        <w:rPr>
          <w:rFonts w:ascii="Calibri" w:hAnsi="Calibri" w:cs="Calibri"/>
          <w:noProof/>
          <w:szCs w:val="24"/>
        </w:rPr>
        <w:t xml:space="preserve">. London, England. </w:t>
      </w:r>
      <w:r w:rsidRPr="00D31CA5">
        <w:rPr>
          <w:rFonts w:ascii="Calibri" w:hAnsi="Calibri" w:cs="Calibri"/>
          <w:noProof/>
          <w:szCs w:val="24"/>
        </w:rPr>
        <w:lastRenderedPageBreak/>
        <w:t>Available at: http://www.communities.gov.uk/archived/publications/planningandbuilding/buildinggreener.</w:t>
      </w:r>
    </w:p>
    <w:p w14:paraId="06CAD731"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DCLG (2014) </w:t>
      </w:r>
      <w:r w:rsidRPr="00D31CA5">
        <w:rPr>
          <w:rFonts w:ascii="Calibri" w:hAnsi="Calibri" w:cs="Calibri"/>
          <w:i/>
          <w:iCs/>
          <w:noProof/>
          <w:szCs w:val="24"/>
        </w:rPr>
        <w:t>Rural population and migration</w:t>
      </w:r>
      <w:r w:rsidRPr="00D31CA5">
        <w:rPr>
          <w:rFonts w:ascii="Calibri" w:hAnsi="Calibri" w:cs="Calibri"/>
          <w:noProof/>
          <w:szCs w:val="24"/>
        </w:rPr>
        <w:t>. London, England.</w:t>
      </w:r>
    </w:p>
    <w:p w14:paraId="2EAE1F9C"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DECC (2009a) </w:t>
      </w:r>
      <w:r w:rsidRPr="00D31CA5">
        <w:rPr>
          <w:rFonts w:ascii="Calibri" w:hAnsi="Calibri" w:cs="Calibri"/>
          <w:i/>
          <w:iCs/>
          <w:noProof/>
          <w:szCs w:val="24"/>
        </w:rPr>
        <w:t>HEAT AND ENERGY SAVING STRATEGY: Consultation</w:t>
      </w:r>
      <w:r w:rsidRPr="00D31CA5">
        <w:rPr>
          <w:rFonts w:ascii="Calibri" w:hAnsi="Calibri" w:cs="Calibri"/>
          <w:noProof/>
          <w:szCs w:val="24"/>
        </w:rPr>
        <w:t>. London, England.</w:t>
      </w:r>
    </w:p>
    <w:p w14:paraId="68FF6EF9"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DECC (2009b) </w:t>
      </w:r>
      <w:r w:rsidRPr="00D31CA5">
        <w:rPr>
          <w:rFonts w:ascii="Calibri" w:hAnsi="Calibri" w:cs="Calibri"/>
          <w:i/>
          <w:iCs/>
          <w:noProof/>
          <w:szCs w:val="24"/>
        </w:rPr>
        <w:t>The UK Low Carbon Transition Plan: National strategy for climate and energy</w:t>
      </w:r>
      <w:r w:rsidRPr="00D31CA5">
        <w:rPr>
          <w:rFonts w:ascii="Calibri" w:hAnsi="Calibri" w:cs="Calibri"/>
          <w:noProof/>
          <w:szCs w:val="24"/>
        </w:rPr>
        <w:t>. London, England.</w:t>
      </w:r>
    </w:p>
    <w:p w14:paraId="2A51355A"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DECC (2009c) </w:t>
      </w:r>
      <w:r w:rsidRPr="00D31CA5">
        <w:rPr>
          <w:rFonts w:ascii="Calibri" w:hAnsi="Calibri" w:cs="Calibri"/>
          <w:i/>
          <w:iCs/>
          <w:noProof/>
          <w:szCs w:val="24"/>
        </w:rPr>
        <w:t>The UK renewable energy strategy</w:t>
      </w:r>
      <w:r w:rsidRPr="00D31CA5">
        <w:rPr>
          <w:rFonts w:ascii="Calibri" w:hAnsi="Calibri" w:cs="Calibri"/>
          <w:noProof/>
          <w:szCs w:val="24"/>
        </w:rPr>
        <w:t>. London, England. doi: 10.1002/yd.20021.</w:t>
      </w:r>
    </w:p>
    <w:p w14:paraId="087890F2"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DECC (2011) </w:t>
      </w:r>
      <w:r w:rsidRPr="00D31CA5">
        <w:rPr>
          <w:rFonts w:ascii="Calibri" w:hAnsi="Calibri" w:cs="Calibri"/>
          <w:i/>
          <w:iCs/>
          <w:noProof/>
          <w:szCs w:val="24"/>
        </w:rPr>
        <w:t>UK CHP Development Map</w:t>
      </w:r>
      <w:r w:rsidRPr="00D31CA5">
        <w:rPr>
          <w:rFonts w:ascii="Calibri" w:hAnsi="Calibri" w:cs="Calibri"/>
          <w:noProof/>
          <w:szCs w:val="24"/>
        </w:rPr>
        <w:t>. Available at: http://chptools.decc.gov.uk/developmentmap/# (Accessed: 7 September 2018).</w:t>
      </w:r>
    </w:p>
    <w:p w14:paraId="145D3FD3"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DECC (2013a) </w:t>
      </w:r>
      <w:r w:rsidRPr="00D31CA5">
        <w:rPr>
          <w:rFonts w:ascii="Calibri" w:hAnsi="Calibri" w:cs="Calibri"/>
          <w:i/>
          <w:iCs/>
          <w:noProof/>
          <w:szCs w:val="24"/>
        </w:rPr>
        <w:t>Research Report: Homeowners’ Willingness To Take Up More Efficient Heating Systems</w:t>
      </w:r>
      <w:r w:rsidRPr="00D31CA5">
        <w:rPr>
          <w:rFonts w:ascii="Calibri" w:hAnsi="Calibri" w:cs="Calibri"/>
          <w:noProof/>
          <w:szCs w:val="24"/>
        </w:rPr>
        <w:t>. London, England.</w:t>
      </w:r>
    </w:p>
    <w:p w14:paraId="58664610"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DECC (2013b) </w:t>
      </w:r>
      <w:r w:rsidRPr="00D31CA5">
        <w:rPr>
          <w:rFonts w:ascii="Calibri" w:hAnsi="Calibri" w:cs="Calibri"/>
          <w:i/>
          <w:iCs/>
          <w:noProof/>
          <w:szCs w:val="24"/>
        </w:rPr>
        <w:t>Summary evidence on District Heating Networks in the UK</w:t>
      </w:r>
      <w:r w:rsidRPr="00D31CA5">
        <w:rPr>
          <w:rFonts w:ascii="Calibri" w:hAnsi="Calibri" w:cs="Calibri"/>
          <w:noProof/>
          <w:szCs w:val="24"/>
        </w:rPr>
        <w:t>. London, England. Available at: https://www.gov.uk/government/uploads/system/uploads/attachment_data/file/212565/summary_evidence_district_heating_networks_uk.pdf.</w:t>
      </w:r>
    </w:p>
    <w:p w14:paraId="669AA76E"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DECC (2013c) </w:t>
      </w:r>
      <w:r w:rsidRPr="00D31CA5">
        <w:rPr>
          <w:rFonts w:ascii="Calibri" w:hAnsi="Calibri" w:cs="Calibri"/>
          <w:i/>
          <w:iCs/>
          <w:noProof/>
          <w:szCs w:val="24"/>
        </w:rPr>
        <w:t>The Future of Heating: Meeting the challenge</w:t>
      </w:r>
      <w:r w:rsidRPr="00D31CA5">
        <w:rPr>
          <w:rFonts w:ascii="Calibri" w:hAnsi="Calibri" w:cs="Calibri"/>
          <w:noProof/>
          <w:szCs w:val="24"/>
        </w:rPr>
        <w:t>. London, England.</w:t>
      </w:r>
    </w:p>
    <w:p w14:paraId="56161C13"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DECC (2014a) </w:t>
      </w:r>
      <w:r w:rsidRPr="00D31CA5">
        <w:rPr>
          <w:rFonts w:ascii="Calibri" w:hAnsi="Calibri" w:cs="Calibri"/>
          <w:i/>
          <w:iCs/>
          <w:noProof/>
          <w:szCs w:val="24"/>
        </w:rPr>
        <w:t>Estimates of heat use in the United Kingdom in 2013</w:t>
      </w:r>
      <w:r w:rsidRPr="00D31CA5">
        <w:rPr>
          <w:rFonts w:ascii="Calibri" w:hAnsi="Calibri" w:cs="Calibri"/>
          <w:noProof/>
          <w:szCs w:val="24"/>
        </w:rPr>
        <w:t>. London, England.</w:t>
      </w:r>
    </w:p>
    <w:p w14:paraId="293FDB12"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DECC (2014b) </w:t>
      </w:r>
      <w:r w:rsidRPr="00D31CA5">
        <w:rPr>
          <w:rFonts w:ascii="Calibri" w:hAnsi="Calibri" w:cs="Calibri"/>
          <w:i/>
          <w:iCs/>
          <w:noProof/>
          <w:szCs w:val="24"/>
        </w:rPr>
        <w:t>The potential for recovering and using surplus heat from industry</w:t>
      </w:r>
      <w:r w:rsidRPr="00D31CA5">
        <w:rPr>
          <w:rFonts w:ascii="Calibri" w:hAnsi="Calibri" w:cs="Calibri"/>
          <w:noProof/>
          <w:szCs w:val="24"/>
        </w:rPr>
        <w:t>. London, England.</w:t>
      </w:r>
    </w:p>
    <w:p w14:paraId="11C41709"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DECC (2015a) </w:t>
      </w:r>
      <w:r w:rsidRPr="00D31CA5">
        <w:rPr>
          <w:rFonts w:ascii="Calibri" w:hAnsi="Calibri" w:cs="Calibri"/>
          <w:i/>
          <w:iCs/>
          <w:noProof/>
          <w:szCs w:val="24"/>
        </w:rPr>
        <w:t>Assessment of the Costs, Performance, and Characteristics of UK Heat Networks</w:t>
      </w:r>
      <w:r w:rsidRPr="00D31CA5">
        <w:rPr>
          <w:rFonts w:ascii="Calibri" w:hAnsi="Calibri" w:cs="Calibri"/>
          <w:noProof/>
          <w:szCs w:val="24"/>
        </w:rPr>
        <w:t>. London, England.</w:t>
      </w:r>
    </w:p>
    <w:p w14:paraId="2AB4716A"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DECC (2015b) </w:t>
      </w:r>
      <w:r w:rsidRPr="00D31CA5">
        <w:rPr>
          <w:rFonts w:ascii="Calibri" w:hAnsi="Calibri" w:cs="Calibri"/>
          <w:i/>
          <w:iCs/>
          <w:noProof/>
          <w:szCs w:val="24"/>
        </w:rPr>
        <w:t>Delivering UK Energy Investment: Networks Contents</w:t>
      </w:r>
      <w:r w:rsidRPr="00D31CA5">
        <w:rPr>
          <w:rFonts w:ascii="Calibri" w:hAnsi="Calibri" w:cs="Calibri"/>
          <w:noProof/>
          <w:szCs w:val="24"/>
        </w:rPr>
        <w:t>. London, England.</w:t>
      </w:r>
    </w:p>
    <w:p w14:paraId="676FAB60"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Delmastro, C. </w:t>
      </w:r>
      <w:r w:rsidRPr="00D31CA5">
        <w:rPr>
          <w:rFonts w:ascii="Calibri" w:hAnsi="Calibri" w:cs="Calibri"/>
          <w:i/>
          <w:iCs/>
          <w:noProof/>
          <w:szCs w:val="24"/>
        </w:rPr>
        <w:t>et al.</w:t>
      </w:r>
      <w:r w:rsidRPr="00D31CA5">
        <w:rPr>
          <w:rFonts w:ascii="Calibri" w:hAnsi="Calibri" w:cs="Calibri"/>
          <w:noProof/>
          <w:szCs w:val="24"/>
        </w:rPr>
        <w:t xml:space="preserve"> (2017) ‘Modeling Building Energy Demand Profiles and District Heating Networks for Low Carbon Urban Areas’, </w:t>
      </w:r>
      <w:r w:rsidRPr="00D31CA5">
        <w:rPr>
          <w:rFonts w:ascii="Calibri" w:hAnsi="Calibri" w:cs="Calibri"/>
          <w:i/>
          <w:iCs/>
          <w:noProof/>
          <w:szCs w:val="24"/>
        </w:rPr>
        <w:t>Procedia Engineering</w:t>
      </w:r>
      <w:r w:rsidRPr="00D31CA5">
        <w:rPr>
          <w:rFonts w:ascii="Calibri" w:hAnsi="Calibri" w:cs="Calibri"/>
          <w:noProof/>
          <w:szCs w:val="24"/>
        </w:rPr>
        <w:t>. The Author(s), 198(September 2016), pp. 386–397. doi: 10.1016/j.proeng.2017.07.094.</w:t>
      </w:r>
    </w:p>
    <w:p w14:paraId="420E60BC"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Delmastro, C., Mutani, G. and Schranz, L. (2016) ‘The evaluation of buildings energy consumption and the optimization of district heating networks: a GIS-based model’, </w:t>
      </w:r>
      <w:r w:rsidRPr="00D31CA5">
        <w:rPr>
          <w:rFonts w:ascii="Calibri" w:hAnsi="Calibri" w:cs="Calibri"/>
          <w:i/>
          <w:iCs/>
          <w:noProof/>
          <w:szCs w:val="24"/>
        </w:rPr>
        <w:t>International Journal of Energy and Environmental Engineering</w:t>
      </w:r>
      <w:r w:rsidRPr="00D31CA5">
        <w:rPr>
          <w:rFonts w:ascii="Calibri" w:hAnsi="Calibri" w:cs="Calibri"/>
          <w:noProof/>
          <w:szCs w:val="24"/>
        </w:rPr>
        <w:t>. Springer Berlin Heidelberg, 7(3), pp. 343–351. doi: 10.1007/s40095-015-0161-5.</w:t>
      </w:r>
    </w:p>
    <w:p w14:paraId="3CA1E47D"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Delta Energy &amp; Environment Ltd (2016) </w:t>
      </w:r>
      <w:r w:rsidRPr="00D31CA5">
        <w:rPr>
          <w:rFonts w:ascii="Calibri" w:hAnsi="Calibri" w:cs="Calibri"/>
          <w:i/>
          <w:iCs/>
          <w:noProof/>
          <w:szCs w:val="24"/>
        </w:rPr>
        <w:t>Evidence Gathering: Thermal Energy Storage (TES) Technologies</w:t>
      </w:r>
      <w:r w:rsidRPr="00D31CA5">
        <w:rPr>
          <w:rFonts w:ascii="Calibri" w:hAnsi="Calibri" w:cs="Calibri"/>
          <w:noProof/>
          <w:szCs w:val="24"/>
        </w:rPr>
        <w:t>. London, England. Available at: https://www.gov.uk/government/uploads/system/uploads/attachment_data/file/545249/DELTA_EE_DECC_TES_Final__1_.pdf.</w:t>
      </w:r>
    </w:p>
    <w:p w14:paraId="29C7613C"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Dominković, D. F. </w:t>
      </w:r>
      <w:r w:rsidRPr="00D31CA5">
        <w:rPr>
          <w:rFonts w:ascii="Calibri" w:hAnsi="Calibri" w:cs="Calibri"/>
          <w:i/>
          <w:iCs/>
          <w:noProof/>
          <w:szCs w:val="24"/>
        </w:rPr>
        <w:t>et al.</w:t>
      </w:r>
      <w:r w:rsidRPr="00D31CA5">
        <w:rPr>
          <w:rFonts w:ascii="Calibri" w:hAnsi="Calibri" w:cs="Calibri"/>
          <w:noProof/>
          <w:szCs w:val="24"/>
        </w:rPr>
        <w:t xml:space="preserve"> (2015) ‘A hybrid optimization model of biomass trigeneration system combined with pit thermal energy storage’, </w:t>
      </w:r>
      <w:r w:rsidRPr="00D31CA5">
        <w:rPr>
          <w:rFonts w:ascii="Calibri" w:hAnsi="Calibri" w:cs="Calibri"/>
          <w:i/>
          <w:iCs/>
          <w:noProof/>
          <w:szCs w:val="24"/>
        </w:rPr>
        <w:t>Energy Conversion and Management</w:t>
      </w:r>
      <w:r w:rsidRPr="00D31CA5">
        <w:rPr>
          <w:rFonts w:ascii="Calibri" w:hAnsi="Calibri" w:cs="Calibri"/>
          <w:noProof/>
          <w:szCs w:val="24"/>
        </w:rPr>
        <w:t>, 104, pp. 90–99. doi: 10.1016/j.enconman.2015.03.056.</w:t>
      </w:r>
    </w:p>
    <w:p w14:paraId="60E9FBC2"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Dominković, D. F. </w:t>
      </w:r>
      <w:r w:rsidRPr="00D31CA5">
        <w:rPr>
          <w:rFonts w:ascii="Calibri" w:hAnsi="Calibri" w:cs="Calibri"/>
          <w:i/>
          <w:iCs/>
          <w:noProof/>
          <w:szCs w:val="24"/>
        </w:rPr>
        <w:t>et al.</w:t>
      </w:r>
      <w:r w:rsidRPr="00D31CA5">
        <w:rPr>
          <w:rFonts w:ascii="Calibri" w:hAnsi="Calibri" w:cs="Calibri"/>
          <w:noProof/>
          <w:szCs w:val="24"/>
        </w:rPr>
        <w:t xml:space="preserve"> (2018) ‘Utilizing thermal building mass for storage in district heating systems: combined building level simulations and system level optimization’, </w:t>
      </w:r>
      <w:r w:rsidRPr="00D31CA5">
        <w:rPr>
          <w:rFonts w:ascii="Calibri" w:hAnsi="Calibri" w:cs="Calibri"/>
          <w:i/>
          <w:iCs/>
          <w:noProof/>
          <w:szCs w:val="24"/>
        </w:rPr>
        <w:t>Energy</w:t>
      </w:r>
      <w:r w:rsidRPr="00D31CA5">
        <w:rPr>
          <w:rFonts w:ascii="Calibri" w:hAnsi="Calibri" w:cs="Calibri"/>
          <w:noProof/>
          <w:szCs w:val="24"/>
        </w:rPr>
        <w:t xml:space="preserve">, 153. </w:t>
      </w:r>
      <w:r w:rsidRPr="00D31CA5">
        <w:rPr>
          <w:rFonts w:ascii="Calibri" w:hAnsi="Calibri" w:cs="Calibri"/>
          <w:noProof/>
          <w:szCs w:val="24"/>
        </w:rPr>
        <w:lastRenderedPageBreak/>
        <w:t>doi: 10.1016/j.energy.2018.04.093.</w:t>
      </w:r>
    </w:p>
    <w:p w14:paraId="0B6C2DD4"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Dotzauer, E. (2002) ‘Simple model for prediction of loads in district-heating systems’, </w:t>
      </w:r>
      <w:r w:rsidRPr="00D31CA5">
        <w:rPr>
          <w:rFonts w:ascii="Calibri" w:hAnsi="Calibri" w:cs="Calibri"/>
          <w:i/>
          <w:iCs/>
          <w:noProof/>
          <w:szCs w:val="24"/>
        </w:rPr>
        <w:t>Applied Energy</w:t>
      </w:r>
      <w:r w:rsidRPr="00D31CA5">
        <w:rPr>
          <w:rFonts w:ascii="Calibri" w:hAnsi="Calibri" w:cs="Calibri"/>
          <w:noProof/>
          <w:szCs w:val="24"/>
        </w:rPr>
        <w:t>, 73(3–4), pp. 277–284. doi: 10.1016/S0306-2619(02)00078-8.</w:t>
      </w:r>
    </w:p>
    <w:p w14:paraId="5026C427"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Dou, Y. </w:t>
      </w:r>
      <w:r w:rsidRPr="00D31CA5">
        <w:rPr>
          <w:rFonts w:ascii="Calibri" w:hAnsi="Calibri" w:cs="Calibri"/>
          <w:i/>
          <w:iCs/>
          <w:noProof/>
          <w:szCs w:val="24"/>
        </w:rPr>
        <w:t>et al.</w:t>
      </w:r>
      <w:r w:rsidRPr="00D31CA5">
        <w:rPr>
          <w:rFonts w:ascii="Calibri" w:hAnsi="Calibri" w:cs="Calibri"/>
          <w:noProof/>
          <w:szCs w:val="24"/>
        </w:rPr>
        <w:t xml:space="preserve"> (2018) ‘Innovative planning and evaluation system for district heating using waste heat considering spatial configuration: A case in Fukushima, Japan’, </w:t>
      </w:r>
      <w:r w:rsidRPr="00D31CA5">
        <w:rPr>
          <w:rFonts w:ascii="Calibri" w:hAnsi="Calibri" w:cs="Calibri"/>
          <w:i/>
          <w:iCs/>
          <w:noProof/>
          <w:szCs w:val="24"/>
        </w:rPr>
        <w:t>Resources, Conservation and Recycling</w:t>
      </w:r>
      <w:r w:rsidRPr="00D31CA5">
        <w:rPr>
          <w:rFonts w:ascii="Calibri" w:hAnsi="Calibri" w:cs="Calibri"/>
          <w:noProof/>
          <w:szCs w:val="24"/>
        </w:rPr>
        <w:t>. Elsevier B.V., 128, pp. 406–416. doi: 10.1016/j.resconrec.2016.03.006.</w:t>
      </w:r>
    </w:p>
    <w:p w14:paraId="7A3FF776"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Le Dréau, J. and Heiselberg, P. (2016) ‘Energy flexibility of residential buildings using short term heat storage in the thermal mass’, </w:t>
      </w:r>
      <w:r w:rsidRPr="00D31CA5">
        <w:rPr>
          <w:rFonts w:ascii="Calibri" w:hAnsi="Calibri" w:cs="Calibri"/>
          <w:i/>
          <w:iCs/>
          <w:noProof/>
          <w:szCs w:val="24"/>
        </w:rPr>
        <w:t>Energy</w:t>
      </w:r>
      <w:r w:rsidRPr="00D31CA5">
        <w:rPr>
          <w:rFonts w:ascii="Calibri" w:hAnsi="Calibri" w:cs="Calibri"/>
          <w:noProof/>
          <w:szCs w:val="24"/>
        </w:rPr>
        <w:t>, 111, pp. 991–1002. doi: 10.1016/j.energy.2016.05.076.</w:t>
      </w:r>
    </w:p>
    <w:p w14:paraId="03056E45"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DTI (2003) </w:t>
      </w:r>
      <w:r w:rsidRPr="00D31CA5">
        <w:rPr>
          <w:rFonts w:ascii="Calibri" w:hAnsi="Calibri" w:cs="Calibri"/>
          <w:i/>
          <w:iCs/>
          <w:noProof/>
          <w:szCs w:val="24"/>
        </w:rPr>
        <w:t>Energy White Paper - Our energy future - creating a low carbon economy</w:t>
      </w:r>
      <w:r w:rsidRPr="00D31CA5">
        <w:rPr>
          <w:rFonts w:ascii="Calibri" w:hAnsi="Calibri" w:cs="Calibri"/>
          <w:noProof/>
          <w:szCs w:val="24"/>
        </w:rPr>
        <w:t>. London, England. Available at: http://webarchive.nationalarchives.gov.uk/+/http:/www.berr.gov.uk/files/file10719.pdf (Accessed: 16 July 2018).</w:t>
      </w:r>
    </w:p>
    <w:p w14:paraId="0263FF0C"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DTI (2007) </w:t>
      </w:r>
      <w:r w:rsidRPr="00D31CA5">
        <w:rPr>
          <w:rFonts w:ascii="Calibri" w:hAnsi="Calibri" w:cs="Calibri"/>
          <w:i/>
          <w:iCs/>
          <w:noProof/>
          <w:szCs w:val="24"/>
        </w:rPr>
        <w:t>Meeting the Energy Challenge: A White Paper on Energy</w:t>
      </w:r>
      <w:r w:rsidRPr="00D31CA5">
        <w:rPr>
          <w:rFonts w:ascii="Calibri" w:hAnsi="Calibri" w:cs="Calibri"/>
          <w:noProof/>
          <w:szCs w:val="24"/>
        </w:rPr>
        <w:t>. London, England. doi: 10.1016/s1472-9288(03)00005-0.</w:t>
      </w:r>
    </w:p>
    <w:p w14:paraId="513C28C2"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Eames, P. </w:t>
      </w:r>
      <w:r w:rsidRPr="00D31CA5">
        <w:rPr>
          <w:rFonts w:ascii="Calibri" w:hAnsi="Calibri" w:cs="Calibri"/>
          <w:i/>
          <w:iCs/>
          <w:noProof/>
          <w:szCs w:val="24"/>
        </w:rPr>
        <w:t>et al.</w:t>
      </w:r>
      <w:r w:rsidRPr="00D31CA5">
        <w:rPr>
          <w:rFonts w:ascii="Calibri" w:hAnsi="Calibri" w:cs="Calibri"/>
          <w:noProof/>
          <w:szCs w:val="24"/>
        </w:rPr>
        <w:t xml:space="preserve"> (2014) </w:t>
      </w:r>
      <w:r w:rsidRPr="00D31CA5">
        <w:rPr>
          <w:rFonts w:ascii="Calibri" w:hAnsi="Calibri" w:cs="Calibri"/>
          <w:i/>
          <w:iCs/>
          <w:noProof/>
          <w:szCs w:val="24"/>
        </w:rPr>
        <w:t>The Future Role of Thermal Energy Storage in the UK Energy System: An Assessment of the Technical Feasibility and Factors Influencing Adoption - Research Report</w:t>
      </w:r>
      <w:r w:rsidRPr="00D31CA5">
        <w:rPr>
          <w:rFonts w:ascii="Calibri" w:hAnsi="Calibri" w:cs="Calibri"/>
          <w:noProof/>
          <w:szCs w:val="24"/>
        </w:rPr>
        <w:t>. London, England. Available at: www.ukerc.ac.uk.</w:t>
      </w:r>
    </w:p>
    <w:p w14:paraId="0BF46A33"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EC (2006) </w:t>
      </w:r>
      <w:r w:rsidRPr="00D31CA5">
        <w:rPr>
          <w:rFonts w:ascii="Calibri" w:hAnsi="Calibri" w:cs="Calibri"/>
          <w:i/>
          <w:iCs/>
          <w:noProof/>
          <w:szCs w:val="24"/>
        </w:rPr>
        <w:t>Directive 2006/66/EC of the European Parliament and of the Council</w:t>
      </w:r>
      <w:r w:rsidRPr="00D31CA5">
        <w:rPr>
          <w:rFonts w:ascii="Calibri" w:hAnsi="Calibri" w:cs="Calibri"/>
          <w:noProof/>
          <w:szCs w:val="24"/>
        </w:rPr>
        <w:t>. Brussels, Belgium. doi: 12.12.2013.</w:t>
      </w:r>
    </w:p>
    <w:p w14:paraId="3A9ADC8D"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EC (2010) </w:t>
      </w:r>
      <w:r w:rsidRPr="00D31CA5">
        <w:rPr>
          <w:rFonts w:ascii="Calibri" w:hAnsi="Calibri" w:cs="Calibri"/>
          <w:i/>
          <w:iCs/>
          <w:noProof/>
          <w:szCs w:val="24"/>
        </w:rPr>
        <w:t>Roadmap 2050: Technical Analysis</w:t>
      </w:r>
      <w:r w:rsidRPr="00D31CA5">
        <w:rPr>
          <w:rFonts w:ascii="Calibri" w:hAnsi="Calibri" w:cs="Calibri"/>
          <w:noProof/>
          <w:szCs w:val="24"/>
        </w:rPr>
        <w:t>. Brussels, Belgium. doi: 10.2833/10759.</w:t>
      </w:r>
    </w:p>
    <w:p w14:paraId="620BE5A3"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EC (2012a) </w:t>
      </w:r>
      <w:r w:rsidRPr="00D31CA5">
        <w:rPr>
          <w:rFonts w:ascii="Calibri" w:hAnsi="Calibri" w:cs="Calibri"/>
          <w:i/>
          <w:iCs/>
          <w:noProof/>
          <w:szCs w:val="24"/>
        </w:rPr>
        <w:t>Commision Regulation (EU) No 493/2012</w:t>
      </w:r>
      <w:r w:rsidRPr="00D31CA5">
        <w:rPr>
          <w:rFonts w:ascii="Calibri" w:hAnsi="Calibri" w:cs="Calibri"/>
          <w:noProof/>
          <w:szCs w:val="24"/>
        </w:rPr>
        <w:t>. Brussels, Belgium. Available at: http://eur-lex.europa.eu/LexUriServ/LexUriServ.do?uri=OJ:L:2012:151:0009:0021:EN:PDF.</w:t>
      </w:r>
    </w:p>
    <w:p w14:paraId="7D7584F0"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EC (2012b) </w:t>
      </w:r>
      <w:r w:rsidRPr="00D31CA5">
        <w:rPr>
          <w:rFonts w:ascii="Calibri" w:hAnsi="Calibri" w:cs="Calibri"/>
          <w:i/>
          <w:iCs/>
          <w:noProof/>
          <w:szCs w:val="24"/>
        </w:rPr>
        <w:t>Directive 2012/27/EU of the European Parliament and of the Council of 25 October 2012</w:t>
      </w:r>
      <w:r w:rsidRPr="00D31CA5">
        <w:rPr>
          <w:rFonts w:ascii="Calibri" w:hAnsi="Calibri" w:cs="Calibri"/>
          <w:noProof/>
          <w:szCs w:val="24"/>
        </w:rPr>
        <w:t xml:space="preserve">, </w:t>
      </w:r>
      <w:r w:rsidRPr="00D31CA5">
        <w:rPr>
          <w:rFonts w:ascii="Calibri" w:hAnsi="Calibri" w:cs="Calibri"/>
          <w:i/>
          <w:iCs/>
          <w:noProof/>
          <w:szCs w:val="24"/>
        </w:rPr>
        <w:t>Official Journal of the European Union Directive</w:t>
      </w:r>
      <w:r w:rsidRPr="00D31CA5">
        <w:rPr>
          <w:rFonts w:ascii="Calibri" w:hAnsi="Calibri" w:cs="Calibri"/>
          <w:noProof/>
          <w:szCs w:val="24"/>
        </w:rPr>
        <w:t>. Brussels, Belgium. doi: 10.3000/19770677.L_2012.315.eng.</w:t>
      </w:r>
    </w:p>
    <w:p w14:paraId="2079EC84"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EC (2012c) </w:t>
      </w:r>
      <w:r w:rsidRPr="00D31CA5">
        <w:rPr>
          <w:rFonts w:ascii="Calibri" w:hAnsi="Calibri" w:cs="Calibri"/>
          <w:i/>
          <w:iCs/>
          <w:noProof/>
          <w:szCs w:val="24"/>
        </w:rPr>
        <w:t>Energy roadmap 2050</w:t>
      </w:r>
      <w:r w:rsidRPr="00D31CA5">
        <w:rPr>
          <w:rFonts w:ascii="Calibri" w:hAnsi="Calibri" w:cs="Calibri"/>
          <w:noProof/>
          <w:szCs w:val="24"/>
        </w:rPr>
        <w:t>. Brussels, Belgium. doi: 10.2833/10759.</w:t>
      </w:r>
    </w:p>
    <w:p w14:paraId="00734B37"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EC (2014) </w:t>
      </w:r>
      <w:r w:rsidRPr="00D31CA5">
        <w:rPr>
          <w:rFonts w:ascii="Calibri" w:hAnsi="Calibri" w:cs="Calibri"/>
          <w:i/>
          <w:iCs/>
          <w:noProof/>
          <w:szCs w:val="24"/>
        </w:rPr>
        <w:t>Frequently Asked Questions on Directive 2006/66/EU on Batteries and Accumulators and Waste Batteries and Accumulators</w:t>
      </w:r>
      <w:r w:rsidRPr="00D31CA5">
        <w:rPr>
          <w:rFonts w:ascii="Calibri" w:hAnsi="Calibri" w:cs="Calibri"/>
          <w:noProof/>
          <w:szCs w:val="24"/>
        </w:rPr>
        <w:t>. Brussels, Belgium.</w:t>
      </w:r>
    </w:p>
    <w:p w14:paraId="6219267D"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EC (2016) </w:t>
      </w:r>
      <w:r w:rsidRPr="00D31CA5">
        <w:rPr>
          <w:rFonts w:ascii="Calibri" w:hAnsi="Calibri" w:cs="Calibri"/>
          <w:i/>
          <w:iCs/>
          <w:noProof/>
          <w:szCs w:val="24"/>
        </w:rPr>
        <w:t>EU Emissions Trading System (EU ETS)</w:t>
      </w:r>
      <w:r w:rsidRPr="00D31CA5">
        <w:rPr>
          <w:rFonts w:ascii="Calibri" w:hAnsi="Calibri" w:cs="Calibri"/>
          <w:noProof/>
          <w:szCs w:val="24"/>
        </w:rPr>
        <w:t>. Available at: https://ec.europa.eu/clima/policies/ets_en (Accessed: 16 July 2018).</w:t>
      </w:r>
    </w:p>
    <w:p w14:paraId="79E67B60"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ECF (2010) </w:t>
      </w:r>
      <w:r w:rsidRPr="00D31CA5">
        <w:rPr>
          <w:rFonts w:ascii="Calibri" w:hAnsi="Calibri" w:cs="Calibri"/>
          <w:i/>
          <w:iCs/>
          <w:noProof/>
          <w:szCs w:val="24"/>
        </w:rPr>
        <w:t>Roadmap 2050</w:t>
      </w:r>
      <w:r w:rsidRPr="00D31CA5">
        <w:rPr>
          <w:rFonts w:ascii="Calibri" w:hAnsi="Calibri" w:cs="Calibri"/>
          <w:i/>
          <w:iCs/>
          <w:noProof/>
          <w:szCs w:val="24"/>
        </w:rPr>
        <w:t>：</w:t>
      </w:r>
      <w:r w:rsidRPr="00D31CA5">
        <w:rPr>
          <w:rFonts w:ascii="Calibri" w:hAnsi="Calibri" w:cs="Calibri"/>
          <w:i/>
          <w:iCs/>
          <w:noProof/>
          <w:szCs w:val="24"/>
        </w:rPr>
        <w:t>A Practical Guide to a Prosperous, Low-carbon Europe - Technical Analysis Executive Summary</w:t>
      </w:r>
      <w:r w:rsidRPr="00D31CA5">
        <w:rPr>
          <w:rFonts w:ascii="Calibri" w:hAnsi="Calibri" w:cs="Calibri"/>
          <w:noProof/>
          <w:szCs w:val="24"/>
        </w:rPr>
        <w:t>. Brussels, Belgium. Available at: http://www.roadmap2050.eu/attachments/files/Volume1_ExecutiveSummary.pdf.</w:t>
      </w:r>
    </w:p>
    <w:p w14:paraId="1A1801BF"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ECOBAT (2017) </w:t>
      </w:r>
      <w:r w:rsidRPr="00D31CA5">
        <w:rPr>
          <w:rFonts w:ascii="Calibri" w:hAnsi="Calibri" w:cs="Calibri"/>
          <w:i/>
          <w:iCs/>
          <w:noProof/>
          <w:szCs w:val="24"/>
        </w:rPr>
        <w:t>H. J. Enthoven and Sons</w:t>
      </w:r>
      <w:r w:rsidRPr="00D31CA5">
        <w:rPr>
          <w:rFonts w:ascii="Calibri" w:hAnsi="Calibri" w:cs="Calibri"/>
          <w:noProof/>
          <w:szCs w:val="24"/>
        </w:rPr>
        <w:t>. Available at: http://ecobatgroup.com/ecobatgroup-en/facilities/uk/hje/index.php (Accessed: 7 September 2018).</w:t>
      </w:r>
    </w:p>
    <w:p w14:paraId="2607B735"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EIA (2016) </w:t>
      </w:r>
      <w:r w:rsidRPr="00D31CA5">
        <w:rPr>
          <w:rFonts w:ascii="Calibri" w:hAnsi="Calibri" w:cs="Calibri"/>
          <w:i/>
          <w:iCs/>
          <w:noProof/>
          <w:szCs w:val="24"/>
        </w:rPr>
        <w:t>2012 Commercial Buildings Energy Consumption Survey: Energy Usage Summary</w:t>
      </w:r>
      <w:r w:rsidRPr="00D31CA5">
        <w:rPr>
          <w:rFonts w:ascii="Calibri" w:hAnsi="Calibri" w:cs="Calibri"/>
          <w:noProof/>
          <w:szCs w:val="24"/>
        </w:rPr>
        <w:t xml:space="preserve">. Washington, USA. Available at: </w:t>
      </w:r>
      <w:r w:rsidRPr="00D31CA5">
        <w:rPr>
          <w:rFonts w:ascii="Calibri" w:hAnsi="Calibri" w:cs="Calibri"/>
          <w:noProof/>
          <w:szCs w:val="24"/>
        </w:rPr>
        <w:lastRenderedPageBreak/>
        <w:t>https://www.eia.gov/consumption/commercial/reports/2012/energyusage/ (Accessed: 3 June 2016).</w:t>
      </w:r>
    </w:p>
    <w:p w14:paraId="110C3649"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Ellis, T. W. and Mirza, A. H. (2010) ‘The refining of secondary lead for use in advanced lead-acid batteries’, </w:t>
      </w:r>
      <w:r w:rsidRPr="00D31CA5">
        <w:rPr>
          <w:rFonts w:ascii="Calibri" w:hAnsi="Calibri" w:cs="Calibri"/>
          <w:i/>
          <w:iCs/>
          <w:noProof/>
          <w:szCs w:val="24"/>
        </w:rPr>
        <w:t>Journal of Power Sources</w:t>
      </w:r>
      <w:r w:rsidRPr="00D31CA5">
        <w:rPr>
          <w:rFonts w:ascii="Calibri" w:hAnsi="Calibri" w:cs="Calibri"/>
          <w:noProof/>
          <w:szCs w:val="24"/>
        </w:rPr>
        <w:t>. Elsevier B.V., 195(14), pp. 4525–4529. doi: 10.1016/j.jpowsour.2009.12.118.</w:t>
      </w:r>
    </w:p>
    <w:p w14:paraId="1C8B53AE"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Espinosa, D. C. R., Bernardes, A. M. and Tenório, J. A. S. (2004) ‘An overview on the current processes for the recycling of batteries’, </w:t>
      </w:r>
      <w:r w:rsidRPr="00D31CA5">
        <w:rPr>
          <w:rFonts w:ascii="Calibri" w:hAnsi="Calibri" w:cs="Calibri"/>
          <w:i/>
          <w:iCs/>
          <w:noProof/>
          <w:szCs w:val="24"/>
        </w:rPr>
        <w:t>Journal of Power Sources</w:t>
      </w:r>
      <w:r w:rsidRPr="00D31CA5">
        <w:rPr>
          <w:rFonts w:ascii="Calibri" w:hAnsi="Calibri" w:cs="Calibri"/>
          <w:noProof/>
          <w:szCs w:val="24"/>
        </w:rPr>
        <w:t>, 135(1–2), pp. 311–319. doi: 10.1016/j.jpowsour.2004.03.083.</w:t>
      </w:r>
    </w:p>
    <w:p w14:paraId="281606CA"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Eurostat (2018) </w:t>
      </w:r>
      <w:r w:rsidRPr="00D31CA5">
        <w:rPr>
          <w:rFonts w:ascii="Calibri" w:hAnsi="Calibri" w:cs="Calibri"/>
          <w:i/>
          <w:iCs/>
          <w:noProof/>
          <w:szCs w:val="24"/>
        </w:rPr>
        <w:t>Energy consumption in households</w:t>
      </w:r>
      <w:r w:rsidRPr="00D31CA5">
        <w:rPr>
          <w:rFonts w:ascii="Calibri" w:hAnsi="Calibri" w:cs="Calibri"/>
          <w:noProof/>
          <w:szCs w:val="24"/>
        </w:rPr>
        <w:t>. Brussels, Belgium. Available at: https://ec.europa.eu/eurostat/statistics-explained/index.php/Energy_consumption_in_households (Accessed: 13 September 2018).</w:t>
      </w:r>
    </w:p>
    <w:p w14:paraId="700F3F48"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Evans, F. L. (1974) ‘Fired Heaters and Boilers’, in </w:t>
      </w:r>
      <w:r w:rsidRPr="00D31CA5">
        <w:rPr>
          <w:rFonts w:ascii="Calibri" w:hAnsi="Calibri" w:cs="Calibri"/>
          <w:i/>
          <w:iCs/>
          <w:noProof/>
          <w:szCs w:val="24"/>
        </w:rPr>
        <w:t>Equipment Design Handbook for Refineries and Chemical Plants</w:t>
      </w:r>
      <w:r w:rsidRPr="00D31CA5">
        <w:rPr>
          <w:rFonts w:ascii="Calibri" w:hAnsi="Calibri" w:cs="Calibri"/>
          <w:noProof/>
          <w:szCs w:val="24"/>
        </w:rPr>
        <w:t>. 2nd edn. Houston, America: Gulf Publishing Company, pp. 1–27.</w:t>
      </w:r>
    </w:p>
    <w:p w14:paraId="13FBAD70"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Fang, H. </w:t>
      </w:r>
      <w:r w:rsidRPr="00D31CA5">
        <w:rPr>
          <w:rFonts w:ascii="Calibri" w:hAnsi="Calibri" w:cs="Calibri"/>
          <w:i/>
          <w:iCs/>
          <w:noProof/>
          <w:szCs w:val="24"/>
        </w:rPr>
        <w:t>et al.</w:t>
      </w:r>
      <w:r w:rsidRPr="00D31CA5">
        <w:rPr>
          <w:rFonts w:ascii="Calibri" w:hAnsi="Calibri" w:cs="Calibri"/>
          <w:noProof/>
          <w:szCs w:val="24"/>
        </w:rPr>
        <w:t xml:space="preserve"> (2013) ‘Industrial waste heat utilization for low temperature district heating’, </w:t>
      </w:r>
      <w:r w:rsidRPr="00D31CA5">
        <w:rPr>
          <w:rFonts w:ascii="Calibri" w:hAnsi="Calibri" w:cs="Calibri"/>
          <w:i/>
          <w:iCs/>
          <w:noProof/>
          <w:szCs w:val="24"/>
        </w:rPr>
        <w:t>Energy Policy</w:t>
      </w:r>
      <w:r w:rsidRPr="00D31CA5">
        <w:rPr>
          <w:rFonts w:ascii="Calibri" w:hAnsi="Calibri" w:cs="Calibri"/>
          <w:noProof/>
          <w:szCs w:val="24"/>
        </w:rPr>
        <w:t>. Elsevier, 62, pp. 236–246. doi: 10.1016/j.enpol.2013.06.104.</w:t>
      </w:r>
    </w:p>
    <w:p w14:paraId="393953F7"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Fang, H., Xia, J. and Jiang, Y. (2015) ‘Key issues and solutions in a district heating system using low-grade industrial waste heat’, </w:t>
      </w:r>
      <w:r w:rsidRPr="00D31CA5">
        <w:rPr>
          <w:rFonts w:ascii="Calibri" w:hAnsi="Calibri" w:cs="Calibri"/>
          <w:i/>
          <w:iCs/>
          <w:noProof/>
          <w:szCs w:val="24"/>
        </w:rPr>
        <w:t>Energy</w:t>
      </w:r>
      <w:r w:rsidRPr="00D31CA5">
        <w:rPr>
          <w:rFonts w:ascii="Calibri" w:hAnsi="Calibri" w:cs="Calibri"/>
          <w:noProof/>
          <w:szCs w:val="24"/>
        </w:rPr>
        <w:t>. Elsevier Ltd, 86, pp. 589–602. doi: 10.1016/j.energy.2015.04.052.</w:t>
      </w:r>
    </w:p>
    <w:p w14:paraId="6756FFFF"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Fang, T. and Lahdelma, R. (2014) ‘State estimation of district heating network based on customer measurements’, </w:t>
      </w:r>
      <w:r w:rsidRPr="00D31CA5">
        <w:rPr>
          <w:rFonts w:ascii="Calibri" w:hAnsi="Calibri" w:cs="Calibri"/>
          <w:i/>
          <w:iCs/>
          <w:noProof/>
          <w:szCs w:val="24"/>
        </w:rPr>
        <w:t>Applied Thermal Engineering</w:t>
      </w:r>
      <w:r w:rsidRPr="00D31CA5">
        <w:rPr>
          <w:rFonts w:ascii="Calibri" w:hAnsi="Calibri" w:cs="Calibri"/>
          <w:noProof/>
          <w:szCs w:val="24"/>
        </w:rPr>
        <w:t>. Elsevier Ltd, 73(1), pp. 1209–1219. doi: 10.1016/j.applthermaleng.2014.09.003.</w:t>
      </w:r>
    </w:p>
    <w:p w14:paraId="0FA7CE9A"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Finney, K. N. </w:t>
      </w:r>
      <w:r w:rsidRPr="00D31CA5">
        <w:rPr>
          <w:rFonts w:ascii="Calibri" w:hAnsi="Calibri" w:cs="Calibri"/>
          <w:i/>
          <w:iCs/>
          <w:noProof/>
          <w:szCs w:val="24"/>
        </w:rPr>
        <w:t>et al.</w:t>
      </w:r>
      <w:r w:rsidRPr="00D31CA5">
        <w:rPr>
          <w:rFonts w:ascii="Calibri" w:hAnsi="Calibri" w:cs="Calibri"/>
          <w:noProof/>
          <w:szCs w:val="24"/>
        </w:rPr>
        <w:t xml:space="preserve"> (2012) ‘Developments to an existing city-wide district energy network – Part I: Identification of potential expansions using heat mapping’, </w:t>
      </w:r>
      <w:r w:rsidRPr="00D31CA5">
        <w:rPr>
          <w:rFonts w:ascii="Calibri" w:hAnsi="Calibri" w:cs="Calibri"/>
          <w:i/>
          <w:iCs/>
          <w:noProof/>
          <w:szCs w:val="24"/>
        </w:rPr>
        <w:t>Energy Conversion and Management</w:t>
      </w:r>
      <w:r w:rsidRPr="00D31CA5">
        <w:rPr>
          <w:rFonts w:ascii="Calibri" w:hAnsi="Calibri" w:cs="Calibri"/>
          <w:noProof/>
          <w:szCs w:val="24"/>
        </w:rPr>
        <w:t>. Elsevier Ltd, 62, pp. 165–175. doi: 10.1016/j.enconman.2012.03.006.</w:t>
      </w:r>
    </w:p>
    <w:p w14:paraId="33ADB22D"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Finney, K. N., Swithenbank, J. and Sharifi, V. N. (2011) </w:t>
      </w:r>
      <w:r w:rsidRPr="00D31CA5">
        <w:rPr>
          <w:rFonts w:ascii="Calibri" w:hAnsi="Calibri" w:cs="Calibri"/>
          <w:i/>
          <w:iCs/>
          <w:noProof/>
          <w:szCs w:val="24"/>
        </w:rPr>
        <w:t>Sheffield Heat Mapping and Feasibility Study of Decentralised Energy: Identification and Impacts of the Potential Expansion of Sheffield’s Existing City-Wide District Energy Network using GIS Heat Mapping</w:t>
      </w:r>
      <w:r w:rsidRPr="00D31CA5">
        <w:rPr>
          <w:rFonts w:ascii="Calibri" w:hAnsi="Calibri" w:cs="Calibri"/>
          <w:noProof/>
          <w:szCs w:val="24"/>
        </w:rPr>
        <w:t>. London, England. doi: 100018816.</w:t>
      </w:r>
    </w:p>
    <w:p w14:paraId="29994616"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Fisher Scientific (no date) </w:t>
      </w:r>
      <w:r w:rsidRPr="00D31CA5">
        <w:rPr>
          <w:rFonts w:ascii="Calibri" w:hAnsi="Calibri" w:cs="Calibri"/>
          <w:i/>
          <w:iCs/>
          <w:noProof/>
          <w:szCs w:val="24"/>
        </w:rPr>
        <w:t>n-Dodecane, 99%, pure, ACROS Organics</w:t>
      </w:r>
      <w:r w:rsidRPr="00D31CA5">
        <w:rPr>
          <w:rFonts w:ascii="Calibri" w:hAnsi="Calibri" w:cs="Calibri"/>
          <w:i/>
          <w:iCs/>
          <w:noProof/>
          <w:szCs w:val="24"/>
          <w:vertAlign w:val="superscript"/>
        </w:rPr>
        <w:t>TM</w:t>
      </w:r>
      <w:r w:rsidRPr="00D31CA5">
        <w:rPr>
          <w:rFonts w:ascii="Calibri" w:hAnsi="Calibri" w:cs="Calibri"/>
          <w:noProof/>
          <w:szCs w:val="24"/>
        </w:rPr>
        <w:t>. Available at: https://www.fishersci.com/shop/products/dodecane-99-pure-acros-organics-6/AC117590250 (Accessed: 14 September 2018).</w:t>
      </w:r>
    </w:p>
    <w:p w14:paraId="78227662"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Flores, J. F. C. </w:t>
      </w:r>
      <w:r w:rsidRPr="00D31CA5">
        <w:rPr>
          <w:rFonts w:ascii="Calibri" w:hAnsi="Calibri" w:cs="Calibri"/>
          <w:i/>
          <w:iCs/>
          <w:noProof/>
          <w:szCs w:val="24"/>
        </w:rPr>
        <w:t>et al.</w:t>
      </w:r>
      <w:r w:rsidRPr="00D31CA5">
        <w:rPr>
          <w:rFonts w:ascii="Calibri" w:hAnsi="Calibri" w:cs="Calibri"/>
          <w:noProof/>
          <w:szCs w:val="24"/>
        </w:rPr>
        <w:t xml:space="preserve"> (2017) ‘Assessing the techno-economic impact of low-temperature subnets in conventional district heating networks’, </w:t>
      </w:r>
      <w:r w:rsidRPr="00D31CA5">
        <w:rPr>
          <w:rFonts w:ascii="Calibri" w:hAnsi="Calibri" w:cs="Calibri"/>
          <w:i/>
          <w:iCs/>
          <w:noProof/>
          <w:szCs w:val="24"/>
        </w:rPr>
        <w:t>Energy Procedia</w:t>
      </w:r>
      <w:r w:rsidRPr="00D31CA5">
        <w:rPr>
          <w:rFonts w:ascii="Calibri" w:hAnsi="Calibri" w:cs="Calibri"/>
          <w:noProof/>
          <w:szCs w:val="24"/>
        </w:rPr>
        <w:t>. Elsevier B.V., 116, pp. 260–272. doi: 10.1016/j.egypro.2017.05.073.</w:t>
      </w:r>
    </w:p>
    <w:p w14:paraId="5D2476E0"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Fonseca, J. A. and Schlueter, A. (2015) ‘Integrated model for characterization of spatiotemporal building energy consumption patterns in neighborhoods and city districts’, </w:t>
      </w:r>
      <w:r w:rsidRPr="00D31CA5">
        <w:rPr>
          <w:rFonts w:ascii="Calibri" w:hAnsi="Calibri" w:cs="Calibri"/>
          <w:i/>
          <w:iCs/>
          <w:noProof/>
          <w:szCs w:val="24"/>
        </w:rPr>
        <w:t>Applied Energy</w:t>
      </w:r>
      <w:r w:rsidRPr="00D31CA5">
        <w:rPr>
          <w:rFonts w:ascii="Calibri" w:hAnsi="Calibri" w:cs="Calibri"/>
          <w:noProof/>
          <w:szCs w:val="24"/>
        </w:rPr>
        <w:t>. Elsevier Ltd, 142, pp. 247–265. doi: 10.1016/j.apenergy.2014.12.068.</w:t>
      </w:r>
    </w:p>
    <w:p w14:paraId="5AF15128"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Forouzanfar, M. </w:t>
      </w:r>
      <w:r w:rsidRPr="00D31CA5">
        <w:rPr>
          <w:rFonts w:ascii="Calibri" w:hAnsi="Calibri" w:cs="Calibri"/>
          <w:i/>
          <w:iCs/>
          <w:noProof/>
          <w:szCs w:val="24"/>
        </w:rPr>
        <w:t>et al.</w:t>
      </w:r>
      <w:r w:rsidRPr="00D31CA5">
        <w:rPr>
          <w:rFonts w:ascii="Calibri" w:hAnsi="Calibri" w:cs="Calibri"/>
          <w:noProof/>
          <w:szCs w:val="24"/>
        </w:rPr>
        <w:t xml:space="preserve"> (2010) ‘Modeling and estimation of the natural gas consumption for residential and commercial sectors in Iran’, </w:t>
      </w:r>
      <w:r w:rsidRPr="00D31CA5">
        <w:rPr>
          <w:rFonts w:ascii="Calibri" w:hAnsi="Calibri" w:cs="Calibri"/>
          <w:i/>
          <w:iCs/>
          <w:noProof/>
          <w:szCs w:val="24"/>
        </w:rPr>
        <w:t>Applied Energy</w:t>
      </w:r>
      <w:r w:rsidRPr="00D31CA5">
        <w:rPr>
          <w:rFonts w:ascii="Calibri" w:hAnsi="Calibri" w:cs="Calibri"/>
          <w:noProof/>
          <w:szCs w:val="24"/>
        </w:rPr>
        <w:t>. Elsevier Ltd, 87(1), pp. 268–274. doi: 10.1016/j.apenergy.2009.07.008.</w:t>
      </w:r>
    </w:p>
    <w:p w14:paraId="76C346F1"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Fragaki, A., Andersen, A. N. and Toke, D. (2008) ‘Exploration of economical sizing of gas </w:t>
      </w:r>
      <w:r w:rsidRPr="00D31CA5">
        <w:rPr>
          <w:rFonts w:ascii="Calibri" w:hAnsi="Calibri" w:cs="Calibri"/>
          <w:noProof/>
          <w:szCs w:val="24"/>
        </w:rPr>
        <w:lastRenderedPageBreak/>
        <w:t xml:space="preserve">engine and thermal store for combined heat and power plants in the UK’, </w:t>
      </w:r>
      <w:r w:rsidRPr="00D31CA5">
        <w:rPr>
          <w:rFonts w:ascii="Calibri" w:hAnsi="Calibri" w:cs="Calibri"/>
          <w:i/>
          <w:iCs/>
          <w:noProof/>
          <w:szCs w:val="24"/>
        </w:rPr>
        <w:t>Energy</w:t>
      </w:r>
      <w:r w:rsidRPr="00D31CA5">
        <w:rPr>
          <w:rFonts w:ascii="Calibri" w:hAnsi="Calibri" w:cs="Calibri"/>
          <w:noProof/>
          <w:szCs w:val="24"/>
        </w:rPr>
        <w:t>, 33(11), pp. 1659–1670. doi: 10.1016/j.energy.2008.05.011.</w:t>
      </w:r>
    </w:p>
    <w:p w14:paraId="3C857C78"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Frayssinet, L. </w:t>
      </w:r>
      <w:r w:rsidRPr="00D31CA5">
        <w:rPr>
          <w:rFonts w:ascii="Calibri" w:hAnsi="Calibri" w:cs="Calibri"/>
          <w:i/>
          <w:iCs/>
          <w:noProof/>
          <w:szCs w:val="24"/>
        </w:rPr>
        <w:t>et al.</w:t>
      </w:r>
      <w:r w:rsidRPr="00D31CA5">
        <w:rPr>
          <w:rFonts w:ascii="Calibri" w:hAnsi="Calibri" w:cs="Calibri"/>
          <w:noProof/>
          <w:szCs w:val="24"/>
        </w:rPr>
        <w:t xml:space="preserve"> (2018) ‘Modeling the heating and cooling energy demand of urban buildings at city scale’, </w:t>
      </w:r>
      <w:r w:rsidRPr="00D31CA5">
        <w:rPr>
          <w:rFonts w:ascii="Calibri" w:hAnsi="Calibri" w:cs="Calibri"/>
          <w:i/>
          <w:iCs/>
          <w:noProof/>
          <w:szCs w:val="24"/>
        </w:rPr>
        <w:t>Renewable and Sustainable Energy Reviews</w:t>
      </w:r>
      <w:r w:rsidRPr="00D31CA5">
        <w:rPr>
          <w:rFonts w:ascii="Calibri" w:hAnsi="Calibri" w:cs="Calibri"/>
          <w:noProof/>
          <w:szCs w:val="24"/>
        </w:rPr>
        <w:t>. Elsevier Ltd, 81(June 2017), pp. 2318–2327. doi: 10.1016/j.rser.2017.06.040.</w:t>
      </w:r>
    </w:p>
    <w:p w14:paraId="6804D73E"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Frederiksen, S. and Werner, S. (2013) </w:t>
      </w:r>
      <w:r w:rsidRPr="00D31CA5">
        <w:rPr>
          <w:rFonts w:ascii="Calibri" w:hAnsi="Calibri" w:cs="Calibri"/>
          <w:i/>
          <w:iCs/>
          <w:noProof/>
          <w:szCs w:val="24"/>
        </w:rPr>
        <w:t>District Heating and Cooling</w:t>
      </w:r>
      <w:r w:rsidRPr="00D31CA5">
        <w:rPr>
          <w:rFonts w:ascii="Calibri" w:hAnsi="Calibri" w:cs="Calibri"/>
          <w:noProof/>
          <w:szCs w:val="24"/>
        </w:rPr>
        <w:t>. 1st edn. Lund, Sweden: Studentlitteratur.</w:t>
      </w:r>
    </w:p>
    <w:p w14:paraId="1CC24296"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Fröling, M., Holmgren, C. and Svanström, M. (2004) ‘Life Cycle Assessment of the District Heating Distribution System - Part 1: Pipe Production’, </w:t>
      </w:r>
      <w:r w:rsidRPr="00D31CA5">
        <w:rPr>
          <w:rFonts w:ascii="Calibri" w:hAnsi="Calibri" w:cs="Calibri"/>
          <w:i/>
          <w:iCs/>
          <w:noProof/>
          <w:szCs w:val="24"/>
        </w:rPr>
        <w:t>The International Journal of Life Cycle Assessment</w:t>
      </w:r>
      <w:r w:rsidRPr="00D31CA5">
        <w:rPr>
          <w:rFonts w:ascii="Calibri" w:hAnsi="Calibri" w:cs="Calibri"/>
          <w:noProof/>
          <w:szCs w:val="24"/>
        </w:rPr>
        <w:t>, 9(2), pp. 130–136. doi: 10.1007/BF02978572.</w:t>
      </w:r>
    </w:p>
    <w:p w14:paraId="63813EE5"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Fröling, M. and Svanström, M. (2005) ‘Life Cycle Assessment of the District Heat Distribution System - Part 2: Network Construction’, </w:t>
      </w:r>
      <w:r w:rsidRPr="00D31CA5">
        <w:rPr>
          <w:rFonts w:ascii="Calibri" w:hAnsi="Calibri" w:cs="Calibri"/>
          <w:i/>
          <w:iCs/>
          <w:noProof/>
          <w:szCs w:val="24"/>
        </w:rPr>
        <w:t>The International Journal of Life Cycle Assessment</w:t>
      </w:r>
      <w:r w:rsidRPr="00D31CA5">
        <w:rPr>
          <w:rFonts w:ascii="Calibri" w:hAnsi="Calibri" w:cs="Calibri"/>
          <w:noProof/>
          <w:szCs w:val="24"/>
        </w:rPr>
        <w:t>, 10(6), pp. 425–435. doi: 10.1065/lca2004.12.195.</w:t>
      </w:r>
    </w:p>
    <w:p w14:paraId="7056BF30"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Gabrielaitiene, I., Bøhm, B. and Sunden, B. (2007) ‘Modelling temperature dynamics of a district heating system in Naestved, Denmark - A case study’, </w:t>
      </w:r>
      <w:r w:rsidRPr="00D31CA5">
        <w:rPr>
          <w:rFonts w:ascii="Calibri" w:hAnsi="Calibri" w:cs="Calibri"/>
          <w:i/>
          <w:iCs/>
          <w:noProof/>
          <w:szCs w:val="24"/>
        </w:rPr>
        <w:t>Energy Conversion and Management</w:t>
      </w:r>
      <w:r w:rsidRPr="00D31CA5">
        <w:rPr>
          <w:rFonts w:ascii="Calibri" w:hAnsi="Calibri" w:cs="Calibri"/>
          <w:noProof/>
          <w:szCs w:val="24"/>
        </w:rPr>
        <w:t>, 48(1), pp. 78–86. doi: 10.1016/j.enconman.2006.05.011.</w:t>
      </w:r>
    </w:p>
    <w:p w14:paraId="4AF19923"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Gadd, H. and Werner, S. (2014) ‘Achieving low return temperatures from district heating substations’, </w:t>
      </w:r>
      <w:r w:rsidRPr="00D31CA5">
        <w:rPr>
          <w:rFonts w:ascii="Calibri" w:hAnsi="Calibri" w:cs="Calibri"/>
          <w:i/>
          <w:iCs/>
          <w:noProof/>
          <w:szCs w:val="24"/>
        </w:rPr>
        <w:t>Applied Energy</w:t>
      </w:r>
      <w:r w:rsidRPr="00D31CA5">
        <w:rPr>
          <w:rFonts w:ascii="Calibri" w:hAnsi="Calibri" w:cs="Calibri"/>
          <w:noProof/>
          <w:szCs w:val="24"/>
        </w:rPr>
        <w:t>, 136, pp. 59–67. doi: 10.1016/j.apenergy.2014.09.022.</w:t>
      </w:r>
    </w:p>
    <w:p w14:paraId="318CA191"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Gaitani, N. </w:t>
      </w:r>
      <w:r w:rsidRPr="00D31CA5">
        <w:rPr>
          <w:rFonts w:ascii="Calibri" w:hAnsi="Calibri" w:cs="Calibri"/>
          <w:i/>
          <w:iCs/>
          <w:noProof/>
          <w:szCs w:val="24"/>
        </w:rPr>
        <w:t>et al.</w:t>
      </w:r>
      <w:r w:rsidRPr="00D31CA5">
        <w:rPr>
          <w:rFonts w:ascii="Calibri" w:hAnsi="Calibri" w:cs="Calibri"/>
          <w:noProof/>
          <w:szCs w:val="24"/>
        </w:rPr>
        <w:t xml:space="preserve"> (2010) ‘Using principal component and cluster analysis in the heating evaluation of the school building sector’, </w:t>
      </w:r>
      <w:r w:rsidRPr="00D31CA5">
        <w:rPr>
          <w:rFonts w:ascii="Calibri" w:hAnsi="Calibri" w:cs="Calibri"/>
          <w:i/>
          <w:iCs/>
          <w:noProof/>
          <w:szCs w:val="24"/>
        </w:rPr>
        <w:t>Applied Energy</w:t>
      </w:r>
      <w:r w:rsidRPr="00D31CA5">
        <w:rPr>
          <w:rFonts w:ascii="Calibri" w:hAnsi="Calibri" w:cs="Calibri"/>
          <w:noProof/>
          <w:szCs w:val="24"/>
        </w:rPr>
        <w:t>. Elsevier Ltd, 87(6), pp. 2079–2086. doi: 10.1016/j.apenergy.2009.12.007.</w:t>
      </w:r>
    </w:p>
    <w:p w14:paraId="7B1F06F2"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GEOFABRIK (2017) ‘Open Street Map’. Karlsruhe, Germany: GEOFABRIK.</w:t>
      </w:r>
    </w:p>
    <w:p w14:paraId="705A78DB"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Girardin, L. </w:t>
      </w:r>
      <w:r w:rsidRPr="00D31CA5">
        <w:rPr>
          <w:rFonts w:ascii="Calibri" w:hAnsi="Calibri" w:cs="Calibri"/>
          <w:i/>
          <w:iCs/>
          <w:noProof/>
          <w:szCs w:val="24"/>
        </w:rPr>
        <w:t>et al.</w:t>
      </w:r>
      <w:r w:rsidRPr="00D31CA5">
        <w:rPr>
          <w:rFonts w:ascii="Calibri" w:hAnsi="Calibri" w:cs="Calibri"/>
          <w:noProof/>
          <w:szCs w:val="24"/>
        </w:rPr>
        <w:t xml:space="preserve"> (2010) ‘EnerGis: A geographical information based system for the evaluation of integrated energy conversion systems in urban areas’, </w:t>
      </w:r>
      <w:r w:rsidRPr="00D31CA5">
        <w:rPr>
          <w:rFonts w:ascii="Calibri" w:hAnsi="Calibri" w:cs="Calibri"/>
          <w:i/>
          <w:iCs/>
          <w:noProof/>
          <w:szCs w:val="24"/>
        </w:rPr>
        <w:t>Energy</w:t>
      </w:r>
      <w:r w:rsidRPr="00D31CA5">
        <w:rPr>
          <w:rFonts w:ascii="Calibri" w:hAnsi="Calibri" w:cs="Calibri"/>
          <w:noProof/>
          <w:szCs w:val="24"/>
        </w:rPr>
        <w:t>, 35(2), pp. 830–840. doi: 10.1016/j.energy.2009.08.018.</w:t>
      </w:r>
    </w:p>
    <w:p w14:paraId="59DB6F01"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Goldsim (2011) </w:t>
      </w:r>
      <w:r w:rsidRPr="00D31CA5">
        <w:rPr>
          <w:rFonts w:ascii="Calibri" w:hAnsi="Calibri" w:cs="Calibri"/>
          <w:i/>
          <w:iCs/>
          <w:noProof/>
          <w:szCs w:val="24"/>
        </w:rPr>
        <w:t>Goldsim in a Nutshell</w:t>
      </w:r>
      <w:r w:rsidRPr="00D31CA5">
        <w:rPr>
          <w:rFonts w:ascii="Calibri" w:hAnsi="Calibri" w:cs="Calibri"/>
          <w:noProof/>
          <w:szCs w:val="24"/>
        </w:rPr>
        <w:t>. Available at: http://www.goldsim.com/Web/Products/GoldSim/NutshellVideo/ (Accessed: 14 September 2018).</w:t>
      </w:r>
    </w:p>
    <w:p w14:paraId="523E6688"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Good, N., Mancarella, P. and Lintern, K. (2017) ‘Techno-economic assessment of community energy solutions to network capacity issues’, in </w:t>
      </w:r>
      <w:r w:rsidRPr="00D31CA5">
        <w:rPr>
          <w:rFonts w:ascii="Calibri" w:hAnsi="Calibri" w:cs="Calibri"/>
          <w:i/>
          <w:iCs/>
          <w:noProof/>
          <w:szCs w:val="24"/>
        </w:rPr>
        <w:t>2017 IEEE Manchester PowerTech</w:t>
      </w:r>
      <w:r w:rsidRPr="00D31CA5">
        <w:rPr>
          <w:rFonts w:ascii="Calibri" w:hAnsi="Calibri" w:cs="Calibri"/>
          <w:noProof/>
          <w:szCs w:val="24"/>
        </w:rPr>
        <w:t>. Manchester, England: IEEE, pp. 1–6. doi: 10.1109/PTC.2017.7980906.</w:t>
      </w:r>
    </w:p>
    <w:p w14:paraId="3EF06232"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Gorain, B. K., Franzidis, J. P. and Manlapig, E. V. (1997) ‘Studies on impeller type, impeller speed and air flow rate in an industrial scale flotation cell. Part 4: Effect of bubble surface area flux on flotation performance’, </w:t>
      </w:r>
      <w:r w:rsidRPr="00D31CA5">
        <w:rPr>
          <w:rFonts w:ascii="Calibri" w:hAnsi="Calibri" w:cs="Calibri"/>
          <w:i/>
          <w:iCs/>
          <w:noProof/>
          <w:szCs w:val="24"/>
        </w:rPr>
        <w:t>Minerals Engineering</w:t>
      </w:r>
      <w:r w:rsidRPr="00D31CA5">
        <w:rPr>
          <w:rFonts w:ascii="Calibri" w:hAnsi="Calibri" w:cs="Calibri"/>
          <w:noProof/>
          <w:szCs w:val="24"/>
        </w:rPr>
        <w:t>, 10(4), pp. 367–379. doi: 10.1016/S0892-6875(97)00014-9.</w:t>
      </w:r>
    </w:p>
    <w:p w14:paraId="26F3FC7F"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De Gracia, A. and Cabeza, L. F. (2015) ‘Phase change materials and thermal energy storage for buildings’, </w:t>
      </w:r>
      <w:r w:rsidRPr="00D31CA5">
        <w:rPr>
          <w:rFonts w:ascii="Calibri" w:hAnsi="Calibri" w:cs="Calibri"/>
          <w:i/>
          <w:iCs/>
          <w:noProof/>
          <w:szCs w:val="24"/>
        </w:rPr>
        <w:t>Energy and Buildings</w:t>
      </w:r>
      <w:r w:rsidRPr="00D31CA5">
        <w:rPr>
          <w:rFonts w:ascii="Calibri" w:hAnsi="Calibri" w:cs="Calibri"/>
          <w:noProof/>
          <w:szCs w:val="24"/>
        </w:rPr>
        <w:t>. Elsevier B.V., 103, pp. 414–419. doi: 10.1016/j.enbuild.2015.06.007.</w:t>
      </w:r>
    </w:p>
    <w:p w14:paraId="792A4FED"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Grundahl, L. </w:t>
      </w:r>
      <w:r w:rsidRPr="00D31CA5">
        <w:rPr>
          <w:rFonts w:ascii="Calibri" w:hAnsi="Calibri" w:cs="Calibri"/>
          <w:i/>
          <w:iCs/>
          <w:noProof/>
          <w:szCs w:val="24"/>
        </w:rPr>
        <w:t>et al.</w:t>
      </w:r>
      <w:r w:rsidRPr="00D31CA5">
        <w:rPr>
          <w:rFonts w:ascii="Calibri" w:hAnsi="Calibri" w:cs="Calibri"/>
          <w:noProof/>
          <w:szCs w:val="24"/>
        </w:rPr>
        <w:t xml:space="preserve"> (2016) ‘Comparison of district heating expansion potential based on consumer-economy or socio-economy’, </w:t>
      </w:r>
      <w:r w:rsidRPr="00D31CA5">
        <w:rPr>
          <w:rFonts w:ascii="Calibri" w:hAnsi="Calibri" w:cs="Calibri"/>
          <w:i/>
          <w:iCs/>
          <w:noProof/>
          <w:szCs w:val="24"/>
        </w:rPr>
        <w:t>Energy</w:t>
      </w:r>
      <w:r w:rsidRPr="00D31CA5">
        <w:rPr>
          <w:rFonts w:ascii="Calibri" w:hAnsi="Calibri" w:cs="Calibri"/>
          <w:noProof/>
          <w:szCs w:val="24"/>
        </w:rPr>
        <w:t>, 115, pp. 1771–1778. doi: 10.1016/j.energy.2016.05.094.</w:t>
      </w:r>
    </w:p>
    <w:p w14:paraId="6749355A"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lastRenderedPageBreak/>
        <w:t xml:space="preserve">Guadalfajara, M., Lozano, M. and Serra, L. (2014) ‘Analysis of Large Thermal Energy Storage for Solar District Heating’, in </w:t>
      </w:r>
      <w:r w:rsidRPr="00D31CA5">
        <w:rPr>
          <w:rFonts w:ascii="Calibri" w:hAnsi="Calibri" w:cs="Calibri"/>
          <w:i/>
          <w:iCs/>
          <w:noProof/>
          <w:szCs w:val="24"/>
        </w:rPr>
        <w:t>Eurotherm Seminar #99 Advances in Thermal Energy Storage</w:t>
      </w:r>
      <w:r w:rsidRPr="00D31CA5">
        <w:rPr>
          <w:rFonts w:ascii="Calibri" w:hAnsi="Calibri" w:cs="Calibri"/>
          <w:noProof/>
          <w:szCs w:val="24"/>
        </w:rPr>
        <w:t>. Lleida, Spain, pp. 1–10. doi: 10.13140/2.1.3857.6008.</w:t>
      </w:r>
    </w:p>
    <w:p w14:paraId="7E909A14"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Gudmundsson, O., Thorsen, J. E. and Zhang, L. (2013) ‘Cost analysis of district heating compared to its competing technologies’, </w:t>
      </w:r>
      <w:r w:rsidRPr="00D31CA5">
        <w:rPr>
          <w:rFonts w:ascii="Calibri" w:hAnsi="Calibri" w:cs="Calibri"/>
          <w:i/>
          <w:iCs/>
          <w:noProof/>
          <w:szCs w:val="24"/>
        </w:rPr>
        <w:t>WIT Transactions on Ecology and the Environment</w:t>
      </w:r>
      <w:r w:rsidRPr="00D31CA5">
        <w:rPr>
          <w:rFonts w:ascii="Calibri" w:hAnsi="Calibri" w:cs="Calibri"/>
          <w:noProof/>
          <w:szCs w:val="24"/>
        </w:rPr>
        <w:t>, 176, pp. 107–118. doi: 10.2495/ESUS130091.</w:t>
      </w:r>
    </w:p>
    <w:p w14:paraId="0C73F00C"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Haeseldonckx, D. </w:t>
      </w:r>
      <w:r w:rsidRPr="00D31CA5">
        <w:rPr>
          <w:rFonts w:ascii="Calibri" w:hAnsi="Calibri" w:cs="Calibri"/>
          <w:i/>
          <w:iCs/>
          <w:noProof/>
          <w:szCs w:val="24"/>
        </w:rPr>
        <w:t>et al.</w:t>
      </w:r>
      <w:r w:rsidRPr="00D31CA5">
        <w:rPr>
          <w:rFonts w:ascii="Calibri" w:hAnsi="Calibri" w:cs="Calibri"/>
          <w:noProof/>
          <w:szCs w:val="24"/>
        </w:rPr>
        <w:t xml:space="preserve"> (2007) ‘The impact of thermal storage on the operational behaviour of residential CHP facilities and the overall CO2 emissions’, </w:t>
      </w:r>
      <w:r w:rsidRPr="00D31CA5">
        <w:rPr>
          <w:rFonts w:ascii="Calibri" w:hAnsi="Calibri" w:cs="Calibri"/>
          <w:i/>
          <w:iCs/>
          <w:noProof/>
          <w:szCs w:val="24"/>
        </w:rPr>
        <w:t>Renewable and Sustainable Energy Reviews</w:t>
      </w:r>
      <w:r w:rsidRPr="00D31CA5">
        <w:rPr>
          <w:rFonts w:ascii="Calibri" w:hAnsi="Calibri" w:cs="Calibri"/>
          <w:noProof/>
          <w:szCs w:val="24"/>
        </w:rPr>
        <w:t>, 11(6), pp. 1227–1243. doi: 10.1016/j.rser.2005.09.004.</w:t>
      </w:r>
    </w:p>
    <w:p w14:paraId="56CCBCB9"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Hammond, G. P. and Norman, J. B. (2014) ‘Heat recovery opportunities in UK industry’, </w:t>
      </w:r>
      <w:r w:rsidRPr="00D31CA5">
        <w:rPr>
          <w:rFonts w:ascii="Calibri" w:hAnsi="Calibri" w:cs="Calibri"/>
          <w:i/>
          <w:iCs/>
          <w:noProof/>
          <w:szCs w:val="24"/>
        </w:rPr>
        <w:t>Applied Energy</w:t>
      </w:r>
      <w:r w:rsidRPr="00D31CA5">
        <w:rPr>
          <w:rFonts w:ascii="Calibri" w:hAnsi="Calibri" w:cs="Calibri"/>
          <w:noProof/>
          <w:szCs w:val="24"/>
        </w:rPr>
        <w:t>. Elsevier Ltd, 116, pp. 387–397. doi: 10.1016/j.apenergy.2013.11.008.</w:t>
      </w:r>
    </w:p>
    <w:p w14:paraId="0770E02C"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Hawkey, D. J. C. H. (2009) </w:t>
      </w:r>
      <w:r w:rsidRPr="00D31CA5">
        <w:rPr>
          <w:rFonts w:ascii="Calibri" w:hAnsi="Calibri" w:cs="Calibri"/>
          <w:i/>
          <w:iCs/>
          <w:noProof/>
          <w:szCs w:val="24"/>
        </w:rPr>
        <w:t>Will “District Heating Come To Town”? Analysis Of Current Opportunities And Challenges In The UK</w:t>
      </w:r>
      <w:r w:rsidRPr="00D31CA5">
        <w:rPr>
          <w:rFonts w:ascii="Calibri" w:hAnsi="Calibri" w:cs="Calibri"/>
          <w:noProof/>
          <w:szCs w:val="24"/>
        </w:rPr>
        <w:t>. University of Edinburgh.</w:t>
      </w:r>
    </w:p>
    <w:p w14:paraId="1054BF18"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Hawkey, D., Webb, J. and Winskel, M. (2013) ‘Organisation and governance of urban energy systems: district heating and cooling in the UK’, </w:t>
      </w:r>
      <w:r w:rsidRPr="00D31CA5">
        <w:rPr>
          <w:rFonts w:ascii="Calibri" w:hAnsi="Calibri" w:cs="Calibri"/>
          <w:i/>
          <w:iCs/>
          <w:noProof/>
          <w:szCs w:val="24"/>
        </w:rPr>
        <w:t>Journal of Cleaner Production</w:t>
      </w:r>
      <w:r w:rsidRPr="00D31CA5">
        <w:rPr>
          <w:rFonts w:ascii="Calibri" w:hAnsi="Calibri" w:cs="Calibri"/>
          <w:noProof/>
          <w:szCs w:val="24"/>
        </w:rPr>
        <w:t>. Elsevier Ltd, 50, pp. 22–31. doi: 10.1016/j.jclepro.2012.11.018.</w:t>
      </w:r>
    </w:p>
    <w:p w14:paraId="1E33BDA8"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Hayange (2017) </w:t>
      </w:r>
      <w:r w:rsidRPr="00D31CA5">
        <w:rPr>
          <w:rFonts w:ascii="Calibri" w:hAnsi="Calibri" w:cs="Calibri"/>
          <w:i/>
          <w:iCs/>
          <w:noProof/>
          <w:szCs w:val="24"/>
        </w:rPr>
        <w:t>Site officiel de la ville de Hayange</w:t>
      </w:r>
      <w:r w:rsidRPr="00D31CA5">
        <w:rPr>
          <w:rFonts w:ascii="Calibri" w:hAnsi="Calibri" w:cs="Calibri"/>
          <w:noProof/>
          <w:szCs w:val="24"/>
        </w:rPr>
        <w:t>. Available at: http://www.ville-hayange.fr/ (Accessed: 14 September 2018).</w:t>
      </w:r>
    </w:p>
    <w:p w14:paraId="41FFA9E0"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Heller, A. J. (2000) </w:t>
      </w:r>
      <w:r w:rsidRPr="00D31CA5">
        <w:rPr>
          <w:rFonts w:ascii="Calibri" w:hAnsi="Calibri" w:cs="Calibri"/>
          <w:i/>
          <w:iCs/>
          <w:noProof/>
          <w:szCs w:val="24"/>
        </w:rPr>
        <w:t>Demand Modelling for Central Heating Systems</w:t>
      </w:r>
      <w:r w:rsidRPr="00D31CA5">
        <w:rPr>
          <w:rFonts w:ascii="Calibri" w:hAnsi="Calibri" w:cs="Calibri"/>
          <w:noProof/>
          <w:szCs w:val="24"/>
        </w:rPr>
        <w:t>. Technical University of Denmark.</w:t>
      </w:r>
    </w:p>
    <w:p w14:paraId="0824DA09"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Heller, A. J. (2002) ‘Heat-load modelling for large systems’, </w:t>
      </w:r>
      <w:r w:rsidRPr="00D31CA5">
        <w:rPr>
          <w:rFonts w:ascii="Calibri" w:hAnsi="Calibri" w:cs="Calibri"/>
          <w:i/>
          <w:iCs/>
          <w:noProof/>
          <w:szCs w:val="24"/>
        </w:rPr>
        <w:t>Applied Energy</w:t>
      </w:r>
      <w:r w:rsidRPr="00D31CA5">
        <w:rPr>
          <w:rFonts w:ascii="Calibri" w:hAnsi="Calibri" w:cs="Calibri"/>
          <w:noProof/>
          <w:szCs w:val="24"/>
        </w:rPr>
        <w:t>, 72(1), pp. 371–387. doi: 10.1016/S0306-2619(02)00020-X.</w:t>
      </w:r>
    </w:p>
    <w:p w14:paraId="08CD2EB7"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Hennessy, J. </w:t>
      </w:r>
      <w:r w:rsidRPr="00D31CA5">
        <w:rPr>
          <w:rFonts w:ascii="Calibri" w:hAnsi="Calibri" w:cs="Calibri"/>
          <w:i/>
          <w:iCs/>
          <w:noProof/>
          <w:szCs w:val="24"/>
        </w:rPr>
        <w:t>et al.</w:t>
      </w:r>
      <w:r w:rsidRPr="00D31CA5">
        <w:rPr>
          <w:rFonts w:ascii="Calibri" w:hAnsi="Calibri" w:cs="Calibri"/>
          <w:noProof/>
          <w:szCs w:val="24"/>
        </w:rPr>
        <w:t xml:space="preserve"> (2018) ‘Towards smart thermal grids: Techno-economic feasibility of commercial heat-to-power technologies for district heating’, </w:t>
      </w:r>
      <w:r w:rsidRPr="00D31CA5">
        <w:rPr>
          <w:rFonts w:ascii="Calibri" w:hAnsi="Calibri" w:cs="Calibri"/>
          <w:i/>
          <w:iCs/>
          <w:noProof/>
          <w:szCs w:val="24"/>
        </w:rPr>
        <w:t>Applied Energy</w:t>
      </w:r>
      <w:r w:rsidRPr="00D31CA5">
        <w:rPr>
          <w:rFonts w:ascii="Calibri" w:hAnsi="Calibri" w:cs="Calibri"/>
          <w:noProof/>
          <w:szCs w:val="24"/>
        </w:rPr>
        <w:t>. Elsevier, 228(February), pp. 766–776. doi: 10.1016/j.apenergy.2018.06.105.</w:t>
      </w:r>
    </w:p>
    <w:p w14:paraId="4285D2BC"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Hesaraki, A., Holmberg, S. and Haghighat, F. (2015) ‘Seasonal thermal energy storage with heat pumps and low temperatures in building projects - A comparative review’, </w:t>
      </w:r>
      <w:r w:rsidRPr="00D31CA5">
        <w:rPr>
          <w:rFonts w:ascii="Calibri" w:hAnsi="Calibri" w:cs="Calibri"/>
          <w:i/>
          <w:iCs/>
          <w:noProof/>
          <w:szCs w:val="24"/>
        </w:rPr>
        <w:t>Renewable and Sustainable Energy Reviews</w:t>
      </w:r>
      <w:r w:rsidRPr="00D31CA5">
        <w:rPr>
          <w:rFonts w:ascii="Calibri" w:hAnsi="Calibri" w:cs="Calibri"/>
          <w:noProof/>
          <w:szCs w:val="24"/>
        </w:rPr>
        <w:t>. Elsevier, 43, pp. 1199–1213. doi: 10.1016/j.rser.2014.12.002.</w:t>
      </w:r>
    </w:p>
    <w:p w14:paraId="22F24F3D"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HMRC (2016) </w:t>
      </w:r>
      <w:r w:rsidRPr="00D31CA5">
        <w:rPr>
          <w:rFonts w:ascii="Calibri" w:hAnsi="Calibri" w:cs="Calibri"/>
          <w:i/>
          <w:iCs/>
          <w:noProof/>
          <w:szCs w:val="24"/>
        </w:rPr>
        <w:t>Climate Change Levy rates</w:t>
      </w:r>
      <w:r w:rsidRPr="00D31CA5">
        <w:rPr>
          <w:rFonts w:ascii="Calibri" w:hAnsi="Calibri" w:cs="Calibri"/>
          <w:noProof/>
          <w:szCs w:val="24"/>
        </w:rPr>
        <w:t>. Available at: https://www.gov.uk/government/publications/rates-and-allowances-climate-change-levy/climate-change-levy-rates (Accessed: 16 July 2018).</w:t>
      </w:r>
    </w:p>
    <w:p w14:paraId="44D6A1F0"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Holmgren, K. and Gebremedhin, A. (2004) ‘Modelling a district heating system: Introduction of waste incineration, policy instruments and co-operation with an industry’, </w:t>
      </w:r>
      <w:r w:rsidRPr="00D31CA5">
        <w:rPr>
          <w:rFonts w:ascii="Calibri" w:hAnsi="Calibri" w:cs="Calibri"/>
          <w:i/>
          <w:iCs/>
          <w:noProof/>
          <w:szCs w:val="24"/>
        </w:rPr>
        <w:t>Energy Policy</w:t>
      </w:r>
      <w:r w:rsidRPr="00D31CA5">
        <w:rPr>
          <w:rFonts w:ascii="Calibri" w:hAnsi="Calibri" w:cs="Calibri"/>
          <w:noProof/>
          <w:szCs w:val="24"/>
        </w:rPr>
        <w:t>, 32(16), pp. 1807–1817. doi: 10.1016/S0301-4215(03)00168-X.</w:t>
      </w:r>
    </w:p>
    <w:p w14:paraId="790F58AA"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ICAX (2018) </w:t>
      </w:r>
      <w:r w:rsidRPr="00D31CA5">
        <w:rPr>
          <w:rFonts w:ascii="Calibri" w:hAnsi="Calibri" w:cs="Calibri"/>
          <w:i/>
          <w:iCs/>
          <w:noProof/>
          <w:szCs w:val="24"/>
        </w:rPr>
        <w:t>Renewable Heat Incentive – RHI Commercial</w:t>
      </w:r>
      <w:r w:rsidRPr="00D31CA5">
        <w:rPr>
          <w:rFonts w:ascii="Calibri" w:hAnsi="Calibri" w:cs="Calibri"/>
          <w:noProof/>
          <w:szCs w:val="24"/>
        </w:rPr>
        <w:t>. Available at: http://www.icax.co.uk/Renewable_Heat_Incentive.html (Accessed: 16 July 2018).</w:t>
      </w:r>
    </w:p>
    <w:p w14:paraId="5CC961D9"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IGEM (2008) </w:t>
      </w:r>
      <w:r w:rsidRPr="00D31CA5">
        <w:rPr>
          <w:rFonts w:ascii="Calibri" w:hAnsi="Calibri" w:cs="Calibri"/>
          <w:i/>
          <w:iCs/>
          <w:noProof/>
          <w:szCs w:val="24"/>
        </w:rPr>
        <w:t>Installation pipework on industrial and commercial premises</w:t>
      </w:r>
      <w:r w:rsidRPr="00D31CA5">
        <w:rPr>
          <w:rFonts w:ascii="Calibri" w:hAnsi="Calibri" w:cs="Calibri"/>
          <w:noProof/>
          <w:szCs w:val="24"/>
        </w:rPr>
        <w:t>. Kegworth, England.</w:t>
      </w:r>
    </w:p>
    <w:p w14:paraId="34BBB7D8"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Ingvarson, L. C. O. and Werner, S. (2008) ‘Building mass used as short term heat storage’, in </w:t>
      </w:r>
      <w:r w:rsidRPr="00D31CA5">
        <w:rPr>
          <w:rFonts w:ascii="Calibri" w:hAnsi="Calibri" w:cs="Calibri"/>
          <w:i/>
          <w:iCs/>
          <w:noProof/>
          <w:szCs w:val="24"/>
        </w:rPr>
        <w:lastRenderedPageBreak/>
        <w:t>The 11th International Symposium on District Heating and Cooling</w:t>
      </w:r>
      <w:r w:rsidRPr="00D31CA5">
        <w:rPr>
          <w:rFonts w:ascii="Calibri" w:hAnsi="Calibri" w:cs="Calibri"/>
          <w:noProof/>
          <w:szCs w:val="24"/>
        </w:rPr>
        <w:t>. Reykjavik, Iceland.</w:t>
      </w:r>
    </w:p>
    <w:p w14:paraId="2088B688"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IPCC (2007) </w:t>
      </w:r>
      <w:r w:rsidRPr="00D31CA5">
        <w:rPr>
          <w:rFonts w:ascii="Calibri" w:hAnsi="Calibri" w:cs="Calibri"/>
          <w:i/>
          <w:iCs/>
          <w:noProof/>
          <w:szCs w:val="24"/>
        </w:rPr>
        <w:t>Summary for Policymakers</w:t>
      </w:r>
      <w:r w:rsidRPr="00D31CA5">
        <w:rPr>
          <w:rFonts w:ascii="Calibri" w:hAnsi="Calibri" w:cs="Calibri"/>
          <w:noProof/>
          <w:szCs w:val="24"/>
        </w:rPr>
        <w:t>. Geneva, Switzerland. doi: 10.1038/446727a.</w:t>
      </w:r>
    </w:p>
    <w:p w14:paraId="37CF49D0"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IPCC (2014) </w:t>
      </w:r>
      <w:r w:rsidRPr="00D31CA5">
        <w:rPr>
          <w:rFonts w:ascii="Calibri" w:hAnsi="Calibri" w:cs="Calibri"/>
          <w:i/>
          <w:iCs/>
          <w:noProof/>
          <w:szCs w:val="24"/>
        </w:rPr>
        <w:t>Technical Summary</w:t>
      </w:r>
      <w:r w:rsidRPr="00D31CA5">
        <w:rPr>
          <w:rFonts w:ascii="Calibri" w:hAnsi="Calibri" w:cs="Calibri"/>
          <w:noProof/>
          <w:szCs w:val="24"/>
        </w:rPr>
        <w:t xml:space="preserve">, </w:t>
      </w:r>
      <w:r w:rsidRPr="00D31CA5">
        <w:rPr>
          <w:rFonts w:ascii="Calibri" w:hAnsi="Calibri" w:cs="Calibri"/>
          <w:i/>
          <w:iCs/>
          <w:noProof/>
          <w:szCs w:val="24"/>
        </w:rPr>
        <w:t>Climate Change 2014: Impacts, Adaptation, and Vulnerability. Part A: Global and Sectoral Aspects. Contribution of Working Group II to the Fifth Assessment Report of the Intergovernmental Panel on Climate Change</w:t>
      </w:r>
      <w:r w:rsidRPr="00D31CA5">
        <w:rPr>
          <w:rFonts w:ascii="Calibri" w:hAnsi="Calibri" w:cs="Calibri"/>
          <w:noProof/>
          <w:szCs w:val="24"/>
        </w:rPr>
        <w:t>. Geneva, Switzerland. doi: 10.1016/j.renene.2009.11.012.</w:t>
      </w:r>
    </w:p>
    <w:p w14:paraId="264F7234"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Jie, P. </w:t>
      </w:r>
      <w:r w:rsidRPr="00D31CA5">
        <w:rPr>
          <w:rFonts w:ascii="Calibri" w:hAnsi="Calibri" w:cs="Calibri"/>
          <w:i/>
          <w:iCs/>
          <w:noProof/>
          <w:szCs w:val="24"/>
        </w:rPr>
        <w:t>et al.</w:t>
      </w:r>
      <w:r w:rsidRPr="00D31CA5">
        <w:rPr>
          <w:rFonts w:ascii="Calibri" w:hAnsi="Calibri" w:cs="Calibri"/>
          <w:noProof/>
          <w:szCs w:val="24"/>
        </w:rPr>
        <w:t xml:space="preserve"> (2012) ‘Modeling the dynamic characteristics of a district heating network’, </w:t>
      </w:r>
      <w:r w:rsidRPr="00D31CA5">
        <w:rPr>
          <w:rFonts w:ascii="Calibri" w:hAnsi="Calibri" w:cs="Calibri"/>
          <w:i/>
          <w:iCs/>
          <w:noProof/>
          <w:szCs w:val="24"/>
        </w:rPr>
        <w:t>Energy</w:t>
      </w:r>
      <w:r w:rsidRPr="00D31CA5">
        <w:rPr>
          <w:rFonts w:ascii="Calibri" w:hAnsi="Calibri" w:cs="Calibri"/>
          <w:noProof/>
          <w:szCs w:val="24"/>
        </w:rPr>
        <w:t>. Elsevier Ltd, 39(1), pp. 126–134. doi: 10.1016/j.energy.2012.01.055.</w:t>
      </w:r>
    </w:p>
    <w:p w14:paraId="50DCECDD"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Johansson, C. (2010) </w:t>
      </w:r>
      <w:r w:rsidRPr="00D31CA5">
        <w:rPr>
          <w:rFonts w:ascii="Calibri" w:hAnsi="Calibri" w:cs="Calibri"/>
          <w:i/>
          <w:iCs/>
          <w:noProof/>
          <w:szCs w:val="24"/>
        </w:rPr>
        <w:t>Towards Intelligent District Heating</w:t>
      </w:r>
      <w:r w:rsidRPr="00D31CA5">
        <w:rPr>
          <w:rFonts w:ascii="Calibri" w:hAnsi="Calibri" w:cs="Calibri"/>
          <w:noProof/>
          <w:szCs w:val="24"/>
        </w:rPr>
        <w:t>. Blekinge Institute of Technology. Available at: http://www.bth.se/fou/forskinfo.nsf/774bac3cad4d3e9bc125681600506a87/41a5152d129e5965c1257759004b9c67/$file/thesis_Christian Johansson.pdf.</w:t>
      </w:r>
    </w:p>
    <w:p w14:paraId="4677A810"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Jolly, R. and Rhin, C. (1994) ‘The recycling of lead-acid batteries: Production of lead and polypropylene’, </w:t>
      </w:r>
      <w:r w:rsidRPr="00D31CA5">
        <w:rPr>
          <w:rFonts w:ascii="Calibri" w:hAnsi="Calibri" w:cs="Calibri"/>
          <w:i/>
          <w:iCs/>
          <w:noProof/>
          <w:szCs w:val="24"/>
        </w:rPr>
        <w:t>Resources, Conservation and Recycling</w:t>
      </w:r>
      <w:r w:rsidRPr="00D31CA5">
        <w:rPr>
          <w:rFonts w:ascii="Calibri" w:hAnsi="Calibri" w:cs="Calibri"/>
          <w:noProof/>
          <w:szCs w:val="24"/>
        </w:rPr>
        <w:t>, 10(1–2), pp. 137–143. doi: 10.1016/0921-3449(94)90046-9.</w:t>
      </w:r>
    </w:p>
    <w:p w14:paraId="7777361E"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Kabalina, N. </w:t>
      </w:r>
      <w:r w:rsidRPr="00D31CA5">
        <w:rPr>
          <w:rFonts w:ascii="Calibri" w:hAnsi="Calibri" w:cs="Calibri"/>
          <w:i/>
          <w:iCs/>
          <w:noProof/>
          <w:szCs w:val="24"/>
        </w:rPr>
        <w:t>et al.</w:t>
      </w:r>
      <w:r w:rsidRPr="00D31CA5">
        <w:rPr>
          <w:rFonts w:ascii="Calibri" w:hAnsi="Calibri" w:cs="Calibri"/>
          <w:noProof/>
          <w:szCs w:val="24"/>
        </w:rPr>
        <w:t xml:space="preserve"> (2017) ‘Energy and economic assessment of a polygeneration district heating and cooling system based on gasification of refuse derived fuels’, </w:t>
      </w:r>
      <w:r w:rsidRPr="00D31CA5">
        <w:rPr>
          <w:rFonts w:ascii="Calibri" w:hAnsi="Calibri" w:cs="Calibri"/>
          <w:i/>
          <w:iCs/>
          <w:noProof/>
          <w:szCs w:val="24"/>
        </w:rPr>
        <w:t>Energy</w:t>
      </w:r>
      <w:r w:rsidRPr="00D31CA5">
        <w:rPr>
          <w:rFonts w:ascii="Calibri" w:hAnsi="Calibri" w:cs="Calibri"/>
          <w:noProof/>
          <w:szCs w:val="24"/>
        </w:rPr>
        <w:t>, 137, pp. 696–705. doi: 10.1016/j.energy.2017.06.110.</w:t>
      </w:r>
    </w:p>
    <w:p w14:paraId="3364019A"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Kakac, S. and Liu, H. (2002) </w:t>
      </w:r>
      <w:r w:rsidRPr="00D31CA5">
        <w:rPr>
          <w:rFonts w:ascii="Calibri" w:hAnsi="Calibri" w:cs="Calibri"/>
          <w:i/>
          <w:iCs/>
          <w:noProof/>
          <w:szCs w:val="24"/>
        </w:rPr>
        <w:t>Heat exchangers: Selection, rating and thermal design</w:t>
      </w:r>
      <w:r w:rsidRPr="00D31CA5">
        <w:rPr>
          <w:rFonts w:ascii="Calibri" w:hAnsi="Calibri" w:cs="Calibri"/>
          <w:noProof/>
          <w:szCs w:val="24"/>
        </w:rPr>
        <w:t>. 2nd edn. Washington, USA: CRC Press LLC.</w:t>
      </w:r>
    </w:p>
    <w:p w14:paraId="1E9E4F95"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Kapil, A. </w:t>
      </w:r>
      <w:r w:rsidRPr="00D31CA5">
        <w:rPr>
          <w:rFonts w:ascii="Calibri" w:hAnsi="Calibri" w:cs="Calibri"/>
          <w:i/>
          <w:iCs/>
          <w:noProof/>
          <w:szCs w:val="24"/>
        </w:rPr>
        <w:t>et al.</w:t>
      </w:r>
      <w:r w:rsidRPr="00D31CA5">
        <w:rPr>
          <w:rFonts w:ascii="Calibri" w:hAnsi="Calibri" w:cs="Calibri"/>
          <w:noProof/>
          <w:szCs w:val="24"/>
        </w:rPr>
        <w:t xml:space="preserve"> (2012) ‘Process integration of low grade heat in process industry with district heating networks’, </w:t>
      </w:r>
      <w:r w:rsidRPr="00D31CA5">
        <w:rPr>
          <w:rFonts w:ascii="Calibri" w:hAnsi="Calibri" w:cs="Calibri"/>
          <w:i/>
          <w:iCs/>
          <w:noProof/>
          <w:szCs w:val="24"/>
        </w:rPr>
        <w:t>Energy</w:t>
      </w:r>
      <w:r w:rsidRPr="00D31CA5">
        <w:rPr>
          <w:rFonts w:ascii="Calibri" w:hAnsi="Calibri" w:cs="Calibri"/>
          <w:noProof/>
          <w:szCs w:val="24"/>
        </w:rPr>
        <w:t>. Elsevier, 44(1), pp. 11–19. doi: 10.1016/j.energy.2011.12.015.</w:t>
      </w:r>
    </w:p>
    <w:p w14:paraId="3A5FCA6A"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Kara, H., Eatherley, D. and Morley, N. (2008) </w:t>
      </w:r>
      <w:r w:rsidRPr="00D31CA5">
        <w:rPr>
          <w:rFonts w:ascii="Calibri" w:hAnsi="Calibri" w:cs="Calibri"/>
          <w:i/>
          <w:iCs/>
          <w:noProof/>
          <w:szCs w:val="24"/>
        </w:rPr>
        <w:t>Novel Lead Recycling Technology: Techno-economic and Environmental Evaluation for Cambridge Enterprise Ltd</w:t>
      </w:r>
      <w:r w:rsidRPr="00D31CA5">
        <w:rPr>
          <w:rFonts w:ascii="Calibri" w:hAnsi="Calibri" w:cs="Calibri"/>
          <w:noProof/>
          <w:szCs w:val="24"/>
        </w:rPr>
        <w:t>. Oxford, England.</w:t>
      </w:r>
    </w:p>
    <w:p w14:paraId="07E522B2"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Keçebaş, A., Yabanova, İ. and Yumurtacı, M. (2012) ‘Artificial neural network modeling of geothermal district heating system thought exergy analysis’, </w:t>
      </w:r>
      <w:r w:rsidRPr="00D31CA5">
        <w:rPr>
          <w:rFonts w:ascii="Calibri" w:hAnsi="Calibri" w:cs="Calibri"/>
          <w:i/>
          <w:iCs/>
          <w:noProof/>
          <w:szCs w:val="24"/>
        </w:rPr>
        <w:t>Energy Conversion and Management</w:t>
      </w:r>
      <w:r w:rsidRPr="00D31CA5">
        <w:rPr>
          <w:rFonts w:ascii="Calibri" w:hAnsi="Calibri" w:cs="Calibri"/>
          <w:noProof/>
          <w:szCs w:val="24"/>
        </w:rPr>
        <w:t>, 64, pp. 206–212. doi: 10.1016/j.enconman.2012.06.002.</w:t>
      </w:r>
    </w:p>
    <w:p w14:paraId="7C70C680"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Kelly, S. and Pollitt, M. (2010) ‘An assessment of the present and future opportunities for combined heat and power with district heating (CHP-DH) in the United Kingdom’, </w:t>
      </w:r>
      <w:r w:rsidRPr="00D31CA5">
        <w:rPr>
          <w:rFonts w:ascii="Calibri" w:hAnsi="Calibri" w:cs="Calibri"/>
          <w:i/>
          <w:iCs/>
          <w:noProof/>
          <w:szCs w:val="24"/>
        </w:rPr>
        <w:t>Energy Policy</w:t>
      </w:r>
      <w:r w:rsidRPr="00D31CA5">
        <w:rPr>
          <w:rFonts w:ascii="Calibri" w:hAnsi="Calibri" w:cs="Calibri"/>
          <w:noProof/>
          <w:szCs w:val="24"/>
        </w:rPr>
        <w:t>. Elsevier, 38(11), pp. 6936–6945. doi: 10.1016/j.enpol.2010.07.010.</w:t>
      </w:r>
    </w:p>
    <w:p w14:paraId="0D7C136A"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Kensby, J., Trüschel, A. and Dalenbäck, J. O. (2015) ‘Potential of residential buildings as thermal energy storage in district heating systems - Results from a pilot test’, </w:t>
      </w:r>
      <w:r w:rsidRPr="00D31CA5">
        <w:rPr>
          <w:rFonts w:ascii="Calibri" w:hAnsi="Calibri" w:cs="Calibri"/>
          <w:i/>
          <w:iCs/>
          <w:noProof/>
          <w:szCs w:val="24"/>
        </w:rPr>
        <w:t>Applied Energy</w:t>
      </w:r>
      <w:r w:rsidRPr="00D31CA5">
        <w:rPr>
          <w:rFonts w:ascii="Calibri" w:hAnsi="Calibri" w:cs="Calibri"/>
          <w:noProof/>
          <w:szCs w:val="24"/>
        </w:rPr>
        <w:t>. Elsevier Ltd, 137, pp. 773–781. doi: 10.1016/j.apenergy.2014.07.026.</w:t>
      </w:r>
    </w:p>
    <w:p w14:paraId="6C01872C"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Kim, E. J. </w:t>
      </w:r>
      <w:r w:rsidRPr="00D31CA5">
        <w:rPr>
          <w:rFonts w:ascii="Calibri" w:hAnsi="Calibri" w:cs="Calibri"/>
          <w:i/>
          <w:iCs/>
          <w:noProof/>
          <w:szCs w:val="24"/>
        </w:rPr>
        <w:t>et al.</w:t>
      </w:r>
      <w:r w:rsidRPr="00D31CA5">
        <w:rPr>
          <w:rFonts w:ascii="Calibri" w:hAnsi="Calibri" w:cs="Calibri"/>
          <w:noProof/>
          <w:szCs w:val="24"/>
        </w:rPr>
        <w:t xml:space="preserve"> (2014) ‘Urban energy simulation: Simplification and reduction of building envelope models’, </w:t>
      </w:r>
      <w:r w:rsidRPr="00D31CA5">
        <w:rPr>
          <w:rFonts w:ascii="Calibri" w:hAnsi="Calibri" w:cs="Calibri"/>
          <w:i/>
          <w:iCs/>
          <w:noProof/>
          <w:szCs w:val="24"/>
        </w:rPr>
        <w:t>Energy and Buildings</w:t>
      </w:r>
      <w:r w:rsidRPr="00D31CA5">
        <w:rPr>
          <w:rFonts w:ascii="Calibri" w:hAnsi="Calibri" w:cs="Calibri"/>
          <w:noProof/>
          <w:szCs w:val="24"/>
        </w:rPr>
        <w:t>. Elsevier B.V., 84, pp. 193–202. doi: 10.1016/j.enbuild.2014.07.066.</w:t>
      </w:r>
    </w:p>
    <w:p w14:paraId="11AB8FA2"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Kipping, A. and Trømborg, E. (2017) ‘Modeling hourly consumption of electricity and district heat in non-residential buildings’, </w:t>
      </w:r>
      <w:r w:rsidRPr="00D31CA5">
        <w:rPr>
          <w:rFonts w:ascii="Calibri" w:hAnsi="Calibri" w:cs="Calibri"/>
          <w:i/>
          <w:iCs/>
          <w:noProof/>
          <w:szCs w:val="24"/>
        </w:rPr>
        <w:t>Energy</w:t>
      </w:r>
      <w:r w:rsidRPr="00D31CA5">
        <w:rPr>
          <w:rFonts w:ascii="Calibri" w:hAnsi="Calibri" w:cs="Calibri"/>
          <w:noProof/>
          <w:szCs w:val="24"/>
        </w:rPr>
        <w:t>. Elsevier Ltd, 123, pp. 473–486. doi: 10.1016/j.energy.2017.01.108.</w:t>
      </w:r>
    </w:p>
    <w:p w14:paraId="7DB1FC03"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Klaassen, R. E. and Patel, M. K. (2013) ‘District heating in the Netherlands today: A techno-</w:t>
      </w:r>
      <w:r w:rsidRPr="00D31CA5">
        <w:rPr>
          <w:rFonts w:ascii="Calibri" w:hAnsi="Calibri" w:cs="Calibri"/>
          <w:noProof/>
          <w:szCs w:val="24"/>
        </w:rPr>
        <w:lastRenderedPageBreak/>
        <w:t xml:space="preserve">economic assessment for NGCC-CHP (Natural Gas Combined Cycle combined heat and power)’, </w:t>
      </w:r>
      <w:r w:rsidRPr="00D31CA5">
        <w:rPr>
          <w:rFonts w:ascii="Calibri" w:hAnsi="Calibri" w:cs="Calibri"/>
          <w:i/>
          <w:iCs/>
          <w:noProof/>
          <w:szCs w:val="24"/>
        </w:rPr>
        <w:t>Energy</w:t>
      </w:r>
      <w:r w:rsidRPr="00D31CA5">
        <w:rPr>
          <w:rFonts w:ascii="Calibri" w:hAnsi="Calibri" w:cs="Calibri"/>
          <w:noProof/>
          <w:szCs w:val="24"/>
        </w:rPr>
        <w:t>. Elsevier Ltd, 54, pp. 63–73. doi: 10.1016/j.energy.2013.02.034.</w:t>
      </w:r>
    </w:p>
    <w:p w14:paraId="301DE7D7"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Larsen, H. V. </w:t>
      </w:r>
      <w:r w:rsidRPr="00D31CA5">
        <w:rPr>
          <w:rFonts w:ascii="Calibri" w:hAnsi="Calibri" w:cs="Calibri"/>
          <w:i/>
          <w:iCs/>
          <w:noProof/>
          <w:szCs w:val="24"/>
        </w:rPr>
        <w:t>et al.</w:t>
      </w:r>
      <w:r w:rsidRPr="00D31CA5">
        <w:rPr>
          <w:rFonts w:ascii="Calibri" w:hAnsi="Calibri" w:cs="Calibri"/>
          <w:noProof/>
          <w:szCs w:val="24"/>
        </w:rPr>
        <w:t xml:space="preserve"> (2002) ‘Aggregated dynamic simulation model of district heating networks’, </w:t>
      </w:r>
      <w:r w:rsidRPr="00D31CA5">
        <w:rPr>
          <w:rFonts w:ascii="Calibri" w:hAnsi="Calibri" w:cs="Calibri"/>
          <w:i/>
          <w:iCs/>
          <w:noProof/>
          <w:szCs w:val="24"/>
        </w:rPr>
        <w:t>Energy Conversion and Management</w:t>
      </w:r>
      <w:r w:rsidRPr="00D31CA5">
        <w:rPr>
          <w:rFonts w:ascii="Calibri" w:hAnsi="Calibri" w:cs="Calibri"/>
          <w:noProof/>
          <w:szCs w:val="24"/>
        </w:rPr>
        <w:t>, 43(8), pp. 995–1019. doi: 10.1016/S0196-8904(01)00093-0.</w:t>
      </w:r>
    </w:p>
    <w:p w14:paraId="0653FA8D"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Larsen, H. V., Bøhm, B. and Wigbels, M. (2004) ‘A comparison of aggregated models for simulation and operational optimisation of district heating networks’, </w:t>
      </w:r>
      <w:r w:rsidRPr="00D31CA5">
        <w:rPr>
          <w:rFonts w:ascii="Calibri" w:hAnsi="Calibri" w:cs="Calibri"/>
          <w:i/>
          <w:iCs/>
          <w:noProof/>
          <w:szCs w:val="24"/>
        </w:rPr>
        <w:t>Energy Conversion and Management</w:t>
      </w:r>
      <w:r w:rsidRPr="00D31CA5">
        <w:rPr>
          <w:rFonts w:ascii="Calibri" w:hAnsi="Calibri" w:cs="Calibri"/>
          <w:noProof/>
          <w:szCs w:val="24"/>
        </w:rPr>
        <w:t>, 45(7–8), pp. 1119–1139. doi: 10.1016/j.enconman.2003.08.006.</w:t>
      </w:r>
    </w:p>
    <w:p w14:paraId="5EBFA5B9"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Lee, Y.-S. and Tong, L.-I. (2012) ‘Forecasting nonlinear time series of energy consumption using a hybrid dynamic model’, </w:t>
      </w:r>
      <w:r w:rsidRPr="00D31CA5">
        <w:rPr>
          <w:rFonts w:ascii="Calibri" w:hAnsi="Calibri" w:cs="Calibri"/>
          <w:i/>
          <w:iCs/>
          <w:noProof/>
          <w:szCs w:val="24"/>
        </w:rPr>
        <w:t>Applied Energy</w:t>
      </w:r>
      <w:r w:rsidRPr="00D31CA5">
        <w:rPr>
          <w:rFonts w:ascii="Calibri" w:hAnsi="Calibri" w:cs="Calibri"/>
          <w:noProof/>
          <w:szCs w:val="24"/>
        </w:rPr>
        <w:t>. Elsevier Ltd, 94, pp. 251–256. doi: 10.1016/j.apenergy.2012.01.063.</w:t>
      </w:r>
    </w:p>
    <w:p w14:paraId="79459461"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Leśko, M. and Bujalski, W. (2017) ‘Modeling of District Heating Networks for the Purpose of Operational Optimization with Thermal Energy Storage’, </w:t>
      </w:r>
      <w:r w:rsidRPr="00D31CA5">
        <w:rPr>
          <w:rFonts w:ascii="Calibri" w:hAnsi="Calibri" w:cs="Calibri"/>
          <w:i/>
          <w:iCs/>
          <w:noProof/>
          <w:szCs w:val="24"/>
        </w:rPr>
        <w:t>Archives of Thermodynamics</w:t>
      </w:r>
      <w:r w:rsidRPr="00D31CA5">
        <w:rPr>
          <w:rFonts w:ascii="Calibri" w:hAnsi="Calibri" w:cs="Calibri"/>
          <w:noProof/>
          <w:szCs w:val="24"/>
        </w:rPr>
        <w:t>, 38(4), pp. 139–163. doi: 10.1515/aoter-2017-0029.</w:t>
      </w:r>
    </w:p>
    <w:p w14:paraId="7D5A35D6"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Li, H. and Svendsen, S. (2012) ‘Energy and exergy analysis of low temperature district heating network’, </w:t>
      </w:r>
      <w:r w:rsidRPr="00D31CA5">
        <w:rPr>
          <w:rFonts w:ascii="Calibri" w:hAnsi="Calibri" w:cs="Calibri"/>
          <w:i/>
          <w:iCs/>
          <w:noProof/>
          <w:szCs w:val="24"/>
        </w:rPr>
        <w:t>Energy</w:t>
      </w:r>
      <w:r w:rsidRPr="00D31CA5">
        <w:rPr>
          <w:rFonts w:ascii="Calibri" w:hAnsi="Calibri" w:cs="Calibri"/>
          <w:noProof/>
          <w:szCs w:val="24"/>
        </w:rPr>
        <w:t>. Elsevier Ltd, 45(1), pp. 237–246. doi: 10.1016/j.energy.2012.03.056.</w:t>
      </w:r>
    </w:p>
    <w:p w14:paraId="08D04277"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Li, Y. </w:t>
      </w:r>
      <w:r w:rsidRPr="00D31CA5">
        <w:rPr>
          <w:rFonts w:ascii="Calibri" w:hAnsi="Calibri" w:cs="Calibri"/>
          <w:i/>
          <w:iCs/>
          <w:noProof/>
          <w:szCs w:val="24"/>
        </w:rPr>
        <w:t>et al.</w:t>
      </w:r>
      <w:r w:rsidRPr="00D31CA5">
        <w:rPr>
          <w:rFonts w:ascii="Calibri" w:hAnsi="Calibri" w:cs="Calibri"/>
          <w:noProof/>
          <w:szCs w:val="24"/>
        </w:rPr>
        <w:t xml:space="preserve"> (2016) ‘Case study on industrial surplus heat of steel plants for district heating in Northern China’, </w:t>
      </w:r>
      <w:r w:rsidRPr="00D31CA5">
        <w:rPr>
          <w:rFonts w:ascii="Calibri" w:hAnsi="Calibri" w:cs="Calibri"/>
          <w:i/>
          <w:iCs/>
          <w:noProof/>
          <w:szCs w:val="24"/>
        </w:rPr>
        <w:t>Energy</w:t>
      </w:r>
      <w:r w:rsidRPr="00D31CA5">
        <w:rPr>
          <w:rFonts w:ascii="Calibri" w:hAnsi="Calibri" w:cs="Calibri"/>
          <w:noProof/>
          <w:szCs w:val="24"/>
        </w:rPr>
        <w:t>. Elsevier Ltd, 102, pp. 397–405. doi: 10.1016/j.energy.2016.02.105.</w:t>
      </w:r>
    </w:p>
    <w:p w14:paraId="38927C1D"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Li, Z. </w:t>
      </w:r>
      <w:r w:rsidRPr="00D31CA5">
        <w:rPr>
          <w:rFonts w:ascii="Calibri" w:hAnsi="Calibri" w:cs="Calibri"/>
          <w:i/>
          <w:iCs/>
          <w:noProof/>
          <w:szCs w:val="24"/>
        </w:rPr>
        <w:t>et al.</w:t>
      </w:r>
      <w:r w:rsidRPr="00D31CA5">
        <w:rPr>
          <w:rFonts w:ascii="Calibri" w:hAnsi="Calibri" w:cs="Calibri"/>
          <w:noProof/>
          <w:szCs w:val="24"/>
        </w:rPr>
        <w:t xml:space="preserve"> (2016) ‘Combined heat and power dispatch considering pipeline energy storage of district heating network’, </w:t>
      </w:r>
      <w:r w:rsidRPr="00D31CA5">
        <w:rPr>
          <w:rFonts w:ascii="Calibri" w:hAnsi="Calibri" w:cs="Calibri"/>
          <w:i/>
          <w:iCs/>
          <w:noProof/>
          <w:szCs w:val="24"/>
        </w:rPr>
        <w:t>IEEE Transactions on Sustainable Energy</w:t>
      </w:r>
      <w:r w:rsidRPr="00D31CA5">
        <w:rPr>
          <w:rFonts w:ascii="Calibri" w:hAnsi="Calibri" w:cs="Calibri"/>
          <w:noProof/>
          <w:szCs w:val="24"/>
        </w:rPr>
        <w:t>, 7(1), pp. 12–22. doi: 10.1109/TSTE.2015.2467383.</w:t>
      </w:r>
    </w:p>
    <w:p w14:paraId="66B036CE"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Lim, S. </w:t>
      </w:r>
      <w:r w:rsidRPr="00D31CA5">
        <w:rPr>
          <w:rFonts w:ascii="Calibri" w:hAnsi="Calibri" w:cs="Calibri"/>
          <w:i/>
          <w:iCs/>
          <w:noProof/>
          <w:szCs w:val="24"/>
        </w:rPr>
        <w:t>et al.</w:t>
      </w:r>
      <w:r w:rsidRPr="00D31CA5">
        <w:rPr>
          <w:rFonts w:ascii="Calibri" w:hAnsi="Calibri" w:cs="Calibri"/>
          <w:noProof/>
          <w:szCs w:val="24"/>
        </w:rPr>
        <w:t xml:space="preserve"> (2015) ‘Dynamic modeling of building heat network system using Simulink’, </w:t>
      </w:r>
      <w:r w:rsidRPr="00D31CA5">
        <w:rPr>
          <w:rFonts w:ascii="Calibri" w:hAnsi="Calibri" w:cs="Calibri"/>
          <w:i/>
          <w:iCs/>
          <w:noProof/>
          <w:szCs w:val="24"/>
        </w:rPr>
        <w:t>Applied Thermal Engineering</w:t>
      </w:r>
      <w:r w:rsidRPr="00D31CA5">
        <w:rPr>
          <w:rFonts w:ascii="Calibri" w:hAnsi="Calibri" w:cs="Calibri"/>
          <w:noProof/>
          <w:szCs w:val="24"/>
        </w:rPr>
        <w:t>. Elsevier Ltd, 84, pp. 375–389. doi: 10.1016/j.applthermaleng.2015.03.068.</w:t>
      </w:r>
    </w:p>
    <w:p w14:paraId="1133679D"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Loh, H. P., Lyons, J. and White, C. W. (2002) </w:t>
      </w:r>
      <w:r w:rsidRPr="00D31CA5">
        <w:rPr>
          <w:rFonts w:ascii="Calibri" w:hAnsi="Calibri" w:cs="Calibri"/>
          <w:i/>
          <w:iCs/>
          <w:noProof/>
          <w:szCs w:val="24"/>
        </w:rPr>
        <w:t>Process Equipment Cost Estimation, Final Report</w:t>
      </w:r>
      <w:r w:rsidRPr="00D31CA5">
        <w:rPr>
          <w:rFonts w:ascii="Calibri" w:hAnsi="Calibri" w:cs="Calibri"/>
          <w:noProof/>
          <w:szCs w:val="24"/>
        </w:rPr>
        <w:t>. Pittsburgh, USA. doi: 10.2172/797810.</w:t>
      </w:r>
    </w:p>
    <w:p w14:paraId="7C1A9F4A"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Lopes, E. E. and Nogueira, R. E. (2009) ‘Proposta Metodológica para Validação de Imagens de Alta Resolução do Google Earth para a Produção de Mapas’, </w:t>
      </w:r>
      <w:r w:rsidRPr="00D31CA5">
        <w:rPr>
          <w:rFonts w:ascii="Calibri" w:hAnsi="Calibri" w:cs="Calibri"/>
          <w:i/>
          <w:iCs/>
          <w:noProof/>
          <w:szCs w:val="24"/>
        </w:rPr>
        <w:t>Ufsc</w:t>
      </w:r>
      <w:r w:rsidRPr="00D31CA5">
        <w:rPr>
          <w:rFonts w:ascii="Calibri" w:hAnsi="Calibri" w:cs="Calibri"/>
          <w:noProof/>
          <w:szCs w:val="24"/>
        </w:rPr>
        <w:t>.</w:t>
      </w:r>
    </w:p>
    <w:p w14:paraId="245DCEFF"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López-Aparicio, S. </w:t>
      </w:r>
      <w:r w:rsidRPr="00D31CA5">
        <w:rPr>
          <w:rFonts w:ascii="Calibri" w:hAnsi="Calibri" w:cs="Calibri"/>
          <w:i/>
          <w:iCs/>
          <w:noProof/>
          <w:szCs w:val="24"/>
        </w:rPr>
        <w:t>et al.</w:t>
      </w:r>
      <w:r w:rsidRPr="00D31CA5">
        <w:rPr>
          <w:rFonts w:ascii="Calibri" w:hAnsi="Calibri" w:cs="Calibri"/>
          <w:noProof/>
          <w:szCs w:val="24"/>
        </w:rPr>
        <w:t xml:space="preserve"> (2017) ‘Public participation GIS for improving wood burning emissions from residential heating and urban environmental management’, </w:t>
      </w:r>
      <w:r w:rsidRPr="00D31CA5">
        <w:rPr>
          <w:rFonts w:ascii="Calibri" w:hAnsi="Calibri" w:cs="Calibri"/>
          <w:i/>
          <w:iCs/>
          <w:noProof/>
          <w:szCs w:val="24"/>
        </w:rPr>
        <w:t>Journal of Environmental Management</w:t>
      </w:r>
      <w:r w:rsidRPr="00D31CA5">
        <w:rPr>
          <w:rFonts w:ascii="Calibri" w:hAnsi="Calibri" w:cs="Calibri"/>
          <w:noProof/>
          <w:szCs w:val="24"/>
        </w:rPr>
        <w:t>, 191, pp. 179–188. doi: 10.1016/j.jenvman.2017.01.018.</w:t>
      </w:r>
    </w:p>
    <w:p w14:paraId="3DDAE2E1"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Lund, H. </w:t>
      </w:r>
      <w:r w:rsidRPr="00D31CA5">
        <w:rPr>
          <w:rFonts w:ascii="Calibri" w:hAnsi="Calibri" w:cs="Calibri"/>
          <w:i/>
          <w:iCs/>
          <w:noProof/>
          <w:szCs w:val="24"/>
        </w:rPr>
        <w:t>et al.</w:t>
      </w:r>
      <w:r w:rsidRPr="00D31CA5">
        <w:rPr>
          <w:rFonts w:ascii="Calibri" w:hAnsi="Calibri" w:cs="Calibri"/>
          <w:noProof/>
          <w:szCs w:val="24"/>
        </w:rPr>
        <w:t xml:space="preserve"> (2010) ‘The role of district heating in future renewable energy systems’, </w:t>
      </w:r>
      <w:r w:rsidRPr="00D31CA5">
        <w:rPr>
          <w:rFonts w:ascii="Calibri" w:hAnsi="Calibri" w:cs="Calibri"/>
          <w:i/>
          <w:iCs/>
          <w:noProof/>
          <w:szCs w:val="24"/>
        </w:rPr>
        <w:t>Energy</w:t>
      </w:r>
      <w:r w:rsidRPr="00D31CA5">
        <w:rPr>
          <w:rFonts w:ascii="Calibri" w:hAnsi="Calibri" w:cs="Calibri"/>
          <w:noProof/>
          <w:szCs w:val="24"/>
        </w:rPr>
        <w:t>, 35(3), pp. 1381–1390. doi: 10.1016/j.energy.2009.11.023.</w:t>
      </w:r>
    </w:p>
    <w:p w14:paraId="113EAE34"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Lund, H. </w:t>
      </w:r>
      <w:r w:rsidRPr="00D31CA5">
        <w:rPr>
          <w:rFonts w:ascii="Calibri" w:hAnsi="Calibri" w:cs="Calibri"/>
          <w:i/>
          <w:iCs/>
          <w:noProof/>
          <w:szCs w:val="24"/>
        </w:rPr>
        <w:t>et al.</w:t>
      </w:r>
      <w:r w:rsidRPr="00D31CA5">
        <w:rPr>
          <w:rFonts w:ascii="Calibri" w:hAnsi="Calibri" w:cs="Calibri"/>
          <w:noProof/>
          <w:szCs w:val="24"/>
        </w:rPr>
        <w:t xml:space="preserve"> (2014) ‘4th Generation District Heating (4GDH): Integrating smart thermal grids into future sustainable energy systems’, </w:t>
      </w:r>
      <w:r w:rsidRPr="00D31CA5">
        <w:rPr>
          <w:rFonts w:ascii="Calibri" w:hAnsi="Calibri" w:cs="Calibri"/>
          <w:i/>
          <w:iCs/>
          <w:noProof/>
          <w:szCs w:val="24"/>
        </w:rPr>
        <w:t>Energy</w:t>
      </w:r>
      <w:r w:rsidRPr="00D31CA5">
        <w:rPr>
          <w:rFonts w:ascii="Calibri" w:hAnsi="Calibri" w:cs="Calibri"/>
          <w:noProof/>
          <w:szCs w:val="24"/>
        </w:rPr>
        <w:t>. Elsevier Ltd, 68, pp. 1–11. doi: 10.1016/j.energy.2014.02.089.</w:t>
      </w:r>
    </w:p>
    <w:p w14:paraId="2CADB9EA"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Lund, H. </w:t>
      </w:r>
      <w:r w:rsidRPr="00D31CA5">
        <w:rPr>
          <w:rFonts w:ascii="Calibri" w:hAnsi="Calibri" w:cs="Calibri"/>
          <w:i/>
          <w:iCs/>
          <w:noProof/>
          <w:szCs w:val="24"/>
        </w:rPr>
        <w:t>et al.</w:t>
      </w:r>
      <w:r w:rsidRPr="00D31CA5">
        <w:rPr>
          <w:rFonts w:ascii="Calibri" w:hAnsi="Calibri" w:cs="Calibri"/>
          <w:noProof/>
          <w:szCs w:val="24"/>
        </w:rPr>
        <w:t xml:space="preserve"> (2016) ‘Energy Storage and Smart Energy Systems’, </w:t>
      </w:r>
      <w:r w:rsidRPr="00D31CA5">
        <w:rPr>
          <w:rFonts w:ascii="Calibri" w:hAnsi="Calibri" w:cs="Calibri"/>
          <w:i/>
          <w:iCs/>
          <w:noProof/>
          <w:szCs w:val="24"/>
        </w:rPr>
        <w:t>International Journal of Sustainable Energy Planning and Management</w:t>
      </w:r>
      <w:r w:rsidRPr="00D31CA5">
        <w:rPr>
          <w:rFonts w:ascii="Calibri" w:hAnsi="Calibri" w:cs="Calibri"/>
          <w:noProof/>
          <w:szCs w:val="24"/>
        </w:rPr>
        <w:t>, 11, pp. 3–14. doi: 10.5278/ijsepm.2016.11.2.</w:t>
      </w:r>
    </w:p>
    <w:p w14:paraId="1FC20241"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Lund, H., Duic, N., </w:t>
      </w:r>
      <w:r w:rsidRPr="00D31CA5">
        <w:rPr>
          <w:rFonts w:ascii="Calibri" w:hAnsi="Calibri" w:cs="Calibri"/>
          <w:i/>
          <w:iCs/>
          <w:noProof/>
          <w:szCs w:val="24"/>
        </w:rPr>
        <w:t>et al.</w:t>
      </w:r>
      <w:r w:rsidRPr="00D31CA5">
        <w:rPr>
          <w:rFonts w:ascii="Calibri" w:hAnsi="Calibri" w:cs="Calibri"/>
          <w:noProof/>
          <w:szCs w:val="24"/>
        </w:rPr>
        <w:t xml:space="preserve"> (2018) ‘Future district heating systems and technologies : On the role of smart energy systems and 4th generation district heating’, </w:t>
      </w:r>
      <w:r w:rsidRPr="00D31CA5">
        <w:rPr>
          <w:rFonts w:ascii="Calibri" w:hAnsi="Calibri" w:cs="Calibri"/>
          <w:i/>
          <w:iCs/>
          <w:noProof/>
          <w:szCs w:val="24"/>
        </w:rPr>
        <w:t>Energy</w:t>
      </w:r>
      <w:r w:rsidRPr="00D31CA5">
        <w:rPr>
          <w:rFonts w:ascii="Calibri" w:hAnsi="Calibri" w:cs="Calibri"/>
          <w:noProof/>
          <w:szCs w:val="24"/>
        </w:rPr>
        <w:t xml:space="preserve">. Elsevier Ltd, 165, pp. </w:t>
      </w:r>
      <w:r w:rsidRPr="00D31CA5">
        <w:rPr>
          <w:rFonts w:ascii="Calibri" w:hAnsi="Calibri" w:cs="Calibri"/>
          <w:noProof/>
          <w:szCs w:val="24"/>
        </w:rPr>
        <w:lastRenderedPageBreak/>
        <w:t>614–619. doi: 10.1016/j.energy.2018.09.115.</w:t>
      </w:r>
    </w:p>
    <w:p w14:paraId="70DD2C96"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Lund, H., Alberg, P., </w:t>
      </w:r>
      <w:r w:rsidRPr="00D31CA5">
        <w:rPr>
          <w:rFonts w:ascii="Calibri" w:hAnsi="Calibri" w:cs="Calibri"/>
          <w:i/>
          <w:iCs/>
          <w:noProof/>
          <w:szCs w:val="24"/>
        </w:rPr>
        <w:t>et al.</w:t>
      </w:r>
      <w:r w:rsidRPr="00D31CA5">
        <w:rPr>
          <w:rFonts w:ascii="Calibri" w:hAnsi="Calibri" w:cs="Calibri"/>
          <w:noProof/>
          <w:szCs w:val="24"/>
        </w:rPr>
        <w:t xml:space="preserve"> (2018) ‘The status of 4th generation district heating : Research and results’, 164. doi: 10.1016/j.energy.2018.08.206.</w:t>
      </w:r>
    </w:p>
    <w:p w14:paraId="70046070"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Lygnerud, K. and Peltola-Ojala, P. (2010) ‘Factors impacting district heating companies’ decision to provide small house customers with heat’, </w:t>
      </w:r>
      <w:r w:rsidRPr="00D31CA5">
        <w:rPr>
          <w:rFonts w:ascii="Calibri" w:hAnsi="Calibri" w:cs="Calibri"/>
          <w:i/>
          <w:iCs/>
          <w:noProof/>
          <w:szCs w:val="24"/>
        </w:rPr>
        <w:t>Applied Energy</w:t>
      </w:r>
      <w:r w:rsidRPr="00D31CA5">
        <w:rPr>
          <w:rFonts w:ascii="Calibri" w:hAnsi="Calibri" w:cs="Calibri"/>
          <w:noProof/>
          <w:szCs w:val="24"/>
        </w:rPr>
        <w:t>. Elsevier Ltd, 87(1), pp. 185–190. doi: 10.1016/j.apenergy.2009.05.007.</w:t>
      </w:r>
    </w:p>
    <w:p w14:paraId="72F4A2E5"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Markides, C. N. (2013) ‘The role of pumped and waste heat technologies in a high-efficiency sustainable energy future for the UK’, </w:t>
      </w:r>
      <w:r w:rsidRPr="00D31CA5">
        <w:rPr>
          <w:rFonts w:ascii="Calibri" w:hAnsi="Calibri" w:cs="Calibri"/>
          <w:i/>
          <w:iCs/>
          <w:noProof/>
          <w:szCs w:val="24"/>
        </w:rPr>
        <w:t>Applied Thermal Engineering</w:t>
      </w:r>
      <w:r w:rsidRPr="00D31CA5">
        <w:rPr>
          <w:rFonts w:ascii="Calibri" w:hAnsi="Calibri" w:cs="Calibri"/>
          <w:noProof/>
          <w:szCs w:val="24"/>
        </w:rPr>
        <w:t>. Elsevier Ltd, 53(2), pp. 197–209. doi: 10.1016/j.applthermaleng.2012.02.037.</w:t>
      </w:r>
    </w:p>
    <w:p w14:paraId="2E1A0EEC"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Martin, M. and Thornley, P. (2013) </w:t>
      </w:r>
      <w:r w:rsidRPr="00D31CA5">
        <w:rPr>
          <w:rFonts w:ascii="Calibri" w:hAnsi="Calibri" w:cs="Calibri"/>
          <w:i/>
          <w:iCs/>
          <w:noProof/>
          <w:szCs w:val="24"/>
        </w:rPr>
        <w:t>The potential for thermal storage to reduce the overall carbon emissions from district heating systems</w:t>
      </w:r>
      <w:r w:rsidRPr="00D31CA5">
        <w:rPr>
          <w:rFonts w:ascii="Calibri" w:hAnsi="Calibri" w:cs="Calibri"/>
          <w:noProof/>
          <w:szCs w:val="24"/>
        </w:rPr>
        <w:t>. Manchester, England. doi: 10.1016/j.applthermaleng.2015.04.030.</w:t>
      </w:r>
    </w:p>
    <w:p w14:paraId="38BB4495"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Mastrucci, A. </w:t>
      </w:r>
      <w:r w:rsidRPr="00D31CA5">
        <w:rPr>
          <w:rFonts w:ascii="Calibri" w:hAnsi="Calibri" w:cs="Calibri"/>
          <w:i/>
          <w:iCs/>
          <w:noProof/>
          <w:szCs w:val="24"/>
        </w:rPr>
        <w:t>et al.</w:t>
      </w:r>
      <w:r w:rsidRPr="00D31CA5">
        <w:rPr>
          <w:rFonts w:ascii="Calibri" w:hAnsi="Calibri" w:cs="Calibri"/>
          <w:noProof/>
          <w:szCs w:val="24"/>
        </w:rPr>
        <w:t xml:space="preserve"> (2015) ‘A GIS-based statistical approach to prioritize the retrofit of housing stocks at the urban scale’, </w:t>
      </w:r>
      <w:r w:rsidRPr="00D31CA5">
        <w:rPr>
          <w:rFonts w:ascii="Calibri" w:hAnsi="Calibri" w:cs="Calibri"/>
          <w:i/>
          <w:iCs/>
          <w:noProof/>
          <w:szCs w:val="24"/>
        </w:rPr>
        <w:t>Journal of Energy Challenges &amp; Mechanics</w:t>
      </w:r>
      <w:r w:rsidRPr="00D31CA5">
        <w:rPr>
          <w:rFonts w:ascii="Calibri" w:hAnsi="Calibri" w:cs="Calibri"/>
          <w:noProof/>
          <w:szCs w:val="24"/>
        </w:rPr>
        <w:t>, 3(4), pp. 1–5. Available at: http://www.nscj.co.uk/JECM/JECM2-3.html.</w:t>
      </w:r>
    </w:p>
    <w:p w14:paraId="0342E199"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McKenna, R. C. and Norman, J. B. (2010) ‘Spatial modelling of industrial heat loads and recovery potentials in the UK’, </w:t>
      </w:r>
      <w:r w:rsidRPr="00D31CA5">
        <w:rPr>
          <w:rFonts w:ascii="Calibri" w:hAnsi="Calibri" w:cs="Calibri"/>
          <w:i/>
          <w:iCs/>
          <w:noProof/>
          <w:szCs w:val="24"/>
        </w:rPr>
        <w:t>Energy Policy</w:t>
      </w:r>
      <w:r w:rsidRPr="00D31CA5">
        <w:rPr>
          <w:rFonts w:ascii="Calibri" w:hAnsi="Calibri" w:cs="Calibri"/>
          <w:noProof/>
          <w:szCs w:val="24"/>
        </w:rPr>
        <w:t>. Elsevier, 38(10), pp. 5878–5891. doi: 10.1016/j.enpol.2010.05.042.</w:t>
      </w:r>
    </w:p>
    <w:p w14:paraId="37D5596A"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Mehta, P. (2009) ‘Chapter 8: Waste-heat recovery’, in </w:t>
      </w:r>
      <w:r w:rsidRPr="00D31CA5">
        <w:rPr>
          <w:rFonts w:ascii="Calibri" w:hAnsi="Calibri" w:cs="Calibri"/>
          <w:i/>
          <w:iCs/>
          <w:noProof/>
          <w:szCs w:val="24"/>
        </w:rPr>
        <w:t>Energy Management Handbook</w:t>
      </w:r>
      <w:r w:rsidRPr="00D31CA5">
        <w:rPr>
          <w:rFonts w:ascii="Calibri" w:hAnsi="Calibri" w:cs="Calibri"/>
          <w:noProof/>
          <w:szCs w:val="24"/>
        </w:rPr>
        <w:t>. 7th edn. Lilburn, USA: The Fairmont Press, pp. 193–216.</w:t>
      </w:r>
    </w:p>
    <w:p w14:paraId="0ED3FF25"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Met Office (2015) </w:t>
      </w:r>
      <w:r w:rsidRPr="00D31CA5">
        <w:rPr>
          <w:rFonts w:ascii="Calibri" w:hAnsi="Calibri" w:cs="Calibri"/>
          <w:i/>
          <w:iCs/>
          <w:noProof/>
          <w:szCs w:val="24"/>
        </w:rPr>
        <w:t>Derbyshire Dales NNR Hourly Temperature Data</w:t>
      </w:r>
      <w:r w:rsidRPr="00D31CA5">
        <w:rPr>
          <w:rFonts w:ascii="Calibri" w:hAnsi="Calibri" w:cs="Calibri"/>
          <w:noProof/>
          <w:szCs w:val="24"/>
        </w:rPr>
        <w:t>. London, England.</w:t>
      </w:r>
    </w:p>
    <w:p w14:paraId="75EFEB6E"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Miró, L., Gasia, J. and Cabeza, L. F. (2016) ‘Thermal energy storage (TES) for industrial waste heat (IWH) recovery: A review’, </w:t>
      </w:r>
      <w:r w:rsidRPr="00D31CA5">
        <w:rPr>
          <w:rFonts w:ascii="Calibri" w:hAnsi="Calibri" w:cs="Calibri"/>
          <w:i/>
          <w:iCs/>
          <w:noProof/>
          <w:szCs w:val="24"/>
        </w:rPr>
        <w:t>Applied Energy</w:t>
      </w:r>
      <w:r w:rsidRPr="00D31CA5">
        <w:rPr>
          <w:rFonts w:ascii="Calibri" w:hAnsi="Calibri" w:cs="Calibri"/>
          <w:noProof/>
          <w:szCs w:val="24"/>
        </w:rPr>
        <w:t>, 179, pp. 284–301. doi: 10.1016/j.apenergy.2016.06.147.</w:t>
      </w:r>
    </w:p>
    <w:p w14:paraId="1027D59F"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Möller, B. (2008) ‘A heat atlas for demand and supply management in Denmark’, </w:t>
      </w:r>
      <w:r w:rsidRPr="00D31CA5">
        <w:rPr>
          <w:rFonts w:ascii="Calibri" w:hAnsi="Calibri" w:cs="Calibri"/>
          <w:i/>
          <w:iCs/>
          <w:noProof/>
          <w:szCs w:val="24"/>
        </w:rPr>
        <w:t>Management of Environmental Quality: An International Journal</w:t>
      </w:r>
      <w:r w:rsidRPr="00D31CA5">
        <w:rPr>
          <w:rFonts w:ascii="Calibri" w:hAnsi="Calibri" w:cs="Calibri"/>
          <w:noProof/>
          <w:szCs w:val="24"/>
        </w:rPr>
        <w:t>, 19(4), pp. 467–479. doi: 10.1108/14777830810878650.</w:t>
      </w:r>
    </w:p>
    <w:p w14:paraId="633AF593"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Möller, B. and Lund, H. (2010) ‘Conversion of individual natural gas to district heating: Geographical studies of supply costs and consequences for the Danish energy system’, </w:t>
      </w:r>
      <w:r w:rsidRPr="00D31CA5">
        <w:rPr>
          <w:rFonts w:ascii="Calibri" w:hAnsi="Calibri" w:cs="Calibri"/>
          <w:i/>
          <w:iCs/>
          <w:noProof/>
          <w:szCs w:val="24"/>
        </w:rPr>
        <w:t>Applied Energy</w:t>
      </w:r>
      <w:r w:rsidRPr="00D31CA5">
        <w:rPr>
          <w:rFonts w:ascii="Calibri" w:hAnsi="Calibri" w:cs="Calibri"/>
          <w:noProof/>
          <w:szCs w:val="24"/>
        </w:rPr>
        <w:t>. Elsevier Ltd, 87(6), pp. 1846–1857. doi: 10.1016/j.apenergy.2009.12.001.</w:t>
      </w:r>
    </w:p>
    <w:p w14:paraId="67EBE6CF"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Münster, M. </w:t>
      </w:r>
      <w:r w:rsidRPr="00D31CA5">
        <w:rPr>
          <w:rFonts w:ascii="Calibri" w:hAnsi="Calibri" w:cs="Calibri"/>
          <w:i/>
          <w:iCs/>
          <w:noProof/>
          <w:szCs w:val="24"/>
        </w:rPr>
        <w:t>et al.</w:t>
      </w:r>
      <w:r w:rsidRPr="00D31CA5">
        <w:rPr>
          <w:rFonts w:ascii="Calibri" w:hAnsi="Calibri" w:cs="Calibri"/>
          <w:noProof/>
          <w:szCs w:val="24"/>
        </w:rPr>
        <w:t xml:space="preserve"> (2012) ‘The role of district heating in the future Danish energy system’, </w:t>
      </w:r>
      <w:r w:rsidRPr="00D31CA5">
        <w:rPr>
          <w:rFonts w:ascii="Calibri" w:hAnsi="Calibri" w:cs="Calibri"/>
          <w:i/>
          <w:iCs/>
          <w:noProof/>
          <w:szCs w:val="24"/>
        </w:rPr>
        <w:t>Energy</w:t>
      </w:r>
      <w:r w:rsidRPr="00D31CA5">
        <w:rPr>
          <w:rFonts w:ascii="Calibri" w:hAnsi="Calibri" w:cs="Calibri"/>
          <w:noProof/>
          <w:szCs w:val="24"/>
        </w:rPr>
        <w:t>. Elsevier Ltd, 48(1), pp. 47–55. doi: 10.1016/j.energy.2012.06.011.</w:t>
      </w:r>
    </w:p>
    <w:p w14:paraId="60028E4E"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Nault, J. and Papa, M. (2007) ‘Lifecycle Assessment of a Water Distribution System Pump’, </w:t>
      </w:r>
      <w:r w:rsidRPr="00D31CA5">
        <w:rPr>
          <w:rFonts w:ascii="Calibri" w:hAnsi="Calibri" w:cs="Calibri"/>
          <w:i/>
          <w:iCs/>
          <w:noProof/>
          <w:szCs w:val="24"/>
        </w:rPr>
        <w:t>Water Resource Planning Management</w:t>
      </w:r>
      <w:r w:rsidRPr="00D31CA5">
        <w:rPr>
          <w:rFonts w:ascii="Calibri" w:hAnsi="Calibri" w:cs="Calibri"/>
          <w:noProof/>
          <w:szCs w:val="24"/>
        </w:rPr>
        <w:t>, 89(1), pp. 1–2. doi: 10.1308/003588407X155743.</w:t>
      </w:r>
    </w:p>
    <w:p w14:paraId="5D1A30E2"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Newcastle University (2011) </w:t>
      </w:r>
      <w:r w:rsidRPr="00D31CA5">
        <w:rPr>
          <w:rFonts w:ascii="Calibri" w:hAnsi="Calibri" w:cs="Calibri"/>
          <w:i/>
          <w:iCs/>
          <w:noProof/>
          <w:szCs w:val="24"/>
        </w:rPr>
        <w:t>National sources of low grade heat available from the process industry</w:t>
      </w:r>
      <w:r w:rsidRPr="00D31CA5">
        <w:rPr>
          <w:rFonts w:ascii="Calibri" w:hAnsi="Calibri" w:cs="Calibri"/>
          <w:noProof/>
          <w:szCs w:val="24"/>
        </w:rPr>
        <w:t>. Newcastle, England. doi: 10.1017/CBO9781107415324.004.</w:t>
      </w:r>
    </w:p>
    <w:p w14:paraId="50D2332E"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Nilsson, S. F. </w:t>
      </w:r>
      <w:r w:rsidRPr="00D31CA5">
        <w:rPr>
          <w:rFonts w:ascii="Calibri" w:hAnsi="Calibri" w:cs="Calibri"/>
          <w:i/>
          <w:iCs/>
          <w:noProof/>
          <w:szCs w:val="24"/>
        </w:rPr>
        <w:t>et al.</w:t>
      </w:r>
      <w:r w:rsidRPr="00D31CA5">
        <w:rPr>
          <w:rFonts w:ascii="Calibri" w:hAnsi="Calibri" w:cs="Calibri"/>
          <w:noProof/>
          <w:szCs w:val="24"/>
        </w:rPr>
        <w:t xml:space="preserve"> (2008) ‘Sparse district-heating in Sweden’, </w:t>
      </w:r>
      <w:r w:rsidRPr="00D31CA5">
        <w:rPr>
          <w:rFonts w:ascii="Calibri" w:hAnsi="Calibri" w:cs="Calibri"/>
          <w:i/>
          <w:iCs/>
          <w:noProof/>
          <w:szCs w:val="24"/>
        </w:rPr>
        <w:t>Applied Energy</w:t>
      </w:r>
      <w:r w:rsidRPr="00D31CA5">
        <w:rPr>
          <w:rFonts w:ascii="Calibri" w:hAnsi="Calibri" w:cs="Calibri"/>
          <w:noProof/>
          <w:szCs w:val="24"/>
        </w:rPr>
        <w:t>, 85(7), pp. 555–564. doi: 10.1016/j.apenergy.2007.07.011.</w:t>
      </w:r>
    </w:p>
    <w:p w14:paraId="2B0246D3"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NIST (2018) ‘Reference Fluid Thermodynamic and Transport Properties Database (REFPROP): Version 10’. Gaithersburg, America: National Institute of Standards and Technology. </w:t>
      </w:r>
      <w:r w:rsidRPr="00D31CA5">
        <w:rPr>
          <w:rFonts w:ascii="Calibri" w:hAnsi="Calibri" w:cs="Calibri"/>
          <w:noProof/>
          <w:szCs w:val="24"/>
        </w:rPr>
        <w:lastRenderedPageBreak/>
        <w:t>Available at: https://www.nist.gov/srd/refprop.</w:t>
      </w:r>
    </w:p>
    <w:p w14:paraId="1163E1B3"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Noussan, M. </w:t>
      </w:r>
      <w:r w:rsidRPr="00D31CA5">
        <w:rPr>
          <w:rFonts w:ascii="Calibri" w:hAnsi="Calibri" w:cs="Calibri"/>
          <w:i/>
          <w:iCs/>
          <w:noProof/>
          <w:szCs w:val="24"/>
        </w:rPr>
        <w:t>et al.</w:t>
      </w:r>
      <w:r w:rsidRPr="00D31CA5">
        <w:rPr>
          <w:rFonts w:ascii="Calibri" w:hAnsi="Calibri" w:cs="Calibri"/>
          <w:noProof/>
          <w:szCs w:val="24"/>
        </w:rPr>
        <w:t xml:space="preserve"> (2014) ‘Biomass-fired CHP and heat storage system simulations in existing district heating systems’, </w:t>
      </w:r>
      <w:r w:rsidRPr="00D31CA5">
        <w:rPr>
          <w:rFonts w:ascii="Calibri" w:hAnsi="Calibri" w:cs="Calibri"/>
          <w:i/>
          <w:iCs/>
          <w:noProof/>
          <w:szCs w:val="24"/>
        </w:rPr>
        <w:t>Applied Thermal Engineering</w:t>
      </w:r>
      <w:r w:rsidRPr="00D31CA5">
        <w:rPr>
          <w:rFonts w:ascii="Calibri" w:hAnsi="Calibri" w:cs="Calibri"/>
          <w:noProof/>
          <w:szCs w:val="24"/>
        </w:rPr>
        <w:t>, 71(2). doi: 10.1016/j.applthermaleng.2013.11.021.</w:t>
      </w:r>
    </w:p>
    <w:p w14:paraId="3FD649B9"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Noussan, M., Jarre, M. and Poggio, A. (2017) ‘Real operation data analysis on district heating load patterns’, </w:t>
      </w:r>
      <w:r w:rsidRPr="00D31CA5">
        <w:rPr>
          <w:rFonts w:ascii="Calibri" w:hAnsi="Calibri" w:cs="Calibri"/>
          <w:i/>
          <w:iCs/>
          <w:noProof/>
          <w:szCs w:val="24"/>
        </w:rPr>
        <w:t>Energy</w:t>
      </w:r>
      <w:r w:rsidRPr="00D31CA5">
        <w:rPr>
          <w:rFonts w:ascii="Calibri" w:hAnsi="Calibri" w:cs="Calibri"/>
          <w:noProof/>
          <w:szCs w:val="24"/>
        </w:rPr>
        <w:t>. Elsevier Ltd, 129, pp. 70–78. doi: 10.1016/j.energy.2017.04.079.</w:t>
      </w:r>
    </w:p>
    <w:p w14:paraId="1AD712CE"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Nouvel, R. </w:t>
      </w:r>
      <w:r w:rsidRPr="00D31CA5">
        <w:rPr>
          <w:rFonts w:ascii="Calibri" w:hAnsi="Calibri" w:cs="Calibri"/>
          <w:i/>
          <w:iCs/>
          <w:noProof/>
          <w:szCs w:val="24"/>
        </w:rPr>
        <w:t>et al.</w:t>
      </w:r>
      <w:r w:rsidRPr="00D31CA5">
        <w:rPr>
          <w:rFonts w:ascii="Calibri" w:hAnsi="Calibri" w:cs="Calibri"/>
          <w:noProof/>
          <w:szCs w:val="24"/>
        </w:rPr>
        <w:t xml:space="preserve"> (2013) ‘CityGML-Based 3D City Model for Energy Diagnostics and Urban Energy Policy Support’, </w:t>
      </w:r>
      <w:r w:rsidRPr="00D31CA5">
        <w:rPr>
          <w:rFonts w:ascii="Calibri" w:hAnsi="Calibri" w:cs="Calibri"/>
          <w:i/>
          <w:iCs/>
          <w:noProof/>
          <w:szCs w:val="24"/>
        </w:rPr>
        <w:t>Proceedings of BS2013: 13th Conference of International Building Performance Simulation Association</w:t>
      </w:r>
      <w:r w:rsidRPr="00D31CA5">
        <w:rPr>
          <w:rFonts w:ascii="Calibri" w:hAnsi="Calibri" w:cs="Calibri"/>
          <w:noProof/>
          <w:szCs w:val="24"/>
        </w:rPr>
        <w:t>, (August), pp. 218–225.</w:t>
      </w:r>
    </w:p>
    <w:p w14:paraId="47F91F15"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Nouvel, R. </w:t>
      </w:r>
      <w:r w:rsidRPr="00D31CA5">
        <w:rPr>
          <w:rFonts w:ascii="Calibri" w:hAnsi="Calibri" w:cs="Calibri"/>
          <w:i/>
          <w:iCs/>
          <w:noProof/>
          <w:szCs w:val="24"/>
        </w:rPr>
        <w:t>et al.</w:t>
      </w:r>
      <w:r w:rsidRPr="00D31CA5">
        <w:rPr>
          <w:rFonts w:ascii="Calibri" w:hAnsi="Calibri" w:cs="Calibri"/>
          <w:noProof/>
          <w:szCs w:val="24"/>
        </w:rPr>
        <w:t xml:space="preserve"> (2015) ‘Combining GIS-based statistical and engineering urban heat consumption models: Towards a new framework for multi-scale policy support’, </w:t>
      </w:r>
      <w:r w:rsidRPr="00D31CA5">
        <w:rPr>
          <w:rFonts w:ascii="Calibri" w:hAnsi="Calibri" w:cs="Calibri"/>
          <w:i/>
          <w:iCs/>
          <w:noProof/>
          <w:szCs w:val="24"/>
        </w:rPr>
        <w:t>Energy and Buildings</w:t>
      </w:r>
      <w:r w:rsidRPr="00D31CA5">
        <w:rPr>
          <w:rFonts w:ascii="Calibri" w:hAnsi="Calibri" w:cs="Calibri"/>
          <w:noProof/>
          <w:szCs w:val="24"/>
        </w:rPr>
        <w:t>. Elsevier B.V., 107, pp. 204–212. doi: 10.1016/j.enbuild.2015.08.021.</w:t>
      </w:r>
    </w:p>
    <w:p w14:paraId="3B2A55F3"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NREL (2004) </w:t>
      </w:r>
      <w:r w:rsidRPr="00D31CA5">
        <w:rPr>
          <w:rFonts w:ascii="Calibri" w:hAnsi="Calibri" w:cs="Calibri"/>
          <w:i/>
          <w:iCs/>
          <w:noProof/>
          <w:szCs w:val="24"/>
        </w:rPr>
        <w:t>Upgrade Boilers with Energy-Efficient Burners Background</w:t>
      </w:r>
      <w:r w:rsidRPr="00D31CA5">
        <w:rPr>
          <w:rFonts w:ascii="Calibri" w:hAnsi="Calibri" w:cs="Calibri"/>
          <w:noProof/>
          <w:szCs w:val="24"/>
        </w:rPr>
        <w:t>. Washington, USA. Available at: https://www.nrel.gov/docs/fy04osti/33470.pdf.</w:t>
      </w:r>
    </w:p>
    <w:p w14:paraId="623025A4"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O’Rielly, K. and Jeswiet, J. (2015) ‘Improving Industrial Energy Efficiency through the Implementation of Waste Heat Recovery Systems’, </w:t>
      </w:r>
      <w:r w:rsidRPr="00D31CA5">
        <w:rPr>
          <w:rFonts w:ascii="Calibri" w:hAnsi="Calibri" w:cs="Calibri"/>
          <w:i/>
          <w:iCs/>
          <w:noProof/>
          <w:szCs w:val="24"/>
        </w:rPr>
        <w:t>Transactions of the Canadian Society for Mechanical Engineering</w:t>
      </w:r>
      <w:r w:rsidRPr="00D31CA5">
        <w:rPr>
          <w:rFonts w:ascii="Calibri" w:hAnsi="Calibri" w:cs="Calibri"/>
          <w:noProof/>
          <w:szCs w:val="24"/>
        </w:rPr>
        <w:t>, 39(1), pp. 125–136.</w:t>
      </w:r>
    </w:p>
    <w:p w14:paraId="6C20E0AA"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Ofgem (2017) </w:t>
      </w:r>
      <w:r w:rsidRPr="00D31CA5">
        <w:rPr>
          <w:rFonts w:ascii="Calibri" w:hAnsi="Calibri" w:cs="Calibri"/>
          <w:i/>
          <w:iCs/>
          <w:noProof/>
          <w:szCs w:val="24"/>
        </w:rPr>
        <w:t>Renewable Obligation</w:t>
      </w:r>
      <w:r w:rsidRPr="00D31CA5">
        <w:rPr>
          <w:rFonts w:ascii="Calibri" w:hAnsi="Calibri" w:cs="Calibri"/>
          <w:noProof/>
          <w:szCs w:val="24"/>
        </w:rPr>
        <w:t>. London, England. Available at: https://www.ofgem.gov.uk/system/files/docs/2017/03/ro_guidance_for_generators-130317.pdf.</w:t>
      </w:r>
    </w:p>
    <w:p w14:paraId="4457BCAA"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Olsen, P. K. (2014) </w:t>
      </w:r>
      <w:r w:rsidRPr="00D31CA5">
        <w:rPr>
          <w:rFonts w:ascii="Calibri" w:hAnsi="Calibri" w:cs="Calibri"/>
          <w:i/>
          <w:iCs/>
          <w:noProof/>
          <w:szCs w:val="24"/>
        </w:rPr>
        <w:t>Guidelines for Low-Temperature District Heating</w:t>
      </w:r>
      <w:r w:rsidRPr="00D31CA5">
        <w:rPr>
          <w:rFonts w:ascii="Calibri" w:hAnsi="Calibri" w:cs="Calibri"/>
          <w:noProof/>
          <w:szCs w:val="24"/>
        </w:rPr>
        <w:t xml:space="preserve">, </w:t>
      </w:r>
      <w:r w:rsidRPr="00D31CA5">
        <w:rPr>
          <w:rFonts w:ascii="Calibri" w:hAnsi="Calibri" w:cs="Calibri"/>
          <w:i/>
          <w:iCs/>
          <w:noProof/>
          <w:szCs w:val="24"/>
        </w:rPr>
        <w:t>EUDP 2010-II: Full-Scale Demonstration of Low-Temperature District Heating in Existing Buildings</w:t>
      </w:r>
      <w:r w:rsidRPr="00D31CA5">
        <w:rPr>
          <w:rFonts w:ascii="Calibri" w:hAnsi="Calibri" w:cs="Calibri"/>
          <w:noProof/>
          <w:szCs w:val="24"/>
        </w:rPr>
        <w:t>. Copenhagen, Denmark.</w:t>
      </w:r>
    </w:p>
    <w:p w14:paraId="74ED969A"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Olsson, L., Wetterlund, E. and Söderström, M. (2015) ‘Assessing the climate impact of district heating systems with combined heat and power production and industrial excess heat’, </w:t>
      </w:r>
      <w:r w:rsidRPr="00D31CA5">
        <w:rPr>
          <w:rFonts w:ascii="Calibri" w:hAnsi="Calibri" w:cs="Calibri"/>
          <w:i/>
          <w:iCs/>
          <w:noProof/>
          <w:szCs w:val="24"/>
        </w:rPr>
        <w:t>Resources, Conservation and Recycling</w:t>
      </w:r>
      <w:r w:rsidRPr="00D31CA5">
        <w:rPr>
          <w:rFonts w:ascii="Calibri" w:hAnsi="Calibri" w:cs="Calibri"/>
          <w:noProof/>
          <w:szCs w:val="24"/>
        </w:rPr>
        <w:t>. Elsevier B.V., 96(0), pp. 31–39. doi: http://dx.doi.org/10.1016/j.resconrec.2015.01.006.</w:t>
      </w:r>
    </w:p>
    <w:p w14:paraId="59B791C6"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ONS (2009) </w:t>
      </w:r>
      <w:r w:rsidRPr="00D31CA5">
        <w:rPr>
          <w:rFonts w:ascii="Calibri" w:hAnsi="Calibri" w:cs="Calibri"/>
          <w:i/>
          <w:iCs/>
          <w:noProof/>
          <w:szCs w:val="24"/>
        </w:rPr>
        <w:t>Population estimate for UK, England and Wales, Scotland and Northern Ireland</w:t>
      </w:r>
      <w:r w:rsidRPr="00D31CA5">
        <w:rPr>
          <w:rFonts w:ascii="Calibri" w:hAnsi="Calibri" w:cs="Calibri"/>
          <w:noProof/>
          <w:szCs w:val="24"/>
        </w:rPr>
        <w:t>. London, England.</w:t>
      </w:r>
    </w:p>
    <w:p w14:paraId="72602E45"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ONS (2011a) </w:t>
      </w:r>
      <w:r w:rsidRPr="00D31CA5">
        <w:rPr>
          <w:rFonts w:ascii="Calibri" w:hAnsi="Calibri" w:cs="Calibri"/>
          <w:i/>
          <w:iCs/>
          <w:noProof/>
          <w:szCs w:val="24"/>
        </w:rPr>
        <w:t>Output Area (OA)</w:t>
      </w:r>
      <w:r w:rsidRPr="00D31CA5">
        <w:rPr>
          <w:rFonts w:ascii="Calibri" w:hAnsi="Calibri" w:cs="Calibri"/>
          <w:noProof/>
          <w:szCs w:val="24"/>
        </w:rPr>
        <w:t>. Available at: http://webarchive.nationalarchives.gov.uk/20160105160709/http://www.ons.gov.uk/ons/guide-method/geography/beginner-s-guide/census/output-area--oas-/index.html (Accessed: 14 September 2018).</w:t>
      </w:r>
    </w:p>
    <w:p w14:paraId="6EDC08FF"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ONS (2011b) </w:t>
      </w:r>
      <w:r w:rsidRPr="00D31CA5">
        <w:rPr>
          <w:rFonts w:ascii="Calibri" w:hAnsi="Calibri" w:cs="Calibri"/>
          <w:i/>
          <w:iCs/>
          <w:noProof/>
          <w:szCs w:val="24"/>
        </w:rPr>
        <w:t>QS102EW - Population density</w:t>
      </w:r>
      <w:r w:rsidRPr="00D31CA5">
        <w:rPr>
          <w:rFonts w:ascii="Calibri" w:hAnsi="Calibri" w:cs="Calibri"/>
          <w:noProof/>
          <w:szCs w:val="24"/>
        </w:rPr>
        <w:t>. London, England.</w:t>
      </w:r>
    </w:p>
    <w:p w14:paraId="0A520943"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ONS (2014) </w:t>
      </w:r>
      <w:r w:rsidRPr="00D31CA5">
        <w:rPr>
          <w:rFonts w:ascii="Calibri" w:hAnsi="Calibri" w:cs="Calibri"/>
          <w:i/>
          <w:iCs/>
          <w:noProof/>
          <w:szCs w:val="24"/>
        </w:rPr>
        <w:t>Neighbourhood Statistics</w:t>
      </w:r>
      <w:r w:rsidRPr="00D31CA5">
        <w:rPr>
          <w:rFonts w:ascii="Calibri" w:hAnsi="Calibri" w:cs="Calibri"/>
          <w:noProof/>
          <w:szCs w:val="24"/>
        </w:rPr>
        <w:t>. London, England.</w:t>
      </w:r>
    </w:p>
    <w:p w14:paraId="083A151A"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ONS (2017) </w:t>
      </w:r>
      <w:r w:rsidRPr="00D31CA5">
        <w:rPr>
          <w:rFonts w:ascii="Calibri" w:hAnsi="Calibri" w:cs="Calibri"/>
          <w:i/>
          <w:iCs/>
          <w:noProof/>
          <w:szCs w:val="24"/>
        </w:rPr>
        <w:t>Digest of UK Energy Statistics (DUKES): Energy</w:t>
      </w:r>
      <w:r w:rsidRPr="00D31CA5">
        <w:rPr>
          <w:rFonts w:ascii="Calibri" w:hAnsi="Calibri" w:cs="Calibri"/>
          <w:noProof/>
          <w:szCs w:val="24"/>
        </w:rPr>
        <w:t>. London, England. Available at: https://www.gov.uk/government/uploads/system/uploads/attachment_data/file/642716/Chapter_1.pdf.</w:t>
      </w:r>
    </w:p>
    <w:p w14:paraId="37483E0B"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Østergaard, P. A. and Andersen, A. N. (2018) ‘Economic feasibility of booster heat pumps in heat pump-based district heating systems’, </w:t>
      </w:r>
      <w:r w:rsidRPr="00D31CA5">
        <w:rPr>
          <w:rFonts w:ascii="Calibri" w:hAnsi="Calibri" w:cs="Calibri"/>
          <w:i/>
          <w:iCs/>
          <w:noProof/>
          <w:szCs w:val="24"/>
        </w:rPr>
        <w:t>Energy</w:t>
      </w:r>
      <w:r w:rsidRPr="00D31CA5">
        <w:rPr>
          <w:rFonts w:ascii="Calibri" w:hAnsi="Calibri" w:cs="Calibri"/>
          <w:noProof/>
          <w:szCs w:val="24"/>
        </w:rPr>
        <w:t xml:space="preserve">. Elsevier Ltd, 155, pp. 921–929. doi: </w:t>
      </w:r>
      <w:r w:rsidRPr="00D31CA5">
        <w:rPr>
          <w:rFonts w:ascii="Calibri" w:hAnsi="Calibri" w:cs="Calibri"/>
          <w:noProof/>
          <w:szCs w:val="24"/>
        </w:rPr>
        <w:lastRenderedPageBreak/>
        <w:t>10.1016/j.energy.2018.05.076.</w:t>
      </w:r>
    </w:p>
    <w:p w14:paraId="6980FD4B"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Palsson, H. (1999) </w:t>
      </w:r>
      <w:r w:rsidRPr="00D31CA5">
        <w:rPr>
          <w:rFonts w:ascii="Calibri" w:hAnsi="Calibri" w:cs="Calibri"/>
          <w:i/>
          <w:iCs/>
          <w:noProof/>
          <w:szCs w:val="24"/>
        </w:rPr>
        <w:t>Equivalent models of district heating systems for on-line minimization of operational costs of the complete district heating system</w:t>
      </w:r>
      <w:r w:rsidRPr="00D31CA5">
        <w:rPr>
          <w:rFonts w:ascii="Calibri" w:hAnsi="Calibri" w:cs="Calibri"/>
          <w:noProof/>
          <w:szCs w:val="24"/>
        </w:rPr>
        <w:t>. Technical University of Denmark.</w:t>
      </w:r>
    </w:p>
    <w:p w14:paraId="14820329"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Park, T. C. </w:t>
      </w:r>
      <w:r w:rsidRPr="00D31CA5">
        <w:rPr>
          <w:rFonts w:ascii="Calibri" w:hAnsi="Calibri" w:cs="Calibri"/>
          <w:i/>
          <w:iCs/>
          <w:noProof/>
          <w:szCs w:val="24"/>
        </w:rPr>
        <w:t>et al.</w:t>
      </w:r>
      <w:r w:rsidRPr="00D31CA5">
        <w:rPr>
          <w:rFonts w:ascii="Calibri" w:hAnsi="Calibri" w:cs="Calibri"/>
          <w:noProof/>
          <w:szCs w:val="24"/>
        </w:rPr>
        <w:t xml:space="preserve"> (2010) ‘Heat consumption forecasting using partial least squares, artificial neural network and support vector regression techniques in district heating systems’, </w:t>
      </w:r>
      <w:r w:rsidRPr="00D31CA5">
        <w:rPr>
          <w:rFonts w:ascii="Calibri" w:hAnsi="Calibri" w:cs="Calibri"/>
          <w:i/>
          <w:iCs/>
          <w:noProof/>
          <w:szCs w:val="24"/>
        </w:rPr>
        <w:t>Korean Journal of Chemical Engineering</w:t>
      </w:r>
      <w:r w:rsidRPr="00D31CA5">
        <w:rPr>
          <w:rFonts w:ascii="Calibri" w:hAnsi="Calibri" w:cs="Calibri"/>
          <w:noProof/>
          <w:szCs w:val="24"/>
        </w:rPr>
        <w:t>, 27(4), pp. 1063–1071. doi: 10.1007/s11814-010-0220-9.</w:t>
      </w:r>
    </w:p>
    <w:p w14:paraId="5ABFF85C"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Parliament of the United Kingdom (2006) </w:t>
      </w:r>
      <w:r w:rsidRPr="00D31CA5">
        <w:rPr>
          <w:rFonts w:ascii="Calibri" w:hAnsi="Calibri" w:cs="Calibri"/>
          <w:i/>
          <w:iCs/>
          <w:noProof/>
          <w:szCs w:val="24"/>
        </w:rPr>
        <w:t>Climate Change and Sustainable Energy Act 2006</w:t>
      </w:r>
      <w:r w:rsidRPr="00D31CA5">
        <w:rPr>
          <w:rFonts w:ascii="Calibri" w:hAnsi="Calibri" w:cs="Calibri"/>
          <w:noProof/>
          <w:szCs w:val="24"/>
        </w:rPr>
        <w:t>. London, England: Parliament of the United Kingdom. doi: 10.1016/j.trac.2011.06.012.</w:t>
      </w:r>
    </w:p>
    <w:p w14:paraId="11A7D1AB"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Parliament of the United Kingdom (2008) </w:t>
      </w:r>
      <w:r w:rsidRPr="00D31CA5">
        <w:rPr>
          <w:rFonts w:ascii="Calibri" w:hAnsi="Calibri" w:cs="Calibri"/>
          <w:i/>
          <w:iCs/>
          <w:noProof/>
          <w:szCs w:val="24"/>
        </w:rPr>
        <w:t>Climate Change Act 2008</w:t>
      </w:r>
      <w:r w:rsidRPr="00D31CA5">
        <w:rPr>
          <w:rFonts w:ascii="Calibri" w:hAnsi="Calibri" w:cs="Calibri"/>
          <w:noProof/>
          <w:szCs w:val="24"/>
        </w:rPr>
        <w:t>. London, England: Parliament of the United Kingdom. doi: 10.1136/bmj.39469.569815.47.</w:t>
      </w:r>
    </w:p>
    <w:p w14:paraId="6E234457"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Parsons Brinckerhoff (2011) </w:t>
      </w:r>
      <w:r w:rsidRPr="00D31CA5">
        <w:rPr>
          <w:rFonts w:ascii="Calibri" w:hAnsi="Calibri" w:cs="Calibri"/>
          <w:i/>
          <w:iCs/>
          <w:noProof/>
          <w:szCs w:val="24"/>
        </w:rPr>
        <w:t>A District Heating Utility for the Tees Valley: Study into the strategic use of waste heat and supply of private sector customers</w:t>
      </w:r>
      <w:r w:rsidRPr="00D31CA5">
        <w:rPr>
          <w:rFonts w:ascii="Calibri" w:hAnsi="Calibri" w:cs="Calibri"/>
          <w:noProof/>
          <w:szCs w:val="24"/>
        </w:rPr>
        <w:t>. London, England.</w:t>
      </w:r>
    </w:p>
    <w:p w14:paraId="5A01B8C9"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Pateman, T. (2011) </w:t>
      </w:r>
      <w:r w:rsidRPr="00D31CA5">
        <w:rPr>
          <w:rFonts w:ascii="Calibri" w:hAnsi="Calibri" w:cs="Calibri"/>
          <w:i/>
          <w:iCs/>
          <w:noProof/>
          <w:szCs w:val="24"/>
        </w:rPr>
        <w:t>Rural and urban areas: comparing lives using rural/ urban classifications</w:t>
      </w:r>
      <w:r w:rsidRPr="00D31CA5">
        <w:rPr>
          <w:rFonts w:ascii="Calibri" w:hAnsi="Calibri" w:cs="Calibri"/>
          <w:noProof/>
          <w:szCs w:val="24"/>
        </w:rPr>
        <w:t>. London, England. doi: 10.1057/rt.2011.2.</w:t>
      </w:r>
    </w:p>
    <w:p w14:paraId="0F1AE88A"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Persson, C., Fröling, M. and Svanström, M. (2006) ‘Life Cycle Assessment of the District Heat Distribution System - Part 3: Use Phase and Overall Discussion’, </w:t>
      </w:r>
      <w:r w:rsidRPr="00D31CA5">
        <w:rPr>
          <w:rFonts w:ascii="Calibri" w:hAnsi="Calibri" w:cs="Calibri"/>
          <w:i/>
          <w:iCs/>
          <w:noProof/>
          <w:szCs w:val="24"/>
        </w:rPr>
        <w:t>The International Journal of Life Cycle Assessment</w:t>
      </w:r>
      <w:r w:rsidRPr="00D31CA5">
        <w:rPr>
          <w:rFonts w:ascii="Calibri" w:hAnsi="Calibri" w:cs="Calibri"/>
          <w:noProof/>
          <w:szCs w:val="24"/>
        </w:rPr>
        <w:t>, 11(6), pp. 437–446. doi: 10.1065/lca2005.08.225.</w:t>
      </w:r>
    </w:p>
    <w:p w14:paraId="1657B0BB"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Persson, U. and Werner, S. (2011) ‘Heat distribution and the future competitiveness of district heating’, </w:t>
      </w:r>
      <w:r w:rsidRPr="00D31CA5">
        <w:rPr>
          <w:rFonts w:ascii="Calibri" w:hAnsi="Calibri" w:cs="Calibri"/>
          <w:i/>
          <w:iCs/>
          <w:noProof/>
          <w:szCs w:val="24"/>
        </w:rPr>
        <w:t>Applied Energy</w:t>
      </w:r>
      <w:r w:rsidRPr="00D31CA5">
        <w:rPr>
          <w:rFonts w:ascii="Calibri" w:hAnsi="Calibri" w:cs="Calibri"/>
          <w:noProof/>
          <w:szCs w:val="24"/>
        </w:rPr>
        <w:t>. Elsevier Ltd, 88(3), pp. 568–576. doi: 10.1016/j.apenergy.2010.09.020.</w:t>
      </w:r>
    </w:p>
    <w:p w14:paraId="3D23AB0F"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Perzon, M., Johansson, K. and Fröling, M. (2007) ‘Life Cycle Assessment of District Heat Distribution in Suburban Areas Using PEX Pipes Insulated with Expanded Polystyrene’, </w:t>
      </w:r>
      <w:r w:rsidRPr="00D31CA5">
        <w:rPr>
          <w:rFonts w:ascii="Calibri" w:hAnsi="Calibri" w:cs="Calibri"/>
          <w:i/>
          <w:iCs/>
          <w:noProof/>
          <w:szCs w:val="24"/>
        </w:rPr>
        <w:t>The International Journal of Life Cycle Assessment</w:t>
      </w:r>
      <w:r w:rsidRPr="00D31CA5">
        <w:rPr>
          <w:rFonts w:ascii="Calibri" w:hAnsi="Calibri" w:cs="Calibri"/>
          <w:noProof/>
          <w:szCs w:val="24"/>
        </w:rPr>
        <w:t>, 12(5), pp. 317–327. doi: 10.1007/s11367-006-0264-6.</w:t>
      </w:r>
    </w:p>
    <w:p w14:paraId="1C662FF9"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Pirouti, M. (2013) </w:t>
      </w:r>
      <w:r w:rsidRPr="00D31CA5">
        <w:rPr>
          <w:rFonts w:ascii="Calibri" w:hAnsi="Calibri" w:cs="Calibri"/>
          <w:i/>
          <w:iCs/>
          <w:noProof/>
          <w:szCs w:val="24"/>
        </w:rPr>
        <w:t>Modelling and Analysis of a District Heating Network</w:t>
      </w:r>
      <w:r w:rsidRPr="00D31CA5">
        <w:rPr>
          <w:rFonts w:ascii="Calibri" w:hAnsi="Calibri" w:cs="Calibri"/>
          <w:noProof/>
          <w:szCs w:val="24"/>
        </w:rPr>
        <w:t>. Cardiff University.</w:t>
      </w:r>
    </w:p>
    <w:p w14:paraId="174B2EEA"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Pisello, A. L., Goretti, M. and Cotana, F. (2012) ‘A method for assessing buildings’ energy efficiency by dynamic simulation and experimental activity’, </w:t>
      </w:r>
      <w:r w:rsidRPr="00D31CA5">
        <w:rPr>
          <w:rFonts w:ascii="Calibri" w:hAnsi="Calibri" w:cs="Calibri"/>
          <w:i/>
          <w:iCs/>
          <w:noProof/>
          <w:szCs w:val="24"/>
        </w:rPr>
        <w:t>Applied Energy</w:t>
      </w:r>
      <w:r w:rsidRPr="00D31CA5">
        <w:rPr>
          <w:rFonts w:ascii="Calibri" w:hAnsi="Calibri" w:cs="Calibri"/>
          <w:noProof/>
          <w:szCs w:val="24"/>
        </w:rPr>
        <w:t>. Elsevier Ltd, 97, pp. 419–429. doi: 10.1016/j.apenergy.2011.12.094.</w:t>
      </w:r>
    </w:p>
    <w:p w14:paraId="3A53771D"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Porteous, A. (2005) ‘Why energy from waste incineration is an essential component of environmentally responsible waste management’, </w:t>
      </w:r>
      <w:r w:rsidRPr="00D31CA5">
        <w:rPr>
          <w:rFonts w:ascii="Calibri" w:hAnsi="Calibri" w:cs="Calibri"/>
          <w:i/>
          <w:iCs/>
          <w:noProof/>
          <w:szCs w:val="24"/>
        </w:rPr>
        <w:t>Waste Management</w:t>
      </w:r>
      <w:r w:rsidRPr="00D31CA5">
        <w:rPr>
          <w:rFonts w:ascii="Calibri" w:hAnsi="Calibri" w:cs="Calibri"/>
          <w:noProof/>
          <w:szCs w:val="24"/>
        </w:rPr>
        <w:t>, 25, pp. 451–459. doi: 10.1016/j.wasman.2005.02.008.</w:t>
      </w:r>
    </w:p>
    <w:p w14:paraId="2F0D5E8A"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PPI (2009) ‘Design of PE Piping Systems’, in </w:t>
      </w:r>
      <w:r w:rsidRPr="00D31CA5">
        <w:rPr>
          <w:rFonts w:ascii="Calibri" w:hAnsi="Calibri" w:cs="Calibri"/>
          <w:i/>
          <w:iCs/>
          <w:noProof/>
          <w:szCs w:val="24"/>
        </w:rPr>
        <w:t>HANDBOOK OF POLYETHYLENE PIPE</w:t>
      </w:r>
      <w:r w:rsidRPr="00D31CA5">
        <w:rPr>
          <w:rFonts w:ascii="Calibri" w:hAnsi="Calibri" w:cs="Calibri"/>
          <w:noProof/>
          <w:szCs w:val="24"/>
        </w:rPr>
        <w:t>. 2nd edn. Irving, America: Plastic Pipe Institute, pp. 155–264. Available at: http://plasticpipe.org/pdf/chapter06.pdf.</w:t>
      </w:r>
    </w:p>
    <w:p w14:paraId="2EF0A728"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Raab, S., Mangold, D. and Müller-Steinhagen, H. (2005) ‘Validation of a computer model for solar assisted district heating systems with seasonal hot water heat store’, </w:t>
      </w:r>
      <w:r w:rsidRPr="00D31CA5">
        <w:rPr>
          <w:rFonts w:ascii="Calibri" w:hAnsi="Calibri" w:cs="Calibri"/>
          <w:i/>
          <w:iCs/>
          <w:noProof/>
          <w:szCs w:val="24"/>
        </w:rPr>
        <w:t>Solar Energy</w:t>
      </w:r>
      <w:r w:rsidRPr="00D31CA5">
        <w:rPr>
          <w:rFonts w:ascii="Calibri" w:hAnsi="Calibri" w:cs="Calibri"/>
          <w:noProof/>
          <w:szCs w:val="24"/>
        </w:rPr>
        <w:t>, 79(5), pp. 531–543. doi: 10.1016/j.solener.2004.10.014.</w:t>
      </w:r>
    </w:p>
    <w:p w14:paraId="614966E5"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Raine, R. D. (2016) </w:t>
      </w:r>
      <w:r w:rsidRPr="00D31CA5">
        <w:rPr>
          <w:rFonts w:ascii="Calibri" w:hAnsi="Calibri" w:cs="Calibri"/>
          <w:i/>
          <w:iCs/>
          <w:noProof/>
          <w:szCs w:val="24"/>
        </w:rPr>
        <w:t>Sheffield’s Low Carbon Heat Network and its Energy Storage Potential</w:t>
      </w:r>
      <w:r w:rsidRPr="00D31CA5">
        <w:rPr>
          <w:rFonts w:ascii="Calibri" w:hAnsi="Calibri" w:cs="Calibri"/>
          <w:noProof/>
          <w:szCs w:val="24"/>
        </w:rPr>
        <w:t>. The University of Sheffield.</w:t>
      </w:r>
    </w:p>
    <w:p w14:paraId="57FD5654"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Raine, R. D., Sharifi, V. N. and Swithenbank, J. (2014) ‘Optimisation of combined heat and </w:t>
      </w:r>
      <w:r w:rsidRPr="00D31CA5">
        <w:rPr>
          <w:rFonts w:ascii="Calibri" w:hAnsi="Calibri" w:cs="Calibri"/>
          <w:noProof/>
          <w:szCs w:val="24"/>
        </w:rPr>
        <w:lastRenderedPageBreak/>
        <w:t xml:space="preserve">power production for buildings using heat storage’, </w:t>
      </w:r>
      <w:r w:rsidRPr="00D31CA5">
        <w:rPr>
          <w:rFonts w:ascii="Calibri" w:hAnsi="Calibri" w:cs="Calibri"/>
          <w:i/>
          <w:iCs/>
          <w:noProof/>
          <w:szCs w:val="24"/>
        </w:rPr>
        <w:t>Energy Conversion and Management</w:t>
      </w:r>
      <w:r w:rsidRPr="00D31CA5">
        <w:rPr>
          <w:rFonts w:ascii="Calibri" w:hAnsi="Calibri" w:cs="Calibri"/>
          <w:noProof/>
          <w:szCs w:val="24"/>
        </w:rPr>
        <w:t>. Elsevier Ltd, 87, pp. 164–174. doi: 10.1016/j.enconman.2014.07.022.</w:t>
      </w:r>
    </w:p>
    <w:p w14:paraId="2CE5A703"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Reidhav, C. and Werner, S. (2008) ‘Profitability of sparse district heating’, </w:t>
      </w:r>
      <w:r w:rsidRPr="00D31CA5">
        <w:rPr>
          <w:rFonts w:ascii="Calibri" w:hAnsi="Calibri" w:cs="Calibri"/>
          <w:i/>
          <w:iCs/>
          <w:noProof/>
          <w:szCs w:val="24"/>
        </w:rPr>
        <w:t>Applied Energy</w:t>
      </w:r>
      <w:r w:rsidRPr="00D31CA5">
        <w:rPr>
          <w:rFonts w:ascii="Calibri" w:hAnsi="Calibri" w:cs="Calibri"/>
          <w:noProof/>
          <w:szCs w:val="24"/>
        </w:rPr>
        <w:t>, 85(9), pp. 867–877. doi: 10.1016/j.apenergy.2008.01.006.</w:t>
      </w:r>
    </w:p>
    <w:p w14:paraId="0144F769"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Reynders, G., Nuytten, T. and Saelens, D. (2013) ‘Potential of structural thermal mass for demand-side management in dwellings’, </w:t>
      </w:r>
      <w:r w:rsidRPr="00D31CA5">
        <w:rPr>
          <w:rFonts w:ascii="Calibri" w:hAnsi="Calibri" w:cs="Calibri"/>
          <w:i/>
          <w:iCs/>
          <w:noProof/>
          <w:szCs w:val="24"/>
        </w:rPr>
        <w:t>Building and Environment</w:t>
      </w:r>
      <w:r w:rsidRPr="00D31CA5">
        <w:rPr>
          <w:rFonts w:ascii="Calibri" w:hAnsi="Calibri" w:cs="Calibri"/>
          <w:noProof/>
          <w:szCs w:val="24"/>
        </w:rPr>
        <w:t>. Elsevier Ltd, 64, pp. 187–199. doi: 10.1016/j.buildenv.2013.03.010.</w:t>
      </w:r>
    </w:p>
    <w:p w14:paraId="4DD4180A"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Rezaie, B. and Rosen, M. A. (2012) ‘District heating and cooling: Review of technology and potential enhancements’, </w:t>
      </w:r>
      <w:r w:rsidRPr="00D31CA5">
        <w:rPr>
          <w:rFonts w:ascii="Calibri" w:hAnsi="Calibri" w:cs="Calibri"/>
          <w:i/>
          <w:iCs/>
          <w:noProof/>
          <w:szCs w:val="24"/>
        </w:rPr>
        <w:t>Applied Energy</w:t>
      </w:r>
      <w:r w:rsidRPr="00D31CA5">
        <w:rPr>
          <w:rFonts w:ascii="Calibri" w:hAnsi="Calibri" w:cs="Calibri"/>
          <w:noProof/>
          <w:szCs w:val="24"/>
        </w:rPr>
        <w:t>. Elsevier Ltd, 93, pp. 2–10. doi: 10.1016/j.apenergy.2011.04.020.</w:t>
      </w:r>
    </w:p>
    <w:p w14:paraId="5CAB0782"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Rohrer, W. M. (2007) ‘Chapter 8: Waste-heat recovery’, in Turner, W. C. and Doty, S. (eds) </w:t>
      </w:r>
      <w:r w:rsidRPr="00D31CA5">
        <w:rPr>
          <w:rFonts w:ascii="Calibri" w:hAnsi="Calibri" w:cs="Calibri"/>
          <w:i/>
          <w:iCs/>
          <w:noProof/>
          <w:szCs w:val="24"/>
        </w:rPr>
        <w:t>Energy Management Handbook</w:t>
      </w:r>
      <w:r w:rsidRPr="00D31CA5">
        <w:rPr>
          <w:rFonts w:ascii="Calibri" w:hAnsi="Calibri" w:cs="Calibri"/>
          <w:noProof/>
          <w:szCs w:val="24"/>
        </w:rPr>
        <w:t>. 6th edn. Lilburn, USA: Farimont Press, pp. 193–220.</w:t>
      </w:r>
    </w:p>
    <w:p w14:paraId="284BDD4C"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Romanchenko, D. </w:t>
      </w:r>
      <w:r w:rsidRPr="00D31CA5">
        <w:rPr>
          <w:rFonts w:ascii="Calibri" w:hAnsi="Calibri" w:cs="Calibri"/>
          <w:i/>
          <w:iCs/>
          <w:noProof/>
          <w:szCs w:val="24"/>
        </w:rPr>
        <w:t>et al.</w:t>
      </w:r>
      <w:r w:rsidRPr="00D31CA5">
        <w:rPr>
          <w:rFonts w:ascii="Calibri" w:hAnsi="Calibri" w:cs="Calibri"/>
          <w:noProof/>
          <w:szCs w:val="24"/>
        </w:rPr>
        <w:t xml:space="preserve"> (2018) ‘Thermal energy storage in district heating: Centralised storage vs. storage in thermal inertia of buildings’, </w:t>
      </w:r>
      <w:r w:rsidRPr="00D31CA5">
        <w:rPr>
          <w:rFonts w:ascii="Calibri" w:hAnsi="Calibri" w:cs="Calibri"/>
          <w:i/>
          <w:iCs/>
          <w:noProof/>
          <w:szCs w:val="24"/>
        </w:rPr>
        <w:t>Energy Conversion and Management</w:t>
      </w:r>
      <w:r w:rsidRPr="00D31CA5">
        <w:rPr>
          <w:rFonts w:ascii="Calibri" w:hAnsi="Calibri" w:cs="Calibri"/>
          <w:noProof/>
          <w:szCs w:val="24"/>
        </w:rPr>
        <w:t>. Elsevier, 162(October 2017), pp. 26–38. doi: 10.1016/j.enconman.2018.01.068.</w:t>
      </w:r>
    </w:p>
    <w:p w14:paraId="017562A3"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Rosen, M. A. (2008) ‘Allocating carbon dioxide emissions from cogeneration systems: descriptions of selected output-based methods’, </w:t>
      </w:r>
      <w:r w:rsidRPr="00D31CA5">
        <w:rPr>
          <w:rFonts w:ascii="Calibri" w:hAnsi="Calibri" w:cs="Calibri"/>
          <w:i/>
          <w:iCs/>
          <w:noProof/>
          <w:szCs w:val="24"/>
        </w:rPr>
        <w:t>Journal of Cleaner Production</w:t>
      </w:r>
      <w:r w:rsidRPr="00D31CA5">
        <w:rPr>
          <w:rFonts w:ascii="Calibri" w:hAnsi="Calibri" w:cs="Calibri"/>
          <w:noProof/>
          <w:szCs w:val="24"/>
        </w:rPr>
        <w:t>, 16(2), pp. 171–177. doi: 10.1016/j.jclepro.2006.08.025.</w:t>
      </w:r>
    </w:p>
    <w:p w14:paraId="0F55B945"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Rudra, S. and Rosendahl, L. (2017) ‘Techno-economic analysis of a local district heating plant under fuel flexibility and performance’, </w:t>
      </w:r>
      <w:r w:rsidRPr="00D31CA5">
        <w:rPr>
          <w:rFonts w:ascii="Calibri" w:hAnsi="Calibri" w:cs="Calibri"/>
          <w:i/>
          <w:iCs/>
          <w:noProof/>
          <w:szCs w:val="24"/>
        </w:rPr>
        <w:t>Energy Efficiency</w:t>
      </w:r>
      <w:r w:rsidRPr="00D31CA5">
        <w:rPr>
          <w:rFonts w:ascii="Calibri" w:hAnsi="Calibri" w:cs="Calibri"/>
          <w:noProof/>
          <w:szCs w:val="24"/>
        </w:rPr>
        <w:t>. Energy Efficiency, 10(3), pp. 613–624. doi: 10.1007/s12053-016-9475-2.</w:t>
      </w:r>
    </w:p>
    <w:p w14:paraId="66B14C6E"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Safaei, H. and Keith, D. W. (2014) ‘Compressed air energy storage with waste heat export: An Alberta case study’, </w:t>
      </w:r>
      <w:r w:rsidRPr="00D31CA5">
        <w:rPr>
          <w:rFonts w:ascii="Calibri" w:hAnsi="Calibri" w:cs="Calibri"/>
          <w:i/>
          <w:iCs/>
          <w:noProof/>
          <w:szCs w:val="24"/>
        </w:rPr>
        <w:t>Energy Conversion and Management</w:t>
      </w:r>
      <w:r w:rsidRPr="00D31CA5">
        <w:rPr>
          <w:rFonts w:ascii="Calibri" w:hAnsi="Calibri" w:cs="Calibri"/>
          <w:noProof/>
          <w:szCs w:val="24"/>
        </w:rPr>
        <w:t>. Elsevier Ltd, 78, pp. 114–124. doi: 10.1016/j.enconman.2013.10.043.</w:t>
      </w:r>
    </w:p>
    <w:p w14:paraId="3ACDFE6D"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Sameti, M. and Haghighat, F. (2017) ‘Optimization approaches in district heating and cooling thermal network’, </w:t>
      </w:r>
      <w:r w:rsidRPr="00D31CA5">
        <w:rPr>
          <w:rFonts w:ascii="Calibri" w:hAnsi="Calibri" w:cs="Calibri"/>
          <w:i/>
          <w:iCs/>
          <w:noProof/>
          <w:szCs w:val="24"/>
        </w:rPr>
        <w:t>Energy and Buildings</w:t>
      </w:r>
      <w:r w:rsidRPr="00D31CA5">
        <w:rPr>
          <w:rFonts w:ascii="Calibri" w:hAnsi="Calibri" w:cs="Calibri"/>
          <w:noProof/>
          <w:szCs w:val="24"/>
        </w:rPr>
        <w:t>. Elsevier B.V., 140, pp. 121–130. doi: 10.1016/j.enbuild.2017.01.062.</w:t>
      </w:r>
    </w:p>
    <w:p w14:paraId="0BA67152"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Sarbu, I. and Sebarchievici, C. (2018) ‘A Comprehensive Review of Thermal Energy Storage’, </w:t>
      </w:r>
      <w:r w:rsidRPr="00D31CA5">
        <w:rPr>
          <w:rFonts w:ascii="Calibri" w:hAnsi="Calibri" w:cs="Calibri"/>
          <w:i/>
          <w:iCs/>
          <w:noProof/>
          <w:szCs w:val="24"/>
        </w:rPr>
        <w:t>Sustainability</w:t>
      </w:r>
      <w:r w:rsidRPr="00D31CA5">
        <w:rPr>
          <w:rFonts w:ascii="Calibri" w:hAnsi="Calibri" w:cs="Calibri"/>
          <w:noProof/>
          <w:szCs w:val="24"/>
        </w:rPr>
        <w:t>, 10(1), p. 191. doi: 10.3390/su10010191.</w:t>
      </w:r>
    </w:p>
    <w:p w14:paraId="0B56027A"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Schillings, C. and Simon, S. (2011) ‘The Potential for District Heating Based on Renewable Energy – A Spatial Analysis’, in Kronenberg, T. and Kuckshinrichs, W. (eds) </w:t>
      </w:r>
      <w:r w:rsidRPr="00D31CA5">
        <w:rPr>
          <w:rFonts w:ascii="Calibri" w:hAnsi="Calibri" w:cs="Calibri"/>
          <w:i/>
          <w:iCs/>
          <w:noProof/>
          <w:szCs w:val="24"/>
        </w:rPr>
        <w:t>Demography and Infrastructure - National and Regional Aspects of Demographic Change</w:t>
      </w:r>
      <w:r w:rsidRPr="00D31CA5">
        <w:rPr>
          <w:rFonts w:ascii="Calibri" w:hAnsi="Calibri" w:cs="Calibri"/>
          <w:noProof/>
          <w:szCs w:val="24"/>
        </w:rPr>
        <w:t>. Springer, pp. 147–164. doi: 10.1007/978-94-007-0458-9.</w:t>
      </w:r>
    </w:p>
    <w:p w14:paraId="7DA9B1D2"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Schmidt, D. </w:t>
      </w:r>
      <w:r w:rsidRPr="00D31CA5">
        <w:rPr>
          <w:rFonts w:ascii="Calibri" w:hAnsi="Calibri" w:cs="Calibri"/>
          <w:i/>
          <w:iCs/>
          <w:noProof/>
          <w:szCs w:val="24"/>
        </w:rPr>
        <w:t>et al.</w:t>
      </w:r>
      <w:r w:rsidRPr="00D31CA5">
        <w:rPr>
          <w:rFonts w:ascii="Calibri" w:hAnsi="Calibri" w:cs="Calibri"/>
          <w:noProof/>
          <w:szCs w:val="24"/>
        </w:rPr>
        <w:t xml:space="preserve"> (2014) ‘Low temperature district heating for future energy systems’, in </w:t>
      </w:r>
      <w:r w:rsidRPr="00D31CA5">
        <w:rPr>
          <w:rFonts w:ascii="Calibri" w:hAnsi="Calibri" w:cs="Calibri"/>
          <w:i/>
          <w:iCs/>
          <w:noProof/>
          <w:szCs w:val="24"/>
        </w:rPr>
        <w:t>The 14th Symposium on District Heating and Cooling</w:t>
      </w:r>
      <w:r w:rsidRPr="00D31CA5">
        <w:rPr>
          <w:rFonts w:ascii="Calibri" w:hAnsi="Calibri" w:cs="Calibri"/>
          <w:noProof/>
          <w:szCs w:val="24"/>
        </w:rPr>
        <w:t>. Stockholm, Sweden: International Energy Agency.</w:t>
      </w:r>
    </w:p>
    <w:p w14:paraId="7217CBA2"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Schütz, T., Streblow, R. and Müller, D. (2015) ‘A comparison of thermal energy storage models for building energy system optimization’, </w:t>
      </w:r>
      <w:r w:rsidRPr="00D31CA5">
        <w:rPr>
          <w:rFonts w:ascii="Calibri" w:hAnsi="Calibri" w:cs="Calibri"/>
          <w:i/>
          <w:iCs/>
          <w:noProof/>
          <w:szCs w:val="24"/>
        </w:rPr>
        <w:t>Energy and Buildings</w:t>
      </w:r>
      <w:r w:rsidRPr="00D31CA5">
        <w:rPr>
          <w:rFonts w:ascii="Calibri" w:hAnsi="Calibri" w:cs="Calibri"/>
          <w:noProof/>
          <w:szCs w:val="24"/>
        </w:rPr>
        <w:t>. Elsevier B.V., 93, pp. 23–31. doi: 10.1016/j.enbuild.2015.02.031.</w:t>
      </w:r>
    </w:p>
    <w:p w14:paraId="15EBF9EB"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Schweiger, G. </w:t>
      </w:r>
      <w:r w:rsidRPr="00D31CA5">
        <w:rPr>
          <w:rFonts w:ascii="Calibri" w:hAnsi="Calibri" w:cs="Calibri"/>
          <w:i/>
          <w:iCs/>
          <w:noProof/>
          <w:szCs w:val="24"/>
        </w:rPr>
        <w:t>et al.</w:t>
      </w:r>
      <w:r w:rsidRPr="00D31CA5">
        <w:rPr>
          <w:rFonts w:ascii="Calibri" w:hAnsi="Calibri" w:cs="Calibri"/>
          <w:noProof/>
          <w:szCs w:val="24"/>
        </w:rPr>
        <w:t xml:space="preserve"> (2017) ‘The potential of power-to-heat in Swedish district heating systems’, </w:t>
      </w:r>
      <w:r w:rsidRPr="00D31CA5">
        <w:rPr>
          <w:rFonts w:ascii="Calibri" w:hAnsi="Calibri" w:cs="Calibri"/>
          <w:i/>
          <w:iCs/>
          <w:noProof/>
          <w:szCs w:val="24"/>
        </w:rPr>
        <w:t>Energy</w:t>
      </w:r>
      <w:r w:rsidRPr="00D31CA5">
        <w:rPr>
          <w:rFonts w:ascii="Calibri" w:hAnsi="Calibri" w:cs="Calibri"/>
          <w:noProof/>
          <w:szCs w:val="24"/>
        </w:rPr>
        <w:t>. Elsevier Ltd, 137, pp. 661–669. doi: 10.1016/j.energy.2017.02.075.</w:t>
      </w:r>
    </w:p>
    <w:p w14:paraId="18DF6DC9"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lastRenderedPageBreak/>
        <w:t xml:space="preserve">Sinnott, R. K. (2005a) </w:t>
      </w:r>
      <w:r w:rsidRPr="00D31CA5">
        <w:rPr>
          <w:rFonts w:ascii="Calibri" w:hAnsi="Calibri" w:cs="Calibri"/>
          <w:i/>
          <w:iCs/>
          <w:noProof/>
          <w:szCs w:val="24"/>
        </w:rPr>
        <w:t>Coulson and Richardson’s Chemical Engineering</w:t>
      </w:r>
      <w:r w:rsidRPr="00D31CA5">
        <w:rPr>
          <w:rFonts w:ascii="Calibri" w:hAnsi="Calibri" w:cs="Calibri"/>
          <w:noProof/>
          <w:szCs w:val="24"/>
        </w:rPr>
        <w:t>. 4th edn. Edited by R. K. Sinnott. Elsevier.</w:t>
      </w:r>
    </w:p>
    <w:p w14:paraId="4E838173"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Sinnott, R. K. (2005b) </w:t>
      </w:r>
      <w:r w:rsidRPr="00D31CA5">
        <w:rPr>
          <w:rFonts w:ascii="Calibri" w:hAnsi="Calibri" w:cs="Calibri"/>
          <w:i/>
          <w:iCs/>
          <w:noProof/>
          <w:szCs w:val="24"/>
        </w:rPr>
        <w:t>Coulson and Richardson’s Chemical Engineering Volume 6 - Chemical Engineering Design</w:t>
      </w:r>
      <w:r w:rsidRPr="00D31CA5">
        <w:rPr>
          <w:rFonts w:ascii="Calibri" w:hAnsi="Calibri" w:cs="Calibri"/>
          <w:noProof/>
          <w:szCs w:val="24"/>
        </w:rPr>
        <w:t>. 4th edn. Oxford, England: Elsevier. Available at: http://app.knovel.com/hotlink/toc/id:kpCRCEVCE2/coulson-richardsons-chemical/coulson-richardsons-chemical.</w:t>
      </w:r>
    </w:p>
    <w:p w14:paraId="2609F2EB"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Sipilä, K. (2011) ‘District heating for energy efficient building areas’, in </w:t>
      </w:r>
      <w:r w:rsidRPr="00D31CA5">
        <w:rPr>
          <w:rFonts w:ascii="Calibri" w:hAnsi="Calibri" w:cs="Calibri"/>
          <w:i/>
          <w:iCs/>
          <w:noProof/>
          <w:szCs w:val="24"/>
        </w:rPr>
        <w:t>IEA DHC/ CHP Annex IX</w:t>
      </w:r>
      <w:r w:rsidRPr="00D31CA5">
        <w:rPr>
          <w:rFonts w:ascii="Calibri" w:hAnsi="Calibri" w:cs="Calibri"/>
          <w:noProof/>
          <w:szCs w:val="24"/>
        </w:rPr>
        <w:t>. Paris, France: IEA. Available at: http://www.iea-dhc.org.</w:t>
      </w:r>
    </w:p>
    <w:p w14:paraId="66B8E88D"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Skujevska, A., Rosa, M. and Kamenders, A. (2016) ‘Evaluation of Energy Consumption of Municipal Buildings by Heat Energy Demand Mapping’, in </w:t>
      </w:r>
      <w:r w:rsidRPr="00D31CA5">
        <w:rPr>
          <w:rFonts w:ascii="Calibri" w:hAnsi="Calibri" w:cs="Calibri"/>
          <w:i/>
          <w:iCs/>
          <w:noProof/>
          <w:szCs w:val="24"/>
        </w:rPr>
        <w:t>International Scientific Conference ‘Environmental and Climate Technologies’</w:t>
      </w:r>
      <w:r w:rsidRPr="00D31CA5">
        <w:rPr>
          <w:rFonts w:ascii="Calibri" w:hAnsi="Calibri" w:cs="Calibri"/>
          <w:noProof/>
          <w:szCs w:val="24"/>
        </w:rPr>
        <w:t>. Riga, Latvia: Elsevier, pp. 444–450. doi: 10.1016/j.egypro.2016.09.061.</w:t>
      </w:r>
    </w:p>
    <w:p w14:paraId="5EBE587D"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Smith, A. D., Mago, P. J. and Fumo, N. (2013) ‘Benefits of thermal energy storage option combined with CHP system for different commercial building types’, </w:t>
      </w:r>
      <w:r w:rsidRPr="00D31CA5">
        <w:rPr>
          <w:rFonts w:ascii="Calibri" w:hAnsi="Calibri" w:cs="Calibri"/>
          <w:i/>
          <w:iCs/>
          <w:noProof/>
          <w:szCs w:val="24"/>
        </w:rPr>
        <w:t>Sustainable Energy Technologies and Assessments</w:t>
      </w:r>
      <w:r w:rsidRPr="00D31CA5">
        <w:rPr>
          <w:rFonts w:ascii="Calibri" w:hAnsi="Calibri" w:cs="Calibri"/>
          <w:noProof/>
          <w:szCs w:val="24"/>
        </w:rPr>
        <w:t>, 1(1), pp. 3–12. doi: 10.1016/j.seta.2012.11.001.</w:t>
      </w:r>
    </w:p>
    <w:p w14:paraId="4755A97F"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Soltero, V. M. </w:t>
      </w:r>
      <w:r w:rsidRPr="00D31CA5">
        <w:rPr>
          <w:rFonts w:ascii="Calibri" w:hAnsi="Calibri" w:cs="Calibri"/>
          <w:i/>
          <w:iCs/>
          <w:noProof/>
          <w:szCs w:val="24"/>
        </w:rPr>
        <w:t>et al.</w:t>
      </w:r>
      <w:r w:rsidRPr="00D31CA5">
        <w:rPr>
          <w:rFonts w:ascii="Calibri" w:hAnsi="Calibri" w:cs="Calibri"/>
          <w:noProof/>
          <w:szCs w:val="24"/>
        </w:rPr>
        <w:t xml:space="preserve"> (2018) ‘Potential of biomass district heating systems in rural areas’, </w:t>
      </w:r>
      <w:r w:rsidRPr="00D31CA5">
        <w:rPr>
          <w:rFonts w:ascii="Calibri" w:hAnsi="Calibri" w:cs="Calibri"/>
          <w:i/>
          <w:iCs/>
          <w:noProof/>
          <w:szCs w:val="24"/>
        </w:rPr>
        <w:t>Energy</w:t>
      </w:r>
      <w:r w:rsidRPr="00D31CA5">
        <w:rPr>
          <w:rFonts w:ascii="Calibri" w:hAnsi="Calibri" w:cs="Calibri"/>
          <w:noProof/>
          <w:szCs w:val="24"/>
        </w:rPr>
        <w:t>, 156, pp. 132–143. doi: 10.1016/J.ENERGY.2018.05.051.</w:t>
      </w:r>
    </w:p>
    <w:p w14:paraId="3C54512B"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Speirs, J. </w:t>
      </w:r>
      <w:r w:rsidRPr="00D31CA5">
        <w:rPr>
          <w:rFonts w:ascii="Calibri" w:hAnsi="Calibri" w:cs="Calibri"/>
          <w:i/>
          <w:iCs/>
          <w:noProof/>
          <w:szCs w:val="24"/>
        </w:rPr>
        <w:t>et al.</w:t>
      </w:r>
      <w:r w:rsidRPr="00D31CA5">
        <w:rPr>
          <w:rFonts w:ascii="Calibri" w:hAnsi="Calibri" w:cs="Calibri"/>
          <w:noProof/>
          <w:szCs w:val="24"/>
        </w:rPr>
        <w:t xml:space="preserve"> (2010) </w:t>
      </w:r>
      <w:r w:rsidRPr="00D31CA5">
        <w:rPr>
          <w:rFonts w:ascii="Calibri" w:hAnsi="Calibri" w:cs="Calibri"/>
          <w:i/>
          <w:iCs/>
          <w:noProof/>
          <w:szCs w:val="24"/>
        </w:rPr>
        <w:t>Building a roadmap for heat 2050 scenarios and heat delivery in the UK</w:t>
      </w:r>
      <w:r w:rsidRPr="00D31CA5">
        <w:rPr>
          <w:rFonts w:ascii="Calibri" w:hAnsi="Calibri" w:cs="Calibri"/>
          <w:noProof/>
          <w:szCs w:val="24"/>
        </w:rPr>
        <w:t>. London, England. Available at: http://www.chpa.co.uk/medialibrary/2011/04/07/e9a9f61d/Building_a_roadmap_for_heat_Full.pdf%5Cnhttp://www.chpa.co.uk/building-a-roadmap-for-heat---2050-scenarios-and-heat-delivery-in-the-uk_161.html.</w:t>
      </w:r>
    </w:p>
    <w:p w14:paraId="09BAA4E8"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Spirax Sarco (2018) </w:t>
      </w:r>
      <w:r w:rsidRPr="00D31CA5">
        <w:rPr>
          <w:rFonts w:ascii="Calibri" w:hAnsi="Calibri" w:cs="Calibri"/>
          <w:i/>
          <w:iCs/>
          <w:noProof/>
          <w:szCs w:val="24"/>
        </w:rPr>
        <w:t>Steam Tables</w:t>
      </w:r>
      <w:r w:rsidRPr="00D31CA5">
        <w:rPr>
          <w:rFonts w:ascii="Calibri" w:hAnsi="Calibri" w:cs="Calibri"/>
          <w:noProof/>
          <w:szCs w:val="24"/>
        </w:rPr>
        <w:t>. Available at: http://www.spiraxsarco.com/Resources/Pages/steam-tables.aspx (Accessed: 13 September 2018).</w:t>
      </w:r>
    </w:p>
    <w:p w14:paraId="58551A4B"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Spoladore, A. </w:t>
      </w:r>
      <w:r w:rsidRPr="00D31CA5">
        <w:rPr>
          <w:rFonts w:ascii="Calibri" w:hAnsi="Calibri" w:cs="Calibri"/>
          <w:i/>
          <w:iCs/>
          <w:noProof/>
          <w:szCs w:val="24"/>
        </w:rPr>
        <w:t>et al.</w:t>
      </w:r>
      <w:r w:rsidRPr="00D31CA5">
        <w:rPr>
          <w:rFonts w:ascii="Calibri" w:hAnsi="Calibri" w:cs="Calibri"/>
          <w:noProof/>
          <w:szCs w:val="24"/>
        </w:rPr>
        <w:t xml:space="preserve"> (2016) ‘Model for forecasting residential heat demand based on natural gas consumption and energy performance indicators’, </w:t>
      </w:r>
      <w:r w:rsidRPr="00D31CA5">
        <w:rPr>
          <w:rFonts w:ascii="Calibri" w:hAnsi="Calibri" w:cs="Calibri"/>
          <w:i/>
          <w:iCs/>
          <w:noProof/>
          <w:szCs w:val="24"/>
        </w:rPr>
        <w:t>Applied Energy</w:t>
      </w:r>
      <w:r w:rsidRPr="00D31CA5">
        <w:rPr>
          <w:rFonts w:ascii="Calibri" w:hAnsi="Calibri" w:cs="Calibri"/>
          <w:noProof/>
          <w:szCs w:val="24"/>
        </w:rPr>
        <w:t>. Elsevier Ltd, 182, pp. 488–499. doi: 10.1016/j.apenergy.2016.08.122.</w:t>
      </w:r>
    </w:p>
    <w:p w14:paraId="53DE8A0F"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Srivastava, A. K., Pandey, A. S. and Singh, D. (2016) ‘Short-term load forecasting methods: A review’, in </w:t>
      </w:r>
      <w:r w:rsidRPr="00D31CA5">
        <w:rPr>
          <w:rFonts w:ascii="Calibri" w:hAnsi="Calibri" w:cs="Calibri"/>
          <w:i/>
          <w:iCs/>
          <w:noProof/>
          <w:szCs w:val="24"/>
        </w:rPr>
        <w:t>2016 International Conference on Emerging Trends in Electrical Electronics &amp; Sustainable Energy Systems (ICETEESES)</w:t>
      </w:r>
      <w:r w:rsidRPr="00D31CA5">
        <w:rPr>
          <w:rFonts w:ascii="Calibri" w:hAnsi="Calibri" w:cs="Calibri"/>
          <w:noProof/>
          <w:szCs w:val="24"/>
        </w:rPr>
        <w:t>. Uattar Pradesh, India, pp. 130–138. doi: 10.1109/ICETEESES.2016.7581373.</w:t>
      </w:r>
    </w:p>
    <w:p w14:paraId="1B6340FC"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Steen, D. </w:t>
      </w:r>
      <w:r w:rsidRPr="00D31CA5">
        <w:rPr>
          <w:rFonts w:ascii="Calibri" w:hAnsi="Calibri" w:cs="Calibri"/>
          <w:i/>
          <w:iCs/>
          <w:noProof/>
          <w:szCs w:val="24"/>
        </w:rPr>
        <w:t>et al.</w:t>
      </w:r>
      <w:r w:rsidRPr="00D31CA5">
        <w:rPr>
          <w:rFonts w:ascii="Calibri" w:hAnsi="Calibri" w:cs="Calibri"/>
          <w:noProof/>
          <w:szCs w:val="24"/>
        </w:rPr>
        <w:t xml:space="preserve"> (2015) ‘Modeling of thermal storage systems in MILP distributed energy resource models’, </w:t>
      </w:r>
      <w:r w:rsidRPr="00D31CA5">
        <w:rPr>
          <w:rFonts w:ascii="Calibri" w:hAnsi="Calibri" w:cs="Calibri"/>
          <w:i/>
          <w:iCs/>
          <w:noProof/>
          <w:szCs w:val="24"/>
        </w:rPr>
        <w:t>Applied Energy</w:t>
      </w:r>
      <w:r w:rsidRPr="00D31CA5">
        <w:rPr>
          <w:rFonts w:ascii="Calibri" w:hAnsi="Calibri" w:cs="Calibri"/>
          <w:noProof/>
          <w:szCs w:val="24"/>
        </w:rPr>
        <w:t>. Elsevier Ltd, 137, pp. 782–792. doi: 10.1016/j.apenergy.2014.07.036.</w:t>
      </w:r>
    </w:p>
    <w:p w14:paraId="49C0CDBA"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Stevanovic, V. D. </w:t>
      </w:r>
      <w:r w:rsidRPr="00D31CA5">
        <w:rPr>
          <w:rFonts w:ascii="Calibri" w:hAnsi="Calibri" w:cs="Calibri"/>
          <w:i/>
          <w:iCs/>
          <w:noProof/>
          <w:szCs w:val="24"/>
        </w:rPr>
        <w:t>et al.</w:t>
      </w:r>
      <w:r w:rsidRPr="00D31CA5">
        <w:rPr>
          <w:rFonts w:ascii="Calibri" w:hAnsi="Calibri" w:cs="Calibri"/>
          <w:noProof/>
          <w:szCs w:val="24"/>
        </w:rPr>
        <w:t xml:space="preserve"> (2009) ‘Prediction of thermal transients in district heating systems’, </w:t>
      </w:r>
      <w:r w:rsidRPr="00D31CA5">
        <w:rPr>
          <w:rFonts w:ascii="Calibri" w:hAnsi="Calibri" w:cs="Calibri"/>
          <w:i/>
          <w:iCs/>
          <w:noProof/>
          <w:szCs w:val="24"/>
        </w:rPr>
        <w:t>Energy Conversion and Management</w:t>
      </w:r>
      <w:r w:rsidRPr="00D31CA5">
        <w:rPr>
          <w:rFonts w:ascii="Calibri" w:hAnsi="Calibri" w:cs="Calibri"/>
          <w:noProof/>
          <w:szCs w:val="24"/>
        </w:rPr>
        <w:t>. Elsevier Ltd, 50(9), pp. 2167–2173. doi: 10.1016/j.enconman.2009.04.034.</w:t>
      </w:r>
    </w:p>
    <w:p w14:paraId="04A12BAB"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Stupak, I. </w:t>
      </w:r>
      <w:r w:rsidRPr="00D31CA5">
        <w:rPr>
          <w:rFonts w:ascii="Calibri" w:hAnsi="Calibri" w:cs="Calibri"/>
          <w:i/>
          <w:iCs/>
          <w:noProof/>
          <w:szCs w:val="24"/>
        </w:rPr>
        <w:t>et al.</w:t>
      </w:r>
      <w:r w:rsidRPr="00D31CA5">
        <w:rPr>
          <w:rFonts w:ascii="Calibri" w:hAnsi="Calibri" w:cs="Calibri"/>
          <w:noProof/>
          <w:szCs w:val="24"/>
        </w:rPr>
        <w:t xml:space="preserve"> (2007) ‘Sustainable utilisation of forest biomass for energy - Possibilities and problems: Policy, legislation, certification, and recommendations and guidelines in the Nordic, Baltic, and other European countries’, </w:t>
      </w:r>
      <w:r w:rsidRPr="00D31CA5">
        <w:rPr>
          <w:rFonts w:ascii="Calibri" w:hAnsi="Calibri" w:cs="Calibri"/>
          <w:i/>
          <w:iCs/>
          <w:noProof/>
          <w:szCs w:val="24"/>
        </w:rPr>
        <w:t>Biomass and Bioenergy</w:t>
      </w:r>
      <w:r w:rsidRPr="00D31CA5">
        <w:rPr>
          <w:rFonts w:ascii="Calibri" w:hAnsi="Calibri" w:cs="Calibri"/>
          <w:noProof/>
          <w:szCs w:val="24"/>
        </w:rPr>
        <w:t>, 31(10), pp. 666–684. doi: 10.1016/j.biombioe.2007.06.012.</w:t>
      </w:r>
    </w:p>
    <w:p w14:paraId="36150375"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lastRenderedPageBreak/>
        <w:t xml:space="preserve">Sun, F. </w:t>
      </w:r>
      <w:r w:rsidRPr="00D31CA5">
        <w:rPr>
          <w:rFonts w:ascii="Calibri" w:hAnsi="Calibri" w:cs="Calibri"/>
          <w:i/>
          <w:iCs/>
          <w:noProof/>
          <w:szCs w:val="24"/>
        </w:rPr>
        <w:t>et al.</w:t>
      </w:r>
      <w:r w:rsidRPr="00D31CA5">
        <w:rPr>
          <w:rFonts w:ascii="Calibri" w:hAnsi="Calibri" w:cs="Calibri"/>
          <w:noProof/>
          <w:szCs w:val="24"/>
        </w:rPr>
        <w:t xml:space="preserve"> (2014) ‘A new waste heat district heating system with combined heat and power (CHP) based on ejector heat exchangers and absorption heat pumps’, </w:t>
      </w:r>
      <w:r w:rsidRPr="00D31CA5">
        <w:rPr>
          <w:rFonts w:ascii="Calibri" w:hAnsi="Calibri" w:cs="Calibri"/>
          <w:i/>
          <w:iCs/>
          <w:noProof/>
          <w:szCs w:val="24"/>
        </w:rPr>
        <w:t>Energy</w:t>
      </w:r>
      <w:r w:rsidRPr="00D31CA5">
        <w:rPr>
          <w:rFonts w:ascii="Calibri" w:hAnsi="Calibri" w:cs="Calibri"/>
          <w:noProof/>
          <w:szCs w:val="24"/>
        </w:rPr>
        <w:t>. Elsevier Ltd, 69, pp. 516–524. doi: 10.1016/j.energy.2014.03.044.</w:t>
      </w:r>
    </w:p>
    <w:p w14:paraId="5F326C27"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Swithenbank, J. </w:t>
      </w:r>
      <w:r w:rsidRPr="00D31CA5">
        <w:rPr>
          <w:rFonts w:ascii="Calibri" w:hAnsi="Calibri" w:cs="Calibri"/>
          <w:i/>
          <w:iCs/>
          <w:noProof/>
          <w:szCs w:val="24"/>
        </w:rPr>
        <w:t>et al.</w:t>
      </w:r>
      <w:r w:rsidRPr="00D31CA5">
        <w:rPr>
          <w:rFonts w:ascii="Calibri" w:hAnsi="Calibri" w:cs="Calibri"/>
          <w:noProof/>
          <w:szCs w:val="24"/>
        </w:rPr>
        <w:t xml:space="preserve"> (2012) ‘Waste heat usage’, </w:t>
      </w:r>
      <w:r w:rsidRPr="00D31CA5">
        <w:rPr>
          <w:rFonts w:ascii="Calibri" w:hAnsi="Calibri" w:cs="Calibri"/>
          <w:i/>
          <w:iCs/>
          <w:noProof/>
          <w:szCs w:val="24"/>
        </w:rPr>
        <w:t>Applied Thermal Engineering</w:t>
      </w:r>
      <w:r w:rsidRPr="00D31CA5">
        <w:rPr>
          <w:rFonts w:ascii="Calibri" w:hAnsi="Calibri" w:cs="Calibri"/>
          <w:noProof/>
          <w:szCs w:val="24"/>
        </w:rPr>
        <w:t>, 60, pp. 430–440. doi: 10.1016/j.applthermaleng.2012.10.038.</w:t>
      </w:r>
    </w:p>
    <w:p w14:paraId="2C6C0D67"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Talebi, B. </w:t>
      </w:r>
      <w:r w:rsidRPr="00D31CA5">
        <w:rPr>
          <w:rFonts w:ascii="Calibri" w:hAnsi="Calibri" w:cs="Calibri"/>
          <w:i/>
          <w:iCs/>
          <w:noProof/>
          <w:szCs w:val="24"/>
        </w:rPr>
        <w:t>et al.</w:t>
      </w:r>
      <w:r w:rsidRPr="00D31CA5">
        <w:rPr>
          <w:rFonts w:ascii="Calibri" w:hAnsi="Calibri" w:cs="Calibri"/>
          <w:noProof/>
          <w:szCs w:val="24"/>
        </w:rPr>
        <w:t xml:space="preserve"> (2016) ‘A Review of District Heating Systems: Modeling and Optimization’, </w:t>
      </w:r>
      <w:r w:rsidRPr="00D31CA5">
        <w:rPr>
          <w:rFonts w:ascii="Calibri" w:hAnsi="Calibri" w:cs="Calibri"/>
          <w:i/>
          <w:iCs/>
          <w:noProof/>
          <w:szCs w:val="24"/>
        </w:rPr>
        <w:t>Frontiers in Built Environment</w:t>
      </w:r>
      <w:r w:rsidRPr="00D31CA5">
        <w:rPr>
          <w:rFonts w:ascii="Calibri" w:hAnsi="Calibri" w:cs="Calibri"/>
          <w:noProof/>
          <w:szCs w:val="24"/>
        </w:rPr>
        <w:t>, 2(October), pp. 1–14. doi: 10.3389/fbuil.2016.00022.</w:t>
      </w:r>
    </w:p>
    <w:p w14:paraId="484AFE36"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Talebi, B., Haghighat, F. and Mirzaei, P. A. (2017) ‘Simplified model to predict the thermal demand profile of districts’, </w:t>
      </w:r>
      <w:r w:rsidRPr="00D31CA5">
        <w:rPr>
          <w:rFonts w:ascii="Calibri" w:hAnsi="Calibri" w:cs="Calibri"/>
          <w:i/>
          <w:iCs/>
          <w:noProof/>
          <w:szCs w:val="24"/>
        </w:rPr>
        <w:t>Energy and Buildings</w:t>
      </w:r>
      <w:r w:rsidRPr="00D31CA5">
        <w:rPr>
          <w:rFonts w:ascii="Calibri" w:hAnsi="Calibri" w:cs="Calibri"/>
          <w:noProof/>
          <w:szCs w:val="24"/>
        </w:rPr>
        <w:t>. Elsevier B.V., 145, pp. 213–225. doi: 10.1016/j.enbuild.2017.03.062.</w:t>
      </w:r>
    </w:p>
    <w:p w14:paraId="000736A3"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The Engineering Toolbox (2009) </w:t>
      </w:r>
      <w:r w:rsidRPr="00D31CA5">
        <w:rPr>
          <w:rFonts w:ascii="Calibri" w:hAnsi="Calibri" w:cs="Calibri"/>
          <w:i/>
          <w:iCs/>
          <w:noProof/>
          <w:szCs w:val="24"/>
        </w:rPr>
        <w:t>Pumping Water - Costs</w:t>
      </w:r>
      <w:r w:rsidRPr="00D31CA5">
        <w:rPr>
          <w:rFonts w:ascii="Calibri" w:hAnsi="Calibri" w:cs="Calibri"/>
          <w:noProof/>
          <w:szCs w:val="24"/>
        </w:rPr>
        <w:t>. Available at: https://www.engineeringtoolbox.com/water-pumping-costs-d_1527.html (Accessed: 14 September 2018).</w:t>
      </w:r>
    </w:p>
    <w:p w14:paraId="2FC7B69A"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Thornley, P. and Walsh, C. (2010) </w:t>
      </w:r>
      <w:r w:rsidRPr="00D31CA5">
        <w:rPr>
          <w:rFonts w:ascii="Calibri" w:hAnsi="Calibri" w:cs="Calibri"/>
          <w:i/>
          <w:iCs/>
          <w:noProof/>
          <w:szCs w:val="24"/>
        </w:rPr>
        <w:t>Addressing the barriers to utilisation of low grade heat from the thermal process industries</w:t>
      </w:r>
      <w:r w:rsidRPr="00D31CA5">
        <w:rPr>
          <w:rFonts w:ascii="Calibri" w:hAnsi="Calibri" w:cs="Calibri"/>
          <w:noProof/>
          <w:szCs w:val="24"/>
        </w:rPr>
        <w:t>. Manchester, England.</w:t>
      </w:r>
    </w:p>
    <w:p w14:paraId="1BB4EBF2"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Tioga (2013) </w:t>
      </w:r>
      <w:r w:rsidRPr="00D31CA5">
        <w:rPr>
          <w:rFonts w:ascii="Calibri" w:hAnsi="Calibri" w:cs="Calibri"/>
          <w:i/>
          <w:iCs/>
          <w:noProof/>
          <w:szCs w:val="24"/>
        </w:rPr>
        <w:t>Pipe Dimensions and Weights</w:t>
      </w:r>
      <w:r w:rsidRPr="00D31CA5">
        <w:rPr>
          <w:rFonts w:ascii="Calibri" w:hAnsi="Calibri" w:cs="Calibri"/>
          <w:noProof/>
          <w:szCs w:val="24"/>
        </w:rPr>
        <w:t>. Philadelphia, America.</w:t>
      </w:r>
    </w:p>
    <w:p w14:paraId="06CC544C"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Torío, H. and Schmidt, D. (2010) ‘Development of system concepts for improving the performance of a waste heat district heating network with exergy analysis’, </w:t>
      </w:r>
      <w:r w:rsidRPr="00D31CA5">
        <w:rPr>
          <w:rFonts w:ascii="Calibri" w:hAnsi="Calibri" w:cs="Calibri"/>
          <w:i/>
          <w:iCs/>
          <w:noProof/>
          <w:szCs w:val="24"/>
        </w:rPr>
        <w:t>Energy and Buildings</w:t>
      </w:r>
      <w:r w:rsidRPr="00D31CA5">
        <w:rPr>
          <w:rFonts w:ascii="Calibri" w:hAnsi="Calibri" w:cs="Calibri"/>
          <w:noProof/>
          <w:szCs w:val="24"/>
        </w:rPr>
        <w:t>, 42(10), pp. 1601–1609. doi: 10.1016/j.enbuild.2010.04.002.</w:t>
      </w:r>
    </w:p>
    <w:p w14:paraId="67CA8F9E"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Törnros, T. </w:t>
      </w:r>
      <w:r w:rsidRPr="00D31CA5">
        <w:rPr>
          <w:rFonts w:ascii="Calibri" w:hAnsi="Calibri" w:cs="Calibri"/>
          <w:i/>
          <w:iCs/>
          <w:noProof/>
          <w:szCs w:val="24"/>
        </w:rPr>
        <w:t>et al.</w:t>
      </w:r>
      <w:r w:rsidRPr="00D31CA5">
        <w:rPr>
          <w:rFonts w:ascii="Calibri" w:hAnsi="Calibri" w:cs="Calibri"/>
          <w:noProof/>
          <w:szCs w:val="24"/>
        </w:rPr>
        <w:t xml:space="preserve"> (2016) ‘Geospatial Analysis of the Building Heat Demand and Distribution Losses in a District Heating Network’, </w:t>
      </w:r>
      <w:r w:rsidRPr="00D31CA5">
        <w:rPr>
          <w:rFonts w:ascii="Calibri" w:hAnsi="Calibri" w:cs="Calibri"/>
          <w:i/>
          <w:iCs/>
          <w:noProof/>
          <w:szCs w:val="24"/>
        </w:rPr>
        <w:t>ISPRS International Journal of Geo-Information</w:t>
      </w:r>
      <w:r w:rsidRPr="00D31CA5">
        <w:rPr>
          <w:rFonts w:ascii="Calibri" w:hAnsi="Calibri" w:cs="Calibri"/>
          <w:noProof/>
          <w:szCs w:val="24"/>
        </w:rPr>
        <w:t>, 5(12), p. 219. doi: 10.3390/ijgi5120219.</w:t>
      </w:r>
    </w:p>
    <w:p w14:paraId="60F4A073"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Tufts University (2003) </w:t>
      </w:r>
      <w:r w:rsidRPr="00D31CA5">
        <w:rPr>
          <w:rFonts w:ascii="Calibri" w:hAnsi="Calibri" w:cs="Calibri"/>
          <w:i/>
          <w:iCs/>
          <w:noProof/>
          <w:szCs w:val="24"/>
        </w:rPr>
        <w:t>Ideal Rankine Cycle</w:t>
      </w:r>
      <w:r w:rsidRPr="00D31CA5">
        <w:rPr>
          <w:rFonts w:ascii="Calibri" w:hAnsi="Calibri" w:cs="Calibri"/>
          <w:noProof/>
          <w:szCs w:val="24"/>
        </w:rPr>
        <w:t>. Boston, America.</w:t>
      </w:r>
    </w:p>
    <w:p w14:paraId="23BC45E1"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UK ERC (2006) </w:t>
      </w:r>
      <w:r w:rsidRPr="00D31CA5">
        <w:rPr>
          <w:rFonts w:ascii="Calibri" w:hAnsi="Calibri" w:cs="Calibri"/>
          <w:i/>
          <w:iCs/>
          <w:noProof/>
          <w:szCs w:val="24"/>
        </w:rPr>
        <w:t>Carbon Trust Advanced Metering Trial (2004 - 2006)</w:t>
      </w:r>
      <w:r w:rsidRPr="00D31CA5">
        <w:rPr>
          <w:rFonts w:ascii="Calibri" w:hAnsi="Calibri" w:cs="Calibri"/>
          <w:noProof/>
          <w:szCs w:val="24"/>
        </w:rPr>
        <w:t>. Available at: http://ukedc.rl.ac.uk/cgi-bin/edc_search.pl?GoButton=Detail&amp;WantComp=30&amp;WantResult=&amp;WantText=EDC0000030&amp; (Accessed: 14 September 2018).</w:t>
      </w:r>
    </w:p>
    <w:p w14:paraId="08D18403"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UK Government (2017a) </w:t>
      </w:r>
      <w:r w:rsidRPr="00D31CA5">
        <w:rPr>
          <w:rFonts w:ascii="Calibri" w:hAnsi="Calibri" w:cs="Calibri"/>
          <w:i/>
          <w:iCs/>
          <w:noProof/>
          <w:szCs w:val="24"/>
        </w:rPr>
        <w:t>Guidance: Climate change agreements</w:t>
      </w:r>
      <w:r w:rsidRPr="00D31CA5">
        <w:rPr>
          <w:rFonts w:ascii="Calibri" w:hAnsi="Calibri" w:cs="Calibri"/>
          <w:noProof/>
          <w:szCs w:val="24"/>
        </w:rPr>
        <w:t>. Available at: https://www.gov.uk/guidance/climate-change-agreements--2 (Accessed: 16 July 2018).</w:t>
      </w:r>
    </w:p>
    <w:p w14:paraId="68C20E33"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UK Government (2017b) </w:t>
      </w:r>
      <w:r w:rsidRPr="00D31CA5">
        <w:rPr>
          <w:rFonts w:ascii="Calibri" w:hAnsi="Calibri" w:cs="Calibri"/>
          <w:i/>
          <w:iCs/>
          <w:noProof/>
          <w:szCs w:val="24"/>
        </w:rPr>
        <w:t>Guidance: Combined Heat and Power Quality Assurance Programme</w:t>
      </w:r>
      <w:r w:rsidRPr="00D31CA5">
        <w:rPr>
          <w:rFonts w:ascii="Calibri" w:hAnsi="Calibri" w:cs="Calibri"/>
          <w:noProof/>
          <w:szCs w:val="24"/>
        </w:rPr>
        <w:t>. Available at: https://www.gov.uk/guidance/combined-heat-power-quality-assurance-programme (Accessed: 16 July 2018).</w:t>
      </w:r>
    </w:p>
    <w:p w14:paraId="77A7B3AF"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UK Government (2018a) </w:t>
      </w:r>
      <w:r w:rsidRPr="00D31CA5">
        <w:rPr>
          <w:rFonts w:ascii="Calibri" w:hAnsi="Calibri" w:cs="Calibri"/>
          <w:i/>
          <w:iCs/>
          <w:noProof/>
          <w:szCs w:val="24"/>
        </w:rPr>
        <w:t>Environmental taxes, reliefs and schemes for businesses</w:t>
      </w:r>
      <w:r w:rsidRPr="00D31CA5">
        <w:rPr>
          <w:rFonts w:ascii="Calibri" w:hAnsi="Calibri" w:cs="Calibri"/>
          <w:noProof/>
          <w:szCs w:val="24"/>
        </w:rPr>
        <w:t>. Available at: https://www.gov.uk/green-taxes-and-reliefs (Accessed: 16 July 2018).</w:t>
      </w:r>
    </w:p>
    <w:p w14:paraId="77A535C2"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UK Government (2018b) </w:t>
      </w:r>
      <w:r w:rsidRPr="00D31CA5">
        <w:rPr>
          <w:rFonts w:ascii="Calibri" w:hAnsi="Calibri" w:cs="Calibri"/>
          <w:i/>
          <w:iCs/>
          <w:noProof/>
          <w:szCs w:val="24"/>
        </w:rPr>
        <w:t>Guidance: Combined heat and power</w:t>
      </w:r>
      <w:r w:rsidRPr="00D31CA5">
        <w:rPr>
          <w:rFonts w:ascii="Calibri" w:hAnsi="Calibri" w:cs="Calibri"/>
          <w:noProof/>
          <w:szCs w:val="24"/>
        </w:rPr>
        <w:t>. Available at: https://www.gov.uk/guidance/combined-heat-and-power (Accessed: 16 July 2018).</w:t>
      </w:r>
    </w:p>
    <w:p w14:paraId="180C56FA"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UNEP (2003) </w:t>
      </w:r>
      <w:r w:rsidRPr="00D31CA5">
        <w:rPr>
          <w:rFonts w:ascii="Calibri" w:hAnsi="Calibri" w:cs="Calibri"/>
          <w:i/>
          <w:iCs/>
          <w:noProof/>
          <w:szCs w:val="24"/>
        </w:rPr>
        <w:t>Technical guidelines for the environmentally sound management of lead-acid battery wastes</w:t>
      </w:r>
      <w:r w:rsidRPr="00D31CA5">
        <w:rPr>
          <w:rFonts w:ascii="Calibri" w:hAnsi="Calibri" w:cs="Calibri"/>
          <w:noProof/>
          <w:szCs w:val="24"/>
        </w:rPr>
        <w:t>. Châtelaine, Switzerland.</w:t>
      </w:r>
    </w:p>
    <w:p w14:paraId="2C718645"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Upham, P. and Jones, C. (2012) ‘Don’t lock me in: Public opinion on the prospective use of waste process heat for district heating’, </w:t>
      </w:r>
      <w:r w:rsidRPr="00D31CA5">
        <w:rPr>
          <w:rFonts w:ascii="Calibri" w:hAnsi="Calibri" w:cs="Calibri"/>
          <w:i/>
          <w:iCs/>
          <w:noProof/>
          <w:szCs w:val="24"/>
        </w:rPr>
        <w:t>Applied Energy</w:t>
      </w:r>
      <w:r w:rsidRPr="00D31CA5">
        <w:rPr>
          <w:rFonts w:ascii="Calibri" w:hAnsi="Calibri" w:cs="Calibri"/>
          <w:noProof/>
          <w:szCs w:val="24"/>
        </w:rPr>
        <w:t xml:space="preserve">. Elsevier Ltd, 89(1), pp. 21–29. doi: </w:t>
      </w:r>
      <w:r w:rsidRPr="00D31CA5">
        <w:rPr>
          <w:rFonts w:ascii="Calibri" w:hAnsi="Calibri" w:cs="Calibri"/>
          <w:noProof/>
          <w:szCs w:val="24"/>
        </w:rPr>
        <w:lastRenderedPageBreak/>
        <w:t>10.1016/j.apenergy.2011.02.031.</w:t>
      </w:r>
    </w:p>
    <w:p w14:paraId="1A38C98E"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US DOE (2008) </w:t>
      </w:r>
      <w:r w:rsidRPr="00D31CA5">
        <w:rPr>
          <w:rFonts w:ascii="Calibri" w:hAnsi="Calibri" w:cs="Calibri"/>
          <w:i/>
          <w:iCs/>
          <w:noProof/>
          <w:szCs w:val="24"/>
        </w:rPr>
        <w:t>Waste Heat Recovery: Technology Opportunities in U.S. Industry</w:t>
      </w:r>
      <w:r w:rsidRPr="00D31CA5">
        <w:rPr>
          <w:rFonts w:ascii="Calibri" w:hAnsi="Calibri" w:cs="Calibri"/>
          <w:noProof/>
          <w:szCs w:val="24"/>
        </w:rPr>
        <w:t>. Washington, USA. Available at: http://www1.eere.energy.gov/manufacturing/intensiveprocesses/pdfs/waste_heat_recovery.pdf.</w:t>
      </w:r>
    </w:p>
    <w:p w14:paraId="0F9900D0"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US DOE (2016) </w:t>
      </w:r>
      <w:r w:rsidRPr="00D31CA5">
        <w:rPr>
          <w:rFonts w:ascii="Calibri" w:hAnsi="Calibri" w:cs="Calibri"/>
          <w:i/>
          <w:iCs/>
          <w:noProof/>
          <w:szCs w:val="24"/>
        </w:rPr>
        <w:t>Combined Heat and Power Technology Fact Sheet Series Steam Turbines</w:t>
      </w:r>
      <w:r w:rsidRPr="00D31CA5">
        <w:rPr>
          <w:rFonts w:ascii="Calibri" w:hAnsi="Calibri" w:cs="Calibri"/>
          <w:noProof/>
          <w:szCs w:val="24"/>
        </w:rPr>
        <w:t>. Washington, USA. Available at: https://energy.gov/sites/prod/files/2016/09/f33/CHP-Steam Turbine.pdf.</w:t>
      </w:r>
    </w:p>
    <w:p w14:paraId="7BC0F630"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Valenzuela, L. </w:t>
      </w:r>
      <w:r w:rsidRPr="00D31CA5">
        <w:rPr>
          <w:rFonts w:ascii="Calibri" w:hAnsi="Calibri" w:cs="Calibri"/>
          <w:i/>
          <w:iCs/>
          <w:noProof/>
          <w:szCs w:val="24"/>
        </w:rPr>
        <w:t>et al.</w:t>
      </w:r>
      <w:r w:rsidRPr="00D31CA5">
        <w:rPr>
          <w:rFonts w:ascii="Calibri" w:hAnsi="Calibri" w:cs="Calibri"/>
          <w:noProof/>
          <w:szCs w:val="24"/>
        </w:rPr>
        <w:t xml:space="preserve"> (2004) ‘Direct steam generation in solar boilers’, </w:t>
      </w:r>
      <w:r w:rsidRPr="00D31CA5">
        <w:rPr>
          <w:rFonts w:ascii="Calibri" w:hAnsi="Calibri" w:cs="Calibri"/>
          <w:i/>
          <w:iCs/>
          <w:noProof/>
          <w:szCs w:val="24"/>
        </w:rPr>
        <w:t>IEEE Control Systems</w:t>
      </w:r>
      <w:r w:rsidRPr="00D31CA5">
        <w:rPr>
          <w:rFonts w:ascii="Calibri" w:hAnsi="Calibri" w:cs="Calibri"/>
          <w:noProof/>
          <w:szCs w:val="24"/>
        </w:rPr>
        <w:t>, 24(2), pp. 15–29. doi: 10.1109/MCS.2004.1275429.</w:t>
      </w:r>
    </w:p>
    <w:p w14:paraId="34B18C58"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Vandermeulen, A., van der Heijde, B. and Helsen, L. (2018) ‘Controlling district heating and cooling networks to unlock flexibility: A review’, </w:t>
      </w:r>
      <w:r w:rsidRPr="00D31CA5">
        <w:rPr>
          <w:rFonts w:ascii="Calibri" w:hAnsi="Calibri" w:cs="Calibri"/>
          <w:i/>
          <w:iCs/>
          <w:noProof/>
          <w:szCs w:val="24"/>
        </w:rPr>
        <w:t>Energy</w:t>
      </w:r>
      <w:r w:rsidRPr="00D31CA5">
        <w:rPr>
          <w:rFonts w:ascii="Calibri" w:hAnsi="Calibri" w:cs="Calibri"/>
          <w:noProof/>
          <w:szCs w:val="24"/>
        </w:rPr>
        <w:t>. Elsevier Ltd, 151, pp. 103–115. doi: 10.1016/j.energy.2018.03.034.</w:t>
      </w:r>
    </w:p>
    <w:p w14:paraId="1A61DE05"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Veolia (2014) </w:t>
      </w:r>
      <w:r w:rsidRPr="00D31CA5">
        <w:rPr>
          <w:rFonts w:ascii="Calibri" w:hAnsi="Calibri" w:cs="Calibri"/>
          <w:i/>
          <w:iCs/>
          <w:noProof/>
          <w:szCs w:val="24"/>
        </w:rPr>
        <w:t>Sheffield energy recovery facility</w:t>
      </w:r>
      <w:r w:rsidRPr="00D31CA5">
        <w:rPr>
          <w:rFonts w:ascii="Calibri" w:hAnsi="Calibri" w:cs="Calibri"/>
          <w:noProof/>
          <w:szCs w:val="24"/>
        </w:rPr>
        <w:t>. Sheffield, England. Available at: https://www.veolia.co.uk/sheffield/sites/g/files/dvc461/f/assets/documents/2014/11/Sheffield_ERF_Brochure_0.pdf.</w:t>
      </w:r>
    </w:p>
    <w:p w14:paraId="378F1552"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Verda, V. and Colella, F. (2011) ‘Primary energy savings through thermal storage in district heating networks’, </w:t>
      </w:r>
      <w:r w:rsidRPr="00D31CA5">
        <w:rPr>
          <w:rFonts w:ascii="Calibri" w:hAnsi="Calibri" w:cs="Calibri"/>
          <w:i/>
          <w:iCs/>
          <w:noProof/>
          <w:szCs w:val="24"/>
        </w:rPr>
        <w:t>Energy</w:t>
      </w:r>
      <w:r w:rsidRPr="00D31CA5">
        <w:rPr>
          <w:rFonts w:ascii="Calibri" w:hAnsi="Calibri" w:cs="Calibri"/>
          <w:noProof/>
          <w:szCs w:val="24"/>
        </w:rPr>
        <w:t>. Elsevier Ltd, 36(7), pp. 4278–4286. doi: 10.1016/j.energy.2011.04.015.</w:t>
      </w:r>
    </w:p>
    <w:p w14:paraId="0731CAC7"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Vignali, G. (2017) ‘Environmental assessment of domestic boilers: A comparison of condensing and traditional technology using life cycle assessment methodology’, </w:t>
      </w:r>
      <w:r w:rsidRPr="00D31CA5">
        <w:rPr>
          <w:rFonts w:ascii="Calibri" w:hAnsi="Calibri" w:cs="Calibri"/>
          <w:i/>
          <w:iCs/>
          <w:noProof/>
          <w:szCs w:val="24"/>
        </w:rPr>
        <w:t>Journal of Cleaner Production</w:t>
      </w:r>
      <w:r w:rsidRPr="00D31CA5">
        <w:rPr>
          <w:rFonts w:ascii="Calibri" w:hAnsi="Calibri" w:cs="Calibri"/>
          <w:noProof/>
          <w:szCs w:val="24"/>
        </w:rPr>
        <w:t>. Elsevier Ltd, 142, pp. 2493–2508. doi: 10.1016/j.jclepro.2016.11.025.</w:t>
      </w:r>
    </w:p>
    <w:p w14:paraId="1C3CDB8F"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Vondráček, J. </w:t>
      </w:r>
      <w:r w:rsidRPr="00D31CA5">
        <w:rPr>
          <w:rFonts w:ascii="Calibri" w:hAnsi="Calibri" w:cs="Calibri"/>
          <w:i/>
          <w:iCs/>
          <w:noProof/>
          <w:szCs w:val="24"/>
        </w:rPr>
        <w:t>et al.</w:t>
      </w:r>
      <w:r w:rsidRPr="00D31CA5">
        <w:rPr>
          <w:rFonts w:ascii="Calibri" w:hAnsi="Calibri" w:cs="Calibri"/>
          <w:noProof/>
          <w:szCs w:val="24"/>
        </w:rPr>
        <w:t xml:space="preserve"> (2008) ‘A statistical model for the estimation of natural gas consumption’, </w:t>
      </w:r>
      <w:r w:rsidRPr="00D31CA5">
        <w:rPr>
          <w:rFonts w:ascii="Calibri" w:hAnsi="Calibri" w:cs="Calibri"/>
          <w:i/>
          <w:iCs/>
          <w:noProof/>
          <w:szCs w:val="24"/>
        </w:rPr>
        <w:t>Applied Energy</w:t>
      </w:r>
      <w:r w:rsidRPr="00D31CA5">
        <w:rPr>
          <w:rFonts w:ascii="Calibri" w:hAnsi="Calibri" w:cs="Calibri"/>
          <w:noProof/>
          <w:szCs w:val="24"/>
        </w:rPr>
        <w:t>, 85(5), pp. 362–370. doi: 10.1016/j.apenergy.2007.07.004.</w:t>
      </w:r>
    </w:p>
    <w:p w14:paraId="65BFB751"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Wahlroos, M. </w:t>
      </w:r>
      <w:r w:rsidRPr="00D31CA5">
        <w:rPr>
          <w:rFonts w:ascii="Calibri" w:hAnsi="Calibri" w:cs="Calibri"/>
          <w:i/>
          <w:iCs/>
          <w:noProof/>
          <w:szCs w:val="24"/>
        </w:rPr>
        <w:t>et al.</w:t>
      </w:r>
      <w:r w:rsidRPr="00D31CA5">
        <w:rPr>
          <w:rFonts w:ascii="Calibri" w:hAnsi="Calibri" w:cs="Calibri"/>
          <w:noProof/>
          <w:szCs w:val="24"/>
        </w:rPr>
        <w:t xml:space="preserve"> (2017) ‘Utilizing data center waste heat in district heating – Impacts on energy efficiency and prospects for low-temperature district heating networks’, </w:t>
      </w:r>
      <w:r w:rsidRPr="00D31CA5">
        <w:rPr>
          <w:rFonts w:ascii="Calibri" w:hAnsi="Calibri" w:cs="Calibri"/>
          <w:i/>
          <w:iCs/>
          <w:noProof/>
          <w:szCs w:val="24"/>
        </w:rPr>
        <w:t>Energy</w:t>
      </w:r>
      <w:r w:rsidRPr="00D31CA5">
        <w:rPr>
          <w:rFonts w:ascii="Calibri" w:hAnsi="Calibri" w:cs="Calibri"/>
          <w:noProof/>
          <w:szCs w:val="24"/>
        </w:rPr>
        <w:t>, 140, pp. 1228–1238. doi: 10.1016/j.energy.2017.08.078.</w:t>
      </w:r>
    </w:p>
    <w:p w14:paraId="06E88B60"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Wahlroos, M. </w:t>
      </w:r>
      <w:r w:rsidRPr="00D31CA5">
        <w:rPr>
          <w:rFonts w:ascii="Calibri" w:hAnsi="Calibri" w:cs="Calibri"/>
          <w:i/>
          <w:iCs/>
          <w:noProof/>
          <w:szCs w:val="24"/>
        </w:rPr>
        <w:t>et al.</w:t>
      </w:r>
      <w:r w:rsidRPr="00D31CA5">
        <w:rPr>
          <w:rFonts w:ascii="Calibri" w:hAnsi="Calibri" w:cs="Calibri"/>
          <w:noProof/>
          <w:szCs w:val="24"/>
        </w:rPr>
        <w:t xml:space="preserve"> (2018) ‘Future views on waste heat utilization – Case of data centers in Northern Europe’, </w:t>
      </w:r>
      <w:r w:rsidRPr="00D31CA5">
        <w:rPr>
          <w:rFonts w:ascii="Calibri" w:hAnsi="Calibri" w:cs="Calibri"/>
          <w:i/>
          <w:iCs/>
          <w:noProof/>
          <w:szCs w:val="24"/>
        </w:rPr>
        <w:t>Renewable and Sustainable Energy Reviews</w:t>
      </w:r>
      <w:r w:rsidRPr="00D31CA5">
        <w:rPr>
          <w:rFonts w:ascii="Calibri" w:hAnsi="Calibri" w:cs="Calibri"/>
          <w:noProof/>
          <w:szCs w:val="24"/>
        </w:rPr>
        <w:t>. Elsevier Ltd, 82(July 2017), pp. 1749–1764. doi: 10.1016/j.rser.2017.10.058.</w:t>
      </w:r>
    </w:p>
    <w:p w14:paraId="22379966"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Wang, H. </w:t>
      </w:r>
      <w:r w:rsidRPr="00D31CA5">
        <w:rPr>
          <w:rFonts w:ascii="Calibri" w:hAnsi="Calibri" w:cs="Calibri"/>
          <w:i/>
          <w:iCs/>
          <w:noProof/>
          <w:szCs w:val="24"/>
        </w:rPr>
        <w:t>et al.</w:t>
      </w:r>
      <w:r w:rsidRPr="00D31CA5">
        <w:rPr>
          <w:rFonts w:ascii="Calibri" w:hAnsi="Calibri" w:cs="Calibri"/>
          <w:noProof/>
          <w:szCs w:val="24"/>
        </w:rPr>
        <w:t xml:space="preserve"> (2015) ‘Modelling and optimization of CHP based district heating system with renewable energy production and energy storage’, </w:t>
      </w:r>
      <w:r w:rsidRPr="00D31CA5">
        <w:rPr>
          <w:rFonts w:ascii="Calibri" w:hAnsi="Calibri" w:cs="Calibri"/>
          <w:i/>
          <w:iCs/>
          <w:noProof/>
          <w:szCs w:val="24"/>
        </w:rPr>
        <w:t>Applied Energy</w:t>
      </w:r>
      <w:r w:rsidRPr="00D31CA5">
        <w:rPr>
          <w:rFonts w:ascii="Calibri" w:hAnsi="Calibri" w:cs="Calibri"/>
          <w:noProof/>
          <w:szCs w:val="24"/>
        </w:rPr>
        <w:t>, 159, pp. 401–421. doi: 10.1016/j.apenergy.2015.09.020.</w:t>
      </w:r>
    </w:p>
    <w:p w14:paraId="4A04A862"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Wang, J., Zhou, Z. and Zhao, J. (2016) ‘A method for the steady-state thermal simulation of district heating systems and model parameters calibration’, </w:t>
      </w:r>
      <w:r w:rsidRPr="00D31CA5">
        <w:rPr>
          <w:rFonts w:ascii="Calibri" w:hAnsi="Calibri" w:cs="Calibri"/>
          <w:i/>
          <w:iCs/>
          <w:noProof/>
          <w:szCs w:val="24"/>
        </w:rPr>
        <w:t>Energy Conversion and Management</w:t>
      </w:r>
      <w:r w:rsidRPr="00D31CA5">
        <w:rPr>
          <w:rFonts w:ascii="Calibri" w:hAnsi="Calibri" w:cs="Calibri"/>
          <w:noProof/>
          <w:szCs w:val="24"/>
        </w:rPr>
        <w:t>. Elsevier Ltd, 120, pp. 294–305. doi: 10.1016/j.enconman.2016.04.074.</w:t>
      </w:r>
    </w:p>
    <w:p w14:paraId="2FBC98A3"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Webb, J. (2015) ‘Improvising innovation in UK urban district heating: The convergence of social and environmental agendas in Aberdeen’, </w:t>
      </w:r>
      <w:r w:rsidRPr="00D31CA5">
        <w:rPr>
          <w:rFonts w:ascii="Calibri" w:hAnsi="Calibri" w:cs="Calibri"/>
          <w:i/>
          <w:iCs/>
          <w:noProof/>
          <w:szCs w:val="24"/>
        </w:rPr>
        <w:t>Energy Policy</w:t>
      </w:r>
      <w:r w:rsidRPr="00D31CA5">
        <w:rPr>
          <w:rFonts w:ascii="Calibri" w:hAnsi="Calibri" w:cs="Calibri"/>
          <w:noProof/>
          <w:szCs w:val="24"/>
        </w:rPr>
        <w:t>. Elsevier, 78, pp. 265–272. doi: 10.1016/j.enpol.2014.12.003.</w:t>
      </w:r>
    </w:p>
    <w:p w14:paraId="7138614E"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Welsch, B. </w:t>
      </w:r>
      <w:r w:rsidRPr="00D31CA5">
        <w:rPr>
          <w:rFonts w:ascii="Calibri" w:hAnsi="Calibri" w:cs="Calibri"/>
          <w:i/>
          <w:iCs/>
          <w:noProof/>
          <w:szCs w:val="24"/>
        </w:rPr>
        <w:t>et al.</w:t>
      </w:r>
      <w:r w:rsidRPr="00D31CA5">
        <w:rPr>
          <w:rFonts w:ascii="Calibri" w:hAnsi="Calibri" w:cs="Calibri"/>
          <w:noProof/>
          <w:szCs w:val="24"/>
        </w:rPr>
        <w:t xml:space="preserve"> (2018) ‘Environmental and economic assessment of borehole thermal energy storage in district heating systems’, </w:t>
      </w:r>
      <w:r w:rsidRPr="00D31CA5">
        <w:rPr>
          <w:rFonts w:ascii="Calibri" w:hAnsi="Calibri" w:cs="Calibri"/>
          <w:i/>
          <w:iCs/>
          <w:noProof/>
          <w:szCs w:val="24"/>
        </w:rPr>
        <w:t>Applied Energy</w:t>
      </w:r>
      <w:r w:rsidRPr="00D31CA5">
        <w:rPr>
          <w:rFonts w:ascii="Calibri" w:hAnsi="Calibri" w:cs="Calibri"/>
          <w:noProof/>
          <w:szCs w:val="24"/>
        </w:rPr>
        <w:t>. Elsevier, 216(February), pp. 73–</w:t>
      </w:r>
      <w:r w:rsidRPr="00D31CA5">
        <w:rPr>
          <w:rFonts w:ascii="Calibri" w:hAnsi="Calibri" w:cs="Calibri"/>
          <w:noProof/>
          <w:szCs w:val="24"/>
        </w:rPr>
        <w:lastRenderedPageBreak/>
        <w:t>90. doi: 10.1016/j.apenergy.2018.02.011.</w:t>
      </w:r>
    </w:p>
    <w:p w14:paraId="1AF9E11A"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Werner, S. (1984) </w:t>
      </w:r>
      <w:r w:rsidRPr="00D31CA5">
        <w:rPr>
          <w:rFonts w:ascii="Calibri" w:hAnsi="Calibri" w:cs="Calibri"/>
          <w:i/>
          <w:iCs/>
          <w:noProof/>
          <w:szCs w:val="24"/>
        </w:rPr>
        <w:t>The Heat Load in District Heating Systems</w:t>
      </w:r>
      <w:r w:rsidRPr="00D31CA5">
        <w:rPr>
          <w:rFonts w:ascii="Calibri" w:hAnsi="Calibri" w:cs="Calibri"/>
          <w:noProof/>
          <w:szCs w:val="24"/>
        </w:rPr>
        <w:t>. Chalmers University of Technology.</w:t>
      </w:r>
    </w:p>
    <w:p w14:paraId="7F3D6E58"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Werner, S. (2006) </w:t>
      </w:r>
      <w:r w:rsidRPr="00D31CA5">
        <w:rPr>
          <w:rFonts w:ascii="Calibri" w:hAnsi="Calibri" w:cs="Calibri"/>
          <w:i/>
          <w:iCs/>
          <w:noProof/>
          <w:szCs w:val="24"/>
        </w:rPr>
        <w:t>Possibilities for more district heating in Europe</w:t>
      </w:r>
      <w:r w:rsidRPr="00D31CA5">
        <w:rPr>
          <w:rFonts w:ascii="Calibri" w:hAnsi="Calibri" w:cs="Calibri"/>
          <w:noProof/>
          <w:szCs w:val="24"/>
        </w:rPr>
        <w:t>. Brussels, Belgium. Available at: https://www.euroheat.org/wp-content/uploads/2016/02/Ecoheatcool_WP4_Web.pdf.</w:t>
      </w:r>
    </w:p>
    <w:p w14:paraId="72BF263E"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Wilson, I. A. G. </w:t>
      </w:r>
      <w:r w:rsidRPr="00D31CA5">
        <w:rPr>
          <w:rFonts w:ascii="Calibri" w:hAnsi="Calibri" w:cs="Calibri"/>
          <w:i/>
          <w:iCs/>
          <w:noProof/>
          <w:szCs w:val="24"/>
        </w:rPr>
        <w:t>et al.</w:t>
      </w:r>
      <w:r w:rsidRPr="00D31CA5">
        <w:rPr>
          <w:rFonts w:ascii="Calibri" w:hAnsi="Calibri" w:cs="Calibri"/>
          <w:noProof/>
          <w:szCs w:val="24"/>
        </w:rPr>
        <w:t xml:space="preserve"> (2013) ‘Historical daily gas and electrical energy flows through Great Britain’s transmission networks and the decarbonisation of domestic heat’, </w:t>
      </w:r>
      <w:r w:rsidRPr="00D31CA5">
        <w:rPr>
          <w:rFonts w:ascii="Calibri" w:hAnsi="Calibri" w:cs="Calibri"/>
          <w:i/>
          <w:iCs/>
          <w:noProof/>
          <w:szCs w:val="24"/>
        </w:rPr>
        <w:t>Energy Policy</w:t>
      </w:r>
      <w:r w:rsidRPr="00D31CA5">
        <w:rPr>
          <w:rFonts w:ascii="Calibri" w:hAnsi="Calibri" w:cs="Calibri"/>
          <w:noProof/>
          <w:szCs w:val="24"/>
        </w:rPr>
        <w:t>. Elsevier, 61, pp. 301–305. doi: 10.1016/j.enpol.2013.05.110.</w:t>
      </w:r>
    </w:p>
    <w:p w14:paraId="2A2B1787"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Winckel, J. W. and Rice, D. M. (1998) ‘Lead market trends — technology and economics’, </w:t>
      </w:r>
      <w:r w:rsidRPr="00D31CA5">
        <w:rPr>
          <w:rFonts w:ascii="Calibri" w:hAnsi="Calibri" w:cs="Calibri"/>
          <w:i/>
          <w:iCs/>
          <w:noProof/>
          <w:szCs w:val="24"/>
        </w:rPr>
        <w:t>Journal of Power Sources</w:t>
      </w:r>
      <w:r w:rsidRPr="00D31CA5">
        <w:rPr>
          <w:rFonts w:ascii="Calibri" w:hAnsi="Calibri" w:cs="Calibri"/>
          <w:noProof/>
          <w:szCs w:val="24"/>
        </w:rPr>
        <w:t>, pp. 3–10.</w:t>
      </w:r>
    </w:p>
    <w:p w14:paraId="52326B63"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Wojdyga, K. (2014) ‘Predicting Heat Demand for a District Heating Systems’, </w:t>
      </w:r>
      <w:r w:rsidRPr="00D31CA5">
        <w:rPr>
          <w:rFonts w:ascii="Calibri" w:hAnsi="Calibri" w:cs="Calibri"/>
          <w:i/>
          <w:iCs/>
          <w:noProof/>
          <w:szCs w:val="24"/>
        </w:rPr>
        <w:t>International Journal of Energy and Power Engineering</w:t>
      </w:r>
      <w:r w:rsidRPr="00D31CA5">
        <w:rPr>
          <w:rFonts w:ascii="Calibri" w:hAnsi="Calibri" w:cs="Calibri"/>
          <w:noProof/>
          <w:szCs w:val="24"/>
        </w:rPr>
        <w:t>, 3(5), p. 237. doi: 10.11648/j.ijepe.20140305.13.</w:t>
      </w:r>
    </w:p>
    <w:p w14:paraId="734E8A88"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x-eng (2012) ‘X Steam Tables’. Horsham, London: x-eng.</w:t>
      </w:r>
    </w:p>
    <w:p w14:paraId="27256DE2"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Yan, T. </w:t>
      </w:r>
      <w:r w:rsidRPr="00D31CA5">
        <w:rPr>
          <w:rFonts w:ascii="Calibri" w:hAnsi="Calibri" w:cs="Calibri"/>
          <w:i/>
          <w:iCs/>
          <w:noProof/>
          <w:szCs w:val="24"/>
        </w:rPr>
        <w:t>et al.</w:t>
      </w:r>
      <w:r w:rsidRPr="00D31CA5">
        <w:rPr>
          <w:rFonts w:ascii="Calibri" w:hAnsi="Calibri" w:cs="Calibri"/>
          <w:noProof/>
          <w:szCs w:val="24"/>
        </w:rPr>
        <w:t xml:space="preserve"> (2015) ‘A review of promising candidate reactions for chemical heat storage’, </w:t>
      </w:r>
      <w:r w:rsidRPr="00D31CA5">
        <w:rPr>
          <w:rFonts w:ascii="Calibri" w:hAnsi="Calibri" w:cs="Calibri"/>
          <w:i/>
          <w:iCs/>
          <w:noProof/>
          <w:szCs w:val="24"/>
        </w:rPr>
        <w:t>Renewable and Sustainable Energy Reviews</w:t>
      </w:r>
      <w:r w:rsidRPr="00D31CA5">
        <w:rPr>
          <w:rFonts w:ascii="Calibri" w:hAnsi="Calibri" w:cs="Calibri"/>
          <w:noProof/>
          <w:szCs w:val="24"/>
        </w:rPr>
        <w:t>, 43, pp. 13–31. doi: 10.1016/j.rser.2014.11.015.</w:t>
      </w:r>
    </w:p>
    <w:p w14:paraId="61F52EEC"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Zhang, G. B., Patuwo, E. and Hu, M. Y. (1998) ‘Forecasting with artificial neural networks: The state of the art’, </w:t>
      </w:r>
      <w:r w:rsidRPr="00D31CA5">
        <w:rPr>
          <w:rFonts w:ascii="Calibri" w:hAnsi="Calibri" w:cs="Calibri"/>
          <w:i/>
          <w:iCs/>
          <w:noProof/>
          <w:szCs w:val="24"/>
        </w:rPr>
        <w:t>International Journal of Forecasting</w:t>
      </w:r>
      <w:r w:rsidRPr="00D31CA5">
        <w:rPr>
          <w:rFonts w:ascii="Calibri" w:hAnsi="Calibri" w:cs="Calibri"/>
          <w:noProof/>
          <w:szCs w:val="24"/>
        </w:rPr>
        <w:t>, 14, pp. 35–62. doi: 10.1016/S0169-2070(97)00044-7.</w:t>
      </w:r>
    </w:p>
    <w:p w14:paraId="1615F9F0" w14:textId="77777777" w:rsidR="00D31CA5" w:rsidRPr="00D31CA5" w:rsidRDefault="00D31CA5" w:rsidP="00D31CA5">
      <w:pPr>
        <w:widowControl w:val="0"/>
        <w:autoSpaceDE w:val="0"/>
        <w:autoSpaceDN w:val="0"/>
        <w:adjustRightInd w:val="0"/>
        <w:spacing w:line="240" w:lineRule="auto"/>
        <w:rPr>
          <w:rFonts w:ascii="Calibri" w:hAnsi="Calibri" w:cs="Calibri"/>
          <w:noProof/>
          <w:szCs w:val="24"/>
        </w:rPr>
      </w:pPr>
      <w:r w:rsidRPr="00D31CA5">
        <w:rPr>
          <w:rFonts w:ascii="Calibri" w:hAnsi="Calibri" w:cs="Calibri"/>
          <w:noProof/>
          <w:szCs w:val="24"/>
        </w:rPr>
        <w:t xml:space="preserve">Zhang, Q. (2013) ‘The current status on the recycling of lead-acid batteries in China’, </w:t>
      </w:r>
      <w:r w:rsidRPr="00D31CA5">
        <w:rPr>
          <w:rFonts w:ascii="Calibri" w:hAnsi="Calibri" w:cs="Calibri"/>
          <w:i/>
          <w:iCs/>
          <w:noProof/>
          <w:szCs w:val="24"/>
        </w:rPr>
        <w:t>International Journal of Electrochemical Science</w:t>
      </w:r>
      <w:r w:rsidRPr="00D31CA5">
        <w:rPr>
          <w:rFonts w:ascii="Calibri" w:hAnsi="Calibri" w:cs="Calibri"/>
          <w:noProof/>
          <w:szCs w:val="24"/>
        </w:rPr>
        <w:t>, 8(5), pp. 6457–6466.</w:t>
      </w:r>
    </w:p>
    <w:p w14:paraId="64223CBC" w14:textId="77777777" w:rsidR="00D31CA5" w:rsidRPr="00D31CA5" w:rsidRDefault="00D31CA5" w:rsidP="00D31CA5">
      <w:pPr>
        <w:widowControl w:val="0"/>
        <w:autoSpaceDE w:val="0"/>
        <w:autoSpaceDN w:val="0"/>
        <w:adjustRightInd w:val="0"/>
        <w:spacing w:line="240" w:lineRule="auto"/>
        <w:rPr>
          <w:rFonts w:ascii="Calibri" w:hAnsi="Calibri" w:cs="Calibri"/>
          <w:noProof/>
        </w:rPr>
      </w:pPr>
      <w:r w:rsidRPr="00D31CA5">
        <w:rPr>
          <w:rFonts w:ascii="Calibri" w:hAnsi="Calibri" w:cs="Calibri"/>
          <w:noProof/>
          <w:szCs w:val="24"/>
        </w:rPr>
        <w:t xml:space="preserve">Zottl, A., Nordman, R. and Miara, M. (2012) </w:t>
      </w:r>
      <w:r w:rsidRPr="00D31CA5">
        <w:rPr>
          <w:rFonts w:ascii="Calibri" w:hAnsi="Calibri" w:cs="Calibri"/>
          <w:i/>
          <w:iCs/>
          <w:noProof/>
          <w:szCs w:val="24"/>
        </w:rPr>
        <w:t>Seasonal performance factor and monitoring for heat pump systems in the building sector</w:t>
      </w:r>
      <w:r w:rsidRPr="00D31CA5">
        <w:rPr>
          <w:rFonts w:ascii="Calibri" w:hAnsi="Calibri" w:cs="Calibri"/>
          <w:noProof/>
          <w:szCs w:val="24"/>
        </w:rPr>
        <w:t>. Brussels, Belgium.</w:t>
      </w:r>
    </w:p>
    <w:p w14:paraId="4D19E3B8" w14:textId="04F8BFA1" w:rsidR="00A7521D" w:rsidRDefault="002A6A73" w:rsidP="002A6A73">
      <w:r>
        <w:fldChar w:fldCharType="end"/>
      </w:r>
      <w:r w:rsidR="00A7521D">
        <w:br w:type="page"/>
      </w:r>
    </w:p>
    <w:p w14:paraId="7930E6D2" w14:textId="77777777" w:rsidR="00A7521D" w:rsidRDefault="00A7521D" w:rsidP="00A7521D">
      <w:pPr>
        <w:pStyle w:val="Heading1"/>
      </w:pPr>
      <w:bookmarkStart w:id="968" w:name="_Toc525230052"/>
      <w:bookmarkStart w:id="969" w:name="_Toc7187600"/>
      <w:r w:rsidRPr="003A445C">
        <w:lastRenderedPageBreak/>
        <w:t>Appendix</w:t>
      </w:r>
      <w:bookmarkEnd w:id="968"/>
      <w:bookmarkEnd w:id="969"/>
    </w:p>
    <w:p w14:paraId="6413F5C8" w14:textId="77777777" w:rsidR="00A7521D" w:rsidRDefault="00A7521D" w:rsidP="00A7521D">
      <w:pPr>
        <w:pStyle w:val="Heading2"/>
      </w:pPr>
      <w:bookmarkStart w:id="970" w:name="_Toc525230053"/>
      <w:bookmarkStart w:id="971" w:name="_Ref525310809"/>
      <w:bookmarkStart w:id="972" w:name="_Ref531343806"/>
      <w:bookmarkStart w:id="973" w:name="_Toc7187601"/>
      <w:r>
        <w:t>Summary of Customers in the Heat Mapping Process</w:t>
      </w:r>
      <w:bookmarkEnd w:id="970"/>
      <w:bookmarkEnd w:id="971"/>
      <w:bookmarkEnd w:id="972"/>
      <w:bookmarkEnd w:id="973"/>
    </w:p>
    <w:p w14:paraId="6CC8DE48" w14:textId="6C391860" w:rsidR="00A7521D" w:rsidRPr="00A1306D" w:rsidRDefault="00A7521D" w:rsidP="00A7521D">
      <w:r>
        <w:t xml:space="preserve">Shown below are all of the large heat users included in the heat mapping process, from section </w:t>
      </w:r>
      <w:r w:rsidR="00D82F1A">
        <w:fldChar w:fldCharType="begin"/>
      </w:r>
      <w:r w:rsidR="00D82F1A">
        <w:instrText xml:space="preserve"> REF _Ref531345186 \n \h </w:instrText>
      </w:r>
      <w:r w:rsidR="00D82F1A">
        <w:fldChar w:fldCharType="separate"/>
      </w:r>
      <w:r w:rsidR="00CB7456">
        <w:t>3.1.1</w:t>
      </w:r>
      <w:r w:rsidR="00D82F1A">
        <w:fldChar w:fldCharType="end"/>
      </w:r>
      <w:r>
        <w:t>, split into each of the seven locations.</w:t>
      </w:r>
    </w:p>
    <w:p w14:paraId="71046E2F" w14:textId="00320E03" w:rsidR="00A7521D" w:rsidRDefault="00A7521D" w:rsidP="00A7521D">
      <w:pPr>
        <w:pStyle w:val="Caption"/>
      </w:pPr>
      <w:bookmarkStart w:id="974" w:name="_Ref531345224"/>
      <w:bookmarkStart w:id="975" w:name="_Toc468265828"/>
      <w:bookmarkStart w:id="976" w:name="_Toc525230152"/>
      <w:bookmarkStart w:id="977" w:name="_Toc7187718"/>
      <w:r>
        <w:t xml:space="preserve">Table </w:t>
      </w:r>
      <w:fldSimple w:instr=" STYLEREF 1 \s ">
        <w:r w:rsidR="00CB7456">
          <w:rPr>
            <w:noProof/>
          </w:rPr>
          <w:t>13</w:t>
        </w:r>
      </w:fldSimple>
      <w:r w:rsidR="009E1A67">
        <w:t>.</w:t>
      </w:r>
      <w:fldSimple w:instr=" SEQ Table \* ARABIC \s 1 ">
        <w:r w:rsidR="00CB7456">
          <w:rPr>
            <w:noProof/>
          </w:rPr>
          <w:t>1</w:t>
        </w:r>
      </w:fldSimple>
      <w:bookmarkEnd w:id="974"/>
      <w:r>
        <w:t>: Large heat users in Matlock</w:t>
      </w:r>
      <w:bookmarkEnd w:id="975"/>
      <w:bookmarkEnd w:id="976"/>
      <w:r>
        <w:t>.</w:t>
      </w:r>
      <w:bookmarkEnd w:id="977"/>
    </w:p>
    <w:tbl>
      <w:tblPr>
        <w:tblW w:w="9601" w:type="dxa"/>
        <w:jc w:val="center"/>
        <w:tblBorders>
          <w:top w:val="single" w:sz="4" w:space="0" w:color="auto"/>
          <w:bottom w:val="single" w:sz="4" w:space="0" w:color="auto"/>
        </w:tblBorders>
        <w:tblLook w:val="00A0" w:firstRow="1" w:lastRow="0" w:firstColumn="1" w:lastColumn="0" w:noHBand="0" w:noVBand="0"/>
      </w:tblPr>
      <w:tblGrid>
        <w:gridCol w:w="2569"/>
        <w:gridCol w:w="1115"/>
        <w:gridCol w:w="1065"/>
        <w:gridCol w:w="1196"/>
        <w:gridCol w:w="1798"/>
        <w:gridCol w:w="1014"/>
        <w:gridCol w:w="844"/>
      </w:tblGrid>
      <w:tr w:rsidR="00A7521D" w:rsidRPr="00995C3D" w14:paraId="53DB1F17" w14:textId="77777777" w:rsidTr="00A7521D">
        <w:trPr>
          <w:tblHeader/>
          <w:jc w:val="center"/>
        </w:trPr>
        <w:tc>
          <w:tcPr>
            <w:tcW w:w="2569" w:type="dxa"/>
            <w:tcBorders>
              <w:top w:val="single" w:sz="4" w:space="0" w:color="auto"/>
              <w:bottom w:val="single" w:sz="4" w:space="0" w:color="auto"/>
            </w:tcBorders>
          </w:tcPr>
          <w:p w14:paraId="5203EEFE" w14:textId="77777777" w:rsidR="00A7521D" w:rsidRPr="00995C3D" w:rsidRDefault="00A7521D" w:rsidP="00A7521D">
            <w:pPr>
              <w:spacing w:after="0" w:line="240" w:lineRule="auto"/>
              <w:jc w:val="center"/>
            </w:pPr>
            <w:r w:rsidRPr="00995C3D">
              <w:t>Building name</w:t>
            </w:r>
          </w:p>
        </w:tc>
        <w:tc>
          <w:tcPr>
            <w:tcW w:w="1115" w:type="dxa"/>
            <w:tcBorders>
              <w:top w:val="single" w:sz="4" w:space="0" w:color="auto"/>
              <w:bottom w:val="single" w:sz="4" w:space="0" w:color="auto"/>
            </w:tcBorders>
          </w:tcPr>
          <w:p w14:paraId="7BF47218" w14:textId="77777777" w:rsidR="00A7521D" w:rsidRPr="00995C3D" w:rsidRDefault="00A7521D" w:rsidP="00A7521D">
            <w:pPr>
              <w:spacing w:after="0" w:line="240" w:lineRule="auto"/>
              <w:jc w:val="center"/>
            </w:pPr>
            <w:r w:rsidRPr="00995C3D">
              <w:t>Postcode</w:t>
            </w:r>
          </w:p>
        </w:tc>
        <w:tc>
          <w:tcPr>
            <w:tcW w:w="1065" w:type="dxa"/>
            <w:tcBorders>
              <w:top w:val="single" w:sz="4" w:space="0" w:color="auto"/>
              <w:bottom w:val="single" w:sz="4" w:space="0" w:color="auto"/>
            </w:tcBorders>
          </w:tcPr>
          <w:p w14:paraId="6BC9EB2B" w14:textId="77777777" w:rsidR="00A7521D" w:rsidRPr="00995C3D" w:rsidRDefault="00A7521D" w:rsidP="00A7521D">
            <w:pPr>
              <w:spacing w:after="0" w:line="240" w:lineRule="auto"/>
              <w:jc w:val="center"/>
            </w:pPr>
            <w:r w:rsidRPr="00995C3D">
              <w:t>CIBSE category</w:t>
            </w:r>
          </w:p>
        </w:tc>
        <w:tc>
          <w:tcPr>
            <w:tcW w:w="1196" w:type="dxa"/>
            <w:tcBorders>
              <w:top w:val="single" w:sz="4" w:space="0" w:color="auto"/>
              <w:bottom w:val="single" w:sz="4" w:space="0" w:color="auto"/>
            </w:tcBorders>
          </w:tcPr>
          <w:p w14:paraId="3C4FB28E" w14:textId="77777777" w:rsidR="00A7521D" w:rsidRPr="00995C3D" w:rsidRDefault="00A7521D" w:rsidP="00A7521D">
            <w:pPr>
              <w:spacing w:after="0" w:line="240" w:lineRule="auto"/>
              <w:jc w:val="center"/>
            </w:pPr>
            <w:r w:rsidRPr="00995C3D">
              <w:t>Estimated floor area (m</w:t>
            </w:r>
            <w:r w:rsidRPr="00995C3D">
              <w:rPr>
                <w:vertAlign w:val="superscript"/>
              </w:rPr>
              <w:t>2</w:t>
            </w:r>
            <w:r w:rsidRPr="00995C3D">
              <w:t>)</w:t>
            </w:r>
          </w:p>
        </w:tc>
        <w:tc>
          <w:tcPr>
            <w:tcW w:w="1798" w:type="dxa"/>
            <w:tcBorders>
              <w:top w:val="single" w:sz="4" w:space="0" w:color="auto"/>
              <w:bottom w:val="single" w:sz="4" w:space="0" w:color="auto"/>
            </w:tcBorders>
          </w:tcPr>
          <w:p w14:paraId="5881B4A5" w14:textId="77777777" w:rsidR="00A7521D" w:rsidRPr="00995C3D" w:rsidRDefault="00A7521D" w:rsidP="00A7521D">
            <w:pPr>
              <w:spacing w:after="0" w:line="240" w:lineRule="auto"/>
              <w:jc w:val="center"/>
            </w:pPr>
            <w:r w:rsidRPr="00995C3D">
              <w:t>Yearly energy use for heating (MWh)</w:t>
            </w:r>
          </w:p>
        </w:tc>
        <w:tc>
          <w:tcPr>
            <w:tcW w:w="1014" w:type="dxa"/>
            <w:tcBorders>
              <w:top w:val="single" w:sz="4" w:space="0" w:color="auto"/>
              <w:bottom w:val="single" w:sz="4" w:space="0" w:color="auto"/>
            </w:tcBorders>
          </w:tcPr>
          <w:p w14:paraId="02FC0D97" w14:textId="77777777" w:rsidR="00A7521D" w:rsidRPr="00995C3D" w:rsidRDefault="00A7521D" w:rsidP="00A7521D">
            <w:pPr>
              <w:spacing w:after="0" w:line="240" w:lineRule="auto"/>
              <w:jc w:val="center"/>
            </w:pPr>
            <w:r w:rsidRPr="00995C3D">
              <w:t>Average power (kW)</w:t>
            </w:r>
          </w:p>
        </w:tc>
        <w:tc>
          <w:tcPr>
            <w:tcW w:w="844" w:type="dxa"/>
            <w:tcBorders>
              <w:top w:val="single" w:sz="4" w:space="0" w:color="auto"/>
              <w:bottom w:val="single" w:sz="4" w:space="0" w:color="auto"/>
            </w:tcBorders>
          </w:tcPr>
          <w:p w14:paraId="1AA1FFB2" w14:textId="77777777" w:rsidR="00A7521D" w:rsidRPr="00995C3D" w:rsidRDefault="00A7521D" w:rsidP="00A7521D">
            <w:pPr>
              <w:spacing w:after="0" w:line="240" w:lineRule="auto"/>
              <w:jc w:val="center"/>
            </w:pPr>
            <w:r w:rsidRPr="00995C3D">
              <w:t>Peak power (kW)</w:t>
            </w:r>
          </w:p>
        </w:tc>
      </w:tr>
      <w:tr w:rsidR="00A7521D" w:rsidRPr="00995C3D" w14:paraId="6C19500C" w14:textId="77777777" w:rsidTr="00A7521D">
        <w:trPr>
          <w:tblHeader/>
          <w:jc w:val="center"/>
        </w:trPr>
        <w:tc>
          <w:tcPr>
            <w:tcW w:w="2569" w:type="dxa"/>
            <w:tcBorders>
              <w:top w:val="single" w:sz="4" w:space="0" w:color="auto"/>
              <w:bottom w:val="nil"/>
            </w:tcBorders>
          </w:tcPr>
          <w:p w14:paraId="18449484" w14:textId="77777777" w:rsidR="00A7521D" w:rsidRPr="00995C3D" w:rsidRDefault="00A7521D" w:rsidP="00A7521D">
            <w:pPr>
              <w:spacing w:after="0" w:line="240" w:lineRule="auto"/>
              <w:jc w:val="center"/>
              <w:rPr>
                <w:rFonts w:cs="Calibri"/>
                <w:color w:val="000000"/>
              </w:rPr>
            </w:pPr>
            <w:r w:rsidRPr="00995C3D">
              <w:rPr>
                <w:rFonts w:cs="Calibri"/>
                <w:color w:val="000000"/>
              </w:rPr>
              <w:t>Darley house</w:t>
            </w:r>
          </w:p>
        </w:tc>
        <w:tc>
          <w:tcPr>
            <w:tcW w:w="1115" w:type="dxa"/>
            <w:tcBorders>
              <w:top w:val="single" w:sz="4" w:space="0" w:color="auto"/>
              <w:bottom w:val="nil"/>
            </w:tcBorders>
          </w:tcPr>
          <w:p w14:paraId="1A0259A8" w14:textId="77777777" w:rsidR="00A7521D" w:rsidRPr="00995C3D" w:rsidRDefault="00A7521D" w:rsidP="00A7521D">
            <w:pPr>
              <w:spacing w:after="0" w:line="240" w:lineRule="auto"/>
              <w:jc w:val="center"/>
            </w:pPr>
            <w:r w:rsidRPr="00995C3D">
              <w:rPr>
                <w:shd w:val="clear" w:color="auto" w:fill="FFFFFF"/>
              </w:rPr>
              <w:t>DE4 3BP</w:t>
            </w:r>
          </w:p>
        </w:tc>
        <w:tc>
          <w:tcPr>
            <w:tcW w:w="1065" w:type="dxa"/>
            <w:tcBorders>
              <w:top w:val="single" w:sz="4" w:space="0" w:color="auto"/>
              <w:bottom w:val="nil"/>
            </w:tcBorders>
          </w:tcPr>
          <w:p w14:paraId="6736435E" w14:textId="77777777" w:rsidR="00A7521D" w:rsidRPr="00995C3D" w:rsidRDefault="00A7521D" w:rsidP="00A7521D">
            <w:pPr>
              <w:spacing w:after="0" w:line="240" w:lineRule="auto"/>
              <w:jc w:val="center"/>
              <w:rPr>
                <w:rFonts w:cs="Calibri"/>
                <w:color w:val="000000"/>
              </w:rPr>
            </w:pPr>
            <w:r w:rsidRPr="00995C3D">
              <w:rPr>
                <w:rFonts w:cs="Calibri"/>
                <w:color w:val="000000"/>
              </w:rPr>
              <w:t>9</w:t>
            </w:r>
          </w:p>
        </w:tc>
        <w:tc>
          <w:tcPr>
            <w:tcW w:w="1196" w:type="dxa"/>
            <w:tcBorders>
              <w:top w:val="single" w:sz="4" w:space="0" w:color="auto"/>
              <w:bottom w:val="nil"/>
            </w:tcBorders>
          </w:tcPr>
          <w:p w14:paraId="27C355FA" w14:textId="77777777" w:rsidR="00A7521D" w:rsidRPr="00995C3D" w:rsidRDefault="00A7521D" w:rsidP="00A7521D">
            <w:pPr>
              <w:spacing w:after="0" w:line="240" w:lineRule="auto"/>
              <w:jc w:val="center"/>
              <w:rPr>
                <w:rFonts w:cs="Calibri"/>
                <w:color w:val="000000"/>
              </w:rPr>
            </w:pPr>
            <w:r w:rsidRPr="00995C3D">
              <w:rPr>
                <w:rFonts w:cs="Calibri"/>
                <w:color w:val="000000"/>
              </w:rPr>
              <w:t>1</w:t>
            </w:r>
            <w:r>
              <w:rPr>
                <w:rFonts w:cs="Calibri"/>
                <w:color w:val="000000"/>
              </w:rPr>
              <w:t>,</w:t>
            </w:r>
            <w:r w:rsidRPr="00995C3D">
              <w:rPr>
                <w:rFonts w:cs="Calibri"/>
                <w:color w:val="000000"/>
              </w:rPr>
              <w:t>266</w:t>
            </w:r>
          </w:p>
        </w:tc>
        <w:tc>
          <w:tcPr>
            <w:tcW w:w="1798" w:type="dxa"/>
            <w:tcBorders>
              <w:top w:val="single" w:sz="4" w:space="0" w:color="auto"/>
              <w:bottom w:val="nil"/>
            </w:tcBorders>
          </w:tcPr>
          <w:p w14:paraId="0BC60FB8" w14:textId="77777777" w:rsidR="00A7521D" w:rsidRPr="00995C3D" w:rsidRDefault="00A7521D" w:rsidP="00A7521D">
            <w:pPr>
              <w:spacing w:after="0" w:line="240" w:lineRule="auto"/>
              <w:jc w:val="center"/>
              <w:rPr>
                <w:rFonts w:cs="Calibri"/>
                <w:color w:val="000000"/>
              </w:rPr>
            </w:pPr>
            <w:r w:rsidRPr="00995C3D">
              <w:rPr>
                <w:rFonts w:cs="Calibri"/>
                <w:color w:val="000000"/>
              </w:rPr>
              <w:t>305</w:t>
            </w:r>
          </w:p>
        </w:tc>
        <w:tc>
          <w:tcPr>
            <w:tcW w:w="1014" w:type="dxa"/>
            <w:tcBorders>
              <w:top w:val="single" w:sz="4" w:space="0" w:color="auto"/>
              <w:bottom w:val="nil"/>
            </w:tcBorders>
          </w:tcPr>
          <w:p w14:paraId="4855CCA7" w14:textId="77777777" w:rsidR="00A7521D" w:rsidRPr="00995C3D" w:rsidRDefault="00A7521D" w:rsidP="00A7521D">
            <w:pPr>
              <w:spacing w:after="0" w:line="240" w:lineRule="auto"/>
              <w:jc w:val="center"/>
              <w:rPr>
                <w:rFonts w:cs="Calibri"/>
                <w:color w:val="000000"/>
              </w:rPr>
            </w:pPr>
            <w:r w:rsidRPr="00995C3D">
              <w:rPr>
                <w:rFonts w:cs="Calibri"/>
                <w:color w:val="000000"/>
              </w:rPr>
              <w:t>84</w:t>
            </w:r>
          </w:p>
        </w:tc>
        <w:tc>
          <w:tcPr>
            <w:tcW w:w="844" w:type="dxa"/>
            <w:tcBorders>
              <w:top w:val="single" w:sz="4" w:space="0" w:color="auto"/>
              <w:bottom w:val="nil"/>
            </w:tcBorders>
          </w:tcPr>
          <w:p w14:paraId="1E98EF19" w14:textId="77777777" w:rsidR="00A7521D" w:rsidRPr="00995C3D" w:rsidRDefault="00A7521D" w:rsidP="00A7521D">
            <w:pPr>
              <w:spacing w:after="0" w:line="240" w:lineRule="auto"/>
              <w:jc w:val="center"/>
              <w:rPr>
                <w:rFonts w:cs="Calibri"/>
                <w:color w:val="000000"/>
              </w:rPr>
            </w:pPr>
            <w:r w:rsidRPr="00995C3D">
              <w:rPr>
                <w:rFonts w:cs="Calibri"/>
                <w:color w:val="000000"/>
              </w:rPr>
              <w:t>141</w:t>
            </w:r>
          </w:p>
        </w:tc>
      </w:tr>
      <w:tr w:rsidR="00A7521D" w:rsidRPr="00995C3D" w14:paraId="054E575E" w14:textId="77777777" w:rsidTr="00A7521D">
        <w:trPr>
          <w:tblHeader/>
          <w:jc w:val="center"/>
        </w:trPr>
        <w:tc>
          <w:tcPr>
            <w:tcW w:w="2569" w:type="dxa"/>
            <w:tcBorders>
              <w:top w:val="nil"/>
            </w:tcBorders>
          </w:tcPr>
          <w:p w14:paraId="2220BE85" w14:textId="77777777" w:rsidR="00A7521D" w:rsidRPr="00995C3D" w:rsidRDefault="00A7521D" w:rsidP="00A7521D">
            <w:pPr>
              <w:spacing w:after="0" w:line="240" w:lineRule="auto"/>
              <w:jc w:val="center"/>
              <w:rPr>
                <w:rFonts w:cs="Calibri"/>
                <w:color w:val="000000"/>
              </w:rPr>
            </w:pPr>
            <w:r w:rsidRPr="00995C3D">
              <w:rPr>
                <w:rFonts w:cs="Calibri"/>
                <w:color w:val="000000"/>
              </w:rPr>
              <w:t>Milner off road racing</w:t>
            </w:r>
          </w:p>
        </w:tc>
        <w:tc>
          <w:tcPr>
            <w:tcW w:w="1115" w:type="dxa"/>
            <w:tcBorders>
              <w:top w:val="nil"/>
            </w:tcBorders>
          </w:tcPr>
          <w:p w14:paraId="5D39A5FE" w14:textId="77777777" w:rsidR="00A7521D" w:rsidRPr="00995C3D" w:rsidRDefault="00A7521D" w:rsidP="00A7521D">
            <w:pPr>
              <w:spacing w:after="0" w:line="240" w:lineRule="auto"/>
              <w:jc w:val="center"/>
            </w:pPr>
            <w:r w:rsidRPr="00995C3D">
              <w:t>DE4 2QJ</w:t>
            </w:r>
          </w:p>
        </w:tc>
        <w:tc>
          <w:tcPr>
            <w:tcW w:w="1065" w:type="dxa"/>
            <w:tcBorders>
              <w:top w:val="nil"/>
            </w:tcBorders>
          </w:tcPr>
          <w:p w14:paraId="07A1EB87" w14:textId="77777777" w:rsidR="00A7521D" w:rsidRPr="00995C3D" w:rsidRDefault="00A7521D" w:rsidP="00A7521D">
            <w:pPr>
              <w:spacing w:after="0" w:line="240" w:lineRule="auto"/>
              <w:jc w:val="center"/>
              <w:rPr>
                <w:rFonts w:cs="Calibri"/>
                <w:color w:val="000000"/>
              </w:rPr>
            </w:pPr>
            <w:r w:rsidRPr="00995C3D">
              <w:rPr>
                <w:rFonts w:cs="Calibri"/>
                <w:color w:val="000000"/>
              </w:rPr>
              <w:t>27</w:t>
            </w:r>
          </w:p>
        </w:tc>
        <w:tc>
          <w:tcPr>
            <w:tcW w:w="1196" w:type="dxa"/>
            <w:tcBorders>
              <w:top w:val="nil"/>
            </w:tcBorders>
          </w:tcPr>
          <w:p w14:paraId="69D53CE2" w14:textId="77777777" w:rsidR="00A7521D" w:rsidRPr="00995C3D" w:rsidRDefault="00A7521D" w:rsidP="00A7521D">
            <w:pPr>
              <w:spacing w:after="0" w:line="240" w:lineRule="auto"/>
              <w:jc w:val="center"/>
              <w:rPr>
                <w:rFonts w:cs="Calibri"/>
                <w:color w:val="000000"/>
              </w:rPr>
            </w:pPr>
            <w:r w:rsidRPr="00995C3D">
              <w:rPr>
                <w:rFonts w:cs="Calibri"/>
                <w:color w:val="000000"/>
              </w:rPr>
              <w:t>350</w:t>
            </w:r>
          </w:p>
        </w:tc>
        <w:tc>
          <w:tcPr>
            <w:tcW w:w="1798" w:type="dxa"/>
            <w:tcBorders>
              <w:top w:val="nil"/>
            </w:tcBorders>
          </w:tcPr>
          <w:p w14:paraId="348D95B3" w14:textId="77777777" w:rsidR="00A7521D" w:rsidRPr="00995C3D" w:rsidRDefault="00A7521D" w:rsidP="00A7521D">
            <w:pPr>
              <w:spacing w:after="0" w:line="240" w:lineRule="auto"/>
              <w:jc w:val="center"/>
              <w:rPr>
                <w:rFonts w:cs="Calibri"/>
                <w:color w:val="000000"/>
              </w:rPr>
            </w:pPr>
            <w:r w:rsidRPr="00995C3D">
              <w:rPr>
                <w:rFonts w:cs="Calibri"/>
                <w:color w:val="000000"/>
              </w:rPr>
              <w:t>54</w:t>
            </w:r>
          </w:p>
        </w:tc>
        <w:tc>
          <w:tcPr>
            <w:tcW w:w="1014" w:type="dxa"/>
            <w:tcBorders>
              <w:top w:val="nil"/>
            </w:tcBorders>
          </w:tcPr>
          <w:p w14:paraId="36B4C793" w14:textId="77777777" w:rsidR="00A7521D" w:rsidRPr="00995C3D" w:rsidRDefault="00A7521D" w:rsidP="00A7521D">
            <w:pPr>
              <w:spacing w:after="0" w:line="240" w:lineRule="auto"/>
              <w:jc w:val="center"/>
              <w:rPr>
                <w:rFonts w:cs="Calibri"/>
                <w:color w:val="000000"/>
              </w:rPr>
            </w:pPr>
            <w:r w:rsidRPr="00995C3D">
              <w:rPr>
                <w:rFonts w:cs="Calibri"/>
                <w:color w:val="000000"/>
              </w:rPr>
              <w:t>21</w:t>
            </w:r>
          </w:p>
        </w:tc>
        <w:tc>
          <w:tcPr>
            <w:tcW w:w="844" w:type="dxa"/>
            <w:tcBorders>
              <w:top w:val="nil"/>
            </w:tcBorders>
          </w:tcPr>
          <w:p w14:paraId="50591A2F" w14:textId="77777777" w:rsidR="00A7521D" w:rsidRPr="00995C3D" w:rsidRDefault="00A7521D" w:rsidP="00A7521D">
            <w:pPr>
              <w:spacing w:after="0" w:line="240" w:lineRule="auto"/>
              <w:jc w:val="center"/>
              <w:rPr>
                <w:rFonts w:cs="Calibri"/>
                <w:color w:val="000000"/>
              </w:rPr>
            </w:pPr>
            <w:r w:rsidRPr="00995C3D">
              <w:rPr>
                <w:rFonts w:cs="Calibri"/>
                <w:color w:val="000000"/>
              </w:rPr>
              <w:t>57</w:t>
            </w:r>
          </w:p>
        </w:tc>
      </w:tr>
      <w:tr w:rsidR="00A7521D" w:rsidRPr="00995C3D" w14:paraId="7D2F203E" w14:textId="77777777" w:rsidTr="00A7521D">
        <w:trPr>
          <w:tblHeader/>
          <w:jc w:val="center"/>
        </w:trPr>
        <w:tc>
          <w:tcPr>
            <w:tcW w:w="2569" w:type="dxa"/>
          </w:tcPr>
          <w:p w14:paraId="297A5FE8" w14:textId="77777777" w:rsidR="00A7521D" w:rsidRPr="00995C3D" w:rsidRDefault="00A7521D" w:rsidP="00A7521D">
            <w:pPr>
              <w:spacing w:after="0" w:line="240" w:lineRule="auto"/>
              <w:jc w:val="center"/>
              <w:rPr>
                <w:rFonts w:cs="Calibri"/>
                <w:color w:val="000000"/>
              </w:rPr>
            </w:pPr>
            <w:r w:rsidRPr="00995C3D">
              <w:rPr>
                <w:rFonts w:cs="Calibri"/>
                <w:color w:val="000000"/>
              </w:rPr>
              <w:t>Whitworth hospital</w:t>
            </w:r>
          </w:p>
        </w:tc>
        <w:tc>
          <w:tcPr>
            <w:tcW w:w="1115" w:type="dxa"/>
          </w:tcPr>
          <w:p w14:paraId="56BE07F1" w14:textId="77777777" w:rsidR="00A7521D" w:rsidRPr="00995C3D" w:rsidRDefault="00A7521D" w:rsidP="00A7521D">
            <w:pPr>
              <w:spacing w:after="0" w:line="240" w:lineRule="auto"/>
              <w:jc w:val="center"/>
            </w:pPr>
            <w:r w:rsidRPr="00995C3D">
              <w:t>DE4 2JD</w:t>
            </w:r>
          </w:p>
        </w:tc>
        <w:tc>
          <w:tcPr>
            <w:tcW w:w="1065" w:type="dxa"/>
          </w:tcPr>
          <w:p w14:paraId="53439F63" w14:textId="77777777" w:rsidR="00A7521D" w:rsidRPr="00995C3D" w:rsidRDefault="00A7521D" w:rsidP="00A7521D">
            <w:pPr>
              <w:spacing w:after="0" w:line="240" w:lineRule="auto"/>
              <w:jc w:val="center"/>
              <w:rPr>
                <w:rFonts w:cs="Calibri"/>
                <w:color w:val="000000"/>
              </w:rPr>
            </w:pPr>
            <w:r w:rsidRPr="00995C3D">
              <w:rPr>
                <w:rFonts w:cs="Calibri"/>
                <w:color w:val="000000"/>
              </w:rPr>
              <w:t>20</w:t>
            </w:r>
          </w:p>
        </w:tc>
        <w:tc>
          <w:tcPr>
            <w:tcW w:w="1196" w:type="dxa"/>
          </w:tcPr>
          <w:p w14:paraId="644675F3" w14:textId="77777777" w:rsidR="00A7521D" w:rsidRPr="00995C3D" w:rsidRDefault="00A7521D" w:rsidP="00A7521D">
            <w:pPr>
              <w:spacing w:after="0" w:line="240" w:lineRule="auto"/>
              <w:jc w:val="center"/>
              <w:rPr>
                <w:rFonts w:cs="Calibri"/>
                <w:color w:val="000000"/>
              </w:rPr>
            </w:pPr>
            <w:r w:rsidRPr="00995C3D">
              <w:rPr>
                <w:rFonts w:cs="Calibri"/>
                <w:color w:val="000000"/>
              </w:rPr>
              <w:t>2</w:t>
            </w:r>
            <w:r>
              <w:rPr>
                <w:rFonts w:cs="Calibri"/>
                <w:color w:val="000000"/>
              </w:rPr>
              <w:t>,</w:t>
            </w:r>
            <w:r w:rsidRPr="00995C3D">
              <w:rPr>
                <w:rFonts w:cs="Calibri"/>
                <w:color w:val="000000"/>
              </w:rPr>
              <w:t>807</w:t>
            </w:r>
          </w:p>
        </w:tc>
        <w:tc>
          <w:tcPr>
            <w:tcW w:w="1798" w:type="dxa"/>
          </w:tcPr>
          <w:p w14:paraId="7E27D513" w14:textId="77777777" w:rsidR="00A7521D" w:rsidRPr="00995C3D" w:rsidRDefault="00A7521D" w:rsidP="00A7521D">
            <w:pPr>
              <w:spacing w:after="0" w:line="240" w:lineRule="auto"/>
              <w:jc w:val="center"/>
              <w:rPr>
                <w:rFonts w:cs="Calibri"/>
                <w:color w:val="000000"/>
              </w:rPr>
            </w:pPr>
            <w:r w:rsidRPr="00995C3D">
              <w:rPr>
                <w:rFonts w:cs="Calibri"/>
                <w:color w:val="000000"/>
              </w:rPr>
              <w:t>967</w:t>
            </w:r>
          </w:p>
        </w:tc>
        <w:tc>
          <w:tcPr>
            <w:tcW w:w="1014" w:type="dxa"/>
          </w:tcPr>
          <w:p w14:paraId="59262606" w14:textId="77777777" w:rsidR="00A7521D" w:rsidRPr="00995C3D" w:rsidRDefault="00A7521D" w:rsidP="00A7521D">
            <w:pPr>
              <w:spacing w:after="0" w:line="240" w:lineRule="auto"/>
              <w:jc w:val="center"/>
              <w:rPr>
                <w:rFonts w:cs="Calibri"/>
                <w:color w:val="000000"/>
              </w:rPr>
            </w:pPr>
            <w:r w:rsidRPr="00995C3D">
              <w:rPr>
                <w:rFonts w:cs="Calibri"/>
                <w:color w:val="000000"/>
              </w:rPr>
              <w:t>148</w:t>
            </w:r>
          </w:p>
        </w:tc>
        <w:tc>
          <w:tcPr>
            <w:tcW w:w="844" w:type="dxa"/>
          </w:tcPr>
          <w:p w14:paraId="278D9237" w14:textId="77777777" w:rsidR="00A7521D" w:rsidRPr="00995C3D" w:rsidRDefault="00A7521D" w:rsidP="00A7521D">
            <w:pPr>
              <w:spacing w:after="0" w:line="240" w:lineRule="auto"/>
              <w:jc w:val="center"/>
              <w:rPr>
                <w:rFonts w:cs="Calibri"/>
                <w:color w:val="000000"/>
              </w:rPr>
            </w:pPr>
            <w:r w:rsidRPr="00995C3D">
              <w:rPr>
                <w:rFonts w:cs="Calibri"/>
                <w:color w:val="000000"/>
              </w:rPr>
              <w:t>264</w:t>
            </w:r>
          </w:p>
        </w:tc>
      </w:tr>
      <w:tr w:rsidR="00A7521D" w:rsidRPr="00995C3D" w14:paraId="1A67EC1C" w14:textId="77777777" w:rsidTr="00A7521D">
        <w:trPr>
          <w:tblHeader/>
          <w:jc w:val="center"/>
        </w:trPr>
        <w:tc>
          <w:tcPr>
            <w:tcW w:w="2569" w:type="dxa"/>
          </w:tcPr>
          <w:p w14:paraId="13F4E9AE" w14:textId="77777777" w:rsidR="00A7521D" w:rsidRPr="00995C3D" w:rsidRDefault="00A7521D" w:rsidP="00A7521D">
            <w:pPr>
              <w:spacing w:after="0" w:line="240" w:lineRule="auto"/>
              <w:jc w:val="center"/>
              <w:rPr>
                <w:rFonts w:cs="Calibri"/>
                <w:color w:val="000000"/>
              </w:rPr>
            </w:pPr>
            <w:r w:rsidRPr="00995C3D">
              <w:rPr>
                <w:rFonts w:cs="Calibri"/>
                <w:color w:val="000000"/>
              </w:rPr>
              <w:t>Phoenix</w:t>
            </w:r>
          </w:p>
        </w:tc>
        <w:tc>
          <w:tcPr>
            <w:tcW w:w="1115" w:type="dxa"/>
          </w:tcPr>
          <w:p w14:paraId="35B57521" w14:textId="77777777" w:rsidR="00A7521D" w:rsidRPr="00995C3D" w:rsidRDefault="00A7521D" w:rsidP="00A7521D">
            <w:pPr>
              <w:spacing w:after="0" w:line="240" w:lineRule="auto"/>
              <w:jc w:val="center"/>
            </w:pPr>
            <w:r w:rsidRPr="00995C3D">
              <w:t>DE4 3BP</w:t>
            </w:r>
          </w:p>
        </w:tc>
        <w:tc>
          <w:tcPr>
            <w:tcW w:w="1065" w:type="dxa"/>
          </w:tcPr>
          <w:p w14:paraId="0D5B4051" w14:textId="77777777" w:rsidR="00A7521D" w:rsidRPr="00995C3D" w:rsidRDefault="00A7521D" w:rsidP="00A7521D">
            <w:pPr>
              <w:spacing w:after="0" w:line="240" w:lineRule="auto"/>
              <w:jc w:val="center"/>
              <w:rPr>
                <w:rFonts w:cs="Calibri"/>
                <w:color w:val="000000"/>
              </w:rPr>
            </w:pPr>
            <w:r w:rsidRPr="00995C3D">
              <w:rPr>
                <w:rFonts w:cs="Calibri"/>
                <w:color w:val="000000"/>
              </w:rPr>
              <w:t>1</w:t>
            </w:r>
          </w:p>
        </w:tc>
        <w:tc>
          <w:tcPr>
            <w:tcW w:w="1196" w:type="dxa"/>
          </w:tcPr>
          <w:p w14:paraId="00BF284A" w14:textId="77777777" w:rsidR="00A7521D" w:rsidRPr="00995C3D" w:rsidRDefault="00A7521D" w:rsidP="00A7521D">
            <w:pPr>
              <w:spacing w:after="0" w:line="240" w:lineRule="auto"/>
              <w:jc w:val="center"/>
              <w:rPr>
                <w:rFonts w:cs="Calibri"/>
                <w:color w:val="000000"/>
              </w:rPr>
            </w:pPr>
            <w:r w:rsidRPr="00995C3D">
              <w:rPr>
                <w:rFonts w:cs="Calibri"/>
                <w:color w:val="000000"/>
              </w:rPr>
              <w:t>653</w:t>
            </w:r>
          </w:p>
        </w:tc>
        <w:tc>
          <w:tcPr>
            <w:tcW w:w="1798" w:type="dxa"/>
          </w:tcPr>
          <w:p w14:paraId="40794F96" w14:textId="77777777" w:rsidR="00A7521D" w:rsidRPr="00995C3D" w:rsidRDefault="00A7521D" w:rsidP="00A7521D">
            <w:pPr>
              <w:spacing w:after="0" w:line="240" w:lineRule="auto"/>
              <w:jc w:val="center"/>
              <w:rPr>
                <w:rFonts w:cs="Calibri"/>
                <w:color w:val="000000"/>
              </w:rPr>
            </w:pPr>
            <w:r w:rsidRPr="00995C3D">
              <w:rPr>
                <w:rFonts w:cs="Calibri"/>
                <w:color w:val="000000"/>
              </w:rPr>
              <w:t>71</w:t>
            </w:r>
          </w:p>
        </w:tc>
        <w:tc>
          <w:tcPr>
            <w:tcW w:w="1014" w:type="dxa"/>
          </w:tcPr>
          <w:p w14:paraId="08EF09E2" w14:textId="77777777" w:rsidR="00A7521D" w:rsidRPr="00995C3D" w:rsidRDefault="00A7521D" w:rsidP="00A7521D">
            <w:pPr>
              <w:spacing w:after="0" w:line="240" w:lineRule="auto"/>
              <w:jc w:val="center"/>
              <w:rPr>
                <w:rFonts w:cs="Calibri"/>
                <w:color w:val="000000"/>
              </w:rPr>
            </w:pPr>
            <w:r w:rsidRPr="00995C3D">
              <w:rPr>
                <w:rFonts w:cs="Calibri"/>
                <w:color w:val="000000"/>
              </w:rPr>
              <w:t>28</w:t>
            </w:r>
          </w:p>
        </w:tc>
        <w:tc>
          <w:tcPr>
            <w:tcW w:w="844" w:type="dxa"/>
          </w:tcPr>
          <w:p w14:paraId="555AE09E" w14:textId="77777777" w:rsidR="00A7521D" w:rsidRPr="00995C3D" w:rsidRDefault="00A7521D" w:rsidP="00A7521D">
            <w:pPr>
              <w:spacing w:after="0" w:line="240" w:lineRule="auto"/>
              <w:jc w:val="center"/>
              <w:rPr>
                <w:rFonts w:cs="Calibri"/>
                <w:color w:val="000000"/>
              </w:rPr>
            </w:pPr>
            <w:r w:rsidRPr="00995C3D">
              <w:rPr>
                <w:rFonts w:cs="Calibri"/>
                <w:color w:val="000000"/>
              </w:rPr>
              <w:t>124</w:t>
            </w:r>
          </w:p>
        </w:tc>
      </w:tr>
      <w:tr w:rsidR="00A7521D" w:rsidRPr="00995C3D" w14:paraId="31EADA04" w14:textId="77777777" w:rsidTr="00A7521D">
        <w:trPr>
          <w:tblHeader/>
          <w:jc w:val="center"/>
        </w:trPr>
        <w:tc>
          <w:tcPr>
            <w:tcW w:w="2569" w:type="dxa"/>
          </w:tcPr>
          <w:p w14:paraId="1FD9B86E" w14:textId="77777777" w:rsidR="00A7521D" w:rsidRPr="00995C3D" w:rsidRDefault="00A7521D" w:rsidP="00A7521D">
            <w:pPr>
              <w:spacing w:after="0" w:line="240" w:lineRule="auto"/>
              <w:jc w:val="center"/>
              <w:rPr>
                <w:rFonts w:cs="Calibri"/>
                <w:color w:val="000000"/>
              </w:rPr>
            </w:pPr>
            <w:r w:rsidRPr="00995C3D">
              <w:rPr>
                <w:rFonts w:cs="Calibri"/>
                <w:color w:val="000000"/>
              </w:rPr>
              <w:t>Long meadow</w:t>
            </w:r>
          </w:p>
        </w:tc>
        <w:tc>
          <w:tcPr>
            <w:tcW w:w="1115" w:type="dxa"/>
          </w:tcPr>
          <w:p w14:paraId="7E8507A8" w14:textId="77777777" w:rsidR="00A7521D" w:rsidRPr="00995C3D" w:rsidRDefault="00A7521D" w:rsidP="00A7521D">
            <w:pPr>
              <w:spacing w:after="0" w:line="240" w:lineRule="auto"/>
              <w:jc w:val="center"/>
            </w:pPr>
            <w:r w:rsidRPr="00995C3D">
              <w:t>DE4 3BN</w:t>
            </w:r>
          </w:p>
        </w:tc>
        <w:tc>
          <w:tcPr>
            <w:tcW w:w="1065" w:type="dxa"/>
          </w:tcPr>
          <w:p w14:paraId="5083C4F8" w14:textId="77777777" w:rsidR="00A7521D" w:rsidRPr="00995C3D" w:rsidRDefault="00A7521D" w:rsidP="00A7521D">
            <w:pPr>
              <w:spacing w:after="0" w:line="240" w:lineRule="auto"/>
              <w:jc w:val="center"/>
              <w:rPr>
                <w:rFonts w:cs="Calibri"/>
                <w:color w:val="000000"/>
              </w:rPr>
            </w:pPr>
            <w:r w:rsidRPr="00995C3D">
              <w:rPr>
                <w:rFonts w:cs="Calibri"/>
                <w:color w:val="000000"/>
              </w:rPr>
              <w:t>21</w:t>
            </w:r>
          </w:p>
        </w:tc>
        <w:tc>
          <w:tcPr>
            <w:tcW w:w="1196" w:type="dxa"/>
          </w:tcPr>
          <w:p w14:paraId="6A28518E" w14:textId="77777777" w:rsidR="00A7521D" w:rsidRPr="00995C3D" w:rsidRDefault="00A7521D" w:rsidP="00A7521D">
            <w:pPr>
              <w:spacing w:after="0" w:line="240" w:lineRule="auto"/>
              <w:jc w:val="center"/>
              <w:rPr>
                <w:rFonts w:cs="Calibri"/>
                <w:color w:val="000000"/>
              </w:rPr>
            </w:pPr>
            <w:r w:rsidRPr="00995C3D">
              <w:rPr>
                <w:rFonts w:cs="Calibri"/>
                <w:color w:val="000000"/>
              </w:rPr>
              <w:t>1</w:t>
            </w:r>
            <w:r>
              <w:rPr>
                <w:rFonts w:cs="Calibri"/>
                <w:color w:val="000000"/>
              </w:rPr>
              <w:t>,</w:t>
            </w:r>
            <w:r w:rsidRPr="00995C3D">
              <w:rPr>
                <w:rFonts w:cs="Calibri"/>
                <w:color w:val="000000"/>
              </w:rPr>
              <w:t>636</w:t>
            </w:r>
          </w:p>
        </w:tc>
        <w:tc>
          <w:tcPr>
            <w:tcW w:w="1798" w:type="dxa"/>
          </w:tcPr>
          <w:p w14:paraId="27CDB145" w14:textId="77777777" w:rsidR="00A7521D" w:rsidRPr="00995C3D" w:rsidRDefault="00A7521D" w:rsidP="00A7521D">
            <w:pPr>
              <w:spacing w:after="0" w:line="240" w:lineRule="auto"/>
              <w:jc w:val="center"/>
              <w:rPr>
                <w:rFonts w:cs="Calibri"/>
                <w:color w:val="000000"/>
              </w:rPr>
            </w:pPr>
            <w:r w:rsidRPr="00995C3D">
              <w:rPr>
                <w:rFonts w:cs="Calibri"/>
                <w:color w:val="000000"/>
              </w:rPr>
              <w:t>498</w:t>
            </w:r>
          </w:p>
        </w:tc>
        <w:tc>
          <w:tcPr>
            <w:tcW w:w="1014" w:type="dxa"/>
          </w:tcPr>
          <w:p w14:paraId="19166123" w14:textId="77777777" w:rsidR="00A7521D" w:rsidRPr="00995C3D" w:rsidRDefault="00A7521D" w:rsidP="00A7521D">
            <w:pPr>
              <w:spacing w:after="0" w:line="240" w:lineRule="auto"/>
              <w:jc w:val="center"/>
              <w:rPr>
                <w:rFonts w:cs="Calibri"/>
                <w:color w:val="000000"/>
              </w:rPr>
            </w:pPr>
            <w:r w:rsidRPr="00995C3D">
              <w:rPr>
                <w:rFonts w:cs="Calibri"/>
                <w:color w:val="000000"/>
              </w:rPr>
              <w:t>195</w:t>
            </w:r>
          </w:p>
        </w:tc>
        <w:tc>
          <w:tcPr>
            <w:tcW w:w="844" w:type="dxa"/>
          </w:tcPr>
          <w:p w14:paraId="0A99309E" w14:textId="77777777" w:rsidR="00A7521D" w:rsidRPr="00995C3D" w:rsidRDefault="00A7521D" w:rsidP="00A7521D">
            <w:pPr>
              <w:spacing w:after="0" w:line="240" w:lineRule="auto"/>
              <w:jc w:val="center"/>
              <w:rPr>
                <w:rFonts w:cs="Calibri"/>
                <w:color w:val="000000"/>
              </w:rPr>
            </w:pPr>
            <w:r w:rsidRPr="00995C3D">
              <w:rPr>
                <w:rFonts w:cs="Calibri"/>
                <w:color w:val="000000"/>
              </w:rPr>
              <w:t>520</w:t>
            </w:r>
          </w:p>
        </w:tc>
      </w:tr>
      <w:tr w:rsidR="00A7521D" w:rsidRPr="00995C3D" w14:paraId="5066F4D7" w14:textId="77777777" w:rsidTr="00A7521D">
        <w:trPr>
          <w:tblHeader/>
          <w:jc w:val="center"/>
        </w:trPr>
        <w:tc>
          <w:tcPr>
            <w:tcW w:w="2569" w:type="dxa"/>
          </w:tcPr>
          <w:p w14:paraId="19BAA346" w14:textId="77777777" w:rsidR="00A7521D" w:rsidRPr="00995C3D" w:rsidRDefault="00A7521D" w:rsidP="00A7521D">
            <w:pPr>
              <w:spacing w:after="0" w:line="240" w:lineRule="auto"/>
              <w:jc w:val="center"/>
              <w:rPr>
                <w:rFonts w:cs="Calibri"/>
                <w:color w:val="000000"/>
              </w:rPr>
            </w:pPr>
            <w:r w:rsidRPr="00995C3D">
              <w:rPr>
                <w:rFonts w:cs="Calibri"/>
                <w:color w:val="000000"/>
              </w:rPr>
              <w:t>Valley lodge</w:t>
            </w:r>
          </w:p>
        </w:tc>
        <w:tc>
          <w:tcPr>
            <w:tcW w:w="1115" w:type="dxa"/>
          </w:tcPr>
          <w:p w14:paraId="28166369" w14:textId="77777777" w:rsidR="00A7521D" w:rsidRPr="00995C3D" w:rsidRDefault="00A7521D" w:rsidP="00A7521D">
            <w:pPr>
              <w:spacing w:after="0" w:line="240" w:lineRule="auto"/>
              <w:jc w:val="center"/>
            </w:pPr>
            <w:r w:rsidRPr="00995C3D">
              <w:t>DE4 3BN</w:t>
            </w:r>
          </w:p>
        </w:tc>
        <w:tc>
          <w:tcPr>
            <w:tcW w:w="1065" w:type="dxa"/>
          </w:tcPr>
          <w:p w14:paraId="7DF088B6" w14:textId="77777777" w:rsidR="00A7521D" w:rsidRPr="00995C3D" w:rsidRDefault="00A7521D" w:rsidP="00A7521D">
            <w:pPr>
              <w:spacing w:after="0" w:line="240" w:lineRule="auto"/>
              <w:jc w:val="center"/>
              <w:rPr>
                <w:rFonts w:cs="Calibri"/>
                <w:color w:val="000000"/>
              </w:rPr>
            </w:pPr>
            <w:r w:rsidRPr="00995C3D">
              <w:rPr>
                <w:rFonts w:cs="Calibri"/>
                <w:color w:val="000000"/>
              </w:rPr>
              <w:t>21</w:t>
            </w:r>
          </w:p>
        </w:tc>
        <w:tc>
          <w:tcPr>
            <w:tcW w:w="1196" w:type="dxa"/>
          </w:tcPr>
          <w:p w14:paraId="0FB99898" w14:textId="77777777" w:rsidR="00A7521D" w:rsidRPr="00995C3D" w:rsidRDefault="00A7521D" w:rsidP="00A7521D">
            <w:pPr>
              <w:spacing w:after="0" w:line="240" w:lineRule="auto"/>
              <w:jc w:val="center"/>
              <w:rPr>
                <w:rFonts w:cs="Calibri"/>
                <w:color w:val="000000"/>
              </w:rPr>
            </w:pPr>
            <w:r w:rsidRPr="00995C3D">
              <w:rPr>
                <w:rFonts w:cs="Calibri"/>
                <w:color w:val="000000"/>
              </w:rPr>
              <w:t>2</w:t>
            </w:r>
            <w:r>
              <w:rPr>
                <w:rFonts w:cs="Calibri"/>
                <w:color w:val="000000"/>
              </w:rPr>
              <w:t>,</w:t>
            </w:r>
            <w:r w:rsidRPr="00995C3D">
              <w:rPr>
                <w:rFonts w:cs="Calibri"/>
                <w:color w:val="000000"/>
              </w:rPr>
              <w:t>518</w:t>
            </w:r>
          </w:p>
        </w:tc>
        <w:tc>
          <w:tcPr>
            <w:tcW w:w="1798" w:type="dxa"/>
          </w:tcPr>
          <w:p w14:paraId="5E1FB70A" w14:textId="77777777" w:rsidR="00A7521D" w:rsidRPr="00995C3D" w:rsidRDefault="00A7521D" w:rsidP="00A7521D">
            <w:pPr>
              <w:spacing w:after="0" w:line="240" w:lineRule="auto"/>
              <w:jc w:val="center"/>
              <w:rPr>
                <w:rFonts w:cs="Calibri"/>
                <w:color w:val="000000"/>
              </w:rPr>
            </w:pPr>
            <w:r w:rsidRPr="00995C3D">
              <w:rPr>
                <w:rFonts w:cs="Calibri"/>
                <w:color w:val="000000"/>
              </w:rPr>
              <w:t>767</w:t>
            </w:r>
          </w:p>
        </w:tc>
        <w:tc>
          <w:tcPr>
            <w:tcW w:w="1014" w:type="dxa"/>
          </w:tcPr>
          <w:p w14:paraId="01BDE0D7" w14:textId="77777777" w:rsidR="00A7521D" w:rsidRPr="00995C3D" w:rsidRDefault="00A7521D" w:rsidP="00A7521D">
            <w:pPr>
              <w:spacing w:after="0" w:line="240" w:lineRule="auto"/>
              <w:jc w:val="center"/>
              <w:rPr>
                <w:rFonts w:cs="Calibri"/>
                <w:color w:val="000000"/>
              </w:rPr>
            </w:pPr>
            <w:r w:rsidRPr="00995C3D">
              <w:rPr>
                <w:rFonts w:cs="Calibri"/>
                <w:color w:val="000000"/>
              </w:rPr>
              <w:t>301</w:t>
            </w:r>
          </w:p>
        </w:tc>
        <w:tc>
          <w:tcPr>
            <w:tcW w:w="844" w:type="dxa"/>
          </w:tcPr>
          <w:p w14:paraId="6C67424A" w14:textId="77777777" w:rsidR="00A7521D" w:rsidRPr="00995C3D" w:rsidRDefault="00A7521D" w:rsidP="00A7521D">
            <w:pPr>
              <w:spacing w:after="0" w:line="240" w:lineRule="auto"/>
              <w:jc w:val="center"/>
              <w:rPr>
                <w:rFonts w:cs="Calibri"/>
                <w:color w:val="000000"/>
              </w:rPr>
            </w:pPr>
            <w:r w:rsidRPr="00995C3D">
              <w:rPr>
                <w:rFonts w:cs="Calibri"/>
                <w:color w:val="000000"/>
              </w:rPr>
              <w:t>800</w:t>
            </w:r>
          </w:p>
        </w:tc>
      </w:tr>
      <w:tr w:rsidR="00A7521D" w:rsidRPr="00995C3D" w14:paraId="7DFAB5CB" w14:textId="77777777" w:rsidTr="00A7521D">
        <w:trPr>
          <w:tblHeader/>
          <w:jc w:val="center"/>
        </w:trPr>
        <w:tc>
          <w:tcPr>
            <w:tcW w:w="2569" w:type="dxa"/>
          </w:tcPr>
          <w:p w14:paraId="18CBB280" w14:textId="77777777" w:rsidR="00A7521D" w:rsidRPr="00995C3D" w:rsidRDefault="00A7521D" w:rsidP="00A7521D">
            <w:pPr>
              <w:spacing w:after="0" w:line="240" w:lineRule="auto"/>
              <w:jc w:val="center"/>
              <w:rPr>
                <w:rFonts w:cs="Calibri"/>
                <w:color w:val="000000"/>
              </w:rPr>
            </w:pPr>
            <w:r w:rsidRPr="00995C3D">
              <w:rPr>
                <w:rFonts w:cs="Calibri"/>
                <w:color w:val="000000"/>
              </w:rPr>
              <w:t>Arc leisure</w:t>
            </w:r>
          </w:p>
        </w:tc>
        <w:tc>
          <w:tcPr>
            <w:tcW w:w="1115" w:type="dxa"/>
          </w:tcPr>
          <w:p w14:paraId="598B9C89" w14:textId="77777777" w:rsidR="00A7521D" w:rsidRPr="00995C3D" w:rsidRDefault="00A7521D" w:rsidP="00A7521D">
            <w:pPr>
              <w:spacing w:after="0" w:line="240" w:lineRule="auto"/>
              <w:jc w:val="center"/>
            </w:pPr>
            <w:r w:rsidRPr="00995C3D">
              <w:t>DE4 3AZ</w:t>
            </w:r>
          </w:p>
        </w:tc>
        <w:tc>
          <w:tcPr>
            <w:tcW w:w="1065" w:type="dxa"/>
          </w:tcPr>
          <w:p w14:paraId="5C010AE9" w14:textId="77777777" w:rsidR="00A7521D" w:rsidRPr="00995C3D" w:rsidRDefault="00A7521D" w:rsidP="00A7521D">
            <w:pPr>
              <w:spacing w:after="0" w:line="240" w:lineRule="auto"/>
              <w:jc w:val="center"/>
              <w:rPr>
                <w:rFonts w:cs="Calibri"/>
                <w:color w:val="000000"/>
              </w:rPr>
            </w:pPr>
            <w:r w:rsidRPr="00995C3D">
              <w:rPr>
                <w:rFonts w:cs="Calibri"/>
                <w:color w:val="000000"/>
              </w:rPr>
              <w:t>12</w:t>
            </w:r>
          </w:p>
        </w:tc>
        <w:tc>
          <w:tcPr>
            <w:tcW w:w="1196" w:type="dxa"/>
          </w:tcPr>
          <w:p w14:paraId="2F0C7000" w14:textId="77777777" w:rsidR="00A7521D" w:rsidRPr="00995C3D" w:rsidRDefault="00A7521D" w:rsidP="00A7521D">
            <w:pPr>
              <w:spacing w:after="0" w:line="240" w:lineRule="auto"/>
              <w:jc w:val="center"/>
              <w:rPr>
                <w:rFonts w:cs="Calibri"/>
                <w:color w:val="000000"/>
              </w:rPr>
            </w:pPr>
            <w:r w:rsidRPr="00995C3D">
              <w:rPr>
                <w:rFonts w:cs="Calibri"/>
                <w:color w:val="000000"/>
              </w:rPr>
              <w:t>7</w:t>
            </w:r>
            <w:r>
              <w:rPr>
                <w:rFonts w:cs="Calibri"/>
                <w:color w:val="000000"/>
              </w:rPr>
              <w:t>,</w:t>
            </w:r>
            <w:r w:rsidRPr="00995C3D">
              <w:rPr>
                <w:rFonts w:cs="Calibri"/>
                <w:color w:val="000000"/>
              </w:rPr>
              <w:t>000</w:t>
            </w:r>
          </w:p>
        </w:tc>
        <w:tc>
          <w:tcPr>
            <w:tcW w:w="1798" w:type="dxa"/>
          </w:tcPr>
          <w:p w14:paraId="0B31844C" w14:textId="77777777" w:rsidR="00A7521D" w:rsidRPr="00995C3D" w:rsidRDefault="00A7521D" w:rsidP="00A7521D">
            <w:pPr>
              <w:spacing w:after="0" w:line="240" w:lineRule="auto"/>
              <w:jc w:val="center"/>
              <w:rPr>
                <w:rFonts w:cs="Calibri"/>
                <w:color w:val="000000"/>
              </w:rPr>
            </w:pPr>
            <w:r w:rsidRPr="00995C3D">
              <w:rPr>
                <w:rFonts w:cs="Calibri"/>
                <w:color w:val="000000"/>
              </w:rPr>
              <w:t>7322</w:t>
            </w:r>
          </w:p>
        </w:tc>
        <w:tc>
          <w:tcPr>
            <w:tcW w:w="1014" w:type="dxa"/>
          </w:tcPr>
          <w:p w14:paraId="05AD185A" w14:textId="77777777" w:rsidR="00A7521D" w:rsidRPr="00995C3D" w:rsidRDefault="00A7521D" w:rsidP="00A7521D">
            <w:pPr>
              <w:spacing w:after="0" w:line="240" w:lineRule="auto"/>
              <w:jc w:val="center"/>
              <w:rPr>
                <w:rFonts w:cs="Calibri"/>
                <w:color w:val="000000"/>
              </w:rPr>
            </w:pPr>
            <w:r w:rsidRPr="00995C3D">
              <w:rPr>
                <w:rFonts w:cs="Calibri"/>
                <w:color w:val="000000"/>
              </w:rPr>
              <w:t>1243</w:t>
            </w:r>
          </w:p>
        </w:tc>
        <w:tc>
          <w:tcPr>
            <w:tcW w:w="844" w:type="dxa"/>
          </w:tcPr>
          <w:p w14:paraId="5C8BE5C6" w14:textId="77777777" w:rsidR="00A7521D" w:rsidRPr="00995C3D" w:rsidRDefault="00A7521D" w:rsidP="00A7521D">
            <w:pPr>
              <w:spacing w:after="0" w:line="240" w:lineRule="auto"/>
              <w:jc w:val="center"/>
              <w:rPr>
                <w:rFonts w:cs="Calibri"/>
                <w:color w:val="000000"/>
              </w:rPr>
            </w:pPr>
            <w:r w:rsidRPr="00995C3D">
              <w:rPr>
                <w:rFonts w:cs="Calibri"/>
                <w:color w:val="000000"/>
              </w:rPr>
              <w:t>2211</w:t>
            </w:r>
          </w:p>
        </w:tc>
      </w:tr>
      <w:tr w:rsidR="00A7521D" w:rsidRPr="00995C3D" w14:paraId="56C8031A" w14:textId="77777777" w:rsidTr="00A7521D">
        <w:trPr>
          <w:tblHeader/>
          <w:jc w:val="center"/>
        </w:trPr>
        <w:tc>
          <w:tcPr>
            <w:tcW w:w="2569" w:type="dxa"/>
          </w:tcPr>
          <w:p w14:paraId="161D16EC" w14:textId="77777777" w:rsidR="00A7521D" w:rsidRPr="00995C3D" w:rsidRDefault="00A7521D" w:rsidP="00A7521D">
            <w:pPr>
              <w:spacing w:after="0" w:line="240" w:lineRule="auto"/>
              <w:jc w:val="center"/>
              <w:rPr>
                <w:rFonts w:cs="Calibri"/>
                <w:color w:val="000000"/>
              </w:rPr>
            </w:pPr>
            <w:r w:rsidRPr="00995C3D">
              <w:rPr>
                <w:rFonts w:cs="Calibri"/>
                <w:color w:val="000000"/>
              </w:rPr>
              <w:t xml:space="preserve">Vauxhall </w:t>
            </w:r>
            <w:proofErr w:type="spellStart"/>
            <w:r w:rsidRPr="00995C3D">
              <w:rPr>
                <w:rFonts w:cs="Calibri"/>
                <w:color w:val="000000"/>
              </w:rPr>
              <w:t>masterfit</w:t>
            </w:r>
            <w:proofErr w:type="spellEnd"/>
          </w:p>
        </w:tc>
        <w:tc>
          <w:tcPr>
            <w:tcW w:w="1115" w:type="dxa"/>
          </w:tcPr>
          <w:p w14:paraId="75051E0B" w14:textId="77777777" w:rsidR="00A7521D" w:rsidRPr="00995C3D" w:rsidRDefault="00A7521D" w:rsidP="00A7521D">
            <w:pPr>
              <w:spacing w:after="0" w:line="240" w:lineRule="auto"/>
              <w:jc w:val="center"/>
            </w:pPr>
            <w:r w:rsidRPr="00995C3D">
              <w:t>DE4 3AX</w:t>
            </w:r>
          </w:p>
        </w:tc>
        <w:tc>
          <w:tcPr>
            <w:tcW w:w="1065" w:type="dxa"/>
          </w:tcPr>
          <w:p w14:paraId="605E82AE" w14:textId="77777777" w:rsidR="00A7521D" w:rsidRPr="00995C3D" w:rsidRDefault="00A7521D" w:rsidP="00A7521D">
            <w:pPr>
              <w:spacing w:after="0" w:line="240" w:lineRule="auto"/>
              <w:jc w:val="center"/>
              <w:rPr>
                <w:rFonts w:cs="Calibri"/>
                <w:color w:val="000000"/>
              </w:rPr>
            </w:pPr>
            <w:r w:rsidRPr="00995C3D">
              <w:rPr>
                <w:rFonts w:cs="Calibri"/>
                <w:color w:val="000000"/>
              </w:rPr>
              <w:t>27</w:t>
            </w:r>
          </w:p>
        </w:tc>
        <w:tc>
          <w:tcPr>
            <w:tcW w:w="1196" w:type="dxa"/>
          </w:tcPr>
          <w:p w14:paraId="24C842A0" w14:textId="77777777" w:rsidR="00A7521D" w:rsidRPr="00995C3D" w:rsidRDefault="00A7521D" w:rsidP="00A7521D">
            <w:pPr>
              <w:spacing w:after="0" w:line="240" w:lineRule="auto"/>
              <w:jc w:val="center"/>
              <w:rPr>
                <w:rFonts w:cs="Calibri"/>
                <w:color w:val="000000"/>
              </w:rPr>
            </w:pPr>
            <w:r w:rsidRPr="00995C3D">
              <w:rPr>
                <w:rFonts w:cs="Calibri"/>
                <w:color w:val="000000"/>
              </w:rPr>
              <w:t>291</w:t>
            </w:r>
          </w:p>
        </w:tc>
        <w:tc>
          <w:tcPr>
            <w:tcW w:w="1798" w:type="dxa"/>
          </w:tcPr>
          <w:p w14:paraId="31B0BFCE" w14:textId="77777777" w:rsidR="00A7521D" w:rsidRPr="00995C3D" w:rsidRDefault="00A7521D" w:rsidP="00A7521D">
            <w:pPr>
              <w:spacing w:after="0" w:line="240" w:lineRule="auto"/>
              <w:jc w:val="center"/>
              <w:rPr>
                <w:rFonts w:cs="Calibri"/>
                <w:color w:val="000000"/>
              </w:rPr>
            </w:pPr>
            <w:r w:rsidRPr="00995C3D">
              <w:rPr>
                <w:rFonts w:cs="Calibri"/>
                <w:color w:val="000000"/>
              </w:rPr>
              <w:t>45</w:t>
            </w:r>
          </w:p>
        </w:tc>
        <w:tc>
          <w:tcPr>
            <w:tcW w:w="1014" w:type="dxa"/>
          </w:tcPr>
          <w:p w14:paraId="64BB06D8" w14:textId="77777777" w:rsidR="00A7521D" w:rsidRPr="00995C3D" w:rsidRDefault="00A7521D" w:rsidP="00A7521D">
            <w:pPr>
              <w:spacing w:after="0" w:line="240" w:lineRule="auto"/>
              <w:jc w:val="center"/>
              <w:rPr>
                <w:rFonts w:cs="Calibri"/>
                <w:color w:val="000000"/>
              </w:rPr>
            </w:pPr>
            <w:r w:rsidRPr="00995C3D">
              <w:rPr>
                <w:rFonts w:cs="Calibri"/>
                <w:color w:val="000000"/>
              </w:rPr>
              <w:t>18</w:t>
            </w:r>
          </w:p>
        </w:tc>
        <w:tc>
          <w:tcPr>
            <w:tcW w:w="844" w:type="dxa"/>
          </w:tcPr>
          <w:p w14:paraId="76027178" w14:textId="77777777" w:rsidR="00A7521D" w:rsidRPr="00995C3D" w:rsidRDefault="00A7521D" w:rsidP="00A7521D">
            <w:pPr>
              <w:spacing w:after="0" w:line="240" w:lineRule="auto"/>
              <w:jc w:val="center"/>
              <w:rPr>
                <w:rFonts w:cs="Calibri"/>
                <w:color w:val="000000"/>
              </w:rPr>
            </w:pPr>
            <w:r w:rsidRPr="00995C3D">
              <w:rPr>
                <w:rFonts w:cs="Calibri"/>
                <w:color w:val="000000"/>
              </w:rPr>
              <w:t>47</w:t>
            </w:r>
          </w:p>
        </w:tc>
      </w:tr>
      <w:tr w:rsidR="00A7521D" w:rsidRPr="00995C3D" w14:paraId="224CB888" w14:textId="77777777" w:rsidTr="00A7521D">
        <w:trPr>
          <w:tblHeader/>
          <w:jc w:val="center"/>
        </w:trPr>
        <w:tc>
          <w:tcPr>
            <w:tcW w:w="2569" w:type="dxa"/>
          </w:tcPr>
          <w:p w14:paraId="522BD5AF" w14:textId="77777777" w:rsidR="00A7521D" w:rsidRPr="00995C3D" w:rsidRDefault="00A7521D" w:rsidP="00A7521D">
            <w:pPr>
              <w:spacing w:after="0" w:line="240" w:lineRule="auto"/>
              <w:jc w:val="center"/>
              <w:rPr>
                <w:rFonts w:cs="Calibri"/>
                <w:color w:val="000000"/>
              </w:rPr>
            </w:pPr>
            <w:r w:rsidRPr="00995C3D">
              <w:rPr>
                <w:rFonts w:cs="Calibri"/>
                <w:color w:val="000000"/>
              </w:rPr>
              <w:t>Twigg</w:t>
            </w:r>
          </w:p>
        </w:tc>
        <w:tc>
          <w:tcPr>
            <w:tcW w:w="1115" w:type="dxa"/>
          </w:tcPr>
          <w:p w14:paraId="76B18139" w14:textId="77777777" w:rsidR="00A7521D" w:rsidRPr="00995C3D" w:rsidRDefault="00A7521D" w:rsidP="00A7521D">
            <w:pPr>
              <w:spacing w:after="0" w:line="240" w:lineRule="auto"/>
              <w:jc w:val="center"/>
            </w:pPr>
            <w:r w:rsidRPr="00995C3D">
              <w:t>DE4 3AX</w:t>
            </w:r>
          </w:p>
        </w:tc>
        <w:tc>
          <w:tcPr>
            <w:tcW w:w="1065" w:type="dxa"/>
          </w:tcPr>
          <w:p w14:paraId="12B76211" w14:textId="77777777" w:rsidR="00A7521D" w:rsidRPr="00995C3D" w:rsidRDefault="00A7521D" w:rsidP="00A7521D">
            <w:pPr>
              <w:spacing w:after="0" w:line="240" w:lineRule="auto"/>
              <w:jc w:val="center"/>
              <w:rPr>
                <w:rFonts w:cs="Calibri"/>
                <w:color w:val="000000"/>
              </w:rPr>
            </w:pPr>
            <w:r w:rsidRPr="00995C3D">
              <w:rPr>
                <w:rFonts w:cs="Calibri"/>
                <w:color w:val="000000"/>
              </w:rPr>
              <w:t>27</w:t>
            </w:r>
          </w:p>
        </w:tc>
        <w:tc>
          <w:tcPr>
            <w:tcW w:w="1196" w:type="dxa"/>
          </w:tcPr>
          <w:p w14:paraId="2039F17B" w14:textId="77777777" w:rsidR="00A7521D" w:rsidRPr="00995C3D" w:rsidRDefault="00A7521D" w:rsidP="00A7521D">
            <w:pPr>
              <w:spacing w:after="0" w:line="240" w:lineRule="auto"/>
              <w:jc w:val="center"/>
              <w:rPr>
                <w:rFonts w:cs="Calibri"/>
                <w:color w:val="000000"/>
              </w:rPr>
            </w:pPr>
            <w:r w:rsidRPr="00995C3D">
              <w:rPr>
                <w:rFonts w:cs="Calibri"/>
                <w:color w:val="000000"/>
              </w:rPr>
              <w:t>5</w:t>
            </w:r>
            <w:r>
              <w:rPr>
                <w:rFonts w:cs="Calibri"/>
                <w:color w:val="000000"/>
              </w:rPr>
              <w:t>,</w:t>
            </w:r>
            <w:r w:rsidRPr="00995C3D">
              <w:rPr>
                <w:rFonts w:cs="Calibri"/>
                <w:color w:val="000000"/>
              </w:rPr>
              <w:t>061</w:t>
            </w:r>
          </w:p>
        </w:tc>
        <w:tc>
          <w:tcPr>
            <w:tcW w:w="1798" w:type="dxa"/>
          </w:tcPr>
          <w:p w14:paraId="69F1C436" w14:textId="77777777" w:rsidR="00A7521D" w:rsidRPr="00995C3D" w:rsidRDefault="00A7521D" w:rsidP="00A7521D">
            <w:pPr>
              <w:spacing w:after="0" w:line="240" w:lineRule="auto"/>
              <w:jc w:val="center"/>
              <w:rPr>
                <w:rFonts w:cs="Calibri"/>
                <w:color w:val="000000"/>
              </w:rPr>
            </w:pPr>
            <w:r w:rsidRPr="00995C3D">
              <w:rPr>
                <w:rFonts w:cs="Calibri"/>
                <w:color w:val="000000"/>
              </w:rPr>
              <w:t>785</w:t>
            </w:r>
          </w:p>
        </w:tc>
        <w:tc>
          <w:tcPr>
            <w:tcW w:w="1014" w:type="dxa"/>
          </w:tcPr>
          <w:p w14:paraId="7B014539" w14:textId="77777777" w:rsidR="00A7521D" w:rsidRPr="00995C3D" w:rsidRDefault="00A7521D" w:rsidP="00A7521D">
            <w:pPr>
              <w:spacing w:after="0" w:line="240" w:lineRule="auto"/>
              <w:jc w:val="center"/>
              <w:rPr>
                <w:rFonts w:cs="Calibri"/>
                <w:color w:val="000000"/>
              </w:rPr>
            </w:pPr>
            <w:r w:rsidRPr="00995C3D">
              <w:rPr>
                <w:rFonts w:cs="Calibri"/>
                <w:color w:val="000000"/>
              </w:rPr>
              <w:t>273</w:t>
            </w:r>
          </w:p>
        </w:tc>
        <w:tc>
          <w:tcPr>
            <w:tcW w:w="844" w:type="dxa"/>
          </w:tcPr>
          <w:p w14:paraId="7AC99457" w14:textId="77777777" w:rsidR="00A7521D" w:rsidRPr="00995C3D" w:rsidRDefault="00A7521D" w:rsidP="00A7521D">
            <w:pPr>
              <w:spacing w:after="0" w:line="240" w:lineRule="auto"/>
              <w:jc w:val="center"/>
              <w:rPr>
                <w:rFonts w:cs="Calibri"/>
                <w:color w:val="000000"/>
              </w:rPr>
            </w:pPr>
            <w:r w:rsidRPr="00995C3D">
              <w:rPr>
                <w:rFonts w:cs="Calibri"/>
                <w:color w:val="000000"/>
              </w:rPr>
              <w:t>652</w:t>
            </w:r>
          </w:p>
        </w:tc>
      </w:tr>
      <w:tr w:rsidR="00A7521D" w:rsidRPr="00995C3D" w14:paraId="40C31FC3" w14:textId="77777777" w:rsidTr="00A7521D">
        <w:trPr>
          <w:tblHeader/>
          <w:jc w:val="center"/>
        </w:trPr>
        <w:tc>
          <w:tcPr>
            <w:tcW w:w="2569" w:type="dxa"/>
          </w:tcPr>
          <w:p w14:paraId="744FF4AC" w14:textId="77777777" w:rsidR="00A7521D" w:rsidRPr="00995C3D" w:rsidRDefault="00A7521D" w:rsidP="00A7521D">
            <w:pPr>
              <w:spacing w:after="0" w:line="240" w:lineRule="auto"/>
              <w:jc w:val="center"/>
              <w:rPr>
                <w:rFonts w:cs="Calibri"/>
                <w:color w:val="000000"/>
              </w:rPr>
            </w:pPr>
            <w:r w:rsidRPr="00995C3D">
              <w:rPr>
                <w:rFonts w:cs="Calibri"/>
                <w:color w:val="000000"/>
              </w:rPr>
              <w:t>Matlock MOT</w:t>
            </w:r>
          </w:p>
        </w:tc>
        <w:tc>
          <w:tcPr>
            <w:tcW w:w="1115" w:type="dxa"/>
          </w:tcPr>
          <w:p w14:paraId="3A6A5E53" w14:textId="77777777" w:rsidR="00A7521D" w:rsidRPr="00995C3D" w:rsidRDefault="00A7521D" w:rsidP="00A7521D">
            <w:pPr>
              <w:spacing w:after="0" w:line="240" w:lineRule="auto"/>
              <w:jc w:val="center"/>
            </w:pPr>
            <w:r w:rsidRPr="00995C3D">
              <w:t>DE4 3AU</w:t>
            </w:r>
          </w:p>
        </w:tc>
        <w:tc>
          <w:tcPr>
            <w:tcW w:w="1065" w:type="dxa"/>
          </w:tcPr>
          <w:p w14:paraId="1DB1691A" w14:textId="77777777" w:rsidR="00A7521D" w:rsidRPr="00995C3D" w:rsidRDefault="00A7521D" w:rsidP="00A7521D">
            <w:pPr>
              <w:spacing w:after="0" w:line="240" w:lineRule="auto"/>
              <w:jc w:val="center"/>
              <w:rPr>
                <w:rFonts w:cs="Calibri"/>
                <w:color w:val="000000"/>
              </w:rPr>
            </w:pPr>
            <w:r w:rsidRPr="00995C3D">
              <w:rPr>
                <w:rFonts w:cs="Calibri"/>
                <w:color w:val="000000"/>
              </w:rPr>
              <w:t>27</w:t>
            </w:r>
          </w:p>
        </w:tc>
        <w:tc>
          <w:tcPr>
            <w:tcW w:w="1196" w:type="dxa"/>
          </w:tcPr>
          <w:p w14:paraId="3A19C0D8" w14:textId="77777777" w:rsidR="00A7521D" w:rsidRPr="00995C3D" w:rsidRDefault="00A7521D" w:rsidP="00A7521D">
            <w:pPr>
              <w:spacing w:after="0" w:line="240" w:lineRule="auto"/>
              <w:jc w:val="center"/>
              <w:rPr>
                <w:rFonts w:cs="Calibri"/>
                <w:color w:val="000000"/>
              </w:rPr>
            </w:pPr>
            <w:r w:rsidRPr="00995C3D">
              <w:rPr>
                <w:rFonts w:cs="Calibri"/>
                <w:color w:val="000000"/>
              </w:rPr>
              <w:t>2</w:t>
            </w:r>
            <w:r>
              <w:rPr>
                <w:rFonts w:cs="Calibri"/>
                <w:color w:val="000000"/>
              </w:rPr>
              <w:t>,</w:t>
            </w:r>
            <w:r w:rsidRPr="00995C3D">
              <w:rPr>
                <w:rFonts w:cs="Calibri"/>
                <w:color w:val="000000"/>
              </w:rPr>
              <w:t>037</w:t>
            </w:r>
          </w:p>
        </w:tc>
        <w:tc>
          <w:tcPr>
            <w:tcW w:w="1798" w:type="dxa"/>
          </w:tcPr>
          <w:p w14:paraId="0907F35E" w14:textId="77777777" w:rsidR="00A7521D" w:rsidRPr="00995C3D" w:rsidRDefault="00A7521D" w:rsidP="00A7521D">
            <w:pPr>
              <w:spacing w:after="0" w:line="240" w:lineRule="auto"/>
              <w:jc w:val="center"/>
              <w:rPr>
                <w:rFonts w:cs="Calibri"/>
                <w:color w:val="000000"/>
              </w:rPr>
            </w:pPr>
            <w:r w:rsidRPr="00995C3D">
              <w:rPr>
                <w:rFonts w:cs="Calibri"/>
                <w:color w:val="000000"/>
              </w:rPr>
              <w:t>315</w:t>
            </w:r>
          </w:p>
        </w:tc>
        <w:tc>
          <w:tcPr>
            <w:tcW w:w="1014" w:type="dxa"/>
          </w:tcPr>
          <w:p w14:paraId="111008E9" w14:textId="77777777" w:rsidR="00A7521D" w:rsidRPr="00995C3D" w:rsidRDefault="00A7521D" w:rsidP="00A7521D">
            <w:pPr>
              <w:spacing w:after="0" w:line="240" w:lineRule="auto"/>
              <w:jc w:val="center"/>
              <w:rPr>
                <w:rFonts w:cs="Calibri"/>
                <w:color w:val="000000"/>
              </w:rPr>
            </w:pPr>
            <w:r w:rsidRPr="00995C3D">
              <w:rPr>
                <w:rFonts w:cs="Calibri"/>
                <w:color w:val="000000"/>
              </w:rPr>
              <w:t>124</w:t>
            </w:r>
          </w:p>
        </w:tc>
        <w:tc>
          <w:tcPr>
            <w:tcW w:w="844" w:type="dxa"/>
          </w:tcPr>
          <w:p w14:paraId="2F32891E" w14:textId="77777777" w:rsidR="00A7521D" w:rsidRPr="00995C3D" w:rsidRDefault="00A7521D" w:rsidP="00A7521D">
            <w:pPr>
              <w:spacing w:after="0" w:line="240" w:lineRule="auto"/>
              <w:jc w:val="center"/>
              <w:rPr>
                <w:rFonts w:cs="Calibri"/>
                <w:color w:val="000000"/>
              </w:rPr>
            </w:pPr>
            <w:r w:rsidRPr="00995C3D">
              <w:rPr>
                <w:rFonts w:cs="Calibri"/>
                <w:color w:val="000000"/>
              </w:rPr>
              <w:t>329</w:t>
            </w:r>
          </w:p>
        </w:tc>
      </w:tr>
      <w:tr w:rsidR="00A7521D" w:rsidRPr="00995C3D" w14:paraId="18CE8500" w14:textId="77777777" w:rsidTr="00A7521D">
        <w:trPr>
          <w:tblHeader/>
          <w:jc w:val="center"/>
        </w:trPr>
        <w:tc>
          <w:tcPr>
            <w:tcW w:w="2569" w:type="dxa"/>
          </w:tcPr>
          <w:p w14:paraId="18A649D8" w14:textId="77777777" w:rsidR="00A7521D" w:rsidRPr="00995C3D" w:rsidRDefault="00A7521D" w:rsidP="00A7521D">
            <w:pPr>
              <w:spacing w:after="0" w:line="240" w:lineRule="auto"/>
              <w:jc w:val="center"/>
              <w:rPr>
                <w:rFonts w:cs="Calibri"/>
                <w:color w:val="000000"/>
              </w:rPr>
            </w:pPr>
            <w:r w:rsidRPr="00995C3D">
              <w:rPr>
                <w:rFonts w:cs="Calibri"/>
                <w:color w:val="000000"/>
              </w:rPr>
              <w:t>YHA head office</w:t>
            </w:r>
          </w:p>
        </w:tc>
        <w:tc>
          <w:tcPr>
            <w:tcW w:w="1115" w:type="dxa"/>
          </w:tcPr>
          <w:p w14:paraId="3E6B9A51" w14:textId="77777777" w:rsidR="00A7521D" w:rsidRPr="00995C3D" w:rsidRDefault="00A7521D" w:rsidP="00A7521D">
            <w:pPr>
              <w:spacing w:after="0" w:line="240" w:lineRule="auto"/>
              <w:jc w:val="center"/>
            </w:pPr>
            <w:r w:rsidRPr="00995C3D">
              <w:t>DE4 3YH</w:t>
            </w:r>
          </w:p>
        </w:tc>
        <w:tc>
          <w:tcPr>
            <w:tcW w:w="1065" w:type="dxa"/>
          </w:tcPr>
          <w:p w14:paraId="410BEDC4" w14:textId="77777777" w:rsidR="00A7521D" w:rsidRPr="00995C3D" w:rsidRDefault="00A7521D" w:rsidP="00A7521D">
            <w:pPr>
              <w:spacing w:after="0" w:line="240" w:lineRule="auto"/>
              <w:jc w:val="center"/>
              <w:rPr>
                <w:rFonts w:cs="Calibri"/>
                <w:color w:val="000000"/>
              </w:rPr>
            </w:pPr>
            <w:r w:rsidRPr="00995C3D">
              <w:rPr>
                <w:rFonts w:cs="Calibri"/>
                <w:color w:val="000000"/>
              </w:rPr>
              <w:t>1</w:t>
            </w:r>
          </w:p>
        </w:tc>
        <w:tc>
          <w:tcPr>
            <w:tcW w:w="1196" w:type="dxa"/>
          </w:tcPr>
          <w:p w14:paraId="01AD57F7" w14:textId="77777777" w:rsidR="00A7521D" w:rsidRPr="00995C3D" w:rsidRDefault="00A7521D" w:rsidP="00A7521D">
            <w:pPr>
              <w:spacing w:after="0" w:line="240" w:lineRule="auto"/>
              <w:jc w:val="center"/>
              <w:rPr>
                <w:rFonts w:cs="Calibri"/>
                <w:color w:val="000000"/>
              </w:rPr>
            </w:pPr>
            <w:r w:rsidRPr="00995C3D">
              <w:rPr>
                <w:rFonts w:cs="Calibri"/>
                <w:color w:val="000000"/>
              </w:rPr>
              <w:t>1</w:t>
            </w:r>
            <w:r>
              <w:rPr>
                <w:rFonts w:cs="Calibri"/>
                <w:color w:val="000000"/>
              </w:rPr>
              <w:t>,</w:t>
            </w:r>
            <w:r w:rsidRPr="00995C3D">
              <w:rPr>
                <w:rFonts w:cs="Calibri"/>
                <w:color w:val="000000"/>
              </w:rPr>
              <w:t>917</w:t>
            </w:r>
          </w:p>
        </w:tc>
        <w:tc>
          <w:tcPr>
            <w:tcW w:w="1798" w:type="dxa"/>
          </w:tcPr>
          <w:p w14:paraId="72145773" w14:textId="77777777" w:rsidR="00A7521D" w:rsidRPr="00995C3D" w:rsidRDefault="00A7521D" w:rsidP="00A7521D">
            <w:pPr>
              <w:spacing w:after="0" w:line="240" w:lineRule="auto"/>
              <w:jc w:val="center"/>
              <w:rPr>
                <w:rFonts w:cs="Calibri"/>
                <w:color w:val="000000"/>
              </w:rPr>
            </w:pPr>
            <w:r w:rsidRPr="00995C3D">
              <w:rPr>
                <w:rFonts w:cs="Calibri"/>
                <w:color w:val="000000"/>
              </w:rPr>
              <w:t>208</w:t>
            </w:r>
          </w:p>
        </w:tc>
        <w:tc>
          <w:tcPr>
            <w:tcW w:w="1014" w:type="dxa"/>
          </w:tcPr>
          <w:p w14:paraId="116BC3E1" w14:textId="77777777" w:rsidR="00A7521D" w:rsidRPr="00995C3D" w:rsidRDefault="00A7521D" w:rsidP="00A7521D">
            <w:pPr>
              <w:spacing w:after="0" w:line="240" w:lineRule="auto"/>
              <w:jc w:val="center"/>
              <w:rPr>
                <w:rFonts w:cs="Calibri"/>
                <w:color w:val="000000"/>
              </w:rPr>
            </w:pPr>
            <w:r w:rsidRPr="00995C3D">
              <w:rPr>
                <w:rFonts w:cs="Calibri"/>
                <w:color w:val="000000"/>
              </w:rPr>
              <w:t>81</w:t>
            </w:r>
          </w:p>
        </w:tc>
        <w:tc>
          <w:tcPr>
            <w:tcW w:w="844" w:type="dxa"/>
          </w:tcPr>
          <w:p w14:paraId="6E4644E9" w14:textId="77777777" w:rsidR="00A7521D" w:rsidRPr="00995C3D" w:rsidRDefault="00A7521D" w:rsidP="00A7521D">
            <w:pPr>
              <w:spacing w:after="0" w:line="240" w:lineRule="auto"/>
              <w:jc w:val="center"/>
              <w:rPr>
                <w:rFonts w:cs="Calibri"/>
                <w:color w:val="000000"/>
              </w:rPr>
            </w:pPr>
            <w:r w:rsidRPr="00995C3D">
              <w:rPr>
                <w:rFonts w:cs="Calibri"/>
                <w:color w:val="000000"/>
              </w:rPr>
              <w:t>363</w:t>
            </w:r>
          </w:p>
        </w:tc>
      </w:tr>
      <w:tr w:rsidR="00A7521D" w:rsidRPr="00995C3D" w14:paraId="260343DD" w14:textId="77777777" w:rsidTr="00A7521D">
        <w:trPr>
          <w:tblHeader/>
          <w:jc w:val="center"/>
        </w:trPr>
        <w:tc>
          <w:tcPr>
            <w:tcW w:w="2569" w:type="dxa"/>
          </w:tcPr>
          <w:p w14:paraId="45D10945" w14:textId="77777777" w:rsidR="00A7521D" w:rsidRPr="00995C3D" w:rsidRDefault="00A7521D" w:rsidP="00A7521D">
            <w:pPr>
              <w:spacing w:after="0" w:line="240" w:lineRule="auto"/>
              <w:jc w:val="center"/>
              <w:rPr>
                <w:rFonts w:cs="Calibri"/>
                <w:color w:val="000000"/>
              </w:rPr>
            </w:pPr>
            <w:r w:rsidRPr="00995C3D">
              <w:rPr>
                <w:rFonts w:cs="Calibri"/>
                <w:color w:val="000000"/>
              </w:rPr>
              <w:t>Sheriff lodge</w:t>
            </w:r>
          </w:p>
        </w:tc>
        <w:tc>
          <w:tcPr>
            <w:tcW w:w="1115" w:type="dxa"/>
          </w:tcPr>
          <w:p w14:paraId="7F5D85B6" w14:textId="77777777" w:rsidR="00A7521D" w:rsidRPr="00995C3D" w:rsidRDefault="00A7521D" w:rsidP="00A7521D">
            <w:pPr>
              <w:spacing w:after="0" w:line="240" w:lineRule="auto"/>
              <w:jc w:val="center"/>
            </w:pPr>
            <w:r w:rsidRPr="00995C3D">
              <w:t>DE4 3JX</w:t>
            </w:r>
          </w:p>
        </w:tc>
        <w:tc>
          <w:tcPr>
            <w:tcW w:w="1065" w:type="dxa"/>
          </w:tcPr>
          <w:p w14:paraId="41DF9BAA" w14:textId="77777777" w:rsidR="00A7521D" w:rsidRPr="00995C3D" w:rsidRDefault="00A7521D" w:rsidP="00A7521D">
            <w:pPr>
              <w:spacing w:after="0" w:line="240" w:lineRule="auto"/>
              <w:jc w:val="center"/>
              <w:rPr>
                <w:rFonts w:cs="Calibri"/>
                <w:color w:val="000000"/>
              </w:rPr>
            </w:pPr>
            <w:r w:rsidRPr="00995C3D">
              <w:rPr>
                <w:rFonts w:cs="Calibri"/>
                <w:color w:val="000000"/>
              </w:rPr>
              <w:t>9</w:t>
            </w:r>
          </w:p>
        </w:tc>
        <w:tc>
          <w:tcPr>
            <w:tcW w:w="1196" w:type="dxa"/>
          </w:tcPr>
          <w:p w14:paraId="3A63AF09" w14:textId="77777777" w:rsidR="00A7521D" w:rsidRPr="00995C3D" w:rsidRDefault="00A7521D" w:rsidP="00A7521D">
            <w:pPr>
              <w:spacing w:after="0" w:line="240" w:lineRule="auto"/>
              <w:jc w:val="center"/>
              <w:rPr>
                <w:rFonts w:cs="Calibri"/>
                <w:color w:val="000000"/>
              </w:rPr>
            </w:pPr>
            <w:r w:rsidRPr="00995C3D">
              <w:rPr>
                <w:rFonts w:cs="Calibri"/>
                <w:color w:val="000000"/>
              </w:rPr>
              <w:t>521</w:t>
            </w:r>
          </w:p>
        </w:tc>
        <w:tc>
          <w:tcPr>
            <w:tcW w:w="1798" w:type="dxa"/>
          </w:tcPr>
          <w:p w14:paraId="1D3EC3CA" w14:textId="77777777" w:rsidR="00A7521D" w:rsidRPr="00995C3D" w:rsidRDefault="00A7521D" w:rsidP="00A7521D">
            <w:pPr>
              <w:spacing w:after="0" w:line="240" w:lineRule="auto"/>
              <w:jc w:val="center"/>
              <w:rPr>
                <w:rFonts w:cs="Calibri"/>
                <w:color w:val="000000"/>
              </w:rPr>
            </w:pPr>
            <w:r w:rsidRPr="00995C3D">
              <w:rPr>
                <w:rFonts w:cs="Calibri"/>
                <w:color w:val="000000"/>
              </w:rPr>
              <w:t>126</w:t>
            </w:r>
          </w:p>
        </w:tc>
        <w:tc>
          <w:tcPr>
            <w:tcW w:w="1014" w:type="dxa"/>
          </w:tcPr>
          <w:p w14:paraId="0BE9D5DB" w14:textId="77777777" w:rsidR="00A7521D" w:rsidRPr="00995C3D" w:rsidRDefault="00A7521D" w:rsidP="00A7521D">
            <w:pPr>
              <w:spacing w:after="0" w:line="240" w:lineRule="auto"/>
              <w:jc w:val="center"/>
              <w:rPr>
                <w:rFonts w:cs="Calibri"/>
                <w:color w:val="000000"/>
              </w:rPr>
            </w:pPr>
            <w:r w:rsidRPr="00995C3D">
              <w:rPr>
                <w:rFonts w:cs="Calibri"/>
                <w:color w:val="000000"/>
              </w:rPr>
              <w:t>35</w:t>
            </w:r>
          </w:p>
        </w:tc>
        <w:tc>
          <w:tcPr>
            <w:tcW w:w="844" w:type="dxa"/>
          </w:tcPr>
          <w:p w14:paraId="24BDF240" w14:textId="77777777" w:rsidR="00A7521D" w:rsidRPr="00995C3D" w:rsidRDefault="00A7521D" w:rsidP="00A7521D">
            <w:pPr>
              <w:spacing w:after="0" w:line="240" w:lineRule="auto"/>
              <w:jc w:val="center"/>
              <w:rPr>
                <w:rFonts w:cs="Calibri"/>
                <w:color w:val="000000"/>
              </w:rPr>
            </w:pPr>
            <w:r w:rsidRPr="00995C3D">
              <w:rPr>
                <w:rFonts w:cs="Calibri"/>
                <w:color w:val="000000"/>
              </w:rPr>
              <w:t>58</w:t>
            </w:r>
          </w:p>
        </w:tc>
      </w:tr>
      <w:tr w:rsidR="00A7521D" w:rsidRPr="00995C3D" w14:paraId="1E833091" w14:textId="77777777" w:rsidTr="00A7521D">
        <w:trPr>
          <w:tblHeader/>
          <w:jc w:val="center"/>
        </w:trPr>
        <w:tc>
          <w:tcPr>
            <w:tcW w:w="2569" w:type="dxa"/>
          </w:tcPr>
          <w:p w14:paraId="664F3B1E" w14:textId="77777777" w:rsidR="00A7521D" w:rsidRPr="00995C3D" w:rsidRDefault="00A7521D" w:rsidP="00A7521D">
            <w:pPr>
              <w:spacing w:after="0" w:line="240" w:lineRule="auto"/>
              <w:jc w:val="center"/>
              <w:rPr>
                <w:rFonts w:cs="Calibri"/>
                <w:color w:val="000000"/>
              </w:rPr>
            </w:pPr>
            <w:r w:rsidRPr="00995C3D">
              <w:rPr>
                <w:rFonts w:cs="Calibri"/>
                <w:color w:val="000000"/>
              </w:rPr>
              <w:t>All saint</w:t>
            </w:r>
            <w:r>
              <w:rPr>
                <w:rFonts w:cs="Calibri"/>
                <w:color w:val="000000"/>
              </w:rPr>
              <w:t>s</w:t>
            </w:r>
            <w:r w:rsidRPr="00995C3D">
              <w:rPr>
                <w:rFonts w:cs="Calibri"/>
                <w:color w:val="000000"/>
              </w:rPr>
              <w:t xml:space="preserve"> c of e school</w:t>
            </w:r>
          </w:p>
        </w:tc>
        <w:tc>
          <w:tcPr>
            <w:tcW w:w="1115" w:type="dxa"/>
          </w:tcPr>
          <w:p w14:paraId="089BD2D5" w14:textId="77777777" w:rsidR="00A7521D" w:rsidRPr="00995C3D" w:rsidRDefault="00A7521D" w:rsidP="00A7521D">
            <w:pPr>
              <w:spacing w:after="0" w:line="240" w:lineRule="auto"/>
              <w:jc w:val="center"/>
            </w:pPr>
            <w:r w:rsidRPr="00995C3D">
              <w:t>DE4 3LA</w:t>
            </w:r>
          </w:p>
        </w:tc>
        <w:tc>
          <w:tcPr>
            <w:tcW w:w="1065" w:type="dxa"/>
          </w:tcPr>
          <w:p w14:paraId="5CF3DC31" w14:textId="77777777" w:rsidR="00A7521D" w:rsidRPr="00995C3D" w:rsidRDefault="00A7521D" w:rsidP="00A7521D">
            <w:pPr>
              <w:spacing w:after="0" w:line="240" w:lineRule="auto"/>
              <w:jc w:val="center"/>
              <w:rPr>
                <w:rFonts w:cs="Calibri"/>
                <w:color w:val="000000"/>
              </w:rPr>
            </w:pPr>
            <w:r w:rsidRPr="00995C3D">
              <w:rPr>
                <w:rFonts w:cs="Calibri"/>
                <w:color w:val="000000"/>
              </w:rPr>
              <w:t>17</w:t>
            </w:r>
          </w:p>
        </w:tc>
        <w:tc>
          <w:tcPr>
            <w:tcW w:w="1196" w:type="dxa"/>
          </w:tcPr>
          <w:p w14:paraId="12532117" w14:textId="77777777" w:rsidR="00A7521D" w:rsidRPr="00995C3D" w:rsidRDefault="00A7521D" w:rsidP="00A7521D">
            <w:pPr>
              <w:spacing w:after="0" w:line="240" w:lineRule="auto"/>
              <w:jc w:val="center"/>
              <w:rPr>
                <w:rFonts w:cs="Calibri"/>
                <w:color w:val="000000"/>
              </w:rPr>
            </w:pPr>
            <w:r w:rsidRPr="00995C3D">
              <w:rPr>
                <w:rFonts w:cs="Calibri"/>
                <w:color w:val="000000"/>
              </w:rPr>
              <w:t>1</w:t>
            </w:r>
            <w:r>
              <w:rPr>
                <w:rFonts w:cs="Calibri"/>
                <w:color w:val="000000"/>
              </w:rPr>
              <w:t>,</w:t>
            </w:r>
            <w:r w:rsidRPr="00995C3D">
              <w:rPr>
                <w:rFonts w:cs="Calibri"/>
                <w:color w:val="000000"/>
              </w:rPr>
              <w:t>476</w:t>
            </w:r>
          </w:p>
        </w:tc>
        <w:tc>
          <w:tcPr>
            <w:tcW w:w="1798" w:type="dxa"/>
          </w:tcPr>
          <w:p w14:paraId="1A29284E" w14:textId="77777777" w:rsidR="00A7521D" w:rsidRPr="00995C3D" w:rsidRDefault="00A7521D" w:rsidP="00A7521D">
            <w:pPr>
              <w:spacing w:after="0" w:line="240" w:lineRule="auto"/>
              <w:jc w:val="center"/>
              <w:rPr>
                <w:rFonts w:cs="Calibri"/>
                <w:color w:val="000000"/>
              </w:rPr>
            </w:pPr>
            <w:r w:rsidRPr="00995C3D">
              <w:rPr>
                <w:rFonts w:cs="Calibri"/>
                <w:color w:val="000000"/>
              </w:rPr>
              <w:t>204</w:t>
            </w:r>
          </w:p>
        </w:tc>
        <w:tc>
          <w:tcPr>
            <w:tcW w:w="1014" w:type="dxa"/>
          </w:tcPr>
          <w:p w14:paraId="37FBED9C" w14:textId="77777777" w:rsidR="00A7521D" w:rsidRPr="00995C3D" w:rsidRDefault="00A7521D" w:rsidP="00A7521D">
            <w:pPr>
              <w:spacing w:after="0" w:line="240" w:lineRule="auto"/>
              <w:jc w:val="center"/>
              <w:rPr>
                <w:rFonts w:cs="Calibri"/>
                <w:color w:val="000000"/>
              </w:rPr>
            </w:pPr>
            <w:r w:rsidRPr="00995C3D">
              <w:rPr>
                <w:rFonts w:cs="Calibri"/>
                <w:color w:val="000000"/>
              </w:rPr>
              <w:t>110</w:t>
            </w:r>
          </w:p>
        </w:tc>
        <w:tc>
          <w:tcPr>
            <w:tcW w:w="844" w:type="dxa"/>
          </w:tcPr>
          <w:p w14:paraId="56D75921" w14:textId="77777777" w:rsidR="00A7521D" w:rsidRPr="00995C3D" w:rsidRDefault="00A7521D" w:rsidP="00A7521D">
            <w:pPr>
              <w:spacing w:after="0" w:line="240" w:lineRule="auto"/>
              <w:jc w:val="center"/>
              <w:rPr>
                <w:rFonts w:cs="Calibri"/>
                <w:color w:val="000000"/>
              </w:rPr>
            </w:pPr>
            <w:r w:rsidRPr="00995C3D">
              <w:rPr>
                <w:rFonts w:cs="Calibri"/>
                <w:color w:val="000000"/>
              </w:rPr>
              <w:t>615</w:t>
            </w:r>
          </w:p>
        </w:tc>
      </w:tr>
      <w:tr w:rsidR="00A7521D" w:rsidRPr="00995C3D" w14:paraId="5420AB2B" w14:textId="77777777" w:rsidTr="00A7521D">
        <w:trPr>
          <w:tblHeader/>
          <w:jc w:val="center"/>
        </w:trPr>
        <w:tc>
          <w:tcPr>
            <w:tcW w:w="2569" w:type="dxa"/>
          </w:tcPr>
          <w:p w14:paraId="29EADB88" w14:textId="77777777" w:rsidR="00A7521D" w:rsidRPr="00995C3D" w:rsidRDefault="00A7521D" w:rsidP="00A7521D">
            <w:pPr>
              <w:spacing w:after="0" w:line="240" w:lineRule="auto"/>
              <w:jc w:val="center"/>
              <w:rPr>
                <w:rFonts w:cs="Calibri"/>
                <w:color w:val="000000"/>
              </w:rPr>
            </w:pPr>
            <w:r w:rsidRPr="00995C3D">
              <w:rPr>
                <w:rFonts w:cs="Calibri"/>
                <w:color w:val="000000"/>
              </w:rPr>
              <w:t>Matlock self-storage</w:t>
            </w:r>
          </w:p>
        </w:tc>
        <w:tc>
          <w:tcPr>
            <w:tcW w:w="1115" w:type="dxa"/>
          </w:tcPr>
          <w:p w14:paraId="31F4B45E" w14:textId="77777777" w:rsidR="00A7521D" w:rsidRPr="00995C3D" w:rsidRDefault="00A7521D" w:rsidP="00A7521D">
            <w:pPr>
              <w:spacing w:after="0" w:line="240" w:lineRule="auto"/>
              <w:jc w:val="center"/>
            </w:pPr>
            <w:r w:rsidRPr="00995C3D">
              <w:t>DE4 3JX</w:t>
            </w:r>
          </w:p>
        </w:tc>
        <w:tc>
          <w:tcPr>
            <w:tcW w:w="1065" w:type="dxa"/>
          </w:tcPr>
          <w:p w14:paraId="13B84A53" w14:textId="77777777" w:rsidR="00A7521D" w:rsidRPr="00995C3D" w:rsidRDefault="00A7521D" w:rsidP="00A7521D">
            <w:pPr>
              <w:spacing w:after="0" w:line="240" w:lineRule="auto"/>
              <w:jc w:val="center"/>
              <w:rPr>
                <w:rFonts w:cs="Calibri"/>
                <w:color w:val="000000"/>
              </w:rPr>
            </w:pPr>
            <w:r w:rsidRPr="00995C3D">
              <w:rPr>
                <w:rFonts w:cs="Calibri"/>
                <w:color w:val="000000"/>
              </w:rPr>
              <w:t>28</w:t>
            </w:r>
          </w:p>
        </w:tc>
        <w:tc>
          <w:tcPr>
            <w:tcW w:w="1196" w:type="dxa"/>
          </w:tcPr>
          <w:p w14:paraId="20081344" w14:textId="77777777" w:rsidR="00A7521D" w:rsidRPr="00995C3D" w:rsidRDefault="00A7521D" w:rsidP="00A7521D">
            <w:pPr>
              <w:spacing w:after="0" w:line="240" w:lineRule="auto"/>
              <w:jc w:val="center"/>
              <w:rPr>
                <w:rFonts w:cs="Calibri"/>
                <w:color w:val="000000"/>
              </w:rPr>
            </w:pPr>
            <w:r w:rsidRPr="00995C3D">
              <w:rPr>
                <w:rFonts w:cs="Calibri"/>
                <w:color w:val="000000"/>
              </w:rPr>
              <w:t>4</w:t>
            </w:r>
            <w:r>
              <w:rPr>
                <w:rFonts w:cs="Calibri"/>
                <w:color w:val="000000"/>
              </w:rPr>
              <w:t>,</w:t>
            </w:r>
            <w:r w:rsidRPr="00995C3D">
              <w:rPr>
                <w:rFonts w:cs="Calibri"/>
                <w:color w:val="000000"/>
              </w:rPr>
              <w:t>608</w:t>
            </w:r>
          </w:p>
        </w:tc>
        <w:tc>
          <w:tcPr>
            <w:tcW w:w="1798" w:type="dxa"/>
          </w:tcPr>
          <w:p w14:paraId="70D7EB9F" w14:textId="77777777" w:rsidR="00A7521D" w:rsidRPr="00995C3D" w:rsidRDefault="00A7521D" w:rsidP="00A7521D">
            <w:pPr>
              <w:spacing w:after="0" w:line="240" w:lineRule="auto"/>
              <w:jc w:val="center"/>
              <w:rPr>
                <w:rFonts w:cs="Calibri"/>
                <w:color w:val="000000"/>
              </w:rPr>
            </w:pPr>
            <w:r w:rsidRPr="00995C3D">
              <w:rPr>
                <w:rFonts w:cs="Calibri"/>
                <w:color w:val="000000"/>
              </w:rPr>
              <w:t>634</w:t>
            </w:r>
          </w:p>
        </w:tc>
        <w:tc>
          <w:tcPr>
            <w:tcW w:w="1014" w:type="dxa"/>
          </w:tcPr>
          <w:p w14:paraId="26771D63" w14:textId="77777777" w:rsidR="00A7521D" w:rsidRPr="00995C3D" w:rsidRDefault="00A7521D" w:rsidP="00A7521D">
            <w:pPr>
              <w:spacing w:after="0" w:line="240" w:lineRule="auto"/>
              <w:jc w:val="center"/>
              <w:rPr>
                <w:rFonts w:cs="Calibri"/>
                <w:color w:val="000000"/>
              </w:rPr>
            </w:pPr>
            <w:r w:rsidRPr="00995C3D">
              <w:rPr>
                <w:rFonts w:cs="Calibri"/>
                <w:color w:val="000000"/>
              </w:rPr>
              <w:t>249</w:t>
            </w:r>
          </w:p>
        </w:tc>
        <w:tc>
          <w:tcPr>
            <w:tcW w:w="844" w:type="dxa"/>
          </w:tcPr>
          <w:p w14:paraId="42AF24B9" w14:textId="77777777" w:rsidR="00A7521D" w:rsidRPr="00995C3D" w:rsidRDefault="00A7521D" w:rsidP="00A7521D">
            <w:pPr>
              <w:spacing w:after="0" w:line="240" w:lineRule="auto"/>
              <w:jc w:val="center"/>
              <w:rPr>
                <w:rFonts w:cs="Calibri"/>
                <w:color w:val="000000"/>
              </w:rPr>
            </w:pPr>
            <w:r w:rsidRPr="00995C3D">
              <w:rPr>
                <w:rFonts w:cs="Calibri"/>
                <w:color w:val="000000"/>
              </w:rPr>
              <w:t>661</w:t>
            </w:r>
          </w:p>
        </w:tc>
      </w:tr>
      <w:tr w:rsidR="00A7521D" w:rsidRPr="00995C3D" w14:paraId="2D3FF242" w14:textId="77777777" w:rsidTr="00A7521D">
        <w:trPr>
          <w:tblHeader/>
          <w:jc w:val="center"/>
        </w:trPr>
        <w:tc>
          <w:tcPr>
            <w:tcW w:w="2569" w:type="dxa"/>
          </w:tcPr>
          <w:p w14:paraId="045361EC" w14:textId="77777777" w:rsidR="00A7521D" w:rsidRPr="00995C3D" w:rsidRDefault="00A7521D" w:rsidP="00A7521D">
            <w:pPr>
              <w:spacing w:after="0" w:line="240" w:lineRule="auto"/>
              <w:jc w:val="center"/>
              <w:rPr>
                <w:rFonts w:cs="Calibri"/>
                <w:color w:val="000000"/>
              </w:rPr>
            </w:pPr>
            <w:r w:rsidRPr="00995C3D">
              <w:rPr>
                <w:rFonts w:cs="Calibri"/>
                <w:color w:val="000000"/>
              </w:rPr>
              <w:t>Sycamore inn</w:t>
            </w:r>
          </w:p>
        </w:tc>
        <w:tc>
          <w:tcPr>
            <w:tcW w:w="1115" w:type="dxa"/>
          </w:tcPr>
          <w:p w14:paraId="0DE05149" w14:textId="77777777" w:rsidR="00A7521D" w:rsidRPr="00995C3D" w:rsidRDefault="00A7521D" w:rsidP="00A7521D">
            <w:pPr>
              <w:spacing w:after="0" w:line="240" w:lineRule="auto"/>
              <w:jc w:val="center"/>
            </w:pPr>
            <w:r w:rsidRPr="00995C3D">
              <w:t>DE4 3HZ</w:t>
            </w:r>
          </w:p>
        </w:tc>
        <w:tc>
          <w:tcPr>
            <w:tcW w:w="1065" w:type="dxa"/>
          </w:tcPr>
          <w:p w14:paraId="719B19FC" w14:textId="77777777" w:rsidR="00A7521D" w:rsidRPr="00995C3D" w:rsidRDefault="00A7521D" w:rsidP="00A7521D">
            <w:pPr>
              <w:spacing w:after="0" w:line="240" w:lineRule="auto"/>
              <w:jc w:val="center"/>
              <w:rPr>
                <w:rFonts w:cs="Calibri"/>
                <w:color w:val="000000"/>
              </w:rPr>
            </w:pPr>
            <w:r w:rsidRPr="00995C3D">
              <w:rPr>
                <w:rFonts w:cs="Calibri"/>
                <w:color w:val="000000"/>
              </w:rPr>
              <w:t>8</w:t>
            </w:r>
          </w:p>
        </w:tc>
        <w:tc>
          <w:tcPr>
            <w:tcW w:w="1196" w:type="dxa"/>
          </w:tcPr>
          <w:p w14:paraId="6640C8CA" w14:textId="77777777" w:rsidR="00A7521D" w:rsidRPr="00995C3D" w:rsidRDefault="00A7521D" w:rsidP="00A7521D">
            <w:pPr>
              <w:spacing w:after="0" w:line="240" w:lineRule="auto"/>
              <w:jc w:val="center"/>
              <w:rPr>
                <w:rFonts w:cs="Calibri"/>
                <w:color w:val="000000"/>
              </w:rPr>
            </w:pPr>
            <w:r w:rsidRPr="00995C3D">
              <w:rPr>
                <w:rFonts w:cs="Calibri"/>
                <w:color w:val="000000"/>
              </w:rPr>
              <w:t>312</w:t>
            </w:r>
          </w:p>
        </w:tc>
        <w:tc>
          <w:tcPr>
            <w:tcW w:w="1798" w:type="dxa"/>
          </w:tcPr>
          <w:p w14:paraId="5E63CB1E" w14:textId="77777777" w:rsidR="00A7521D" w:rsidRPr="00995C3D" w:rsidRDefault="00A7521D" w:rsidP="00A7521D">
            <w:pPr>
              <w:spacing w:after="0" w:line="240" w:lineRule="auto"/>
              <w:jc w:val="center"/>
              <w:rPr>
                <w:rFonts w:cs="Calibri"/>
                <w:color w:val="000000"/>
              </w:rPr>
            </w:pPr>
            <w:r w:rsidRPr="00995C3D">
              <w:rPr>
                <w:rFonts w:cs="Calibri"/>
                <w:color w:val="000000"/>
              </w:rPr>
              <w:t>37</w:t>
            </w:r>
          </w:p>
        </w:tc>
        <w:tc>
          <w:tcPr>
            <w:tcW w:w="1014" w:type="dxa"/>
          </w:tcPr>
          <w:p w14:paraId="357420A8" w14:textId="77777777" w:rsidR="00A7521D" w:rsidRPr="00995C3D" w:rsidRDefault="00A7521D" w:rsidP="00A7521D">
            <w:pPr>
              <w:spacing w:after="0" w:line="240" w:lineRule="auto"/>
              <w:jc w:val="center"/>
              <w:rPr>
                <w:rFonts w:cs="Calibri"/>
                <w:color w:val="000000"/>
              </w:rPr>
            </w:pPr>
            <w:r w:rsidRPr="00995C3D">
              <w:rPr>
                <w:rFonts w:cs="Calibri"/>
                <w:color w:val="000000"/>
              </w:rPr>
              <w:t>15</w:t>
            </w:r>
          </w:p>
        </w:tc>
        <w:tc>
          <w:tcPr>
            <w:tcW w:w="844" w:type="dxa"/>
          </w:tcPr>
          <w:p w14:paraId="43158FF1" w14:textId="77777777" w:rsidR="00A7521D" w:rsidRPr="00995C3D" w:rsidRDefault="00A7521D" w:rsidP="00A7521D">
            <w:pPr>
              <w:spacing w:after="0" w:line="240" w:lineRule="auto"/>
              <w:jc w:val="center"/>
              <w:rPr>
                <w:rFonts w:cs="Calibri"/>
                <w:color w:val="000000"/>
              </w:rPr>
            </w:pPr>
            <w:r w:rsidRPr="00995C3D">
              <w:rPr>
                <w:rFonts w:cs="Calibri"/>
                <w:color w:val="000000"/>
              </w:rPr>
              <w:t>21</w:t>
            </w:r>
          </w:p>
        </w:tc>
      </w:tr>
      <w:tr w:rsidR="00A7521D" w:rsidRPr="00995C3D" w14:paraId="67DFCE29" w14:textId="77777777" w:rsidTr="00A7521D">
        <w:trPr>
          <w:tblHeader/>
          <w:jc w:val="center"/>
        </w:trPr>
        <w:tc>
          <w:tcPr>
            <w:tcW w:w="2569" w:type="dxa"/>
          </w:tcPr>
          <w:p w14:paraId="093DA26D" w14:textId="77777777" w:rsidR="00A7521D" w:rsidRPr="00995C3D" w:rsidRDefault="00A7521D" w:rsidP="00A7521D">
            <w:pPr>
              <w:spacing w:after="0" w:line="240" w:lineRule="auto"/>
              <w:jc w:val="center"/>
              <w:rPr>
                <w:rFonts w:cs="Calibri"/>
                <w:color w:val="000000"/>
              </w:rPr>
            </w:pPr>
            <w:r w:rsidRPr="00995C3D">
              <w:rPr>
                <w:rFonts w:cs="Calibri"/>
                <w:color w:val="000000"/>
              </w:rPr>
              <w:t>All saints c of e school</w:t>
            </w:r>
          </w:p>
        </w:tc>
        <w:tc>
          <w:tcPr>
            <w:tcW w:w="1115" w:type="dxa"/>
          </w:tcPr>
          <w:p w14:paraId="1C8CD7E9" w14:textId="77777777" w:rsidR="00A7521D" w:rsidRPr="00995C3D" w:rsidRDefault="00A7521D" w:rsidP="00A7521D">
            <w:pPr>
              <w:spacing w:after="0" w:line="240" w:lineRule="auto"/>
              <w:jc w:val="center"/>
            </w:pPr>
            <w:r w:rsidRPr="00995C3D">
              <w:t>DE4 3HX</w:t>
            </w:r>
          </w:p>
        </w:tc>
        <w:tc>
          <w:tcPr>
            <w:tcW w:w="1065" w:type="dxa"/>
          </w:tcPr>
          <w:p w14:paraId="6243D4D8" w14:textId="77777777" w:rsidR="00A7521D" w:rsidRPr="00995C3D" w:rsidRDefault="00A7521D" w:rsidP="00A7521D">
            <w:pPr>
              <w:spacing w:after="0" w:line="240" w:lineRule="auto"/>
              <w:jc w:val="center"/>
              <w:rPr>
                <w:rFonts w:cs="Calibri"/>
                <w:color w:val="000000"/>
              </w:rPr>
            </w:pPr>
            <w:r w:rsidRPr="00995C3D">
              <w:rPr>
                <w:rFonts w:cs="Calibri"/>
                <w:color w:val="000000"/>
              </w:rPr>
              <w:t>17</w:t>
            </w:r>
          </w:p>
        </w:tc>
        <w:tc>
          <w:tcPr>
            <w:tcW w:w="1196" w:type="dxa"/>
          </w:tcPr>
          <w:p w14:paraId="5F493C15" w14:textId="77777777" w:rsidR="00A7521D" w:rsidRPr="00995C3D" w:rsidRDefault="00A7521D" w:rsidP="00A7521D">
            <w:pPr>
              <w:spacing w:after="0" w:line="240" w:lineRule="auto"/>
              <w:jc w:val="center"/>
              <w:rPr>
                <w:rFonts w:cs="Calibri"/>
                <w:color w:val="000000"/>
              </w:rPr>
            </w:pPr>
            <w:r w:rsidRPr="00995C3D">
              <w:rPr>
                <w:rFonts w:cs="Calibri"/>
                <w:color w:val="000000"/>
              </w:rPr>
              <w:t>1</w:t>
            </w:r>
            <w:r>
              <w:rPr>
                <w:rFonts w:cs="Calibri"/>
                <w:color w:val="000000"/>
              </w:rPr>
              <w:t>,</w:t>
            </w:r>
            <w:r w:rsidRPr="00995C3D">
              <w:rPr>
                <w:rFonts w:cs="Calibri"/>
                <w:color w:val="000000"/>
              </w:rPr>
              <w:t>670</w:t>
            </w:r>
          </w:p>
        </w:tc>
        <w:tc>
          <w:tcPr>
            <w:tcW w:w="1798" w:type="dxa"/>
          </w:tcPr>
          <w:p w14:paraId="1792D4C3" w14:textId="77777777" w:rsidR="00A7521D" w:rsidRPr="00995C3D" w:rsidRDefault="00A7521D" w:rsidP="00A7521D">
            <w:pPr>
              <w:spacing w:after="0" w:line="240" w:lineRule="auto"/>
              <w:jc w:val="center"/>
              <w:rPr>
                <w:rFonts w:cs="Calibri"/>
                <w:color w:val="000000"/>
              </w:rPr>
            </w:pPr>
            <w:r w:rsidRPr="00995C3D">
              <w:rPr>
                <w:rFonts w:cs="Calibri"/>
                <w:color w:val="000000"/>
              </w:rPr>
              <w:t>231</w:t>
            </w:r>
          </w:p>
        </w:tc>
        <w:tc>
          <w:tcPr>
            <w:tcW w:w="1014" w:type="dxa"/>
          </w:tcPr>
          <w:p w14:paraId="76F8FC3A" w14:textId="77777777" w:rsidR="00A7521D" w:rsidRPr="00995C3D" w:rsidRDefault="00A7521D" w:rsidP="00A7521D">
            <w:pPr>
              <w:spacing w:after="0" w:line="240" w:lineRule="auto"/>
              <w:jc w:val="center"/>
              <w:rPr>
                <w:rFonts w:cs="Calibri"/>
                <w:color w:val="000000"/>
              </w:rPr>
            </w:pPr>
            <w:r w:rsidRPr="00995C3D">
              <w:rPr>
                <w:rFonts w:cs="Calibri"/>
                <w:color w:val="000000"/>
              </w:rPr>
              <w:t>125</w:t>
            </w:r>
          </w:p>
        </w:tc>
        <w:tc>
          <w:tcPr>
            <w:tcW w:w="844" w:type="dxa"/>
          </w:tcPr>
          <w:p w14:paraId="48F13089" w14:textId="77777777" w:rsidR="00A7521D" w:rsidRPr="00995C3D" w:rsidRDefault="00A7521D" w:rsidP="00A7521D">
            <w:pPr>
              <w:spacing w:after="0" w:line="240" w:lineRule="auto"/>
              <w:jc w:val="center"/>
              <w:rPr>
                <w:rFonts w:cs="Calibri"/>
                <w:color w:val="000000"/>
              </w:rPr>
            </w:pPr>
            <w:r w:rsidRPr="00995C3D">
              <w:rPr>
                <w:rFonts w:cs="Calibri"/>
                <w:color w:val="000000"/>
              </w:rPr>
              <w:t>696</w:t>
            </w:r>
          </w:p>
        </w:tc>
      </w:tr>
      <w:tr w:rsidR="00A7521D" w:rsidRPr="00995C3D" w14:paraId="7D36CCB3" w14:textId="77777777" w:rsidTr="00A7521D">
        <w:trPr>
          <w:tblHeader/>
          <w:jc w:val="center"/>
        </w:trPr>
        <w:tc>
          <w:tcPr>
            <w:tcW w:w="2569" w:type="dxa"/>
          </w:tcPr>
          <w:p w14:paraId="0FF4E54C" w14:textId="77777777" w:rsidR="00A7521D" w:rsidRPr="00995C3D" w:rsidRDefault="00A7521D" w:rsidP="00A7521D">
            <w:pPr>
              <w:spacing w:after="0" w:line="240" w:lineRule="auto"/>
              <w:jc w:val="center"/>
              <w:rPr>
                <w:rFonts w:cs="Calibri"/>
                <w:color w:val="000000"/>
              </w:rPr>
            </w:pPr>
            <w:r w:rsidRPr="00995C3D">
              <w:rPr>
                <w:rFonts w:cs="Calibri"/>
                <w:color w:val="000000"/>
              </w:rPr>
              <w:t>The thorn tree inn</w:t>
            </w:r>
          </w:p>
        </w:tc>
        <w:tc>
          <w:tcPr>
            <w:tcW w:w="1115" w:type="dxa"/>
          </w:tcPr>
          <w:p w14:paraId="410D4563" w14:textId="77777777" w:rsidR="00A7521D" w:rsidRPr="00995C3D" w:rsidRDefault="00A7521D" w:rsidP="00A7521D">
            <w:pPr>
              <w:spacing w:after="0" w:line="240" w:lineRule="auto"/>
              <w:jc w:val="center"/>
            </w:pPr>
            <w:r w:rsidRPr="00995C3D">
              <w:t>DE4 3JQ</w:t>
            </w:r>
          </w:p>
        </w:tc>
        <w:tc>
          <w:tcPr>
            <w:tcW w:w="1065" w:type="dxa"/>
          </w:tcPr>
          <w:p w14:paraId="352BCA52" w14:textId="77777777" w:rsidR="00A7521D" w:rsidRPr="00995C3D" w:rsidRDefault="00A7521D" w:rsidP="00A7521D">
            <w:pPr>
              <w:spacing w:after="0" w:line="240" w:lineRule="auto"/>
              <w:jc w:val="center"/>
              <w:rPr>
                <w:rFonts w:cs="Calibri"/>
                <w:color w:val="000000"/>
              </w:rPr>
            </w:pPr>
            <w:r w:rsidRPr="00995C3D">
              <w:rPr>
                <w:rFonts w:cs="Calibri"/>
                <w:color w:val="000000"/>
              </w:rPr>
              <w:t>8</w:t>
            </w:r>
          </w:p>
        </w:tc>
        <w:tc>
          <w:tcPr>
            <w:tcW w:w="1196" w:type="dxa"/>
          </w:tcPr>
          <w:p w14:paraId="6BFD8015" w14:textId="77777777" w:rsidR="00A7521D" w:rsidRPr="00995C3D" w:rsidRDefault="00A7521D" w:rsidP="00A7521D">
            <w:pPr>
              <w:spacing w:after="0" w:line="240" w:lineRule="auto"/>
              <w:jc w:val="center"/>
              <w:rPr>
                <w:rFonts w:cs="Calibri"/>
                <w:color w:val="000000"/>
              </w:rPr>
            </w:pPr>
            <w:r w:rsidRPr="00995C3D">
              <w:rPr>
                <w:rFonts w:cs="Calibri"/>
                <w:color w:val="000000"/>
              </w:rPr>
              <w:t>199</w:t>
            </w:r>
          </w:p>
        </w:tc>
        <w:tc>
          <w:tcPr>
            <w:tcW w:w="1798" w:type="dxa"/>
          </w:tcPr>
          <w:p w14:paraId="77278CBA" w14:textId="77777777" w:rsidR="00A7521D" w:rsidRPr="00995C3D" w:rsidRDefault="00A7521D" w:rsidP="00A7521D">
            <w:pPr>
              <w:spacing w:after="0" w:line="240" w:lineRule="auto"/>
              <w:jc w:val="center"/>
              <w:rPr>
                <w:rFonts w:cs="Calibri"/>
                <w:color w:val="000000"/>
              </w:rPr>
            </w:pPr>
            <w:r w:rsidRPr="00995C3D">
              <w:rPr>
                <w:rFonts w:cs="Calibri"/>
                <w:color w:val="000000"/>
              </w:rPr>
              <w:t>24</w:t>
            </w:r>
          </w:p>
        </w:tc>
        <w:tc>
          <w:tcPr>
            <w:tcW w:w="1014" w:type="dxa"/>
          </w:tcPr>
          <w:p w14:paraId="434EB960" w14:textId="77777777" w:rsidR="00A7521D" w:rsidRPr="00995C3D" w:rsidRDefault="00A7521D" w:rsidP="00A7521D">
            <w:pPr>
              <w:spacing w:after="0" w:line="240" w:lineRule="auto"/>
              <w:jc w:val="center"/>
              <w:rPr>
                <w:rFonts w:cs="Calibri"/>
                <w:color w:val="000000"/>
              </w:rPr>
            </w:pPr>
            <w:r w:rsidRPr="00995C3D">
              <w:rPr>
                <w:rFonts w:cs="Calibri"/>
                <w:color w:val="000000"/>
              </w:rPr>
              <w:t>10</w:t>
            </w:r>
          </w:p>
        </w:tc>
        <w:tc>
          <w:tcPr>
            <w:tcW w:w="844" w:type="dxa"/>
          </w:tcPr>
          <w:p w14:paraId="3E2A70D1" w14:textId="77777777" w:rsidR="00A7521D" w:rsidRPr="00995C3D" w:rsidRDefault="00A7521D" w:rsidP="00A7521D">
            <w:pPr>
              <w:spacing w:after="0" w:line="240" w:lineRule="auto"/>
              <w:jc w:val="center"/>
              <w:rPr>
                <w:rFonts w:cs="Calibri"/>
                <w:color w:val="000000"/>
              </w:rPr>
            </w:pPr>
            <w:r w:rsidRPr="00995C3D">
              <w:rPr>
                <w:rFonts w:cs="Calibri"/>
                <w:color w:val="000000"/>
              </w:rPr>
              <w:t>14</w:t>
            </w:r>
          </w:p>
        </w:tc>
      </w:tr>
      <w:tr w:rsidR="00A7521D" w:rsidRPr="00995C3D" w14:paraId="7440AD7A" w14:textId="77777777" w:rsidTr="00A7521D">
        <w:trPr>
          <w:tblHeader/>
          <w:jc w:val="center"/>
        </w:trPr>
        <w:tc>
          <w:tcPr>
            <w:tcW w:w="2569" w:type="dxa"/>
          </w:tcPr>
          <w:p w14:paraId="3A57F9DF" w14:textId="77777777" w:rsidR="00A7521D" w:rsidRPr="00995C3D" w:rsidRDefault="00A7521D" w:rsidP="00A7521D">
            <w:pPr>
              <w:spacing w:after="0" w:line="240" w:lineRule="auto"/>
              <w:jc w:val="center"/>
              <w:rPr>
                <w:rFonts w:cs="Calibri"/>
                <w:color w:val="000000"/>
              </w:rPr>
            </w:pPr>
            <w:r w:rsidRPr="00995C3D">
              <w:rPr>
                <w:rFonts w:cs="Calibri"/>
                <w:color w:val="000000"/>
              </w:rPr>
              <w:t>Imperial rooms</w:t>
            </w:r>
          </w:p>
        </w:tc>
        <w:tc>
          <w:tcPr>
            <w:tcW w:w="1115" w:type="dxa"/>
          </w:tcPr>
          <w:p w14:paraId="5C19A9D1" w14:textId="77777777" w:rsidR="00A7521D" w:rsidRPr="00995C3D" w:rsidRDefault="00A7521D" w:rsidP="00A7521D">
            <w:pPr>
              <w:spacing w:after="0" w:line="240" w:lineRule="auto"/>
              <w:jc w:val="center"/>
            </w:pPr>
            <w:r w:rsidRPr="00995C3D">
              <w:t>DE4 3NL</w:t>
            </w:r>
          </w:p>
        </w:tc>
        <w:tc>
          <w:tcPr>
            <w:tcW w:w="1065" w:type="dxa"/>
          </w:tcPr>
          <w:p w14:paraId="5F948D8B" w14:textId="77777777" w:rsidR="00A7521D" w:rsidRPr="00995C3D" w:rsidRDefault="00A7521D" w:rsidP="00A7521D">
            <w:pPr>
              <w:spacing w:after="0" w:line="240" w:lineRule="auto"/>
              <w:jc w:val="center"/>
              <w:rPr>
                <w:rFonts w:cs="Calibri"/>
                <w:color w:val="000000"/>
              </w:rPr>
            </w:pPr>
            <w:r w:rsidRPr="00995C3D">
              <w:rPr>
                <w:rFonts w:cs="Calibri"/>
                <w:color w:val="000000"/>
              </w:rPr>
              <w:t>17</w:t>
            </w:r>
          </w:p>
        </w:tc>
        <w:tc>
          <w:tcPr>
            <w:tcW w:w="1196" w:type="dxa"/>
          </w:tcPr>
          <w:p w14:paraId="6106E66F" w14:textId="77777777" w:rsidR="00A7521D" w:rsidRPr="00995C3D" w:rsidRDefault="00A7521D" w:rsidP="00A7521D">
            <w:pPr>
              <w:spacing w:after="0" w:line="240" w:lineRule="auto"/>
              <w:jc w:val="center"/>
              <w:rPr>
                <w:rFonts w:cs="Calibri"/>
                <w:color w:val="000000"/>
              </w:rPr>
            </w:pPr>
            <w:r w:rsidRPr="00995C3D">
              <w:rPr>
                <w:rFonts w:cs="Calibri"/>
                <w:color w:val="000000"/>
              </w:rPr>
              <w:t>1</w:t>
            </w:r>
            <w:r>
              <w:rPr>
                <w:rFonts w:cs="Calibri"/>
                <w:color w:val="000000"/>
              </w:rPr>
              <w:t>,</w:t>
            </w:r>
            <w:r w:rsidRPr="00995C3D">
              <w:rPr>
                <w:rFonts w:cs="Calibri"/>
                <w:color w:val="000000"/>
              </w:rPr>
              <w:t>111</w:t>
            </w:r>
          </w:p>
        </w:tc>
        <w:tc>
          <w:tcPr>
            <w:tcW w:w="1798" w:type="dxa"/>
          </w:tcPr>
          <w:p w14:paraId="60C32177" w14:textId="77777777" w:rsidR="00A7521D" w:rsidRPr="00995C3D" w:rsidRDefault="00A7521D" w:rsidP="00A7521D">
            <w:pPr>
              <w:spacing w:after="0" w:line="240" w:lineRule="auto"/>
              <w:jc w:val="center"/>
              <w:rPr>
                <w:rFonts w:cs="Calibri"/>
                <w:color w:val="000000"/>
              </w:rPr>
            </w:pPr>
            <w:r w:rsidRPr="00995C3D">
              <w:rPr>
                <w:rFonts w:cs="Calibri"/>
                <w:color w:val="000000"/>
              </w:rPr>
              <w:t>154</w:t>
            </w:r>
          </w:p>
        </w:tc>
        <w:tc>
          <w:tcPr>
            <w:tcW w:w="1014" w:type="dxa"/>
          </w:tcPr>
          <w:p w14:paraId="38E7B6B6" w14:textId="77777777" w:rsidR="00A7521D" w:rsidRPr="00995C3D" w:rsidRDefault="00A7521D" w:rsidP="00A7521D">
            <w:pPr>
              <w:spacing w:after="0" w:line="240" w:lineRule="auto"/>
              <w:jc w:val="center"/>
              <w:rPr>
                <w:rFonts w:cs="Calibri"/>
                <w:color w:val="000000"/>
              </w:rPr>
            </w:pPr>
            <w:r w:rsidRPr="00995C3D">
              <w:rPr>
                <w:rFonts w:cs="Calibri"/>
                <w:color w:val="000000"/>
              </w:rPr>
              <w:t>83</w:t>
            </w:r>
          </w:p>
        </w:tc>
        <w:tc>
          <w:tcPr>
            <w:tcW w:w="844" w:type="dxa"/>
          </w:tcPr>
          <w:p w14:paraId="2C592DD9" w14:textId="77777777" w:rsidR="00A7521D" w:rsidRPr="00995C3D" w:rsidRDefault="00A7521D" w:rsidP="00A7521D">
            <w:pPr>
              <w:spacing w:after="0" w:line="240" w:lineRule="auto"/>
              <w:jc w:val="center"/>
              <w:rPr>
                <w:rFonts w:cs="Calibri"/>
                <w:color w:val="000000"/>
              </w:rPr>
            </w:pPr>
            <w:r w:rsidRPr="00995C3D">
              <w:rPr>
                <w:rFonts w:cs="Calibri"/>
                <w:color w:val="000000"/>
              </w:rPr>
              <w:t>463</w:t>
            </w:r>
          </w:p>
        </w:tc>
      </w:tr>
      <w:tr w:rsidR="00A7521D" w:rsidRPr="00995C3D" w14:paraId="21B9164F" w14:textId="77777777" w:rsidTr="00A7521D">
        <w:trPr>
          <w:tblHeader/>
          <w:jc w:val="center"/>
        </w:trPr>
        <w:tc>
          <w:tcPr>
            <w:tcW w:w="2569" w:type="dxa"/>
          </w:tcPr>
          <w:p w14:paraId="704C24BE" w14:textId="77777777" w:rsidR="00A7521D" w:rsidRPr="00995C3D" w:rsidRDefault="00A7521D" w:rsidP="00A7521D">
            <w:pPr>
              <w:spacing w:after="0" w:line="240" w:lineRule="auto"/>
              <w:jc w:val="center"/>
              <w:rPr>
                <w:rFonts w:cs="Calibri"/>
                <w:color w:val="000000"/>
              </w:rPr>
            </w:pPr>
            <w:r w:rsidRPr="00995C3D">
              <w:rPr>
                <w:rFonts w:cs="Calibri"/>
                <w:color w:val="000000"/>
              </w:rPr>
              <w:t>Wilkinson’s</w:t>
            </w:r>
          </w:p>
        </w:tc>
        <w:tc>
          <w:tcPr>
            <w:tcW w:w="1115" w:type="dxa"/>
          </w:tcPr>
          <w:p w14:paraId="342A7DF1" w14:textId="77777777" w:rsidR="00A7521D" w:rsidRPr="00995C3D" w:rsidRDefault="00A7521D" w:rsidP="00A7521D">
            <w:pPr>
              <w:spacing w:after="0" w:line="240" w:lineRule="auto"/>
              <w:jc w:val="center"/>
            </w:pPr>
            <w:r w:rsidRPr="00995C3D">
              <w:t>DE4 3AQ</w:t>
            </w:r>
          </w:p>
        </w:tc>
        <w:tc>
          <w:tcPr>
            <w:tcW w:w="1065" w:type="dxa"/>
          </w:tcPr>
          <w:p w14:paraId="5D2E5633" w14:textId="77777777" w:rsidR="00A7521D" w:rsidRPr="00995C3D" w:rsidRDefault="00A7521D" w:rsidP="00A7521D">
            <w:pPr>
              <w:spacing w:after="0" w:line="240" w:lineRule="auto"/>
              <w:jc w:val="center"/>
              <w:rPr>
                <w:rFonts w:cs="Calibri"/>
                <w:color w:val="000000"/>
              </w:rPr>
            </w:pPr>
            <w:r w:rsidRPr="00995C3D">
              <w:rPr>
                <w:rFonts w:cs="Calibri"/>
                <w:color w:val="000000"/>
              </w:rPr>
              <w:t>4</w:t>
            </w:r>
          </w:p>
        </w:tc>
        <w:tc>
          <w:tcPr>
            <w:tcW w:w="1196" w:type="dxa"/>
          </w:tcPr>
          <w:p w14:paraId="55ADBF96" w14:textId="77777777" w:rsidR="00A7521D" w:rsidRPr="00995C3D" w:rsidRDefault="00A7521D" w:rsidP="00A7521D">
            <w:pPr>
              <w:spacing w:after="0" w:line="240" w:lineRule="auto"/>
              <w:jc w:val="center"/>
              <w:rPr>
                <w:rFonts w:cs="Calibri"/>
                <w:color w:val="000000"/>
              </w:rPr>
            </w:pPr>
            <w:r w:rsidRPr="00995C3D">
              <w:rPr>
                <w:rFonts w:cs="Calibri"/>
                <w:color w:val="000000"/>
              </w:rPr>
              <w:t>434</w:t>
            </w:r>
          </w:p>
        </w:tc>
        <w:tc>
          <w:tcPr>
            <w:tcW w:w="1798" w:type="dxa"/>
          </w:tcPr>
          <w:p w14:paraId="059BCE43" w14:textId="77777777" w:rsidR="00A7521D" w:rsidRPr="00995C3D" w:rsidRDefault="00A7521D" w:rsidP="00A7521D">
            <w:pPr>
              <w:spacing w:after="0" w:line="240" w:lineRule="auto"/>
              <w:jc w:val="center"/>
              <w:rPr>
                <w:rFonts w:cs="Calibri"/>
                <w:color w:val="000000"/>
              </w:rPr>
            </w:pPr>
            <w:r w:rsidRPr="00995C3D">
              <w:rPr>
                <w:rFonts w:cs="Calibri"/>
                <w:color w:val="000000"/>
              </w:rPr>
              <w:t>67</w:t>
            </w:r>
          </w:p>
        </w:tc>
        <w:tc>
          <w:tcPr>
            <w:tcW w:w="1014" w:type="dxa"/>
          </w:tcPr>
          <w:p w14:paraId="4544A1FA" w14:textId="77777777" w:rsidR="00A7521D" w:rsidRPr="00995C3D" w:rsidRDefault="00A7521D" w:rsidP="00A7521D">
            <w:pPr>
              <w:spacing w:after="0" w:line="240" w:lineRule="auto"/>
              <w:jc w:val="center"/>
              <w:rPr>
                <w:rFonts w:cs="Calibri"/>
                <w:color w:val="000000"/>
              </w:rPr>
            </w:pPr>
            <w:r w:rsidRPr="00995C3D">
              <w:rPr>
                <w:rFonts w:cs="Calibri"/>
                <w:color w:val="000000"/>
              </w:rPr>
              <w:t>20</w:t>
            </w:r>
          </w:p>
        </w:tc>
        <w:tc>
          <w:tcPr>
            <w:tcW w:w="844" w:type="dxa"/>
          </w:tcPr>
          <w:p w14:paraId="7506D227" w14:textId="77777777" w:rsidR="00A7521D" w:rsidRPr="00995C3D" w:rsidRDefault="00A7521D" w:rsidP="00A7521D">
            <w:pPr>
              <w:spacing w:after="0" w:line="240" w:lineRule="auto"/>
              <w:jc w:val="center"/>
              <w:rPr>
                <w:rFonts w:cs="Calibri"/>
                <w:color w:val="000000"/>
              </w:rPr>
            </w:pPr>
            <w:r w:rsidRPr="00995C3D">
              <w:rPr>
                <w:rFonts w:cs="Calibri"/>
                <w:color w:val="000000"/>
              </w:rPr>
              <w:t>39</w:t>
            </w:r>
          </w:p>
        </w:tc>
      </w:tr>
      <w:tr w:rsidR="00A7521D" w:rsidRPr="00995C3D" w14:paraId="10335E92" w14:textId="77777777" w:rsidTr="00A7521D">
        <w:trPr>
          <w:tblHeader/>
          <w:jc w:val="center"/>
        </w:trPr>
        <w:tc>
          <w:tcPr>
            <w:tcW w:w="2569" w:type="dxa"/>
          </w:tcPr>
          <w:p w14:paraId="54999D27" w14:textId="77777777" w:rsidR="00A7521D" w:rsidRPr="00995C3D" w:rsidRDefault="00A7521D" w:rsidP="00A7521D">
            <w:pPr>
              <w:spacing w:after="0" w:line="240" w:lineRule="auto"/>
              <w:jc w:val="center"/>
              <w:rPr>
                <w:rFonts w:cs="Calibri"/>
                <w:color w:val="000000"/>
              </w:rPr>
            </w:pPr>
            <w:r w:rsidRPr="00995C3D">
              <w:rPr>
                <w:rFonts w:cs="Calibri"/>
                <w:color w:val="000000"/>
              </w:rPr>
              <w:t>The railway</w:t>
            </w:r>
          </w:p>
        </w:tc>
        <w:tc>
          <w:tcPr>
            <w:tcW w:w="1115" w:type="dxa"/>
          </w:tcPr>
          <w:p w14:paraId="242ED3CF" w14:textId="77777777" w:rsidR="00A7521D" w:rsidRPr="00995C3D" w:rsidRDefault="00A7521D" w:rsidP="00A7521D">
            <w:pPr>
              <w:spacing w:after="0" w:line="240" w:lineRule="auto"/>
              <w:jc w:val="center"/>
            </w:pPr>
            <w:r w:rsidRPr="00995C3D">
              <w:t>DE4 3AU</w:t>
            </w:r>
          </w:p>
        </w:tc>
        <w:tc>
          <w:tcPr>
            <w:tcW w:w="1065" w:type="dxa"/>
          </w:tcPr>
          <w:p w14:paraId="33808298" w14:textId="77777777" w:rsidR="00A7521D" w:rsidRPr="00995C3D" w:rsidRDefault="00A7521D" w:rsidP="00A7521D">
            <w:pPr>
              <w:spacing w:after="0" w:line="240" w:lineRule="auto"/>
              <w:jc w:val="center"/>
              <w:rPr>
                <w:rFonts w:cs="Calibri"/>
                <w:color w:val="000000"/>
              </w:rPr>
            </w:pPr>
            <w:r w:rsidRPr="00995C3D">
              <w:rPr>
                <w:rFonts w:cs="Calibri"/>
                <w:color w:val="000000"/>
              </w:rPr>
              <w:t>8</w:t>
            </w:r>
          </w:p>
        </w:tc>
        <w:tc>
          <w:tcPr>
            <w:tcW w:w="1196" w:type="dxa"/>
          </w:tcPr>
          <w:p w14:paraId="641EC540" w14:textId="77777777" w:rsidR="00A7521D" w:rsidRPr="00995C3D" w:rsidRDefault="00A7521D" w:rsidP="00A7521D">
            <w:pPr>
              <w:spacing w:after="0" w:line="240" w:lineRule="auto"/>
              <w:jc w:val="center"/>
              <w:rPr>
                <w:rFonts w:cs="Calibri"/>
                <w:color w:val="000000"/>
              </w:rPr>
            </w:pPr>
            <w:r w:rsidRPr="00995C3D">
              <w:rPr>
                <w:rFonts w:cs="Calibri"/>
                <w:color w:val="000000"/>
              </w:rPr>
              <w:t>308</w:t>
            </w:r>
          </w:p>
        </w:tc>
        <w:tc>
          <w:tcPr>
            <w:tcW w:w="1798" w:type="dxa"/>
          </w:tcPr>
          <w:p w14:paraId="0B8225C2" w14:textId="77777777" w:rsidR="00A7521D" w:rsidRPr="00995C3D" w:rsidRDefault="00A7521D" w:rsidP="00A7521D">
            <w:pPr>
              <w:spacing w:after="0" w:line="240" w:lineRule="auto"/>
              <w:jc w:val="center"/>
              <w:rPr>
                <w:rFonts w:cs="Calibri"/>
                <w:color w:val="000000"/>
              </w:rPr>
            </w:pPr>
            <w:r w:rsidRPr="00995C3D">
              <w:rPr>
                <w:rFonts w:cs="Calibri"/>
                <w:color w:val="000000"/>
              </w:rPr>
              <w:t>37</w:t>
            </w:r>
          </w:p>
        </w:tc>
        <w:tc>
          <w:tcPr>
            <w:tcW w:w="1014" w:type="dxa"/>
          </w:tcPr>
          <w:p w14:paraId="1AEF4079" w14:textId="77777777" w:rsidR="00A7521D" w:rsidRPr="00995C3D" w:rsidRDefault="00A7521D" w:rsidP="00A7521D">
            <w:pPr>
              <w:spacing w:after="0" w:line="240" w:lineRule="auto"/>
              <w:jc w:val="center"/>
              <w:rPr>
                <w:rFonts w:cs="Calibri"/>
                <w:color w:val="000000"/>
              </w:rPr>
            </w:pPr>
            <w:r w:rsidRPr="00995C3D">
              <w:rPr>
                <w:rFonts w:cs="Calibri"/>
                <w:color w:val="000000"/>
              </w:rPr>
              <w:t>15</w:t>
            </w:r>
          </w:p>
        </w:tc>
        <w:tc>
          <w:tcPr>
            <w:tcW w:w="844" w:type="dxa"/>
          </w:tcPr>
          <w:p w14:paraId="67890FE3" w14:textId="77777777" w:rsidR="00A7521D" w:rsidRPr="00995C3D" w:rsidRDefault="00A7521D" w:rsidP="00A7521D">
            <w:pPr>
              <w:spacing w:after="0" w:line="240" w:lineRule="auto"/>
              <w:jc w:val="center"/>
              <w:rPr>
                <w:rFonts w:cs="Calibri"/>
                <w:color w:val="000000"/>
              </w:rPr>
            </w:pPr>
            <w:r w:rsidRPr="00995C3D">
              <w:rPr>
                <w:rFonts w:cs="Calibri"/>
                <w:color w:val="000000"/>
              </w:rPr>
              <w:t>21</w:t>
            </w:r>
          </w:p>
        </w:tc>
      </w:tr>
      <w:tr w:rsidR="00A7521D" w:rsidRPr="00995C3D" w14:paraId="794398C4" w14:textId="77777777" w:rsidTr="00A7521D">
        <w:trPr>
          <w:tblHeader/>
          <w:jc w:val="center"/>
        </w:trPr>
        <w:tc>
          <w:tcPr>
            <w:tcW w:w="2569" w:type="dxa"/>
          </w:tcPr>
          <w:p w14:paraId="1DBFB81F" w14:textId="77777777" w:rsidR="00A7521D" w:rsidRPr="00995C3D" w:rsidRDefault="00A7521D" w:rsidP="00A7521D">
            <w:pPr>
              <w:spacing w:after="0" w:line="240" w:lineRule="auto"/>
              <w:jc w:val="center"/>
              <w:rPr>
                <w:rFonts w:cs="Calibri"/>
                <w:color w:val="000000"/>
              </w:rPr>
            </w:pPr>
            <w:r w:rsidRPr="00995C3D">
              <w:rPr>
                <w:rFonts w:cs="Calibri"/>
                <w:color w:val="000000"/>
              </w:rPr>
              <w:t>Co-op</w:t>
            </w:r>
          </w:p>
        </w:tc>
        <w:tc>
          <w:tcPr>
            <w:tcW w:w="1115" w:type="dxa"/>
          </w:tcPr>
          <w:p w14:paraId="5F072FC3" w14:textId="77777777" w:rsidR="00A7521D" w:rsidRPr="00995C3D" w:rsidRDefault="00A7521D" w:rsidP="00A7521D">
            <w:pPr>
              <w:spacing w:after="0" w:line="240" w:lineRule="auto"/>
              <w:jc w:val="center"/>
            </w:pPr>
            <w:r w:rsidRPr="00995C3D">
              <w:t>DE4 3AS</w:t>
            </w:r>
          </w:p>
        </w:tc>
        <w:tc>
          <w:tcPr>
            <w:tcW w:w="1065" w:type="dxa"/>
          </w:tcPr>
          <w:p w14:paraId="31C03604" w14:textId="77777777" w:rsidR="00A7521D" w:rsidRPr="00995C3D" w:rsidRDefault="00A7521D" w:rsidP="00A7521D">
            <w:pPr>
              <w:spacing w:after="0" w:line="240" w:lineRule="auto"/>
              <w:jc w:val="center"/>
              <w:rPr>
                <w:rFonts w:cs="Calibri"/>
                <w:color w:val="000000"/>
              </w:rPr>
            </w:pPr>
            <w:r w:rsidRPr="00995C3D">
              <w:rPr>
                <w:rFonts w:cs="Calibri"/>
                <w:color w:val="000000"/>
              </w:rPr>
              <w:t>8</w:t>
            </w:r>
          </w:p>
        </w:tc>
        <w:tc>
          <w:tcPr>
            <w:tcW w:w="1196" w:type="dxa"/>
          </w:tcPr>
          <w:p w14:paraId="35E4F9B1" w14:textId="77777777" w:rsidR="00A7521D" w:rsidRPr="00995C3D" w:rsidRDefault="00A7521D" w:rsidP="00A7521D">
            <w:pPr>
              <w:spacing w:after="0" w:line="240" w:lineRule="auto"/>
              <w:jc w:val="center"/>
              <w:rPr>
                <w:rFonts w:cs="Calibri"/>
                <w:color w:val="000000"/>
              </w:rPr>
            </w:pPr>
            <w:r w:rsidRPr="00995C3D">
              <w:rPr>
                <w:rFonts w:cs="Calibri"/>
                <w:color w:val="000000"/>
              </w:rPr>
              <w:t>256</w:t>
            </w:r>
          </w:p>
        </w:tc>
        <w:tc>
          <w:tcPr>
            <w:tcW w:w="1798" w:type="dxa"/>
          </w:tcPr>
          <w:p w14:paraId="2C4BC4A8" w14:textId="77777777" w:rsidR="00A7521D" w:rsidRPr="00995C3D" w:rsidRDefault="00A7521D" w:rsidP="00A7521D">
            <w:pPr>
              <w:spacing w:after="0" w:line="240" w:lineRule="auto"/>
              <w:jc w:val="center"/>
              <w:rPr>
                <w:rFonts w:cs="Calibri"/>
                <w:color w:val="000000"/>
              </w:rPr>
            </w:pPr>
            <w:r w:rsidRPr="00995C3D">
              <w:rPr>
                <w:rFonts w:cs="Calibri"/>
                <w:color w:val="000000"/>
              </w:rPr>
              <w:t>31</w:t>
            </w:r>
          </w:p>
        </w:tc>
        <w:tc>
          <w:tcPr>
            <w:tcW w:w="1014" w:type="dxa"/>
          </w:tcPr>
          <w:p w14:paraId="71C43433" w14:textId="77777777" w:rsidR="00A7521D" w:rsidRPr="00995C3D" w:rsidRDefault="00A7521D" w:rsidP="00A7521D">
            <w:pPr>
              <w:spacing w:after="0" w:line="240" w:lineRule="auto"/>
              <w:jc w:val="center"/>
              <w:rPr>
                <w:rFonts w:cs="Calibri"/>
                <w:color w:val="000000"/>
              </w:rPr>
            </w:pPr>
            <w:r w:rsidRPr="00995C3D">
              <w:rPr>
                <w:rFonts w:cs="Calibri"/>
                <w:color w:val="000000"/>
              </w:rPr>
              <w:t>12</w:t>
            </w:r>
          </w:p>
        </w:tc>
        <w:tc>
          <w:tcPr>
            <w:tcW w:w="844" w:type="dxa"/>
          </w:tcPr>
          <w:p w14:paraId="0F137A32" w14:textId="77777777" w:rsidR="00A7521D" w:rsidRPr="00995C3D" w:rsidRDefault="00A7521D" w:rsidP="00A7521D">
            <w:pPr>
              <w:spacing w:after="0" w:line="240" w:lineRule="auto"/>
              <w:jc w:val="center"/>
              <w:rPr>
                <w:rFonts w:cs="Calibri"/>
                <w:color w:val="000000"/>
              </w:rPr>
            </w:pPr>
            <w:r w:rsidRPr="00995C3D">
              <w:rPr>
                <w:rFonts w:cs="Calibri"/>
                <w:color w:val="000000"/>
              </w:rPr>
              <w:t>17</w:t>
            </w:r>
          </w:p>
        </w:tc>
      </w:tr>
      <w:tr w:rsidR="00A7521D" w:rsidRPr="00995C3D" w14:paraId="1EEC118E" w14:textId="77777777" w:rsidTr="00A7521D">
        <w:trPr>
          <w:tblHeader/>
          <w:jc w:val="center"/>
        </w:trPr>
        <w:tc>
          <w:tcPr>
            <w:tcW w:w="2569" w:type="dxa"/>
          </w:tcPr>
          <w:p w14:paraId="314897C8" w14:textId="77777777" w:rsidR="00A7521D" w:rsidRPr="00995C3D" w:rsidRDefault="00A7521D" w:rsidP="00A7521D">
            <w:pPr>
              <w:spacing w:after="0" w:line="240" w:lineRule="auto"/>
              <w:jc w:val="center"/>
              <w:rPr>
                <w:rFonts w:cs="Calibri"/>
                <w:color w:val="000000"/>
              </w:rPr>
            </w:pPr>
            <w:proofErr w:type="spellStart"/>
            <w:r w:rsidRPr="00995C3D">
              <w:rPr>
                <w:rFonts w:cs="Calibri"/>
                <w:color w:val="000000"/>
              </w:rPr>
              <w:t>Maazi</w:t>
            </w:r>
            <w:proofErr w:type="spellEnd"/>
          </w:p>
        </w:tc>
        <w:tc>
          <w:tcPr>
            <w:tcW w:w="1115" w:type="dxa"/>
          </w:tcPr>
          <w:p w14:paraId="48F3A1CE" w14:textId="77777777" w:rsidR="00A7521D" w:rsidRPr="00995C3D" w:rsidRDefault="00A7521D" w:rsidP="00A7521D">
            <w:pPr>
              <w:spacing w:after="0" w:line="240" w:lineRule="auto"/>
              <w:jc w:val="center"/>
            </w:pPr>
            <w:r w:rsidRPr="00995C3D">
              <w:t>DE4 3AR</w:t>
            </w:r>
          </w:p>
        </w:tc>
        <w:tc>
          <w:tcPr>
            <w:tcW w:w="1065" w:type="dxa"/>
          </w:tcPr>
          <w:p w14:paraId="459346FC" w14:textId="77777777" w:rsidR="00A7521D" w:rsidRPr="00995C3D" w:rsidRDefault="00A7521D" w:rsidP="00A7521D">
            <w:pPr>
              <w:spacing w:after="0" w:line="240" w:lineRule="auto"/>
              <w:jc w:val="center"/>
              <w:rPr>
                <w:rFonts w:cs="Calibri"/>
                <w:color w:val="000000"/>
              </w:rPr>
            </w:pPr>
            <w:r w:rsidRPr="00995C3D">
              <w:rPr>
                <w:rFonts w:cs="Calibri"/>
                <w:color w:val="000000"/>
              </w:rPr>
              <w:t>7</w:t>
            </w:r>
          </w:p>
        </w:tc>
        <w:tc>
          <w:tcPr>
            <w:tcW w:w="1196" w:type="dxa"/>
          </w:tcPr>
          <w:p w14:paraId="3E1701A5" w14:textId="77777777" w:rsidR="00A7521D" w:rsidRPr="00995C3D" w:rsidRDefault="00A7521D" w:rsidP="00A7521D">
            <w:pPr>
              <w:spacing w:after="0" w:line="240" w:lineRule="auto"/>
              <w:jc w:val="center"/>
              <w:rPr>
                <w:rFonts w:cs="Calibri"/>
                <w:color w:val="000000"/>
              </w:rPr>
            </w:pPr>
            <w:r w:rsidRPr="00995C3D">
              <w:rPr>
                <w:rFonts w:cs="Calibri"/>
                <w:color w:val="000000"/>
              </w:rPr>
              <w:t>586</w:t>
            </w:r>
          </w:p>
        </w:tc>
        <w:tc>
          <w:tcPr>
            <w:tcW w:w="1798" w:type="dxa"/>
          </w:tcPr>
          <w:p w14:paraId="13A6F774" w14:textId="77777777" w:rsidR="00A7521D" w:rsidRPr="00995C3D" w:rsidRDefault="00A7521D" w:rsidP="00A7521D">
            <w:pPr>
              <w:spacing w:after="0" w:line="240" w:lineRule="auto"/>
              <w:jc w:val="center"/>
              <w:rPr>
                <w:rFonts w:cs="Calibri"/>
                <w:color w:val="000000"/>
              </w:rPr>
            </w:pPr>
            <w:r w:rsidRPr="00995C3D">
              <w:rPr>
                <w:rFonts w:cs="Calibri"/>
                <w:color w:val="000000"/>
              </w:rPr>
              <w:t>73</w:t>
            </w:r>
          </w:p>
        </w:tc>
        <w:tc>
          <w:tcPr>
            <w:tcW w:w="1014" w:type="dxa"/>
          </w:tcPr>
          <w:p w14:paraId="076FCED2" w14:textId="77777777" w:rsidR="00A7521D" w:rsidRPr="00995C3D" w:rsidRDefault="00A7521D" w:rsidP="00A7521D">
            <w:pPr>
              <w:spacing w:after="0" w:line="240" w:lineRule="auto"/>
              <w:jc w:val="center"/>
              <w:rPr>
                <w:rFonts w:cs="Calibri"/>
                <w:color w:val="000000"/>
              </w:rPr>
            </w:pPr>
            <w:r w:rsidRPr="00995C3D">
              <w:rPr>
                <w:rFonts w:cs="Calibri"/>
                <w:color w:val="000000"/>
              </w:rPr>
              <w:t>34</w:t>
            </w:r>
          </w:p>
        </w:tc>
        <w:tc>
          <w:tcPr>
            <w:tcW w:w="844" w:type="dxa"/>
          </w:tcPr>
          <w:p w14:paraId="675E122C" w14:textId="77777777" w:rsidR="00A7521D" w:rsidRPr="00995C3D" w:rsidRDefault="00A7521D" w:rsidP="00A7521D">
            <w:pPr>
              <w:spacing w:after="0" w:line="240" w:lineRule="auto"/>
              <w:jc w:val="center"/>
              <w:rPr>
                <w:rFonts w:cs="Calibri"/>
                <w:color w:val="000000"/>
              </w:rPr>
            </w:pPr>
            <w:r w:rsidRPr="00995C3D">
              <w:rPr>
                <w:rFonts w:cs="Calibri"/>
                <w:color w:val="000000"/>
              </w:rPr>
              <w:t>87</w:t>
            </w:r>
          </w:p>
        </w:tc>
      </w:tr>
      <w:tr w:rsidR="00A7521D" w:rsidRPr="00995C3D" w14:paraId="21183797" w14:textId="77777777" w:rsidTr="00A7521D">
        <w:trPr>
          <w:tblHeader/>
          <w:jc w:val="center"/>
        </w:trPr>
        <w:tc>
          <w:tcPr>
            <w:tcW w:w="2569" w:type="dxa"/>
          </w:tcPr>
          <w:p w14:paraId="616A39D1" w14:textId="77777777" w:rsidR="00A7521D" w:rsidRPr="00995C3D" w:rsidRDefault="00A7521D" w:rsidP="00A7521D">
            <w:pPr>
              <w:spacing w:after="0" w:line="240" w:lineRule="auto"/>
              <w:jc w:val="center"/>
              <w:rPr>
                <w:rFonts w:cs="Calibri"/>
                <w:color w:val="000000"/>
              </w:rPr>
            </w:pPr>
            <w:r w:rsidRPr="00995C3D">
              <w:rPr>
                <w:rFonts w:cs="Calibri"/>
                <w:color w:val="000000"/>
              </w:rPr>
              <w:t>Ford garage</w:t>
            </w:r>
          </w:p>
        </w:tc>
        <w:tc>
          <w:tcPr>
            <w:tcW w:w="1115" w:type="dxa"/>
          </w:tcPr>
          <w:p w14:paraId="433900D6" w14:textId="77777777" w:rsidR="00A7521D" w:rsidRPr="00995C3D" w:rsidRDefault="00A7521D" w:rsidP="00A7521D">
            <w:pPr>
              <w:spacing w:after="0" w:line="240" w:lineRule="auto"/>
              <w:jc w:val="center"/>
            </w:pPr>
            <w:r w:rsidRPr="00995C3D">
              <w:t>DE4 3AR</w:t>
            </w:r>
          </w:p>
        </w:tc>
        <w:tc>
          <w:tcPr>
            <w:tcW w:w="1065" w:type="dxa"/>
          </w:tcPr>
          <w:p w14:paraId="7CE1D985" w14:textId="77777777" w:rsidR="00A7521D" w:rsidRPr="00995C3D" w:rsidRDefault="00A7521D" w:rsidP="00A7521D">
            <w:pPr>
              <w:spacing w:after="0" w:line="240" w:lineRule="auto"/>
              <w:jc w:val="center"/>
              <w:rPr>
                <w:rFonts w:cs="Calibri"/>
                <w:color w:val="000000"/>
              </w:rPr>
            </w:pPr>
            <w:r w:rsidRPr="00995C3D">
              <w:rPr>
                <w:rFonts w:cs="Calibri"/>
                <w:color w:val="000000"/>
              </w:rPr>
              <w:t>27</w:t>
            </w:r>
          </w:p>
        </w:tc>
        <w:tc>
          <w:tcPr>
            <w:tcW w:w="1196" w:type="dxa"/>
          </w:tcPr>
          <w:p w14:paraId="7F62C3F7" w14:textId="77777777" w:rsidR="00A7521D" w:rsidRPr="00995C3D" w:rsidRDefault="00A7521D" w:rsidP="00A7521D">
            <w:pPr>
              <w:spacing w:after="0" w:line="240" w:lineRule="auto"/>
              <w:jc w:val="center"/>
              <w:rPr>
                <w:rFonts w:cs="Calibri"/>
                <w:color w:val="000000"/>
              </w:rPr>
            </w:pPr>
            <w:r w:rsidRPr="00995C3D">
              <w:rPr>
                <w:rFonts w:cs="Calibri"/>
                <w:color w:val="000000"/>
              </w:rPr>
              <w:t>859</w:t>
            </w:r>
          </w:p>
        </w:tc>
        <w:tc>
          <w:tcPr>
            <w:tcW w:w="1798" w:type="dxa"/>
          </w:tcPr>
          <w:p w14:paraId="0B04D64A" w14:textId="77777777" w:rsidR="00A7521D" w:rsidRPr="00995C3D" w:rsidRDefault="00A7521D" w:rsidP="00A7521D">
            <w:pPr>
              <w:spacing w:after="0" w:line="240" w:lineRule="auto"/>
              <w:jc w:val="center"/>
              <w:rPr>
                <w:rFonts w:cs="Calibri"/>
                <w:color w:val="000000"/>
              </w:rPr>
            </w:pPr>
            <w:r w:rsidRPr="00995C3D">
              <w:rPr>
                <w:rFonts w:cs="Calibri"/>
                <w:color w:val="000000"/>
              </w:rPr>
              <w:t>133</w:t>
            </w:r>
          </w:p>
        </w:tc>
        <w:tc>
          <w:tcPr>
            <w:tcW w:w="1014" w:type="dxa"/>
          </w:tcPr>
          <w:p w14:paraId="539D9C97" w14:textId="77777777" w:rsidR="00A7521D" w:rsidRPr="00995C3D" w:rsidRDefault="00A7521D" w:rsidP="00A7521D">
            <w:pPr>
              <w:spacing w:after="0" w:line="240" w:lineRule="auto"/>
              <w:jc w:val="center"/>
              <w:rPr>
                <w:rFonts w:cs="Calibri"/>
                <w:color w:val="000000"/>
              </w:rPr>
            </w:pPr>
            <w:r w:rsidRPr="00995C3D">
              <w:rPr>
                <w:rFonts w:cs="Calibri"/>
                <w:color w:val="000000"/>
              </w:rPr>
              <w:t>52</w:t>
            </w:r>
          </w:p>
        </w:tc>
        <w:tc>
          <w:tcPr>
            <w:tcW w:w="844" w:type="dxa"/>
          </w:tcPr>
          <w:p w14:paraId="608D202D" w14:textId="77777777" w:rsidR="00A7521D" w:rsidRPr="00995C3D" w:rsidRDefault="00A7521D" w:rsidP="00A7521D">
            <w:pPr>
              <w:spacing w:after="0" w:line="240" w:lineRule="auto"/>
              <w:jc w:val="center"/>
              <w:rPr>
                <w:rFonts w:cs="Calibri"/>
                <w:color w:val="000000"/>
              </w:rPr>
            </w:pPr>
            <w:r w:rsidRPr="00995C3D">
              <w:rPr>
                <w:rFonts w:cs="Calibri"/>
                <w:color w:val="000000"/>
              </w:rPr>
              <w:t>139</w:t>
            </w:r>
          </w:p>
        </w:tc>
      </w:tr>
      <w:tr w:rsidR="00A7521D" w:rsidRPr="00995C3D" w14:paraId="43776C3B" w14:textId="77777777" w:rsidTr="00A7521D">
        <w:trPr>
          <w:tblHeader/>
          <w:jc w:val="center"/>
        </w:trPr>
        <w:tc>
          <w:tcPr>
            <w:tcW w:w="2569" w:type="dxa"/>
          </w:tcPr>
          <w:p w14:paraId="39195C25" w14:textId="77777777" w:rsidR="00A7521D" w:rsidRPr="00995C3D" w:rsidRDefault="00A7521D" w:rsidP="00A7521D">
            <w:pPr>
              <w:spacing w:after="0" w:line="240" w:lineRule="auto"/>
              <w:jc w:val="center"/>
              <w:rPr>
                <w:rFonts w:cs="Calibri"/>
                <w:color w:val="000000"/>
              </w:rPr>
            </w:pPr>
            <w:r w:rsidRPr="00995C3D">
              <w:rPr>
                <w:rFonts w:cs="Calibri"/>
                <w:color w:val="000000"/>
              </w:rPr>
              <w:t>Red Lion</w:t>
            </w:r>
          </w:p>
        </w:tc>
        <w:tc>
          <w:tcPr>
            <w:tcW w:w="1115" w:type="dxa"/>
          </w:tcPr>
          <w:p w14:paraId="1CF0CB70" w14:textId="77777777" w:rsidR="00A7521D" w:rsidRPr="00995C3D" w:rsidRDefault="00A7521D" w:rsidP="00A7521D">
            <w:pPr>
              <w:spacing w:after="0" w:line="240" w:lineRule="auto"/>
              <w:jc w:val="center"/>
            </w:pPr>
            <w:r w:rsidRPr="00995C3D">
              <w:t>DE4 3BT</w:t>
            </w:r>
          </w:p>
        </w:tc>
        <w:tc>
          <w:tcPr>
            <w:tcW w:w="1065" w:type="dxa"/>
          </w:tcPr>
          <w:p w14:paraId="5CB952EA" w14:textId="77777777" w:rsidR="00A7521D" w:rsidRPr="00995C3D" w:rsidRDefault="00A7521D" w:rsidP="00A7521D">
            <w:pPr>
              <w:spacing w:after="0" w:line="240" w:lineRule="auto"/>
              <w:jc w:val="center"/>
              <w:rPr>
                <w:rFonts w:cs="Calibri"/>
                <w:color w:val="000000"/>
              </w:rPr>
            </w:pPr>
            <w:r w:rsidRPr="00995C3D">
              <w:rPr>
                <w:rFonts w:cs="Calibri"/>
                <w:color w:val="000000"/>
              </w:rPr>
              <w:t>8</w:t>
            </w:r>
          </w:p>
        </w:tc>
        <w:tc>
          <w:tcPr>
            <w:tcW w:w="1196" w:type="dxa"/>
          </w:tcPr>
          <w:p w14:paraId="4CAEC2EF" w14:textId="77777777" w:rsidR="00A7521D" w:rsidRPr="00995C3D" w:rsidRDefault="00A7521D" w:rsidP="00A7521D">
            <w:pPr>
              <w:spacing w:after="0" w:line="240" w:lineRule="auto"/>
              <w:jc w:val="center"/>
              <w:rPr>
                <w:rFonts w:cs="Calibri"/>
                <w:color w:val="000000"/>
              </w:rPr>
            </w:pPr>
            <w:r w:rsidRPr="00995C3D">
              <w:rPr>
                <w:rFonts w:cs="Calibri"/>
                <w:color w:val="000000"/>
              </w:rPr>
              <w:t>297</w:t>
            </w:r>
          </w:p>
        </w:tc>
        <w:tc>
          <w:tcPr>
            <w:tcW w:w="1798" w:type="dxa"/>
          </w:tcPr>
          <w:p w14:paraId="67792230" w14:textId="77777777" w:rsidR="00A7521D" w:rsidRPr="00995C3D" w:rsidRDefault="00A7521D" w:rsidP="00A7521D">
            <w:pPr>
              <w:spacing w:after="0" w:line="240" w:lineRule="auto"/>
              <w:jc w:val="center"/>
              <w:rPr>
                <w:rFonts w:cs="Calibri"/>
                <w:color w:val="000000"/>
              </w:rPr>
            </w:pPr>
            <w:r w:rsidRPr="00995C3D">
              <w:rPr>
                <w:rFonts w:cs="Calibri"/>
                <w:color w:val="000000"/>
              </w:rPr>
              <w:t>35</w:t>
            </w:r>
          </w:p>
        </w:tc>
        <w:tc>
          <w:tcPr>
            <w:tcW w:w="1014" w:type="dxa"/>
          </w:tcPr>
          <w:p w14:paraId="2D2183B3" w14:textId="77777777" w:rsidR="00A7521D" w:rsidRPr="00995C3D" w:rsidRDefault="00A7521D" w:rsidP="00A7521D">
            <w:pPr>
              <w:spacing w:after="0" w:line="240" w:lineRule="auto"/>
              <w:jc w:val="center"/>
              <w:rPr>
                <w:rFonts w:cs="Calibri"/>
                <w:color w:val="000000"/>
              </w:rPr>
            </w:pPr>
            <w:r w:rsidRPr="00995C3D">
              <w:rPr>
                <w:rFonts w:cs="Calibri"/>
                <w:color w:val="000000"/>
              </w:rPr>
              <w:t>14</w:t>
            </w:r>
          </w:p>
        </w:tc>
        <w:tc>
          <w:tcPr>
            <w:tcW w:w="844" w:type="dxa"/>
          </w:tcPr>
          <w:p w14:paraId="79C631F5" w14:textId="77777777" w:rsidR="00A7521D" w:rsidRPr="00995C3D" w:rsidRDefault="00A7521D" w:rsidP="00A7521D">
            <w:pPr>
              <w:spacing w:after="0" w:line="240" w:lineRule="auto"/>
              <w:jc w:val="center"/>
              <w:rPr>
                <w:rFonts w:cs="Calibri"/>
                <w:color w:val="000000"/>
              </w:rPr>
            </w:pPr>
            <w:r w:rsidRPr="00995C3D">
              <w:rPr>
                <w:rFonts w:cs="Calibri"/>
                <w:color w:val="000000"/>
              </w:rPr>
              <w:t>20</w:t>
            </w:r>
          </w:p>
        </w:tc>
      </w:tr>
      <w:tr w:rsidR="00A7521D" w:rsidRPr="00995C3D" w14:paraId="6C24CF1D" w14:textId="77777777" w:rsidTr="00A7521D">
        <w:trPr>
          <w:tblHeader/>
          <w:jc w:val="center"/>
        </w:trPr>
        <w:tc>
          <w:tcPr>
            <w:tcW w:w="2569" w:type="dxa"/>
          </w:tcPr>
          <w:p w14:paraId="577FE062" w14:textId="77777777" w:rsidR="00A7521D" w:rsidRPr="00995C3D" w:rsidRDefault="00A7521D" w:rsidP="00A7521D">
            <w:pPr>
              <w:spacing w:after="0" w:line="240" w:lineRule="auto"/>
              <w:jc w:val="center"/>
              <w:rPr>
                <w:rFonts w:cs="Calibri"/>
                <w:color w:val="000000"/>
              </w:rPr>
            </w:pPr>
            <w:r>
              <w:t>Derbyshire Dales District Council office</w:t>
            </w:r>
          </w:p>
        </w:tc>
        <w:tc>
          <w:tcPr>
            <w:tcW w:w="1115" w:type="dxa"/>
          </w:tcPr>
          <w:p w14:paraId="5FCFFE58" w14:textId="77777777" w:rsidR="00A7521D" w:rsidRPr="00995C3D" w:rsidRDefault="00A7521D" w:rsidP="00A7521D">
            <w:pPr>
              <w:spacing w:after="0" w:line="240" w:lineRule="auto"/>
              <w:jc w:val="center"/>
            </w:pPr>
            <w:r w:rsidRPr="00995C3D">
              <w:t>DE4 3NN</w:t>
            </w:r>
          </w:p>
        </w:tc>
        <w:tc>
          <w:tcPr>
            <w:tcW w:w="1065" w:type="dxa"/>
          </w:tcPr>
          <w:p w14:paraId="495D61A4" w14:textId="77777777" w:rsidR="00A7521D" w:rsidRPr="00995C3D" w:rsidRDefault="00A7521D" w:rsidP="00A7521D">
            <w:pPr>
              <w:spacing w:after="0" w:line="240" w:lineRule="auto"/>
              <w:jc w:val="center"/>
              <w:rPr>
                <w:rFonts w:cs="Calibri"/>
                <w:color w:val="000000"/>
              </w:rPr>
            </w:pPr>
            <w:r w:rsidRPr="00995C3D">
              <w:rPr>
                <w:rFonts w:cs="Calibri"/>
                <w:color w:val="000000"/>
              </w:rPr>
              <w:t>1</w:t>
            </w:r>
          </w:p>
        </w:tc>
        <w:tc>
          <w:tcPr>
            <w:tcW w:w="1196" w:type="dxa"/>
          </w:tcPr>
          <w:p w14:paraId="1E77AB18" w14:textId="77777777" w:rsidR="00A7521D" w:rsidRPr="00995C3D" w:rsidRDefault="00A7521D" w:rsidP="00A7521D">
            <w:pPr>
              <w:spacing w:after="0" w:line="240" w:lineRule="auto"/>
              <w:jc w:val="center"/>
              <w:rPr>
                <w:rFonts w:cs="Calibri"/>
                <w:color w:val="000000"/>
              </w:rPr>
            </w:pPr>
            <w:r w:rsidRPr="00995C3D">
              <w:rPr>
                <w:rFonts w:cs="Calibri"/>
                <w:color w:val="000000"/>
              </w:rPr>
              <w:t>4</w:t>
            </w:r>
            <w:r>
              <w:rPr>
                <w:rFonts w:cs="Calibri"/>
                <w:color w:val="000000"/>
              </w:rPr>
              <w:t>,</w:t>
            </w:r>
            <w:r w:rsidRPr="00995C3D">
              <w:rPr>
                <w:rFonts w:cs="Calibri"/>
                <w:color w:val="000000"/>
              </w:rPr>
              <w:t>449</w:t>
            </w:r>
          </w:p>
        </w:tc>
        <w:tc>
          <w:tcPr>
            <w:tcW w:w="1798" w:type="dxa"/>
          </w:tcPr>
          <w:p w14:paraId="6FEB7B60" w14:textId="77777777" w:rsidR="00A7521D" w:rsidRPr="00995C3D" w:rsidRDefault="00A7521D" w:rsidP="00A7521D">
            <w:pPr>
              <w:spacing w:after="0" w:line="240" w:lineRule="auto"/>
              <w:jc w:val="center"/>
              <w:rPr>
                <w:rFonts w:cs="Calibri"/>
                <w:color w:val="000000"/>
              </w:rPr>
            </w:pPr>
            <w:r w:rsidRPr="00995C3D">
              <w:rPr>
                <w:rFonts w:cs="Calibri"/>
                <w:color w:val="000000"/>
              </w:rPr>
              <w:t>482</w:t>
            </w:r>
          </w:p>
        </w:tc>
        <w:tc>
          <w:tcPr>
            <w:tcW w:w="1014" w:type="dxa"/>
          </w:tcPr>
          <w:p w14:paraId="37E912E7" w14:textId="77777777" w:rsidR="00A7521D" w:rsidRPr="00995C3D" w:rsidRDefault="00A7521D" w:rsidP="00A7521D">
            <w:pPr>
              <w:spacing w:after="0" w:line="240" w:lineRule="auto"/>
              <w:jc w:val="center"/>
              <w:rPr>
                <w:rFonts w:cs="Calibri"/>
                <w:color w:val="000000"/>
              </w:rPr>
            </w:pPr>
            <w:r w:rsidRPr="00995C3D">
              <w:rPr>
                <w:rFonts w:cs="Calibri"/>
                <w:color w:val="000000"/>
              </w:rPr>
              <w:t>189</w:t>
            </w:r>
          </w:p>
        </w:tc>
        <w:tc>
          <w:tcPr>
            <w:tcW w:w="844" w:type="dxa"/>
          </w:tcPr>
          <w:p w14:paraId="0386F9AB" w14:textId="77777777" w:rsidR="00A7521D" w:rsidRPr="00995C3D" w:rsidRDefault="00A7521D" w:rsidP="00A7521D">
            <w:pPr>
              <w:spacing w:after="0" w:line="240" w:lineRule="auto"/>
              <w:jc w:val="center"/>
              <w:rPr>
                <w:rFonts w:cs="Calibri"/>
                <w:color w:val="000000"/>
              </w:rPr>
            </w:pPr>
            <w:r w:rsidRPr="00995C3D">
              <w:rPr>
                <w:rFonts w:cs="Calibri"/>
                <w:color w:val="000000"/>
              </w:rPr>
              <w:t>843</w:t>
            </w:r>
          </w:p>
        </w:tc>
      </w:tr>
      <w:tr w:rsidR="00A7521D" w:rsidRPr="00995C3D" w14:paraId="0145DD37" w14:textId="77777777" w:rsidTr="00A7521D">
        <w:trPr>
          <w:tblHeader/>
          <w:jc w:val="center"/>
        </w:trPr>
        <w:tc>
          <w:tcPr>
            <w:tcW w:w="2569" w:type="dxa"/>
          </w:tcPr>
          <w:p w14:paraId="5B2A7C00" w14:textId="77777777" w:rsidR="00A7521D" w:rsidRPr="00995C3D" w:rsidRDefault="00A7521D" w:rsidP="00A7521D">
            <w:pPr>
              <w:spacing w:after="0" w:line="240" w:lineRule="auto"/>
              <w:jc w:val="center"/>
              <w:rPr>
                <w:rFonts w:cs="Calibri"/>
                <w:color w:val="000000"/>
              </w:rPr>
            </w:pPr>
            <w:r w:rsidRPr="00995C3D">
              <w:rPr>
                <w:rFonts w:cs="Calibri"/>
                <w:color w:val="000000"/>
              </w:rPr>
              <w:t>Derbyshire record office</w:t>
            </w:r>
          </w:p>
        </w:tc>
        <w:tc>
          <w:tcPr>
            <w:tcW w:w="1115" w:type="dxa"/>
          </w:tcPr>
          <w:p w14:paraId="07E3FE92" w14:textId="77777777" w:rsidR="00A7521D" w:rsidRPr="00995C3D" w:rsidRDefault="00A7521D" w:rsidP="00A7521D">
            <w:pPr>
              <w:spacing w:after="0" w:line="240" w:lineRule="auto"/>
              <w:jc w:val="center"/>
            </w:pPr>
            <w:r w:rsidRPr="00995C3D">
              <w:t>DE4 3FE</w:t>
            </w:r>
          </w:p>
        </w:tc>
        <w:tc>
          <w:tcPr>
            <w:tcW w:w="1065" w:type="dxa"/>
          </w:tcPr>
          <w:p w14:paraId="50A9D019" w14:textId="77777777" w:rsidR="00A7521D" w:rsidRPr="00995C3D" w:rsidRDefault="00A7521D" w:rsidP="00A7521D">
            <w:pPr>
              <w:spacing w:after="0" w:line="240" w:lineRule="auto"/>
              <w:jc w:val="center"/>
              <w:rPr>
                <w:rFonts w:cs="Calibri"/>
                <w:color w:val="000000"/>
              </w:rPr>
            </w:pPr>
            <w:r w:rsidRPr="00995C3D">
              <w:rPr>
                <w:rFonts w:cs="Calibri"/>
                <w:color w:val="000000"/>
              </w:rPr>
              <w:t>1</w:t>
            </w:r>
          </w:p>
        </w:tc>
        <w:tc>
          <w:tcPr>
            <w:tcW w:w="1196" w:type="dxa"/>
          </w:tcPr>
          <w:p w14:paraId="1DA13D9B" w14:textId="77777777" w:rsidR="00A7521D" w:rsidRPr="00995C3D" w:rsidRDefault="00A7521D" w:rsidP="00A7521D">
            <w:pPr>
              <w:spacing w:after="0" w:line="240" w:lineRule="auto"/>
              <w:jc w:val="center"/>
              <w:rPr>
                <w:rFonts w:cs="Calibri"/>
                <w:color w:val="000000"/>
              </w:rPr>
            </w:pPr>
            <w:r w:rsidRPr="00995C3D">
              <w:rPr>
                <w:rFonts w:cs="Calibri"/>
                <w:color w:val="000000"/>
              </w:rPr>
              <w:t>1</w:t>
            </w:r>
            <w:r>
              <w:rPr>
                <w:rFonts w:cs="Calibri"/>
                <w:color w:val="000000"/>
              </w:rPr>
              <w:t>,</w:t>
            </w:r>
            <w:r w:rsidRPr="00995C3D">
              <w:rPr>
                <w:rFonts w:cs="Calibri"/>
                <w:color w:val="000000"/>
              </w:rPr>
              <w:t>001</w:t>
            </w:r>
          </w:p>
        </w:tc>
        <w:tc>
          <w:tcPr>
            <w:tcW w:w="1798" w:type="dxa"/>
          </w:tcPr>
          <w:p w14:paraId="4DC513B6" w14:textId="77777777" w:rsidR="00A7521D" w:rsidRPr="00995C3D" w:rsidRDefault="00A7521D" w:rsidP="00A7521D">
            <w:pPr>
              <w:spacing w:after="0" w:line="240" w:lineRule="auto"/>
              <w:jc w:val="center"/>
              <w:rPr>
                <w:rFonts w:cs="Calibri"/>
                <w:color w:val="000000"/>
              </w:rPr>
            </w:pPr>
            <w:r w:rsidRPr="00995C3D">
              <w:rPr>
                <w:rFonts w:cs="Calibri"/>
                <w:color w:val="000000"/>
              </w:rPr>
              <w:t>108</w:t>
            </w:r>
          </w:p>
        </w:tc>
        <w:tc>
          <w:tcPr>
            <w:tcW w:w="1014" w:type="dxa"/>
          </w:tcPr>
          <w:p w14:paraId="1C9213FF" w14:textId="77777777" w:rsidR="00A7521D" w:rsidRPr="00995C3D" w:rsidRDefault="00A7521D" w:rsidP="00A7521D">
            <w:pPr>
              <w:spacing w:after="0" w:line="240" w:lineRule="auto"/>
              <w:jc w:val="center"/>
              <w:rPr>
                <w:rFonts w:cs="Calibri"/>
                <w:color w:val="000000"/>
              </w:rPr>
            </w:pPr>
            <w:r w:rsidRPr="00995C3D">
              <w:rPr>
                <w:rFonts w:cs="Calibri"/>
                <w:color w:val="000000"/>
              </w:rPr>
              <w:t>42</w:t>
            </w:r>
          </w:p>
        </w:tc>
        <w:tc>
          <w:tcPr>
            <w:tcW w:w="844" w:type="dxa"/>
          </w:tcPr>
          <w:p w14:paraId="2B15E02D" w14:textId="77777777" w:rsidR="00A7521D" w:rsidRPr="00995C3D" w:rsidRDefault="00A7521D" w:rsidP="00A7521D">
            <w:pPr>
              <w:spacing w:after="0" w:line="240" w:lineRule="auto"/>
              <w:jc w:val="center"/>
              <w:rPr>
                <w:rFonts w:cs="Calibri"/>
                <w:color w:val="000000"/>
              </w:rPr>
            </w:pPr>
            <w:r w:rsidRPr="00995C3D">
              <w:rPr>
                <w:rFonts w:cs="Calibri"/>
                <w:color w:val="000000"/>
              </w:rPr>
              <w:t>190</w:t>
            </w:r>
          </w:p>
        </w:tc>
      </w:tr>
      <w:tr w:rsidR="00A7521D" w:rsidRPr="00995C3D" w14:paraId="706BB5E4" w14:textId="77777777" w:rsidTr="00A7521D">
        <w:trPr>
          <w:tblHeader/>
          <w:jc w:val="center"/>
        </w:trPr>
        <w:tc>
          <w:tcPr>
            <w:tcW w:w="2569" w:type="dxa"/>
          </w:tcPr>
          <w:p w14:paraId="704449AA" w14:textId="77777777" w:rsidR="00A7521D" w:rsidRPr="00995C3D" w:rsidRDefault="00A7521D" w:rsidP="00A7521D">
            <w:pPr>
              <w:spacing w:after="0" w:line="240" w:lineRule="auto"/>
              <w:jc w:val="center"/>
              <w:rPr>
                <w:rFonts w:cs="Calibri"/>
                <w:color w:val="000000"/>
              </w:rPr>
            </w:pPr>
            <w:r w:rsidRPr="00995C3D">
              <w:rPr>
                <w:rFonts w:cs="Calibri"/>
                <w:color w:val="000000"/>
              </w:rPr>
              <w:t>Chatsworth Hall</w:t>
            </w:r>
          </w:p>
        </w:tc>
        <w:tc>
          <w:tcPr>
            <w:tcW w:w="1115" w:type="dxa"/>
          </w:tcPr>
          <w:p w14:paraId="06CAF1ED" w14:textId="77777777" w:rsidR="00A7521D" w:rsidRPr="00995C3D" w:rsidRDefault="00A7521D" w:rsidP="00A7521D">
            <w:pPr>
              <w:spacing w:after="0" w:line="240" w:lineRule="auto"/>
              <w:jc w:val="center"/>
            </w:pPr>
            <w:r w:rsidRPr="00995C3D">
              <w:t>DE4 3FW</w:t>
            </w:r>
          </w:p>
        </w:tc>
        <w:tc>
          <w:tcPr>
            <w:tcW w:w="1065" w:type="dxa"/>
          </w:tcPr>
          <w:p w14:paraId="32AFD728" w14:textId="77777777" w:rsidR="00A7521D" w:rsidRPr="00995C3D" w:rsidRDefault="00A7521D" w:rsidP="00A7521D">
            <w:pPr>
              <w:spacing w:after="0" w:line="240" w:lineRule="auto"/>
              <w:jc w:val="center"/>
              <w:rPr>
                <w:rFonts w:cs="Calibri"/>
                <w:color w:val="000000"/>
              </w:rPr>
            </w:pPr>
            <w:r w:rsidRPr="00995C3D">
              <w:rPr>
                <w:rFonts w:cs="Calibri"/>
                <w:color w:val="000000"/>
              </w:rPr>
              <w:t>1</w:t>
            </w:r>
          </w:p>
        </w:tc>
        <w:tc>
          <w:tcPr>
            <w:tcW w:w="1196" w:type="dxa"/>
          </w:tcPr>
          <w:p w14:paraId="1EDDED01" w14:textId="77777777" w:rsidR="00A7521D" w:rsidRPr="00995C3D" w:rsidRDefault="00A7521D" w:rsidP="00A7521D">
            <w:pPr>
              <w:spacing w:after="0" w:line="240" w:lineRule="auto"/>
              <w:jc w:val="center"/>
              <w:rPr>
                <w:rFonts w:cs="Calibri"/>
                <w:color w:val="000000"/>
              </w:rPr>
            </w:pPr>
            <w:r w:rsidRPr="00995C3D">
              <w:rPr>
                <w:rFonts w:cs="Calibri"/>
                <w:color w:val="000000"/>
              </w:rPr>
              <w:t>10</w:t>
            </w:r>
            <w:r>
              <w:rPr>
                <w:rFonts w:cs="Calibri"/>
                <w:color w:val="000000"/>
              </w:rPr>
              <w:t>,</w:t>
            </w:r>
            <w:r w:rsidRPr="00995C3D">
              <w:rPr>
                <w:rFonts w:cs="Calibri"/>
                <w:color w:val="000000"/>
              </w:rPr>
              <w:t>025</w:t>
            </w:r>
          </w:p>
        </w:tc>
        <w:tc>
          <w:tcPr>
            <w:tcW w:w="1798" w:type="dxa"/>
          </w:tcPr>
          <w:p w14:paraId="42DA002D" w14:textId="77777777" w:rsidR="00A7521D" w:rsidRPr="00995C3D" w:rsidRDefault="00A7521D" w:rsidP="00A7521D">
            <w:pPr>
              <w:spacing w:after="0" w:line="240" w:lineRule="auto"/>
              <w:jc w:val="center"/>
              <w:rPr>
                <w:rFonts w:cs="Calibri"/>
                <w:color w:val="000000"/>
              </w:rPr>
            </w:pPr>
            <w:r w:rsidRPr="00995C3D">
              <w:rPr>
                <w:rFonts w:cs="Calibri"/>
                <w:color w:val="000000"/>
              </w:rPr>
              <w:t>1085</w:t>
            </w:r>
          </w:p>
        </w:tc>
        <w:tc>
          <w:tcPr>
            <w:tcW w:w="1014" w:type="dxa"/>
          </w:tcPr>
          <w:p w14:paraId="40459CC2" w14:textId="77777777" w:rsidR="00A7521D" w:rsidRPr="00995C3D" w:rsidRDefault="00A7521D" w:rsidP="00A7521D">
            <w:pPr>
              <w:spacing w:after="0" w:line="240" w:lineRule="auto"/>
              <w:jc w:val="center"/>
              <w:rPr>
                <w:rFonts w:cs="Calibri"/>
                <w:color w:val="000000"/>
              </w:rPr>
            </w:pPr>
            <w:r w:rsidRPr="00995C3D">
              <w:rPr>
                <w:rFonts w:cs="Calibri"/>
                <w:color w:val="000000"/>
              </w:rPr>
              <w:t>426</w:t>
            </w:r>
          </w:p>
        </w:tc>
        <w:tc>
          <w:tcPr>
            <w:tcW w:w="844" w:type="dxa"/>
          </w:tcPr>
          <w:p w14:paraId="499B9338" w14:textId="77777777" w:rsidR="00A7521D" w:rsidRPr="00995C3D" w:rsidRDefault="00A7521D" w:rsidP="00A7521D">
            <w:pPr>
              <w:spacing w:after="0" w:line="240" w:lineRule="auto"/>
              <w:jc w:val="center"/>
              <w:rPr>
                <w:rFonts w:cs="Calibri"/>
                <w:color w:val="000000"/>
              </w:rPr>
            </w:pPr>
            <w:r w:rsidRPr="00995C3D">
              <w:rPr>
                <w:rFonts w:cs="Calibri"/>
                <w:color w:val="000000"/>
              </w:rPr>
              <w:t>1900</w:t>
            </w:r>
          </w:p>
        </w:tc>
      </w:tr>
      <w:tr w:rsidR="00A7521D" w:rsidRPr="00995C3D" w14:paraId="0FDB7EF6" w14:textId="77777777" w:rsidTr="00A7521D">
        <w:trPr>
          <w:tblHeader/>
          <w:jc w:val="center"/>
        </w:trPr>
        <w:tc>
          <w:tcPr>
            <w:tcW w:w="2569" w:type="dxa"/>
          </w:tcPr>
          <w:p w14:paraId="6F2DD0E7" w14:textId="77777777" w:rsidR="00A7521D" w:rsidRPr="00995C3D" w:rsidRDefault="00A7521D" w:rsidP="00A7521D">
            <w:pPr>
              <w:spacing w:after="0" w:line="240" w:lineRule="auto"/>
              <w:jc w:val="center"/>
              <w:rPr>
                <w:rFonts w:cs="Calibri"/>
                <w:color w:val="000000"/>
              </w:rPr>
            </w:pPr>
            <w:r w:rsidRPr="00995C3D">
              <w:rPr>
                <w:rFonts w:cs="Calibri"/>
                <w:color w:val="000000"/>
              </w:rPr>
              <w:t>Lime tree business park</w:t>
            </w:r>
          </w:p>
        </w:tc>
        <w:tc>
          <w:tcPr>
            <w:tcW w:w="1115" w:type="dxa"/>
          </w:tcPr>
          <w:p w14:paraId="4BB42F78" w14:textId="77777777" w:rsidR="00A7521D" w:rsidRPr="00995C3D" w:rsidRDefault="00A7521D" w:rsidP="00A7521D">
            <w:pPr>
              <w:spacing w:after="0" w:line="240" w:lineRule="auto"/>
              <w:jc w:val="center"/>
            </w:pPr>
            <w:r w:rsidRPr="00995C3D">
              <w:t>DE4 3EJ</w:t>
            </w:r>
          </w:p>
        </w:tc>
        <w:tc>
          <w:tcPr>
            <w:tcW w:w="1065" w:type="dxa"/>
          </w:tcPr>
          <w:p w14:paraId="5A8DEAAE" w14:textId="77777777" w:rsidR="00A7521D" w:rsidRPr="00995C3D" w:rsidRDefault="00A7521D" w:rsidP="00A7521D">
            <w:pPr>
              <w:spacing w:after="0" w:line="240" w:lineRule="auto"/>
              <w:jc w:val="center"/>
              <w:rPr>
                <w:rFonts w:cs="Calibri"/>
                <w:color w:val="000000"/>
              </w:rPr>
            </w:pPr>
            <w:r w:rsidRPr="00995C3D">
              <w:rPr>
                <w:rFonts w:cs="Calibri"/>
                <w:color w:val="000000"/>
              </w:rPr>
              <w:t>27</w:t>
            </w:r>
          </w:p>
        </w:tc>
        <w:tc>
          <w:tcPr>
            <w:tcW w:w="1196" w:type="dxa"/>
          </w:tcPr>
          <w:p w14:paraId="1170F81F" w14:textId="77777777" w:rsidR="00A7521D" w:rsidRPr="00995C3D" w:rsidRDefault="00A7521D" w:rsidP="00A7521D">
            <w:pPr>
              <w:spacing w:after="0" w:line="240" w:lineRule="auto"/>
              <w:jc w:val="center"/>
              <w:rPr>
                <w:rFonts w:cs="Calibri"/>
                <w:color w:val="000000"/>
              </w:rPr>
            </w:pPr>
            <w:r w:rsidRPr="00995C3D">
              <w:rPr>
                <w:rFonts w:cs="Calibri"/>
                <w:color w:val="000000"/>
              </w:rPr>
              <w:t>3</w:t>
            </w:r>
            <w:r>
              <w:rPr>
                <w:rFonts w:cs="Calibri"/>
                <w:color w:val="000000"/>
              </w:rPr>
              <w:t>,</w:t>
            </w:r>
            <w:r w:rsidRPr="00995C3D">
              <w:rPr>
                <w:rFonts w:cs="Calibri"/>
                <w:color w:val="000000"/>
              </w:rPr>
              <w:t>026</w:t>
            </w:r>
          </w:p>
        </w:tc>
        <w:tc>
          <w:tcPr>
            <w:tcW w:w="1798" w:type="dxa"/>
          </w:tcPr>
          <w:p w14:paraId="35EB67BF" w14:textId="77777777" w:rsidR="00A7521D" w:rsidRPr="00995C3D" w:rsidRDefault="00A7521D" w:rsidP="00A7521D">
            <w:pPr>
              <w:spacing w:after="0" w:line="240" w:lineRule="auto"/>
              <w:jc w:val="center"/>
              <w:rPr>
                <w:rFonts w:cs="Calibri"/>
                <w:color w:val="000000"/>
              </w:rPr>
            </w:pPr>
            <w:r w:rsidRPr="00995C3D">
              <w:rPr>
                <w:rFonts w:cs="Calibri"/>
                <w:color w:val="000000"/>
              </w:rPr>
              <w:t>468</w:t>
            </w:r>
          </w:p>
        </w:tc>
        <w:tc>
          <w:tcPr>
            <w:tcW w:w="1014" w:type="dxa"/>
          </w:tcPr>
          <w:p w14:paraId="22F7E3DA" w14:textId="77777777" w:rsidR="00A7521D" w:rsidRPr="00995C3D" w:rsidRDefault="00A7521D" w:rsidP="00A7521D">
            <w:pPr>
              <w:spacing w:after="0" w:line="240" w:lineRule="auto"/>
              <w:jc w:val="center"/>
              <w:rPr>
                <w:rFonts w:cs="Calibri"/>
                <w:color w:val="000000"/>
              </w:rPr>
            </w:pPr>
            <w:r w:rsidRPr="00995C3D">
              <w:rPr>
                <w:rFonts w:cs="Calibri"/>
                <w:color w:val="000000"/>
              </w:rPr>
              <w:t>184</w:t>
            </w:r>
          </w:p>
        </w:tc>
        <w:tc>
          <w:tcPr>
            <w:tcW w:w="844" w:type="dxa"/>
          </w:tcPr>
          <w:p w14:paraId="1AECF764" w14:textId="77777777" w:rsidR="00A7521D" w:rsidRPr="00995C3D" w:rsidRDefault="00A7521D" w:rsidP="00A7521D">
            <w:pPr>
              <w:spacing w:after="0" w:line="240" w:lineRule="auto"/>
              <w:jc w:val="center"/>
              <w:rPr>
                <w:rFonts w:cs="Calibri"/>
                <w:color w:val="000000"/>
              </w:rPr>
            </w:pPr>
            <w:r w:rsidRPr="00995C3D">
              <w:rPr>
                <w:rFonts w:cs="Calibri"/>
                <w:color w:val="000000"/>
              </w:rPr>
              <w:t>488</w:t>
            </w:r>
          </w:p>
        </w:tc>
      </w:tr>
      <w:tr w:rsidR="00A7521D" w:rsidRPr="00995C3D" w14:paraId="472EBD7C" w14:textId="77777777" w:rsidTr="00A7521D">
        <w:trPr>
          <w:tblHeader/>
          <w:jc w:val="center"/>
        </w:trPr>
        <w:tc>
          <w:tcPr>
            <w:tcW w:w="2569" w:type="dxa"/>
          </w:tcPr>
          <w:p w14:paraId="72A26FB7" w14:textId="77777777" w:rsidR="00A7521D" w:rsidRPr="00995C3D" w:rsidRDefault="00A7521D" w:rsidP="00A7521D">
            <w:pPr>
              <w:spacing w:after="0" w:line="240" w:lineRule="auto"/>
              <w:jc w:val="center"/>
              <w:rPr>
                <w:rFonts w:cs="Calibri"/>
                <w:color w:val="000000"/>
              </w:rPr>
            </w:pPr>
            <w:r w:rsidRPr="00995C3D">
              <w:rPr>
                <w:rFonts w:cs="Calibri"/>
                <w:color w:val="000000"/>
              </w:rPr>
              <w:t>Matlock fire station</w:t>
            </w:r>
          </w:p>
        </w:tc>
        <w:tc>
          <w:tcPr>
            <w:tcW w:w="1115" w:type="dxa"/>
          </w:tcPr>
          <w:p w14:paraId="5CA4C334" w14:textId="77777777" w:rsidR="00A7521D" w:rsidRPr="00995C3D" w:rsidRDefault="00A7521D" w:rsidP="00A7521D">
            <w:pPr>
              <w:spacing w:after="0" w:line="240" w:lineRule="auto"/>
              <w:jc w:val="center"/>
            </w:pPr>
            <w:r w:rsidRPr="00995C3D">
              <w:t>DE4 3DQ</w:t>
            </w:r>
          </w:p>
        </w:tc>
        <w:tc>
          <w:tcPr>
            <w:tcW w:w="1065" w:type="dxa"/>
          </w:tcPr>
          <w:p w14:paraId="37E18852" w14:textId="77777777" w:rsidR="00A7521D" w:rsidRPr="00995C3D" w:rsidRDefault="00A7521D" w:rsidP="00A7521D">
            <w:pPr>
              <w:spacing w:after="0" w:line="240" w:lineRule="auto"/>
              <w:jc w:val="center"/>
              <w:rPr>
                <w:rFonts w:cs="Calibri"/>
                <w:color w:val="000000"/>
              </w:rPr>
            </w:pPr>
            <w:r w:rsidRPr="00995C3D">
              <w:rPr>
                <w:rFonts w:cs="Calibri"/>
                <w:color w:val="000000"/>
              </w:rPr>
              <w:t>23</w:t>
            </w:r>
          </w:p>
        </w:tc>
        <w:tc>
          <w:tcPr>
            <w:tcW w:w="1196" w:type="dxa"/>
          </w:tcPr>
          <w:p w14:paraId="623770E0" w14:textId="77777777" w:rsidR="00A7521D" w:rsidRPr="00995C3D" w:rsidRDefault="00A7521D" w:rsidP="00A7521D">
            <w:pPr>
              <w:spacing w:after="0" w:line="240" w:lineRule="auto"/>
              <w:jc w:val="center"/>
              <w:rPr>
                <w:rFonts w:cs="Calibri"/>
                <w:color w:val="000000"/>
              </w:rPr>
            </w:pPr>
            <w:r w:rsidRPr="00995C3D">
              <w:rPr>
                <w:rFonts w:cs="Calibri"/>
                <w:color w:val="000000"/>
              </w:rPr>
              <w:t>594</w:t>
            </w:r>
          </w:p>
        </w:tc>
        <w:tc>
          <w:tcPr>
            <w:tcW w:w="1798" w:type="dxa"/>
          </w:tcPr>
          <w:p w14:paraId="03F23F55" w14:textId="77777777" w:rsidR="00A7521D" w:rsidRPr="00995C3D" w:rsidRDefault="00A7521D" w:rsidP="00A7521D">
            <w:pPr>
              <w:spacing w:after="0" w:line="240" w:lineRule="auto"/>
              <w:jc w:val="center"/>
              <w:rPr>
                <w:rFonts w:cs="Calibri"/>
                <w:color w:val="000000"/>
              </w:rPr>
            </w:pPr>
            <w:r w:rsidRPr="00995C3D">
              <w:rPr>
                <w:rFonts w:cs="Calibri"/>
                <w:color w:val="000000"/>
              </w:rPr>
              <w:t>216</w:t>
            </w:r>
          </w:p>
        </w:tc>
        <w:tc>
          <w:tcPr>
            <w:tcW w:w="1014" w:type="dxa"/>
          </w:tcPr>
          <w:p w14:paraId="7F746050" w14:textId="77777777" w:rsidR="00A7521D" w:rsidRPr="00995C3D" w:rsidRDefault="00A7521D" w:rsidP="00A7521D">
            <w:pPr>
              <w:spacing w:after="0" w:line="240" w:lineRule="auto"/>
              <w:jc w:val="center"/>
              <w:rPr>
                <w:rFonts w:cs="Calibri"/>
                <w:color w:val="000000"/>
              </w:rPr>
            </w:pPr>
            <w:r w:rsidRPr="00995C3D">
              <w:rPr>
                <w:rFonts w:cs="Calibri"/>
                <w:color w:val="000000"/>
              </w:rPr>
              <w:t>33</w:t>
            </w:r>
          </w:p>
        </w:tc>
        <w:tc>
          <w:tcPr>
            <w:tcW w:w="844" w:type="dxa"/>
          </w:tcPr>
          <w:p w14:paraId="2E9FE55C" w14:textId="77777777" w:rsidR="00A7521D" w:rsidRPr="00995C3D" w:rsidRDefault="00A7521D" w:rsidP="00A7521D">
            <w:pPr>
              <w:spacing w:after="0" w:line="240" w:lineRule="auto"/>
              <w:jc w:val="center"/>
              <w:rPr>
                <w:rFonts w:cs="Calibri"/>
                <w:color w:val="000000"/>
              </w:rPr>
            </w:pPr>
            <w:r w:rsidRPr="00995C3D">
              <w:rPr>
                <w:rFonts w:cs="Calibri"/>
                <w:color w:val="000000"/>
              </w:rPr>
              <w:t>59</w:t>
            </w:r>
          </w:p>
        </w:tc>
      </w:tr>
      <w:tr w:rsidR="00A7521D" w:rsidRPr="00995C3D" w14:paraId="32E2F7F7" w14:textId="77777777" w:rsidTr="00A7521D">
        <w:trPr>
          <w:tblHeader/>
          <w:jc w:val="center"/>
        </w:trPr>
        <w:tc>
          <w:tcPr>
            <w:tcW w:w="2569" w:type="dxa"/>
          </w:tcPr>
          <w:p w14:paraId="67280753" w14:textId="77777777" w:rsidR="00A7521D" w:rsidRPr="00995C3D" w:rsidRDefault="00A7521D" w:rsidP="00A7521D">
            <w:pPr>
              <w:spacing w:after="0" w:line="240" w:lineRule="auto"/>
              <w:jc w:val="center"/>
              <w:rPr>
                <w:rFonts w:cs="Calibri"/>
                <w:color w:val="000000"/>
              </w:rPr>
            </w:pPr>
            <w:proofErr w:type="spellStart"/>
            <w:r w:rsidRPr="00995C3D">
              <w:rPr>
                <w:rFonts w:cs="Calibri"/>
                <w:color w:val="000000"/>
              </w:rPr>
              <w:t>Lilybank</w:t>
            </w:r>
            <w:proofErr w:type="spellEnd"/>
            <w:r w:rsidRPr="00995C3D">
              <w:rPr>
                <w:rFonts w:cs="Calibri"/>
                <w:color w:val="000000"/>
              </w:rPr>
              <w:t xml:space="preserve"> hamlet</w:t>
            </w:r>
          </w:p>
        </w:tc>
        <w:tc>
          <w:tcPr>
            <w:tcW w:w="1115" w:type="dxa"/>
          </w:tcPr>
          <w:p w14:paraId="05ADEDB9" w14:textId="77777777" w:rsidR="00A7521D" w:rsidRPr="00995C3D" w:rsidRDefault="00A7521D" w:rsidP="00A7521D">
            <w:pPr>
              <w:spacing w:after="0" w:line="240" w:lineRule="auto"/>
              <w:jc w:val="center"/>
            </w:pPr>
            <w:r w:rsidRPr="00995C3D">
              <w:t>DE4 3DQ</w:t>
            </w:r>
          </w:p>
        </w:tc>
        <w:tc>
          <w:tcPr>
            <w:tcW w:w="1065" w:type="dxa"/>
          </w:tcPr>
          <w:p w14:paraId="7C857B44" w14:textId="77777777" w:rsidR="00A7521D" w:rsidRPr="00995C3D" w:rsidRDefault="00A7521D" w:rsidP="00A7521D">
            <w:pPr>
              <w:spacing w:after="0" w:line="240" w:lineRule="auto"/>
              <w:jc w:val="center"/>
              <w:rPr>
                <w:rFonts w:cs="Calibri"/>
                <w:color w:val="000000"/>
              </w:rPr>
            </w:pPr>
            <w:r w:rsidRPr="00995C3D">
              <w:rPr>
                <w:rFonts w:cs="Calibri"/>
                <w:color w:val="000000"/>
              </w:rPr>
              <w:t>21</w:t>
            </w:r>
          </w:p>
        </w:tc>
        <w:tc>
          <w:tcPr>
            <w:tcW w:w="1196" w:type="dxa"/>
          </w:tcPr>
          <w:p w14:paraId="27D6CE39" w14:textId="77777777" w:rsidR="00A7521D" w:rsidRPr="00995C3D" w:rsidRDefault="00A7521D" w:rsidP="00A7521D">
            <w:pPr>
              <w:spacing w:after="0" w:line="240" w:lineRule="auto"/>
              <w:jc w:val="center"/>
              <w:rPr>
                <w:rFonts w:cs="Calibri"/>
                <w:color w:val="000000"/>
              </w:rPr>
            </w:pPr>
            <w:r w:rsidRPr="00995C3D">
              <w:rPr>
                <w:rFonts w:cs="Calibri"/>
                <w:color w:val="000000"/>
              </w:rPr>
              <w:t>4</w:t>
            </w:r>
            <w:r>
              <w:rPr>
                <w:rFonts w:cs="Calibri"/>
                <w:color w:val="000000"/>
              </w:rPr>
              <w:t>,</w:t>
            </w:r>
            <w:r w:rsidRPr="00995C3D">
              <w:rPr>
                <w:rFonts w:cs="Calibri"/>
                <w:color w:val="000000"/>
              </w:rPr>
              <w:t>395</w:t>
            </w:r>
          </w:p>
        </w:tc>
        <w:tc>
          <w:tcPr>
            <w:tcW w:w="1798" w:type="dxa"/>
          </w:tcPr>
          <w:p w14:paraId="76B2378C" w14:textId="77777777" w:rsidR="00A7521D" w:rsidRPr="00995C3D" w:rsidRDefault="00A7521D" w:rsidP="00A7521D">
            <w:pPr>
              <w:spacing w:after="0" w:line="240" w:lineRule="auto"/>
              <w:jc w:val="center"/>
              <w:rPr>
                <w:rFonts w:cs="Calibri"/>
                <w:color w:val="000000"/>
              </w:rPr>
            </w:pPr>
            <w:r w:rsidRPr="00995C3D">
              <w:rPr>
                <w:rFonts w:cs="Calibri"/>
                <w:color w:val="000000"/>
              </w:rPr>
              <w:t>1339</w:t>
            </w:r>
          </w:p>
        </w:tc>
        <w:tc>
          <w:tcPr>
            <w:tcW w:w="1014" w:type="dxa"/>
          </w:tcPr>
          <w:p w14:paraId="2E09E3B5" w14:textId="77777777" w:rsidR="00A7521D" w:rsidRPr="00995C3D" w:rsidRDefault="00A7521D" w:rsidP="00A7521D">
            <w:pPr>
              <w:spacing w:after="0" w:line="240" w:lineRule="auto"/>
              <w:jc w:val="center"/>
              <w:rPr>
                <w:rFonts w:cs="Calibri"/>
                <w:color w:val="000000"/>
              </w:rPr>
            </w:pPr>
            <w:r w:rsidRPr="00995C3D">
              <w:rPr>
                <w:rFonts w:cs="Calibri"/>
                <w:color w:val="000000"/>
              </w:rPr>
              <w:t>525</w:t>
            </w:r>
          </w:p>
        </w:tc>
        <w:tc>
          <w:tcPr>
            <w:tcW w:w="844" w:type="dxa"/>
          </w:tcPr>
          <w:p w14:paraId="4C715552" w14:textId="77777777" w:rsidR="00A7521D" w:rsidRPr="00995C3D" w:rsidRDefault="00A7521D" w:rsidP="00A7521D">
            <w:pPr>
              <w:spacing w:after="0" w:line="240" w:lineRule="auto"/>
              <w:jc w:val="center"/>
              <w:rPr>
                <w:rFonts w:cs="Calibri"/>
                <w:color w:val="000000"/>
              </w:rPr>
            </w:pPr>
            <w:r w:rsidRPr="00995C3D">
              <w:rPr>
                <w:rFonts w:cs="Calibri"/>
                <w:color w:val="000000"/>
              </w:rPr>
              <w:t>1396</w:t>
            </w:r>
          </w:p>
        </w:tc>
      </w:tr>
      <w:tr w:rsidR="00A7521D" w:rsidRPr="00995C3D" w14:paraId="005DD1D9" w14:textId="77777777" w:rsidTr="00A7521D">
        <w:trPr>
          <w:tblHeader/>
          <w:jc w:val="center"/>
        </w:trPr>
        <w:tc>
          <w:tcPr>
            <w:tcW w:w="2569" w:type="dxa"/>
          </w:tcPr>
          <w:p w14:paraId="484F9C04" w14:textId="77777777" w:rsidR="00A7521D" w:rsidRPr="00995C3D" w:rsidRDefault="00A7521D" w:rsidP="00A7521D">
            <w:pPr>
              <w:spacing w:after="0" w:line="240" w:lineRule="auto"/>
              <w:jc w:val="center"/>
              <w:rPr>
                <w:rFonts w:cs="Calibri"/>
                <w:color w:val="000000"/>
              </w:rPr>
            </w:pPr>
            <w:r w:rsidRPr="00995C3D">
              <w:rPr>
                <w:rFonts w:cs="Calibri"/>
                <w:color w:val="000000"/>
              </w:rPr>
              <w:t>Duke of Wellington</w:t>
            </w:r>
          </w:p>
        </w:tc>
        <w:tc>
          <w:tcPr>
            <w:tcW w:w="1115" w:type="dxa"/>
          </w:tcPr>
          <w:p w14:paraId="312124C3" w14:textId="77777777" w:rsidR="00A7521D" w:rsidRPr="00995C3D" w:rsidRDefault="00A7521D" w:rsidP="00A7521D">
            <w:pPr>
              <w:spacing w:after="0" w:line="240" w:lineRule="auto"/>
              <w:jc w:val="center"/>
            </w:pPr>
            <w:r w:rsidRPr="00995C3D">
              <w:t>DE4 3GX</w:t>
            </w:r>
          </w:p>
        </w:tc>
        <w:tc>
          <w:tcPr>
            <w:tcW w:w="1065" w:type="dxa"/>
          </w:tcPr>
          <w:p w14:paraId="5F8C287A" w14:textId="77777777" w:rsidR="00A7521D" w:rsidRPr="00995C3D" w:rsidRDefault="00A7521D" w:rsidP="00A7521D">
            <w:pPr>
              <w:spacing w:after="0" w:line="240" w:lineRule="auto"/>
              <w:jc w:val="center"/>
              <w:rPr>
                <w:rFonts w:cs="Calibri"/>
                <w:color w:val="000000"/>
              </w:rPr>
            </w:pPr>
            <w:r w:rsidRPr="00995C3D">
              <w:rPr>
                <w:rFonts w:cs="Calibri"/>
                <w:color w:val="000000"/>
              </w:rPr>
              <w:t>8</w:t>
            </w:r>
          </w:p>
        </w:tc>
        <w:tc>
          <w:tcPr>
            <w:tcW w:w="1196" w:type="dxa"/>
          </w:tcPr>
          <w:p w14:paraId="1EF9AFC8" w14:textId="77777777" w:rsidR="00A7521D" w:rsidRPr="00995C3D" w:rsidRDefault="00A7521D" w:rsidP="00A7521D">
            <w:pPr>
              <w:spacing w:after="0" w:line="240" w:lineRule="auto"/>
              <w:jc w:val="center"/>
              <w:rPr>
                <w:rFonts w:cs="Calibri"/>
                <w:color w:val="000000"/>
              </w:rPr>
            </w:pPr>
            <w:r w:rsidRPr="00995C3D">
              <w:rPr>
                <w:rFonts w:cs="Calibri"/>
                <w:color w:val="000000"/>
              </w:rPr>
              <w:t>732</w:t>
            </w:r>
          </w:p>
        </w:tc>
        <w:tc>
          <w:tcPr>
            <w:tcW w:w="1798" w:type="dxa"/>
          </w:tcPr>
          <w:p w14:paraId="6BD94EDD" w14:textId="77777777" w:rsidR="00A7521D" w:rsidRPr="00995C3D" w:rsidRDefault="00A7521D" w:rsidP="00A7521D">
            <w:pPr>
              <w:spacing w:after="0" w:line="240" w:lineRule="auto"/>
              <w:jc w:val="center"/>
              <w:rPr>
                <w:rFonts w:cs="Calibri"/>
                <w:color w:val="000000"/>
              </w:rPr>
            </w:pPr>
            <w:r w:rsidRPr="00995C3D">
              <w:rPr>
                <w:rFonts w:cs="Calibri"/>
                <w:color w:val="000000"/>
              </w:rPr>
              <w:t>87</w:t>
            </w:r>
          </w:p>
        </w:tc>
        <w:tc>
          <w:tcPr>
            <w:tcW w:w="1014" w:type="dxa"/>
          </w:tcPr>
          <w:p w14:paraId="0AB371DE" w14:textId="77777777" w:rsidR="00A7521D" w:rsidRPr="00995C3D" w:rsidRDefault="00A7521D" w:rsidP="00A7521D">
            <w:pPr>
              <w:spacing w:after="0" w:line="240" w:lineRule="auto"/>
              <w:jc w:val="center"/>
              <w:rPr>
                <w:rFonts w:cs="Calibri"/>
                <w:color w:val="000000"/>
              </w:rPr>
            </w:pPr>
            <w:r w:rsidRPr="00995C3D">
              <w:rPr>
                <w:rFonts w:cs="Calibri"/>
                <w:color w:val="000000"/>
              </w:rPr>
              <w:t>35</w:t>
            </w:r>
          </w:p>
        </w:tc>
        <w:tc>
          <w:tcPr>
            <w:tcW w:w="844" w:type="dxa"/>
          </w:tcPr>
          <w:p w14:paraId="2124159C" w14:textId="77777777" w:rsidR="00A7521D" w:rsidRPr="00995C3D" w:rsidRDefault="00A7521D" w:rsidP="00A7521D">
            <w:pPr>
              <w:spacing w:after="0" w:line="240" w:lineRule="auto"/>
              <w:jc w:val="center"/>
              <w:rPr>
                <w:rFonts w:cs="Calibri"/>
                <w:color w:val="000000"/>
              </w:rPr>
            </w:pPr>
            <w:r w:rsidRPr="00995C3D">
              <w:rPr>
                <w:rFonts w:cs="Calibri"/>
                <w:color w:val="000000"/>
              </w:rPr>
              <w:t>50</w:t>
            </w:r>
          </w:p>
        </w:tc>
      </w:tr>
      <w:tr w:rsidR="00A7521D" w:rsidRPr="00995C3D" w14:paraId="0DB5BBEE" w14:textId="77777777" w:rsidTr="00A7521D">
        <w:trPr>
          <w:tblHeader/>
          <w:jc w:val="center"/>
        </w:trPr>
        <w:tc>
          <w:tcPr>
            <w:tcW w:w="2569" w:type="dxa"/>
          </w:tcPr>
          <w:p w14:paraId="2A4832F2" w14:textId="77777777" w:rsidR="00A7521D" w:rsidRPr="00995C3D" w:rsidRDefault="00A7521D" w:rsidP="00A7521D">
            <w:pPr>
              <w:spacing w:after="0" w:line="240" w:lineRule="auto"/>
              <w:jc w:val="center"/>
              <w:rPr>
                <w:rFonts w:cs="Calibri"/>
                <w:color w:val="000000"/>
              </w:rPr>
            </w:pPr>
            <w:r w:rsidRPr="00995C3D">
              <w:rPr>
                <w:rFonts w:cs="Calibri"/>
                <w:color w:val="000000"/>
              </w:rPr>
              <w:t>St Joseph’s school</w:t>
            </w:r>
          </w:p>
        </w:tc>
        <w:tc>
          <w:tcPr>
            <w:tcW w:w="1115" w:type="dxa"/>
          </w:tcPr>
          <w:p w14:paraId="2ED741D6" w14:textId="77777777" w:rsidR="00A7521D" w:rsidRPr="00995C3D" w:rsidRDefault="00A7521D" w:rsidP="00A7521D">
            <w:pPr>
              <w:spacing w:after="0" w:line="240" w:lineRule="auto"/>
              <w:jc w:val="center"/>
            </w:pPr>
            <w:r w:rsidRPr="00995C3D">
              <w:t>DE4 3FT</w:t>
            </w:r>
          </w:p>
        </w:tc>
        <w:tc>
          <w:tcPr>
            <w:tcW w:w="1065" w:type="dxa"/>
          </w:tcPr>
          <w:p w14:paraId="13058164" w14:textId="77777777" w:rsidR="00A7521D" w:rsidRPr="00995C3D" w:rsidRDefault="00A7521D" w:rsidP="00A7521D">
            <w:pPr>
              <w:spacing w:after="0" w:line="240" w:lineRule="auto"/>
              <w:jc w:val="center"/>
              <w:rPr>
                <w:rFonts w:cs="Calibri"/>
                <w:color w:val="000000"/>
              </w:rPr>
            </w:pPr>
            <w:r w:rsidRPr="00995C3D">
              <w:rPr>
                <w:rFonts w:cs="Calibri"/>
                <w:color w:val="000000"/>
              </w:rPr>
              <w:t>17</w:t>
            </w:r>
          </w:p>
        </w:tc>
        <w:tc>
          <w:tcPr>
            <w:tcW w:w="1196" w:type="dxa"/>
          </w:tcPr>
          <w:p w14:paraId="55419A37" w14:textId="77777777" w:rsidR="00A7521D" w:rsidRPr="00995C3D" w:rsidRDefault="00A7521D" w:rsidP="00A7521D">
            <w:pPr>
              <w:spacing w:after="0" w:line="240" w:lineRule="auto"/>
              <w:jc w:val="center"/>
              <w:rPr>
                <w:rFonts w:cs="Calibri"/>
                <w:color w:val="000000"/>
              </w:rPr>
            </w:pPr>
            <w:r w:rsidRPr="00995C3D">
              <w:rPr>
                <w:rFonts w:cs="Calibri"/>
                <w:color w:val="000000"/>
              </w:rPr>
              <w:t>3</w:t>
            </w:r>
            <w:r>
              <w:rPr>
                <w:rFonts w:cs="Calibri"/>
                <w:color w:val="000000"/>
              </w:rPr>
              <w:t>,</w:t>
            </w:r>
            <w:r w:rsidRPr="00995C3D">
              <w:rPr>
                <w:rFonts w:cs="Calibri"/>
                <w:color w:val="000000"/>
              </w:rPr>
              <w:t>304</w:t>
            </w:r>
          </w:p>
        </w:tc>
        <w:tc>
          <w:tcPr>
            <w:tcW w:w="1798" w:type="dxa"/>
          </w:tcPr>
          <w:p w14:paraId="50C6155C" w14:textId="77777777" w:rsidR="00A7521D" w:rsidRPr="00995C3D" w:rsidRDefault="00A7521D" w:rsidP="00A7521D">
            <w:pPr>
              <w:spacing w:after="0" w:line="240" w:lineRule="auto"/>
              <w:jc w:val="center"/>
              <w:rPr>
                <w:rFonts w:cs="Calibri"/>
                <w:color w:val="000000"/>
              </w:rPr>
            </w:pPr>
            <w:r w:rsidRPr="00995C3D">
              <w:rPr>
                <w:rFonts w:cs="Calibri"/>
                <w:color w:val="000000"/>
              </w:rPr>
              <w:t>457</w:t>
            </w:r>
          </w:p>
        </w:tc>
        <w:tc>
          <w:tcPr>
            <w:tcW w:w="1014" w:type="dxa"/>
          </w:tcPr>
          <w:p w14:paraId="5A2E3B0B" w14:textId="77777777" w:rsidR="00A7521D" w:rsidRPr="00995C3D" w:rsidRDefault="00A7521D" w:rsidP="00A7521D">
            <w:pPr>
              <w:spacing w:after="0" w:line="240" w:lineRule="auto"/>
              <w:jc w:val="center"/>
              <w:rPr>
                <w:rFonts w:cs="Calibri"/>
                <w:color w:val="000000"/>
              </w:rPr>
            </w:pPr>
            <w:r w:rsidRPr="00995C3D">
              <w:rPr>
                <w:rFonts w:cs="Calibri"/>
                <w:color w:val="000000"/>
              </w:rPr>
              <w:t>247</w:t>
            </w:r>
          </w:p>
        </w:tc>
        <w:tc>
          <w:tcPr>
            <w:tcW w:w="844" w:type="dxa"/>
          </w:tcPr>
          <w:p w14:paraId="3A9BFFEB" w14:textId="77777777" w:rsidR="00A7521D" w:rsidRPr="00995C3D" w:rsidRDefault="00A7521D" w:rsidP="00A7521D">
            <w:pPr>
              <w:spacing w:after="0" w:line="240" w:lineRule="auto"/>
              <w:jc w:val="center"/>
              <w:rPr>
                <w:rFonts w:cs="Calibri"/>
                <w:color w:val="000000"/>
              </w:rPr>
            </w:pPr>
            <w:r w:rsidRPr="00995C3D">
              <w:rPr>
                <w:rFonts w:cs="Calibri"/>
                <w:color w:val="000000"/>
              </w:rPr>
              <w:t>1377</w:t>
            </w:r>
          </w:p>
        </w:tc>
      </w:tr>
      <w:tr w:rsidR="00A7521D" w:rsidRPr="00995C3D" w14:paraId="621DBFF7" w14:textId="77777777" w:rsidTr="00A7521D">
        <w:trPr>
          <w:tblHeader/>
          <w:jc w:val="center"/>
        </w:trPr>
        <w:tc>
          <w:tcPr>
            <w:tcW w:w="2569" w:type="dxa"/>
          </w:tcPr>
          <w:p w14:paraId="0FF75FF9" w14:textId="77777777" w:rsidR="00A7521D" w:rsidRPr="00995C3D" w:rsidRDefault="00A7521D" w:rsidP="00A7521D">
            <w:pPr>
              <w:spacing w:after="0" w:line="240" w:lineRule="auto"/>
              <w:jc w:val="center"/>
              <w:rPr>
                <w:rFonts w:cs="Calibri"/>
                <w:color w:val="000000"/>
              </w:rPr>
            </w:pPr>
            <w:r w:rsidRPr="00995C3D">
              <w:rPr>
                <w:rFonts w:cs="Calibri"/>
                <w:color w:val="000000"/>
              </w:rPr>
              <w:t>Highfield’s school</w:t>
            </w:r>
          </w:p>
        </w:tc>
        <w:tc>
          <w:tcPr>
            <w:tcW w:w="1115" w:type="dxa"/>
          </w:tcPr>
          <w:p w14:paraId="20298403" w14:textId="77777777" w:rsidR="00A7521D" w:rsidRPr="00995C3D" w:rsidRDefault="00A7521D" w:rsidP="00A7521D">
            <w:pPr>
              <w:spacing w:after="0" w:line="240" w:lineRule="auto"/>
              <w:jc w:val="center"/>
            </w:pPr>
            <w:r w:rsidRPr="00995C3D">
              <w:t>DE4 3DD</w:t>
            </w:r>
          </w:p>
        </w:tc>
        <w:tc>
          <w:tcPr>
            <w:tcW w:w="1065" w:type="dxa"/>
          </w:tcPr>
          <w:p w14:paraId="73BA3589" w14:textId="77777777" w:rsidR="00A7521D" w:rsidRPr="00995C3D" w:rsidRDefault="00A7521D" w:rsidP="00A7521D">
            <w:pPr>
              <w:spacing w:after="0" w:line="240" w:lineRule="auto"/>
              <w:jc w:val="center"/>
              <w:rPr>
                <w:rFonts w:cs="Calibri"/>
                <w:color w:val="000000"/>
              </w:rPr>
            </w:pPr>
            <w:r w:rsidRPr="00995C3D">
              <w:rPr>
                <w:rFonts w:cs="Calibri"/>
                <w:color w:val="000000"/>
              </w:rPr>
              <w:t>17</w:t>
            </w:r>
          </w:p>
        </w:tc>
        <w:tc>
          <w:tcPr>
            <w:tcW w:w="1196" w:type="dxa"/>
          </w:tcPr>
          <w:p w14:paraId="49A4CFCA" w14:textId="77777777" w:rsidR="00A7521D" w:rsidRPr="00995C3D" w:rsidRDefault="00A7521D" w:rsidP="00A7521D">
            <w:pPr>
              <w:spacing w:after="0" w:line="240" w:lineRule="auto"/>
              <w:jc w:val="center"/>
              <w:rPr>
                <w:rFonts w:cs="Calibri"/>
                <w:color w:val="000000"/>
              </w:rPr>
            </w:pPr>
            <w:r w:rsidRPr="00995C3D">
              <w:rPr>
                <w:rFonts w:cs="Calibri"/>
                <w:color w:val="000000"/>
              </w:rPr>
              <w:t>6</w:t>
            </w:r>
            <w:r>
              <w:rPr>
                <w:rFonts w:cs="Calibri"/>
                <w:color w:val="000000"/>
              </w:rPr>
              <w:t>,</w:t>
            </w:r>
            <w:r w:rsidRPr="00995C3D">
              <w:rPr>
                <w:rFonts w:cs="Calibri"/>
                <w:color w:val="000000"/>
              </w:rPr>
              <w:t>009</w:t>
            </w:r>
          </w:p>
        </w:tc>
        <w:tc>
          <w:tcPr>
            <w:tcW w:w="1798" w:type="dxa"/>
          </w:tcPr>
          <w:p w14:paraId="52C45E82" w14:textId="77777777" w:rsidR="00A7521D" w:rsidRPr="00995C3D" w:rsidRDefault="00A7521D" w:rsidP="00A7521D">
            <w:pPr>
              <w:spacing w:after="0" w:line="240" w:lineRule="auto"/>
              <w:jc w:val="center"/>
              <w:rPr>
                <w:rFonts w:cs="Calibri"/>
                <w:color w:val="000000"/>
              </w:rPr>
            </w:pPr>
            <w:r w:rsidRPr="00995C3D">
              <w:rPr>
                <w:rFonts w:cs="Calibri"/>
                <w:color w:val="000000"/>
              </w:rPr>
              <w:t>831</w:t>
            </w:r>
          </w:p>
        </w:tc>
        <w:tc>
          <w:tcPr>
            <w:tcW w:w="1014" w:type="dxa"/>
          </w:tcPr>
          <w:p w14:paraId="526A912B" w14:textId="77777777" w:rsidR="00A7521D" w:rsidRPr="00995C3D" w:rsidRDefault="00A7521D" w:rsidP="00A7521D">
            <w:pPr>
              <w:spacing w:after="0" w:line="240" w:lineRule="auto"/>
              <w:jc w:val="center"/>
              <w:rPr>
                <w:rFonts w:cs="Calibri"/>
                <w:color w:val="000000"/>
              </w:rPr>
            </w:pPr>
            <w:r w:rsidRPr="00995C3D">
              <w:rPr>
                <w:rFonts w:cs="Calibri"/>
                <w:color w:val="000000"/>
              </w:rPr>
              <w:t>448</w:t>
            </w:r>
          </w:p>
        </w:tc>
        <w:tc>
          <w:tcPr>
            <w:tcW w:w="844" w:type="dxa"/>
          </w:tcPr>
          <w:p w14:paraId="5D5006B2" w14:textId="77777777" w:rsidR="00A7521D" w:rsidRPr="00995C3D" w:rsidRDefault="00A7521D" w:rsidP="00A7521D">
            <w:pPr>
              <w:spacing w:after="0" w:line="240" w:lineRule="auto"/>
              <w:jc w:val="center"/>
              <w:rPr>
                <w:rFonts w:cs="Calibri"/>
                <w:color w:val="000000"/>
              </w:rPr>
            </w:pPr>
            <w:r w:rsidRPr="00995C3D">
              <w:rPr>
                <w:rFonts w:cs="Calibri"/>
                <w:color w:val="000000"/>
              </w:rPr>
              <w:t>2504</w:t>
            </w:r>
          </w:p>
        </w:tc>
      </w:tr>
      <w:tr w:rsidR="00A7521D" w:rsidRPr="00995C3D" w14:paraId="226478A0" w14:textId="77777777" w:rsidTr="00A7521D">
        <w:trPr>
          <w:tblHeader/>
          <w:jc w:val="center"/>
        </w:trPr>
        <w:tc>
          <w:tcPr>
            <w:tcW w:w="2569" w:type="dxa"/>
          </w:tcPr>
          <w:p w14:paraId="2A5A56C0" w14:textId="77777777" w:rsidR="00A7521D" w:rsidRPr="00995C3D" w:rsidRDefault="00A7521D" w:rsidP="00A7521D">
            <w:pPr>
              <w:spacing w:after="0" w:line="240" w:lineRule="auto"/>
              <w:jc w:val="center"/>
              <w:rPr>
                <w:rFonts w:cs="Calibri"/>
                <w:color w:val="000000"/>
              </w:rPr>
            </w:pPr>
            <w:r w:rsidRPr="00995C3D">
              <w:rPr>
                <w:rFonts w:cs="Calibri"/>
                <w:color w:val="000000"/>
              </w:rPr>
              <w:t>Castle view primary school</w:t>
            </w:r>
          </w:p>
        </w:tc>
        <w:tc>
          <w:tcPr>
            <w:tcW w:w="1115" w:type="dxa"/>
          </w:tcPr>
          <w:p w14:paraId="66BECC6E" w14:textId="77777777" w:rsidR="00A7521D" w:rsidRPr="00995C3D" w:rsidRDefault="00A7521D" w:rsidP="00A7521D">
            <w:pPr>
              <w:spacing w:after="0" w:line="240" w:lineRule="auto"/>
              <w:jc w:val="center"/>
            </w:pPr>
            <w:r w:rsidRPr="00995C3D">
              <w:t>DE4 3DS</w:t>
            </w:r>
          </w:p>
        </w:tc>
        <w:tc>
          <w:tcPr>
            <w:tcW w:w="1065" w:type="dxa"/>
          </w:tcPr>
          <w:p w14:paraId="40B57925" w14:textId="77777777" w:rsidR="00A7521D" w:rsidRPr="00995C3D" w:rsidRDefault="00A7521D" w:rsidP="00A7521D">
            <w:pPr>
              <w:spacing w:after="0" w:line="240" w:lineRule="auto"/>
              <w:jc w:val="center"/>
              <w:rPr>
                <w:rFonts w:cs="Calibri"/>
                <w:color w:val="000000"/>
              </w:rPr>
            </w:pPr>
            <w:r w:rsidRPr="00995C3D">
              <w:rPr>
                <w:rFonts w:cs="Calibri"/>
                <w:color w:val="000000"/>
              </w:rPr>
              <w:t>17</w:t>
            </w:r>
          </w:p>
        </w:tc>
        <w:tc>
          <w:tcPr>
            <w:tcW w:w="1196" w:type="dxa"/>
          </w:tcPr>
          <w:p w14:paraId="0CF54A79" w14:textId="77777777" w:rsidR="00A7521D" w:rsidRPr="00995C3D" w:rsidRDefault="00A7521D" w:rsidP="00A7521D">
            <w:pPr>
              <w:spacing w:after="0" w:line="240" w:lineRule="auto"/>
              <w:jc w:val="center"/>
              <w:rPr>
                <w:rFonts w:cs="Calibri"/>
                <w:color w:val="000000"/>
              </w:rPr>
            </w:pPr>
            <w:r w:rsidRPr="00995C3D">
              <w:rPr>
                <w:rFonts w:cs="Calibri"/>
                <w:color w:val="000000"/>
              </w:rPr>
              <w:t>1</w:t>
            </w:r>
            <w:r>
              <w:rPr>
                <w:rFonts w:cs="Calibri"/>
                <w:color w:val="000000"/>
              </w:rPr>
              <w:t>,</w:t>
            </w:r>
            <w:r w:rsidRPr="00995C3D">
              <w:rPr>
                <w:rFonts w:cs="Calibri"/>
                <w:color w:val="000000"/>
              </w:rPr>
              <w:t>195</w:t>
            </w:r>
          </w:p>
        </w:tc>
        <w:tc>
          <w:tcPr>
            <w:tcW w:w="1798" w:type="dxa"/>
          </w:tcPr>
          <w:p w14:paraId="3936C91E" w14:textId="77777777" w:rsidR="00A7521D" w:rsidRPr="00995C3D" w:rsidRDefault="00A7521D" w:rsidP="00A7521D">
            <w:pPr>
              <w:spacing w:after="0" w:line="240" w:lineRule="auto"/>
              <w:jc w:val="center"/>
              <w:rPr>
                <w:rFonts w:cs="Calibri"/>
                <w:color w:val="000000"/>
              </w:rPr>
            </w:pPr>
            <w:r w:rsidRPr="00995C3D">
              <w:rPr>
                <w:rFonts w:cs="Calibri"/>
                <w:color w:val="000000"/>
              </w:rPr>
              <w:t>165</w:t>
            </w:r>
          </w:p>
        </w:tc>
        <w:tc>
          <w:tcPr>
            <w:tcW w:w="1014" w:type="dxa"/>
          </w:tcPr>
          <w:p w14:paraId="05CE507B" w14:textId="77777777" w:rsidR="00A7521D" w:rsidRPr="00995C3D" w:rsidRDefault="00A7521D" w:rsidP="00A7521D">
            <w:pPr>
              <w:spacing w:after="0" w:line="240" w:lineRule="auto"/>
              <w:jc w:val="center"/>
              <w:rPr>
                <w:rFonts w:cs="Calibri"/>
                <w:color w:val="000000"/>
              </w:rPr>
            </w:pPr>
            <w:r w:rsidRPr="00995C3D">
              <w:rPr>
                <w:rFonts w:cs="Calibri"/>
                <w:color w:val="000000"/>
              </w:rPr>
              <w:t>89</w:t>
            </w:r>
          </w:p>
        </w:tc>
        <w:tc>
          <w:tcPr>
            <w:tcW w:w="844" w:type="dxa"/>
          </w:tcPr>
          <w:p w14:paraId="56F22439" w14:textId="77777777" w:rsidR="00A7521D" w:rsidRPr="00995C3D" w:rsidRDefault="00A7521D" w:rsidP="00A7521D">
            <w:pPr>
              <w:spacing w:after="0" w:line="240" w:lineRule="auto"/>
              <w:jc w:val="center"/>
              <w:rPr>
                <w:rFonts w:cs="Calibri"/>
                <w:color w:val="000000"/>
              </w:rPr>
            </w:pPr>
            <w:r w:rsidRPr="00995C3D">
              <w:rPr>
                <w:rFonts w:cs="Calibri"/>
                <w:color w:val="000000"/>
              </w:rPr>
              <w:t>498</w:t>
            </w:r>
          </w:p>
        </w:tc>
      </w:tr>
      <w:tr w:rsidR="00A7521D" w:rsidRPr="00995C3D" w14:paraId="49F99A45" w14:textId="77777777" w:rsidTr="00A7521D">
        <w:trPr>
          <w:tblHeader/>
          <w:jc w:val="center"/>
        </w:trPr>
        <w:tc>
          <w:tcPr>
            <w:tcW w:w="2569" w:type="dxa"/>
          </w:tcPr>
          <w:p w14:paraId="03744468" w14:textId="77777777" w:rsidR="00A7521D" w:rsidRPr="00995C3D" w:rsidRDefault="00A7521D" w:rsidP="00A7521D">
            <w:pPr>
              <w:spacing w:after="0" w:line="240" w:lineRule="auto"/>
              <w:jc w:val="center"/>
              <w:rPr>
                <w:rFonts w:cs="Calibri"/>
                <w:color w:val="000000"/>
              </w:rPr>
            </w:pPr>
            <w:r w:rsidRPr="00995C3D">
              <w:rPr>
                <w:rFonts w:cs="Calibri"/>
                <w:color w:val="000000"/>
              </w:rPr>
              <w:t>Sainsbury’s</w:t>
            </w:r>
          </w:p>
        </w:tc>
        <w:tc>
          <w:tcPr>
            <w:tcW w:w="1115" w:type="dxa"/>
          </w:tcPr>
          <w:p w14:paraId="1E70F8B0" w14:textId="77777777" w:rsidR="00A7521D" w:rsidRPr="00995C3D" w:rsidRDefault="00A7521D" w:rsidP="00A7521D">
            <w:pPr>
              <w:spacing w:after="0" w:line="240" w:lineRule="auto"/>
              <w:jc w:val="center"/>
            </w:pPr>
            <w:r w:rsidRPr="00995C3D">
              <w:t>DE4 3SP</w:t>
            </w:r>
          </w:p>
        </w:tc>
        <w:tc>
          <w:tcPr>
            <w:tcW w:w="1065" w:type="dxa"/>
          </w:tcPr>
          <w:p w14:paraId="6F014689" w14:textId="77777777" w:rsidR="00A7521D" w:rsidRPr="00995C3D" w:rsidRDefault="00A7521D" w:rsidP="00A7521D">
            <w:pPr>
              <w:spacing w:after="0" w:line="240" w:lineRule="auto"/>
              <w:jc w:val="center"/>
              <w:rPr>
                <w:rFonts w:cs="Calibri"/>
                <w:color w:val="000000"/>
              </w:rPr>
            </w:pPr>
            <w:r w:rsidRPr="00995C3D">
              <w:rPr>
                <w:rFonts w:cs="Calibri"/>
                <w:color w:val="000000"/>
              </w:rPr>
              <w:t>6</w:t>
            </w:r>
          </w:p>
        </w:tc>
        <w:tc>
          <w:tcPr>
            <w:tcW w:w="1196" w:type="dxa"/>
          </w:tcPr>
          <w:p w14:paraId="1EFBE45E" w14:textId="77777777" w:rsidR="00A7521D" w:rsidRPr="00995C3D" w:rsidRDefault="00A7521D" w:rsidP="00A7521D">
            <w:pPr>
              <w:spacing w:after="0" w:line="240" w:lineRule="auto"/>
              <w:jc w:val="center"/>
              <w:rPr>
                <w:rFonts w:cs="Calibri"/>
                <w:color w:val="000000"/>
              </w:rPr>
            </w:pPr>
            <w:r w:rsidRPr="00995C3D">
              <w:rPr>
                <w:rFonts w:cs="Calibri"/>
                <w:color w:val="000000"/>
              </w:rPr>
              <w:t>4</w:t>
            </w:r>
            <w:r>
              <w:rPr>
                <w:rFonts w:cs="Calibri"/>
                <w:color w:val="000000"/>
              </w:rPr>
              <w:t>,</w:t>
            </w:r>
            <w:r w:rsidRPr="00995C3D">
              <w:rPr>
                <w:rFonts w:cs="Calibri"/>
                <w:color w:val="000000"/>
              </w:rPr>
              <w:t>945</w:t>
            </w:r>
          </w:p>
        </w:tc>
        <w:tc>
          <w:tcPr>
            <w:tcW w:w="1798" w:type="dxa"/>
          </w:tcPr>
          <w:p w14:paraId="4074A185" w14:textId="77777777" w:rsidR="00A7521D" w:rsidRPr="00995C3D" w:rsidRDefault="00A7521D" w:rsidP="00A7521D">
            <w:pPr>
              <w:spacing w:after="0" w:line="240" w:lineRule="auto"/>
              <w:jc w:val="center"/>
              <w:rPr>
                <w:rFonts w:cs="Calibri"/>
                <w:color w:val="000000"/>
              </w:rPr>
            </w:pPr>
            <w:r w:rsidRPr="00995C3D">
              <w:rPr>
                <w:rFonts w:cs="Calibri"/>
                <w:color w:val="000000"/>
              </w:rPr>
              <w:t>333</w:t>
            </w:r>
          </w:p>
        </w:tc>
        <w:tc>
          <w:tcPr>
            <w:tcW w:w="1014" w:type="dxa"/>
          </w:tcPr>
          <w:p w14:paraId="55654E12" w14:textId="77777777" w:rsidR="00A7521D" w:rsidRPr="00995C3D" w:rsidRDefault="00A7521D" w:rsidP="00A7521D">
            <w:pPr>
              <w:spacing w:after="0" w:line="240" w:lineRule="auto"/>
              <w:jc w:val="center"/>
              <w:rPr>
                <w:rFonts w:cs="Calibri"/>
                <w:color w:val="000000"/>
              </w:rPr>
            </w:pPr>
            <w:r w:rsidRPr="00995C3D">
              <w:rPr>
                <w:rFonts w:cs="Calibri"/>
                <w:color w:val="000000"/>
              </w:rPr>
              <w:t>62</w:t>
            </w:r>
          </w:p>
        </w:tc>
        <w:tc>
          <w:tcPr>
            <w:tcW w:w="844" w:type="dxa"/>
          </w:tcPr>
          <w:p w14:paraId="2A70F1D1" w14:textId="77777777" w:rsidR="00A7521D" w:rsidRPr="00995C3D" w:rsidRDefault="00A7521D" w:rsidP="00A7521D">
            <w:pPr>
              <w:spacing w:after="0" w:line="240" w:lineRule="auto"/>
              <w:jc w:val="center"/>
              <w:rPr>
                <w:rFonts w:cs="Calibri"/>
                <w:color w:val="000000"/>
              </w:rPr>
            </w:pPr>
            <w:r w:rsidRPr="00995C3D">
              <w:rPr>
                <w:rFonts w:cs="Calibri"/>
                <w:color w:val="000000"/>
              </w:rPr>
              <w:t>196</w:t>
            </w:r>
          </w:p>
        </w:tc>
      </w:tr>
      <w:tr w:rsidR="00A7521D" w:rsidRPr="00995C3D" w14:paraId="6475BFB7" w14:textId="77777777" w:rsidTr="00A7521D">
        <w:trPr>
          <w:tblHeader/>
          <w:jc w:val="center"/>
        </w:trPr>
        <w:tc>
          <w:tcPr>
            <w:tcW w:w="2569" w:type="dxa"/>
          </w:tcPr>
          <w:p w14:paraId="07A01D84" w14:textId="77777777" w:rsidR="00A7521D" w:rsidRPr="00995C3D" w:rsidRDefault="00A7521D" w:rsidP="00A7521D">
            <w:pPr>
              <w:spacing w:after="0" w:line="240" w:lineRule="auto"/>
              <w:jc w:val="center"/>
              <w:rPr>
                <w:rFonts w:cs="Calibri"/>
                <w:color w:val="000000"/>
              </w:rPr>
            </w:pPr>
            <w:r w:rsidRPr="00995C3D">
              <w:rPr>
                <w:rFonts w:cs="Calibri"/>
                <w:color w:val="000000"/>
              </w:rPr>
              <w:t>Matlock train station</w:t>
            </w:r>
          </w:p>
        </w:tc>
        <w:tc>
          <w:tcPr>
            <w:tcW w:w="1115" w:type="dxa"/>
          </w:tcPr>
          <w:p w14:paraId="2498F944" w14:textId="77777777" w:rsidR="00A7521D" w:rsidRPr="00995C3D" w:rsidRDefault="00A7521D" w:rsidP="00A7521D">
            <w:pPr>
              <w:spacing w:after="0" w:line="240" w:lineRule="auto"/>
              <w:jc w:val="center"/>
            </w:pPr>
            <w:r w:rsidRPr="00995C3D">
              <w:t>DE4 3NA</w:t>
            </w:r>
          </w:p>
        </w:tc>
        <w:tc>
          <w:tcPr>
            <w:tcW w:w="1065" w:type="dxa"/>
          </w:tcPr>
          <w:p w14:paraId="1B9F74E8" w14:textId="77777777" w:rsidR="00A7521D" w:rsidRPr="00995C3D" w:rsidRDefault="00A7521D" w:rsidP="00A7521D">
            <w:pPr>
              <w:spacing w:after="0" w:line="240" w:lineRule="auto"/>
              <w:jc w:val="center"/>
              <w:rPr>
                <w:rFonts w:cs="Calibri"/>
                <w:color w:val="000000"/>
              </w:rPr>
            </w:pPr>
            <w:r w:rsidRPr="00995C3D">
              <w:rPr>
                <w:rFonts w:cs="Calibri"/>
                <w:color w:val="000000"/>
              </w:rPr>
              <w:t>25</w:t>
            </w:r>
          </w:p>
        </w:tc>
        <w:tc>
          <w:tcPr>
            <w:tcW w:w="1196" w:type="dxa"/>
          </w:tcPr>
          <w:p w14:paraId="4F549B88" w14:textId="77777777" w:rsidR="00A7521D" w:rsidRPr="00995C3D" w:rsidRDefault="00A7521D" w:rsidP="00A7521D">
            <w:pPr>
              <w:spacing w:after="0" w:line="240" w:lineRule="auto"/>
              <w:jc w:val="center"/>
              <w:rPr>
                <w:rFonts w:cs="Calibri"/>
                <w:color w:val="000000"/>
              </w:rPr>
            </w:pPr>
            <w:r w:rsidRPr="00995C3D">
              <w:rPr>
                <w:rFonts w:cs="Calibri"/>
                <w:color w:val="000000"/>
              </w:rPr>
              <w:t>5</w:t>
            </w:r>
            <w:r>
              <w:rPr>
                <w:rFonts w:cs="Calibri"/>
                <w:color w:val="000000"/>
              </w:rPr>
              <w:t>,</w:t>
            </w:r>
            <w:r w:rsidRPr="00995C3D">
              <w:rPr>
                <w:rFonts w:cs="Calibri"/>
                <w:color w:val="000000"/>
              </w:rPr>
              <w:t>369</w:t>
            </w:r>
          </w:p>
        </w:tc>
        <w:tc>
          <w:tcPr>
            <w:tcW w:w="1798" w:type="dxa"/>
          </w:tcPr>
          <w:p w14:paraId="7BDF9388" w14:textId="77777777" w:rsidR="00A7521D" w:rsidRPr="00995C3D" w:rsidRDefault="00A7521D" w:rsidP="00A7521D">
            <w:pPr>
              <w:spacing w:after="0" w:line="240" w:lineRule="auto"/>
              <w:jc w:val="center"/>
              <w:rPr>
                <w:rFonts w:cs="Calibri"/>
                <w:color w:val="000000"/>
              </w:rPr>
            </w:pPr>
            <w:r w:rsidRPr="00995C3D">
              <w:rPr>
                <w:rFonts w:cs="Calibri"/>
                <w:color w:val="000000"/>
              </w:rPr>
              <w:t>454</w:t>
            </w:r>
          </w:p>
        </w:tc>
        <w:tc>
          <w:tcPr>
            <w:tcW w:w="1014" w:type="dxa"/>
          </w:tcPr>
          <w:p w14:paraId="4B2BD486" w14:textId="77777777" w:rsidR="00A7521D" w:rsidRPr="00995C3D" w:rsidRDefault="00A7521D" w:rsidP="00A7521D">
            <w:pPr>
              <w:spacing w:after="0" w:line="240" w:lineRule="auto"/>
              <w:jc w:val="center"/>
              <w:rPr>
                <w:rFonts w:cs="Calibri"/>
                <w:color w:val="000000"/>
              </w:rPr>
            </w:pPr>
            <w:r w:rsidRPr="00995C3D">
              <w:rPr>
                <w:rFonts w:cs="Calibri"/>
                <w:color w:val="000000"/>
              </w:rPr>
              <w:t>178</w:t>
            </w:r>
          </w:p>
        </w:tc>
        <w:tc>
          <w:tcPr>
            <w:tcW w:w="844" w:type="dxa"/>
          </w:tcPr>
          <w:p w14:paraId="6B84E5EE" w14:textId="77777777" w:rsidR="00A7521D" w:rsidRPr="00995C3D" w:rsidRDefault="00A7521D" w:rsidP="00A7521D">
            <w:pPr>
              <w:spacing w:after="0" w:line="240" w:lineRule="auto"/>
              <w:jc w:val="center"/>
              <w:rPr>
                <w:rFonts w:cs="Calibri"/>
                <w:color w:val="000000"/>
              </w:rPr>
            </w:pPr>
            <w:r w:rsidRPr="00995C3D">
              <w:rPr>
                <w:rFonts w:cs="Calibri"/>
                <w:color w:val="000000"/>
              </w:rPr>
              <w:t>474</w:t>
            </w:r>
          </w:p>
        </w:tc>
      </w:tr>
    </w:tbl>
    <w:p w14:paraId="1448AAD2" w14:textId="77777777" w:rsidR="00A7521D" w:rsidRDefault="00A7521D" w:rsidP="00A7521D">
      <w:pPr>
        <w:rPr>
          <w:b/>
          <w:sz w:val="18"/>
          <w:szCs w:val="18"/>
        </w:rPr>
      </w:pPr>
    </w:p>
    <w:p w14:paraId="42CDFDE0" w14:textId="2A384CE2" w:rsidR="00A7521D" w:rsidRPr="00BD6477" w:rsidRDefault="00D82F1A" w:rsidP="00A7521D">
      <w:pPr>
        <w:rPr>
          <w:b/>
          <w:sz w:val="18"/>
          <w:szCs w:val="18"/>
        </w:rPr>
      </w:pPr>
      <w:r w:rsidRPr="00D82F1A">
        <w:rPr>
          <w:b/>
          <w:sz w:val="18"/>
          <w:szCs w:val="18"/>
        </w:rPr>
        <w:lastRenderedPageBreak/>
        <w:fldChar w:fldCharType="begin"/>
      </w:r>
      <w:r w:rsidRPr="00D82F1A">
        <w:rPr>
          <w:b/>
          <w:sz w:val="18"/>
          <w:szCs w:val="18"/>
        </w:rPr>
        <w:instrText xml:space="preserve"> REF _Ref531345224 \h  \* MERGEFORMAT </w:instrText>
      </w:r>
      <w:r w:rsidRPr="00D82F1A">
        <w:rPr>
          <w:b/>
          <w:sz w:val="18"/>
          <w:szCs w:val="18"/>
        </w:rPr>
      </w:r>
      <w:r w:rsidRPr="00D82F1A">
        <w:rPr>
          <w:b/>
          <w:sz w:val="18"/>
          <w:szCs w:val="18"/>
        </w:rPr>
        <w:fldChar w:fldCharType="separate"/>
      </w:r>
      <w:r w:rsidR="00CB7456" w:rsidRPr="00CB7456">
        <w:rPr>
          <w:b/>
          <w:sz w:val="18"/>
          <w:szCs w:val="18"/>
        </w:rPr>
        <w:t xml:space="preserve">Table </w:t>
      </w:r>
      <w:r w:rsidR="00CB7456" w:rsidRPr="00CB7456">
        <w:rPr>
          <w:b/>
          <w:noProof/>
          <w:sz w:val="18"/>
          <w:szCs w:val="18"/>
        </w:rPr>
        <w:t>13.1</w:t>
      </w:r>
      <w:r w:rsidRPr="00D82F1A">
        <w:rPr>
          <w:b/>
          <w:sz w:val="18"/>
          <w:szCs w:val="18"/>
        </w:rPr>
        <w:fldChar w:fldCharType="end"/>
      </w:r>
      <w:r w:rsidR="00A7521D">
        <w:rPr>
          <w:b/>
          <w:sz w:val="18"/>
          <w:szCs w:val="18"/>
        </w:rPr>
        <w:t>:</w:t>
      </w:r>
      <w:r w:rsidR="00A7521D" w:rsidRPr="00BD6477">
        <w:rPr>
          <w:b/>
          <w:sz w:val="18"/>
          <w:szCs w:val="18"/>
        </w:rPr>
        <w:t xml:space="preserve"> Large heat users in Matlock</w:t>
      </w:r>
      <w:r w:rsidR="00A7521D">
        <w:rPr>
          <w:b/>
          <w:sz w:val="18"/>
          <w:szCs w:val="18"/>
        </w:rPr>
        <w:t xml:space="preserve"> (continued).</w:t>
      </w:r>
    </w:p>
    <w:tbl>
      <w:tblPr>
        <w:tblW w:w="9837" w:type="dxa"/>
        <w:jc w:val="center"/>
        <w:tblBorders>
          <w:top w:val="single" w:sz="4" w:space="0" w:color="auto"/>
          <w:bottom w:val="single" w:sz="4" w:space="0" w:color="auto"/>
        </w:tblBorders>
        <w:tblLook w:val="00A0" w:firstRow="1" w:lastRow="0" w:firstColumn="1" w:lastColumn="0" w:noHBand="0" w:noVBand="0"/>
      </w:tblPr>
      <w:tblGrid>
        <w:gridCol w:w="2805"/>
        <w:gridCol w:w="1115"/>
        <w:gridCol w:w="1065"/>
        <w:gridCol w:w="1196"/>
        <w:gridCol w:w="1798"/>
        <w:gridCol w:w="1014"/>
        <w:gridCol w:w="844"/>
      </w:tblGrid>
      <w:tr w:rsidR="00A7521D" w:rsidRPr="00995C3D" w14:paraId="13EC4BA2" w14:textId="77777777" w:rsidTr="00A7521D">
        <w:trPr>
          <w:tblHeader/>
          <w:jc w:val="center"/>
        </w:trPr>
        <w:tc>
          <w:tcPr>
            <w:tcW w:w="2805" w:type="dxa"/>
            <w:tcBorders>
              <w:top w:val="single" w:sz="4" w:space="0" w:color="auto"/>
              <w:bottom w:val="single" w:sz="4" w:space="0" w:color="auto"/>
            </w:tcBorders>
          </w:tcPr>
          <w:p w14:paraId="73914E11" w14:textId="77777777" w:rsidR="00A7521D" w:rsidRPr="00995C3D" w:rsidRDefault="00A7521D" w:rsidP="00A7521D">
            <w:pPr>
              <w:spacing w:after="0" w:line="240" w:lineRule="auto"/>
              <w:jc w:val="center"/>
              <w:rPr>
                <w:rFonts w:cs="Calibri"/>
                <w:color w:val="000000"/>
              </w:rPr>
            </w:pPr>
            <w:r w:rsidRPr="00995C3D">
              <w:t>Building name</w:t>
            </w:r>
          </w:p>
        </w:tc>
        <w:tc>
          <w:tcPr>
            <w:tcW w:w="1115" w:type="dxa"/>
            <w:tcBorders>
              <w:top w:val="single" w:sz="4" w:space="0" w:color="auto"/>
              <w:bottom w:val="single" w:sz="4" w:space="0" w:color="auto"/>
            </w:tcBorders>
          </w:tcPr>
          <w:p w14:paraId="286CDE42" w14:textId="77777777" w:rsidR="00A7521D" w:rsidRPr="00995C3D" w:rsidRDefault="00A7521D" w:rsidP="00A7521D">
            <w:pPr>
              <w:spacing w:after="0" w:line="240" w:lineRule="auto"/>
              <w:jc w:val="center"/>
            </w:pPr>
            <w:r w:rsidRPr="00995C3D">
              <w:t>Postcode</w:t>
            </w:r>
          </w:p>
        </w:tc>
        <w:tc>
          <w:tcPr>
            <w:tcW w:w="1065" w:type="dxa"/>
            <w:tcBorders>
              <w:top w:val="single" w:sz="4" w:space="0" w:color="auto"/>
              <w:bottom w:val="single" w:sz="4" w:space="0" w:color="auto"/>
            </w:tcBorders>
          </w:tcPr>
          <w:p w14:paraId="73975C05" w14:textId="77777777" w:rsidR="00A7521D" w:rsidRPr="00995C3D" w:rsidRDefault="00A7521D" w:rsidP="00A7521D">
            <w:pPr>
              <w:spacing w:after="0" w:line="240" w:lineRule="auto"/>
              <w:jc w:val="center"/>
              <w:rPr>
                <w:rFonts w:cs="Calibri"/>
                <w:color w:val="000000"/>
              </w:rPr>
            </w:pPr>
            <w:r w:rsidRPr="00995C3D">
              <w:t>CIBSE category</w:t>
            </w:r>
          </w:p>
        </w:tc>
        <w:tc>
          <w:tcPr>
            <w:tcW w:w="1196" w:type="dxa"/>
            <w:tcBorders>
              <w:top w:val="single" w:sz="4" w:space="0" w:color="auto"/>
              <w:bottom w:val="single" w:sz="4" w:space="0" w:color="auto"/>
            </w:tcBorders>
          </w:tcPr>
          <w:p w14:paraId="10B2280D" w14:textId="77777777" w:rsidR="00A7521D" w:rsidRPr="00995C3D" w:rsidRDefault="00A7521D" w:rsidP="00A7521D">
            <w:pPr>
              <w:spacing w:after="0" w:line="240" w:lineRule="auto"/>
              <w:jc w:val="center"/>
              <w:rPr>
                <w:rFonts w:cs="Calibri"/>
                <w:color w:val="000000"/>
              </w:rPr>
            </w:pPr>
            <w:r w:rsidRPr="00995C3D">
              <w:t>Estimated floor area (m</w:t>
            </w:r>
            <w:r w:rsidRPr="00995C3D">
              <w:rPr>
                <w:vertAlign w:val="superscript"/>
              </w:rPr>
              <w:t>2</w:t>
            </w:r>
            <w:r w:rsidRPr="00995C3D">
              <w:t>)</w:t>
            </w:r>
          </w:p>
        </w:tc>
        <w:tc>
          <w:tcPr>
            <w:tcW w:w="1798" w:type="dxa"/>
            <w:tcBorders>
              <w:top w:val="single" w:sz="4" w:space="0" w:color="auto"/>
              <w:bottom w:val="single" w:sz="4" w:space="0" w:color="auto"/>
            </w:tcBorders>
          </w:tcPr>
          <w:p w14:paraId="1DB7347F" w14:textId="77777777" w:rsidR="00A7521D" w:rsidRPr="00995C3D" w:rsidRDefault="00A7521D" w:rsidP="00A7521D">
            <w:pPr>
              <w:spacing w:after="0" w:line="240" w:lineRule="auto"/>
              <w:jc w:val="center"/>
              <w:rPr>
                <w:rFonts w:cs="Calibri"/>
                <w:color w:val="000000"/>
              </w:rPr>
            </w:pPr>
            <w:r w:rsidRPr="00995C3D">
              <w:t>Yearly energy use for heating (MWh)</w:t>
            </w:r>
          </w:p>
        </w:tc>
        <w:tc>
          <w:tcPr>
            <w:tcW w:w="1014" w:type="dxa"/>
            <w:tcBorders>
              <w:top w:val="single" w:sz="4" w:space="0" w:color="auto"/>
              <w:bottom w:val="single" w:sz="4" w:space="0" w:color="auto"/>
            </w:tcBorders>
          </w:tcPr>
          <w:p w14:paraId="1865A157" w14:textId="77777777" w:rsidR="00A7521D" w:rsidRPr="00995C3D" w:rsidRDefault="00A7521D" w:rsidP="00A7521D">
            <w:pPr>
              <w:spacing w:after="0" w:line="240" w:lineRule="auto"/>
              <w:jc w:val="center"/>
              <w:rPr>
                <w:rFonts w:cs="Calibri"/>
                <w:color w:val="000000"/>
              </w:rPr>
            </w:pPr>
            <w:r w:rsidRPr="00995C3D">
              <w:t>Average power (kW)</w:t>
            </w:r>
          </w:p>
        </w:tc>
        <w:tc>
          <w:tcPr>
            <w:tcW w:w="844" w:type="dxa"/>
            <w:tcBorders>
              <w:top w:val="single" w:sz="4" w:space="0" w:color="auto"/>
              <w:bottom w:val="single" w:sz="4" w:space="0" w:color="auto"/>
            </w:tcBorders>
          </w:tcPr>
          <w:p w14:paraId="0DEB38BC" w14:textId="77777777" w:rsidR="00A7521D" w:rsidRPr="00995C3D" w:rsidRDefault="00A7521D" w:rsidP="00A7521D">
            <w:pPr>
              <w:spacing w:after="0" w:line="240" w:lineRule="auto"/>
              <w:jc w:val="center"/>
              <w:rPr>
                <w:rFonts w:cs="Calibri"/>
                <w:color w:val="000000"/>
              </w:rPr>
            </w:pPr>
            <w:r w:rsidRPr="00995C3D">
              <w:t>Peak power (kW)</w:t>
            </w:r>
          </w:p>
        </w:tc>
      </w:tr>
      <w:tr w:rsidR="00A7521D" w:rsidRPr="00995C3D" w14:paraId="675D8D69" w14:textId="77777777" w:rsidTr="00A7521D">
        <w:trPr>
          <w:tblHeader/>
          <w:jc w:val="center"/>
        </w:trPr>
        <w:tc>
          <w:tcPr>
            <w:tcW w:w="2805" w:type="dxa"/>
            <w:tcBorders>
              <w:top w:val="single" w:sz="4" w:space="0" w:color="auto"/>
            </w:tcBorders>
          </w:tcPr>
          <w:p w14:paraId="6B1E3654" w14:textId="77777777" w:rsidR="00A7521D" w:rsidRPr="00995C3D" w:rsidRDefault="00A7521D" w:rsidP="00A7521D">
            <w:pPr>
              <w:spacing w:after="0" w:line="240" w:lineRule="auto"/>
              <w:jc w:val="center"/>
              <w:rPr>
                <w:rFonts w:cs="Calibri"/>
                <w:color w:val="000000"/>
              </w:rPr>
            </w:pPr>
            <w:r w:rsidRPr="00995C3D">
              <w:rPr>
                <w:rFonts w:cs="Calibri"/>
                <w:color w:val="000000"/>
              </w:rPr>
              <w:t>County hall</w:t>
            </w:r>
          </w:p>
        </w:tc>
        <w:tc>
          <w:tcPr>
            <w:tcW w:w="1115" w:type="dxa"/>
            <w:tcBorders>
              <w:top w:val="single" w:sz="4" w:space="0" w:color="auto"/>
            </w:tcBorders>
          </w:tcPr>
          <w:p w14:paraId="0117225D" w14:textId="77777777" w:rsidR="00A7521D" w:rsidRPr="00995C3D" w:rsidRDefault="00A7521D" w:rsidP="00A7521D">
            <w:pPr>
              <w:spacing w:after="0" w:line="240" w:lineRule="auto"/>
              <w:jc w:val="center"/>
            </w:pPr>
            <w:r w:rsidRPr="00995C3D">
              <w:t>DE4 3AG</w:t>
            </w:r>
          </w:p>
        </w:tc>
        <w:tc>
          <w:tcPr>
            <w:tcW w:w="1065" w:type="dxa"/>
            <w:tcBorders>
              <w:top w:val="single" w:sz="4" w:space="0" w:color="auto"/>
            </w:tcBorders>
          </w:tcPr>
          <w:p w14:paraId="6F8E0859" w14:textId="77777777" w:rsidR="00A7521D" w:rsidRPr="00995C3D" w:rsidRDefault="00A7521D" w:rsidP="00A7521D">
            <w:pPr>
              <w:spacing w:after="0" w:line="240" w:lineRule="auto"/>
              <w:jc w:val="center"/>
              <w:rPr>
                <w:rFonts w:cs="Calibri"/>
                <w:color w:val="000000"/>
              </w:rPr>
            </w:pPr>
            <w:r w:rsidRPr="00995C3D">
              <w:rPr>
                <w:rFonts w:cs="Calibri"/>
                <w:color w:val="000000"/>
              </w:rPr>
              <w:t>1</w:t>
            </w:r>
          </w:p>
        </w:tc>
        <w:tc>
          <w:tcPr>
            <w:tcW w:w="1196" w:type="dxa"/>
            <w:tcBorders>
              <w:top w:val="single" w:sz="4" w:space="0" w:color="auto"/>
            </w:tcBorders>
          </w:tcPr>
          <w:p w14:paraId="36E331E0" w14:textId="77777777" w:rsidR="00A7521D" w:rsidRPr="00995C3D" w:rsidRDefault="00A7521D" w:rsidP="00A7521D">
            <w:pPr>
              <w:spacing w:after="0" w:line="240" w:lineRule="auto"/>
              <w:jc w:val="center"/>
              <w:rPr>
                <w:rFonts w:cs="Calibri"/>
                <w:color w:val="000000"/>
              </w:rPr>
            </w:pPr>
            <w:r w:rsidRPr="00995C3D">
              <w:rPr>
                <w:rFonts w:cs="Calibri"/>
                <w:color w:val="000000"/>
              </w:rPr>
              <w:t>3</w:t>
            </w:r>
            <w:r>
              <w:rPr>
                <w:rFonts w:cs="Calibri"/>
                <w:color w:val="000000"/>
              </w:rPr>
              <w:t>,</w:t>
            </w:r>
            <w:r w:rsidRPr="00995C3D">
              <w:rPr>
                <w:rFonts w:cs="Calibri"/>
                <w:color w:val="000000"/>
              </w:rPr>
              <w:t>889</w:t>
            </w:r>
          </w:p>
        </w:tc>
        <w:tc>
          <w:tcPr>
            <w:tcW w:w="1798" w:type="dxa"/>
            <w:tcBorders>
              <w:top w:val="single" w:sz="4" w:space="0" w:color="auto"/>
            </w:tcBorders>
          </w:tcPr>
          <w:p w14:paraId="44FD20D6" w14:textId="77777777" w:rsidR="00A7521D" w:rsidRPr="00995C3D" w:rsidRDefault="00A7521D" w:rsidP="00A7521D">
            <w:pPr>
              <w:spacing w:after="0" w:line="240" w:lineRule="auto"/>
              <w:jc w:val="center"/>
              <w:rPr>
                <w:rFonts w:cs="Calibri"/>
                <w:color w:val="000000"/>
              </w:rPr>
            </w:pPr>
            <w:r w:rsidRPr="00995C3D">
              <w:rPr>
                <w:rFonts w:cs="Calibri"/>
                <w:color w:val="000000"/>
              </w:rPr>
              <w:t>421</w:t>
            </w:r>
          </w:p>
        </w:tc>
        <w:tc>
          <w:tcPr>
            <w:tcW w:w="1014" w:type="dxa"/>
            <w:tcBorders>
              <w:top w:val="single" w:sz="4" w:space="0" w:color="auto"/>
            </w:tcBorders>
          </w:tcPr>
          <w:p w14:paraId="3DE19001" w14:textId="77777777" w:rsidR="00A7521D" w:rsidRPr="00995C3D" w:rsidRDefault="00A7521D" w:rsidP="00A7521D">
            <w:pPr>
              <w:spacing w:after="0" w:line="240" w:lineRule="auto"/>
              <w:jc w:val="center"/>
              <w:rPr>
                <w:rFonts w:cs="Calibri"/>
                <w:color w:val="000000"/>
              </w:rPr>
            </w:pPr>
            <w:r w:rsidRPr="00995C3D">
              <w:rPr>
                <w:rFonts w:cs="Calibri"/>
                <w:color w:val="000000"/>
              </w:rPr>
              <w:t>165</w:t>
            </w:r>
          </w:p>
        </w:tc>
        <w:tc>
          <w:tcPr>
            <w:tcW w:w="844" w:type="dxa"/>
            <w:tcBorders>
              <w:top w:val="single" w:sz="4" w:space="0" w:color="auto"/>
            </w:tcBorders>
          </w:tcPr>
          <w:p w14:paraId="115E3D2C" w14:textId="77777777" w:rsidR="00A7521D" w:rsidRPr="00995C3D" w:rsidRDefault="00A7521D" w:rsidP="00A7521D">
            <w:pPr>
              <w:spacing w:after="0" w:line="240" w:lineRule="auto"/>
              <w:jc w:val="center"/>
              <w:rPr>
                <w:rFonts w:cs="Calibri"/>
                <w:color w:val="000000"/>
              </w:rPr>
            </w:pPr>
            <w:r w:rsidRPr="00995C3D">
              <w:rPr>
                <w:rFonts w:cs="Calibri"/>
                <w:color w:val="000000"/>
              </w:rPr>
              <w:t>737</w:t>
            </w:r>
          </w:p>
        </w:tc>
      </w:tr>
      <w:tr w:rsidR="00A7521D" w:rsidRPr="00995C3D" w14:paraId="41F73D0E" w14:textId="77777777" w:rsidTr="00A7521D">
        <w:trPr>
          <w:tblHeader/>
          <w:jc w:val="center"/>
        </w:trPr>
        <w:tc>
          <w:tcPr>
            <w:tcW w:w="2805" w:type="dxa"/>
          </w:tcPr>
          <w:p w14:paraId="0B06D97A" w14:textId="77777777" w:rsidR="00A7521D" w:rsidRPr="00995C3D" w:rsidRDefault="00A7521D" w:rsidP="00A7521D">
            <w:pPr>
              <w:spacing w:after="0" w:line="240" w:lineRule="auto"/>
              <w:jc w:val="center"/>
              <w:rPr>
                <w:rFonts w:cs="Calibri"/>
                <w:color w:val="000000"/>
              </w:rPr>
            </w:pPr>
            <w:r w:rsidRPr="00995C3D">
              <w:rPr>
                <w:rFonts w:cs="Calibri"/>
                <w:color w:val="000000"/>
              </w:rPr>
              <w:t>The boathouse</w:t>
            </w:r>
          </w:p>
        </w:tc>
        <w:tc>
          <w:tcPr>
            <w:tcW w:w="1115" w:type="dxa"/>
          </w:tcPr>
          <w:p w14:paraId="20D1D91E" w14:textId="77777777" w:rsidR="00A7521D" w:rsidRPr="00995C3D" w:rsidRDefault="00A7521D" w:rsidP="00A7521D">
            <w:pPr>
              <w:spacing w:after="0" w:line="240" w:lineRule="auto"/>
              <w:jc w:val="center"/>
            </w:pPr>
            <w:r w:rsidRPr="00995C3D">
              <w:t>DE4 3PP</w:t>
            </w:r>
          </w:p>
        </w:tc>
        <w:tc>
          <w:tcPr>
            <w:tcW w:w="1065" w:type="dxa"/>
          </w:tcPr>
          <w:p w14:paraId="2D83056D" w14:textId="77777777" w:rsidR="00A7521D" w:rsidRPr="00995C3D" w:rsidRDefault="00A7521D" w:rsidP="00A7521D">
            <w:pPr>
              <w:spacing w:after="0" w:line="240" w:lineRule="auto"/>
              <w:jc w:val="center"/>
              <w:rPr>
                <w:rFonts w:cs="Calibri"/>
                <w:color w:val="000000"/>
              </w:rPr>
            </w:pPr>
            <w:r w:rsidRPr="00995C3D">
              <w:rPr>
                <w:rFonts w:cs="Calibri"/>
                <w:color w:val="000000"/>
              </w:rPr>
              <w:t>8</w:t>
            </w:r>
          </w:p>
        </w:tc>
        <w:tc>
          <w:tcPr>
            <w:tcW w:w="1196" w:type="dxa"/>
          </w:tcPr>
          <w:p w14:paraId="167402EA" w14:textId="77777777" w:rsidR="00A7521D" w:rsidRPr="00995C3D" w:rsidRDefault="00A7521D" w:rsidP="00A7521D">
            <w:pPr>
              <w:spacing w:after="0" w:line="240" w:lineRule="auto"/>
              <w:jc w:val="center"/>
              <w:rPr>
                <w:rFonts w:cs="Calibri"/>
                <w:color w:val="000000"/>
              </w:rPr>
            </w:pPr>
            <w:r w:rsidRPr="00995C3D">
              <w:rPr>
                <w:rFonts w:cs="Calibri"/>
                <w:color w:val="000000"/>
              </w:rPr>
              <w:t>435</w:t>
            </w:r>
          </w:p>
        </w:tc>
        <w:tc>
          <w:tcPr>
            <w:tcW w:w="1798" w:type="dxa"/>
          </w:tcPr>
          <w:p w14:paraId="7BA07617" w14:textId="77777777" w:rsidR="00A7521D" w:rsidRPr="00995C3D" w:rsidRDefault="00A7521D" w:rsidP="00A7521D">
            <w:pPr>
              <w:spacing w:after="0" w:line="240" w:lineRule="auto"/>
              <w:jc w:val="center"/>
              <w:rPr>
                <w:rFonts w:cs="Calibri"/>
                <w:color w:val="000000"/>
              </w:rPr>
            </w:pPr>
            <w:r w:rsidRPr="00995C3D">
              <w:rPr>
                <w:rFonts w:cs="Calibri"/>
                <w:color w:val="000000"/>
              </w:rPr>
              <w:t>52</w:t>
            </w:r>
          </w:p>
        </w:tc>
        <w:tc>
          <w:tcPr>
            <w:tcW w:w="1014" w:type="dxa"/>
          </w:tcPr>
          <w:p w14:paraId="55DF3B34" w14:textId="77777777" w:rsidR="00A7521D" w:rsidRPr="00995C3D" w:rsidRDefault="00A7521D" w:rsidP="00A7521D">
            <w:pPr>
              <w:spacing w:after="0" w:line="240" w:lineRule="auto"/>
              <w:jc w:val="center"/>
              <w:rPr>
                <w:rFonts w:cs="Calibri"/>
                <w:color w:val="000000"/>
              </w:rPr>
            </w:pPr>
            <w:r w:rsidRPr="00995C3D">
              <w:rPr>
                <w:rFonts w:cs="Calibri"/>
                <w:color w:val="000000"/>
              </w:rPr>
              <w:t>21</w:t>
            </w:r>
          </w:p>
        </w:tc>
        <w:tc>
          <w:tcPr>
            <w:tcW w:w="844" w:type="dxa"/>
          </w:tcPr>
          <w:p w14:paraId="6FEF14A0" w14:textId="77777777" w:rsidR="00A7521D" w:rsidRPr="00995C3D" w:rsidRDefault="00A7521D" w:rsidP="00A7521D">
            <w:pPr>
              <w:spacing w:after="0" w:line="240" w:lineRule="auto"/>
              <w:jc w:val="center"/>
              <w:rPr>
                <w:rFonts w:cs="Calibri"/>
                <w:color w:val="000000"/>
              </w:rPr>
            </w:pPr>
            <w:r w:rsidRPr="00995C3D">
              <w:rPr>
                <w:rFonts w:cs="Calibri"/>
                <w:color w:val="000000"/>
              </w:rPr>
              <w:t>30</w:t>
            </w:r>
          </w:p>
        </w:tc>
      </w:tr>
      <w:tr w:rsidR="00A7521D" w:rsidRPr="00995C3D" w14:paraId="5CEBA5C6" w14:textId="77777777" w:rsidTr="00A7521D">
        <w:trPr>
          <w:tblHeader/>
          <w:jc w:val="center"/>
        </w:trPr>
        <w:tc>
          <w:tcPr>
            <w:tcW w:w="2805" w:type="dxa"/>
          </w:tcPr>
          <w:p w14:paraId="44EE1089" w14:textId="77777777" w:rsidR="00A7521D" w:rsidRPr="00995C3D" w:rsidRDefault="00A7521D" w:rsidP="00A7521D">
            <w:pPr>
              <w:spacing w:after="0" w:line="240" w:lineRule="auto"/>
              <w:jc w:val="center"/>
              <w:rPr>
                <w:rFonts w:cs="Calibri"/>
                <w:color w:val="000000"/>
              </w:rPr>
            </w:pPr>
            <w:r w:rsidRPr="00995C3D">
              <w:rPr>
                <w:rFonts w:cs="Calibri"/>
                <w:color w:val="000000"/>
              </w:rPr>
              <w:t>Ritz adult education</w:t>
            </w:r>
          </w:p>
        </w:tc>
        <w:tc>
          <w:tcPr>
            <w:tcW w:w="1115" w:type="dxa"/>
          </w:tcPr>
          <w:p w14:paraId="7BFD386C" w14:textId="77777777" w:rsidR="00A7521D" w:rsidRPr="00995C3D" w:rsidRDefault="00A7521D" w:rsidP="00A7521D">
            <w:pPr>
              <w:spacing w:after="0" w:line="240" w:lineRule="auto"/>
              <w:jc w:val="center"/>
            </w:pPr>
            <w:r w:rsidRPr="00995C3D">
              <w:t>DE4 3DP</w:t>
            </w:r>
          </w:p>
        </w:tc>
        <w:tc>
          <w:tcPr>
            <w:tcW w:w="1065" w:type="dxa"/>
          </w:tcPr>
          <w:p w14:paraId="3C6A9393" w14:textId="77777777" w:rsidR="00A7521D" w:rsidRPr="00995C3D" w:rsidRDefault="00A7521D" w:rsidP="00A7521D">
            <w:pPr>
              <w:spacing w:after="0" w:line="240" w:lineRule="auto"/>
              <w:jc w:val="center"/>
              <w:rPr>
                <w:rFonts w:cs="Calibri"/>
                <w:color w:val="000000"/>
              </w:rPr>
            </w:pPr>
            <w:r w:rsidRPr="00995C3D">
              <w:rPr>
                <w:rFonts w:cs="Calibri"/>
                <w:color w:val="000000"/>
              </w:rPr>
              <w:t>1</w:t>
            </w:r>
          </w:p>
        </w:tc>
        <w:tc>
          <w:tcPr>
            <w:tcW w:w="1196" w:type="dxa"/>
          </w:tcPr>
          <w:p w14:paraId="5FAC507B" w14:textId="77777777" w:rsidR="00A7521D" w:rsidRPr="00995C3D" w:rsidRDefault="00A7521D" w:rsidP="00A7521D">
            <w:pPr>
              <w:spacing w:after="0" w:line="240" w:lineRule="auto"/>
              <w:jc w:val="center"/>
              <w:rPr>
                <w:rFonts w:cs="Calibri"/>
                <w:color w:val="000000"/>
              </w:rPr>
            </w:pPr>
            <w:r w:rsidRPr="00995C3D">
              <w:rPr>
                <w:rFonts w:cs="Calibri"/>
                <w:color w:val="000000"/>
              </w:rPr>
              <w:t>2</w:t>
            </w:r>
            <w:r>
              <w:rPr>
                <w:rFonts w:cs="Calibri"/>
                <w:color w:val="000000"/>
              </w:rPr>
              <w:t>,</w:t>
            </w:r>
            <w:r w:rsidRPr="00995C3D">
              <w:rPr>
                <w:rFonts w:cs="Calibri"/>
                <w:color w:val="000000"/>
              </w:rPr>
              <w:t>493</w:t>
            </w:r>
          </w:p>
        </w:tc>
        <w:tc>
          <w:tcPr>
            <w:tcW w:w="1798" w:type="dxa"/>
          </w:tcPr>
          <w:p w14:paraId="709875F7" w14:textId="77777777" w:rsidR="00A7521D" w:rsidRPr="00995C3D" w:rsidRDefault="00A7521D" w:rsidP="00A7521D">
            <w:pPr>
              <w:spacing w:after="0" w:line="240" w:lineRule="auto"/>
              <w:jc w:val="center"/>
              <w:rPr>
                <w:rFonts w:cs="Calibri"/>
                <w:color w:val="000000"/>
              </w:rPr>
            </w:pPr>
            <w:r w:rsidRPr="00995C3D">
              <w:rPr>
                <w:rFonts w:cs="Calibri"/>
                <w:color w:val="000000"/>
              </w:rPr>
              <w:t>270</w:t>
            </w:r>
          </w:p>
        </w:tc>
        <w:tc>
          <w:tcPr>
            <w:tcW w:w="1014" w:type="dxa"/>
          </w:tcPr>
          <w:p w14:paraId="23F28B87" w14:textId="77777777" w:rsidR="00A7521D" w:rsidRPr="00995C3D" w:rsidRDefault="00A7521D" w:rsidP="00A7521D">
            <w:pPr>
              <w:spacing w:after="0" w:line="240" w:lineRule="auto"/>
              <w:jc w:val="center"/>
              <w:rPr>
                <w:rFonts w:cs="Calibri"/>
                <w:color w:val="000000"/>
              </w:rPr>
            </w:pPr>
            <w:r w:rsidRPr="00995C3D">
              <w:rPr>
                <w:rFonts w:cs="Calibri"/>
                <w:color w:val="000000"/>
              </w:rPr>
              <w:t>106</w:t>
            </w:r>
          </w:p>
        </w:tc>
        <w:tc>
          <w:tcPr>
            <w:tcW w:w="844" w:type="dxa"/>
          </w:tcPr>
          <w:p w14:paraId="2ADF8B31" w14:textId="77777777" w:rsidR="00A7521D" w:rsidRPr="00995C3D" w:rsidRDefault="00A7521D" w:rsidP="00A7521D">
            <w:pPr>
              <w:spacing w:after="0" w:line="240" w:lineRule="auto"/>
              <w:jc w:val="center"/>
              <w:rPr>
                <w:rFonts w:cs="Calibri"/>
                <w:color w:val="000000"/>
              </w:rPr>
            </w:pPr>
            <w:r w:rsidRPr="00995C3D">
              <w:rPr>
                <w:rFonts w:cs="Calibri"/>
                <w:color w:val="000000"/>
              </w:rPr>
              <w:t>473</w:t>
            </w:r>
          </w:p>
        </w:tc>
      </w:tr>
      <w:tr w:rsidR="00A7521D" w:rsidRPr="00995C3D" w14:paraId="33B512F5" w14:textId="77777777" w:rsidTr="00A7521D">
        <w:trPr>
          <w:tblHeader/>
          <w:jc w:val="center"/>
        </w:trPr>
        <w:tc>
          <w:tcPr>
            <w:tcW w:w="2805" w:type="dxa"/>
          </w:tcPr>
          <w:p w14:paraId="57438800" w14:textId="77777777" w:rsidR="00A7521D" w:rsidRPr="00995C3D" w:rsidRDefault="00A7521D" w:rsidP="00A7521D">
            <w:pPr>
              <w:spacing w:after="0" w:line="240" w:lineRule="auto"/>
              <w:jc w:val="center"/>
              <w:rPr>
                <w:rFonts w:cs="Calibri"/>
                <w:color w:val="000000"/>
              </w:rPr>
            </w:pPr>
            <w:r w:rsidRPr="00995C3D">
              <w:rPr>
                <w:rFonts w:cs="Calibri"/>
                <w:color w:val="000000"/>
              </w:rPr>
              <w:t>Peak rail</w:t>
            </w:r>
          </w:p>
        </w:tc>
        <w:tc>
          <w:tcPr>
            <w:tcW w:w="1115" w:type="dxa"/>
          </w:tcPr>
          <w:p w14:paraId="54C5577E" w14:textId="77777777" w:rsidR="00A7521D" w:rsidRPr="00995C3D" w:rsidRDefault="00A7521D" w:rsidP="00A7521D">
            <w:pPr>
              <w:spacing w:after="0" w:line="240" w:lineRule="auto"/>
              <w:jc w:val="center"/>
            </w:pPr>
            <w:r w:rsidRPr="00995C3D">
              <w:t>DE4 3NA</w:t>
            </w:r>
          </w:p>
        </w:tc>
        <w:tc>
          <w:tcPr>
            <w:tcW w:w="1065" w:type="dxa"/>
          </w:tcPr>
          <w:p w14:paraId="31BA6167" w14:textId="77777777" w:rsidR="00A7521D" w:rsidRPr="00995C3D" w:rsidRDefault="00A7521D" w:rsidP="00A7521D">
            <w:pPr>
              <w:spacing w:after="0" w:line="240" w:lineRule="auto"/>
              <w:jc w:val="center"/>
              <w:rPr>
                <w:rFonts w:cs="Calibri"/>
                <w:color w:val="000000"/>
              </w:rPr>
            </w:pPr>
            <w:r w:rsidRPr="00995C3D">
              <w:rPr>
                <w:rFonts w:cs="Calibri"/>
                <w:color w:val="000000"/>
              </w:rPr>
              <w:t>10</w:t>
            </w:r>
          </w:p>
        </w:tc>
        <w:tc>
          <w:tcPr>
            <w:tcW w:w="1196" w:type="dxa"/>
          </w:tcPr>
          <w:p w14:paraId="56378415" w14:textId="0A7551B2" w:rsidR="00A7521D" w:rsidRPr="00995C3D" w:rsidRDefault="006C2BA2" w:rsidP="00A7521D">
            <w:pPr>
              <w:spacing w:after="0" w:line="240" w:lineRule="auto"/>
              <w:jc w:val="center"/>
              <w:rPr>
                <w:rFonts w:cs="Calibri"/>
                <w:color w:val="000000"/>
              </w:rPr>
            </w:pPr>
            <w:r>
              <w:rPr>
                <w:rFonts w:cs="Calibri"/>
                <w:color w:val="000000"/>
              </w:rPr>
              <w:t>-</w:t>
            </w:r>
          </w:p>
        </w:tc>
        <w:tc>
          <w:tcPr>
            <w:tcW w:w="1798" w:type="dxa"/>
          </w:tcPr>
          <w:p w14:paraId="2AD30767" w14:textId="15CE2A1E" w:rsidR="00A7521D" w:rsidRPr="00995C3D" w:rsidRDefault="006C2BA2" w:rsidP="00A7521D">
            <w:pPr>
              <w:spacing w:after="0" w:line="240" w:lineRule="auto"/>
              <w:jc w:val="center"/>
              <w:rPr>
                <w:rFonts w:cs="Calibri"/>
                <w:color w:val="000000"/>
              </w:rPr>
            </w:pPr>
            <w:r>
              <w:rPr>
                <w:rFonts w:cs="Calibri"/>
                <w:color w:val="000000"/>
              </w:rPr>
              <w:t>-</w:t>
            </w:r>
          </w:p>
        </w:tc>
        <w:tc>
          <w:tcPr>
            <w:tcW w:w="1014" w:type="dxa"/>
          </w:tcPr>
          <w:p w14:paraId="7CCFB1DD" w14:textId="2BD7884F" w:rsidR="00A7521D" w:rsidRPr="00995C3D" w:rsidRDefault="006C2BA2" w:rsidP="00A7521D">
            <w:pPr>
              <w:spacing w:after="0" w:line="240" w:lineRule="auto"/>
              <w:jc w:val="center"/>
              <w:rPr>
                <w:rFonts w:cs="Calibri"/>
                <w:color w:val="000000"/>
              </w:rPr>
            </w:pPr>
            <w:r>
              <w:rPr>
                <w:rFonts w:cs="Calibri"/>
                <w:color w:val="000000"/>
              </w:rPr>
              <w:t>-</w:t>
            </w:r>
          </w:p>
        </w:tc>
        <w:tc>
          <w:tcPr>
            <w:tcW w:w="844" w:type="dxa"/>
          </w:tcPr>
          <w:p w14:paraId="46E75502" w14:textId="20655D1C" w:rsidR="00A7521D" w:rsidRPr="00995C3D" w:rsidRDefault="006C2BA2" w:rsidP="00A7521D">
            <w:pPr>
              <w:spacing w:after="0" w:line="240" w:lineRule="auto"/>
              <w:jc w:val="center"/>
              <w:rPr>
                <w:rFonts w:cs="Calibri"/>
                <w:color w:val="000000"/>
              </w:rPr>
            </w:pPr>
            <w:r>
              <w:rPr>
                <w:rFonts w:cs="Calibri"/>
                <w:color w:val="000000"/>
              </w:rPr>
              <w:t>-</w:t>
            </w:r>
          </w:p>
        </w:tc>
      </w:tr>
      <w:tr w:rsidR="00A7521D" w:rsidRPr="00995C3D" w14:paraId="356523AB" w14:textId="77777777" w:rsidTr="00A7521D">
        <w:trPr>
          <w:tblHeader/>
          <w:jc w:val="center"/>
        </w:trPr>
        <w:tc>
          <w:tcPr>
            <w:tcW w:w="2805" w:type="dxa"/>
          </w:tcPr>
          <w:p w14:paraId="44A503B1" w14:textId="77777777" w:rsidR="00A7521D" w:rsidRPr="00995C3D" w:rsidRDefault="00A7521D" w:rsidP="00A7521D">
            <w:pPr>
              <w:spacing w:after="0" w:line="240" w:lineRule="auto"/>
              <w:jc w:val="center"/>
              <w:rPr>
                <w:rFonts w:cs="Calibri"/>
                <w:color w:val="000000"/>
              </w:rPr>
            </w:pPr>
            <w:r w:rsidRPr="00995C3D">
              <w:rPr>
                <w:rFonts w:cs="Calibri"/>
                <w:color w:val="000000"/>
              </w:rPr>
              <w:t>Royal oak</w:t>
            </w:r>
          </w:p>
        </w:tc>
        <w:tc>
          <w:tcPr>
            <w:tcW w:w="1115" w:type="dxa"/>
          </w:tcPr>
          <w:p w14:paraId="098B6A1B" w14:textId="77777777" w:rsidR="00A7521D" w:rsidRPr="00995C3D" w:rsidRDefault="00A7521D" w:rsidP="00A7521D">
            <w:pPr>
              <w:spacing w:after="0" w:line="240" w:lineRule="auto"/>
              <w:jc w:val="center"/>
            </w:pPr>
            <w:r w:rsidRPr="00995C3D">
              <w:t>DE4 5FY</w:t>
            </w:r>
          </w:p>
        </w:tc>
        <w:tc>
          <w:tcPr>
            <w:tcW w:w="1065" w:type="dxa"/>
          </w:tcPr>
          <w:p w14:paraId="44724841" w14:textId="77777777" w:rsidR="00A7521D" w:rsidRPr="00995C3D" w:rsidRDefault="00A7521D" w:rsidP="00A7521D">
            <w:pPr>
              <w:spacing w:after="0" w:line="240" w:lineRule="auto"/>
              <w:jc w:val="center"/>
              <w:rPr>
                <w:rFonts w:cs="Calibri"/>
                <w:color w:val="000000"/>
              </w:rPr>
            </w:pPr>
            <w:r w:rsidRPr="00995C3D">
              <w:rPr>
                <w:rFonts w:cs="Calibri"/>
                <w:color w:val="000000"/>
              </w:rPr>
              <w:t>8</w:t>
            </w:r>
          </w:p>
        </w:tc>
        <w:tc>
          <w:tcPr>
            <w:tcW w:w="1196" w:type="dxa"/>
          </w:tcPr>
          <w:p w14:paraId="6F4AB329" w14:textId="77777777" w:rsidR="00A7521D" w:rsidRPr="00995C3D" w:rsidRDefault="00A7521D" w:rsidP="00A7521D">
            <w:pPr>
              <w:spacing w:after="0" w:line="240" w:lineRule="auto"/>
              <w:jc w:val="center"/>
              <w:rPr>
                <w:rFonts w:cs="Calibri"/>
                <w:color w:val="000000"/>
              </w:rPr>
            </w:pPr>
            <w:r w:rsidRPr="00995C3D">
              <w:rPr>
                <w:rFonts w:cs="Calibri"/>
                <w:color w:val="000000"/>
              </w:rPr>
              <w:t>319</w:t>
            </w:r>
          </w:p>
        </w:tc>
        <w:tc>
          <w:tcPr>
            <w:tcW w:w="1798" w:type="dxa"/>
          </w:tcPr>
          <w:p w14:paraId="1FC82C06" w14:textId="77777777" w:rsidR="00A7521D" w:rsidRPr="00995C3D" w:rsidRDefault="00A7521D" w:rsidP="00A7521D">
            <w:pPr>
              <w:spacing w:after="0" w:line="240" w:lineRule="auto"/>
              <w:jc w:val="center"/>
              <w:rPr>
                <w:rFonts w:cs="Calibri"/>
                <w:color w:val="000000"/>
              </w:rPr>
            </w:pPr>
            <w:r w:rsidRPr="00995C3D">
              <w:rPr>
                <w:rFonts w:cs="Calibri"/>
                <w:color w:val="000000"/>
              </w:rPr>
              <w:t>38</w:t>
            </w:r>
          </w:p>
        </w:tc>
        <w:tc>
          <w:tcPr>
            <w:tcW w:w="1014" w:type="dxa"/>
          </w:tcPr>
          <w:p w14:paraId="5D4DAD08" w14:textId="77777777" w:rsidR="00A7521D" w:rsidRPr="00995C3D" w:rsidRDefault="00A7521D" w:rsidP="00A7521D">
            <w:pPr>
              <w:spacing w:after="0" w:line="240" w:lineRule="auto"/>
              <w:jc w:val="center"/>
              <w:rPr>
                <w:rFonts w:cs="Calibri"/>
                <w:color w:val="000000"/>
              </w:rPr>
            </w:pPr>
            <w:r w:rsidRPr="00995C3D">
              <w:rPr>
                <w:rFonts w:cs="Calibri"/>
                <w:color w:val="000000"/>
              </w:rPr>
              <w:t>15</w:t>
            </w:r>
          </w:p>
        </w:tc>
        <w:tc>
          <w:tcPr>
            <w:tcW w:w="844" w:type="dxa"/>
          </w:tcPr>
          <w:p w14:paraId="07F3F75B" w14:textId="77777777" w:rsidR="00A7521D" w:rsidRPr="00995C3D" w:rsidRDefault="00A7521D" w:rsidP="00A7521D">
            <w:pPr>
              <w:spacing w:after="0" w:line="240" w:lineRule="auto"/>
              <w:jc w:val="center"/>
              <w:rPr>
                <w:rFonts w:cs="Calibri"/>
                <w:color w:val="000000"/>
              </w:rPr>
            </w:pPr>
            <w:r w:rsidRPr="00995C3D">
              <w:rPr>
                <w:rFonts w:cs="Calibri"/>
                <w:color w:val="000000"/>
              </w:rPr>
              <w:t>22</w:t>
            </w:r>
          </w:p>
        </w:tc>
      </w:tr>
      <w:tr w:rsidR="00A7521D" w:rsidRPr="00995C3D" w14:paraId="00D89EAA" w14:textId="77777777" w:rsidTr="00A7521D">
        <w:trPr>
          <w:tblHeader/>
          <w:jc w:val="center"/>
        </w:trPr>
        <w:tc>
          <w:tcPr>
            <w:tcW w:w="2805" w:type="dxa"/>
          </w:tcPr>
          <w:p w14:paraId="04162726" w14:textId="77777777" w:rsidR="00A7521D" w:rsidRPr="00995C3D" w:rsidRDefault="00A7521D" w:rsidP="00A7521D">
            <w:pPr>
              <w:spacing w:after="0" w:line="240" w:lineRule="auto"/>
              <w:jc w:val="center"/>
              <w:rPr>
                <w:rFonts w:cs="Calibri"/>
                <w:color w:val="000000"/>
              </w:rPr>
            </w:pPr>
            <w:r w:rsidRPr="00995C3D">
              <w:rPr>
                <w:rFonts w:cs="Calibri"/>
                <w:color w:val="000000"/>
              </w:rPr>
              <w:t>The tavern</w:t>
            </w:r>
          </w:p>
        </w:tc>
        <w:tc>
          <w:tcPr>
            <w:tcW w:w="1115" w:type="dxa"/>
          </w:tcPr>
          <w:p w14:paraId="60E88FFB" w14:textId="77777777" w:rsidR="00A7521D" w:rsidRPr="00995C3D" w:rsidRDefault="00A7521D" w:rsidP="00A7521D">
            <w:pPr>
              <w:spacing w:after="0" w:line="240" w:lineRule="auto"/>
              <w:jc w:val="center"/>
            </w:pPr>
            <w:r w:rsidRPr="00995C3D">
              <w:t>DE4 5FR</w:t>
            </w:r>
          </w:p>
        </w:tc>
        <w:tc>
          <w:tcPr>
            <w:tcW w:w="1065" w:type="dxa"/>
          </w:tcPr>
          <w:p w14:paraId="54E86C58" w14:textId="77777777" w:rsidR="00A7521D" w:rsidRPr="00995C3D" w:rsidRDefault="00A7521D" w:rsidP="00A7521D">
            <w:pPr>
              <w:spacing w:after="0" w:line="240" w:lineRule="auto"/>
              <w:jc w:val="center"/>
              <w:rPr>
                <w:rFonts w:cs="Calibri"/>
                <w:color w:val="000000"/>
              </w:rPr>
            </w:pPr>
            <w:r w:rsidRPr="00995C3D">
              <w:rPr>
                <w:rFonts w:cs="Calibri"/>
                <w:color w:val="000000"/>
              </w:rPr>
              <w:t>8</w:t>
            </w:r>
          </w:p>
        </w:tc>
        <w:tc>
          <w:tcPr>
            <w:tcW w:w="1196" w:type="dxa"/>
          </w:tcPr>
          <w:p w14:paraId="739155D7" w14:textId="77777777" w:rsidR="00A7521D" w:rsidRPr="00995C3D" w:rsidRDefault="00A7521D" w:rsidP="00A7521D">
            <w:pPr>
              <w:spacing w:after="0" w:line="240" w:lineRule="auto"/>
              <w:jc w:val="center"/>
              <w:rPr>
                <w:rFonts w:cs="Calibri"/>
                <w:color w:val="000000"/>
              </w:rPr>
            </w:pPr>
            <w:r w:rsidRPr="00995C3D">
              <w:rPr>
                <w:rFonts w:cs="Calibri"/>
                <w:color w:val="000000"/>
              </w:rPr>
              <w:t>452</w:t>
            </w:r>
          </w:p>
        </w:tc>
        <w:tc>
          <w:tcPr>
            <w:tcW w:w="1798" w:type="dxa"/>
          </w:tcPr>
          <w:p w14:paraId="29970C32" w14:textId="77777777" w:rsidR="00A7521D" w:rsidRPr="00995C3D" w:rsidRDefault="00A7521D" w:rsidP="00A7521D">
            <w:pPr>
              <w:spacing w:after="0" w:line="240" w:lineRule="auto"/>
              <w:jc w:val="center"/>
              <w:rPr>
                <w:rFonts w:cs="Calibri"/>
                <w:color w:val="000000"/>
              </w:rPr>
            </w:pPr>
            <w:r w:rsidRPr="00995C3D">
              <w:rPr>
                <w:rFonts w:cs="Calibri"/>
                <w:color w:val="000000"/>
              </w:rPr>
              <w:t>54</w:t>
            </w:r>
          </w:p>
        </w:tc>
        <w:tc>
          <w:tcPr>
            <w:tcW w:w="1014" w:type="dxa"/>
          </w:tcPr>
          <w:p w14:paraId="22BBB401" w14:textId="77777777" w:rsidR="00A7521D" w:rsidRPr="00995C3D" w:rsidRDefault="00A7521D" w:rsidP="00A7521D">
            <w:pPr>
              <w:spacing w:after="0" w:line="240" w:lineRule="auto"/>
              <w:jc w:val="center"/>
              <w:rPr>
                <w:rFonts w:cs="Calibri"/>
                <w:color w:val="000000"/>
              </w:rPr>
            </w:pPr>
            <w:r w:rsidRPr="00995C3D">
              <w:rPr>
                <w:rFonts w:cs="Calibri"/>
                <w:color w:val="000000"/>
              </w:rPr>
              <w:t>22</w:t>
            </w:r>
          </w:p>
        </w:tc>
        <w:tc>
          <w:tcPr>
            <w:tcW w:w="844" w:type="dxa"/>
          </w:tcPr>
          <w:p w14:paraId="15F55C0A" w14:textId="77777777" w:rsidR="00A7521D" w:rsidRPr="00995C3D" w:rsidRDefault="00A7521D" w:rsidP="00A7521D">
            <w:pPr>
              <w:spacing w:after="0" w:line="240" w:lineRule="auto"/>
              <w:jc w:val="center"/>
              <w:rPr>
                <w:rFonts w:cs="Calibri"/>
                <w:color w:val="000000"/>
              </w:rPr>
            </w:pPr>
            <w:r w:rsidRPr="00995C3D">
              <w:rPr>
                <w:rFonts w:cs="Calibri"/>
                <w:color w:val="000000"/>
              </w:rPr>
              <w:t>31</w:t>
            </w:r>
          </w:p>
        </w:tc>
      </w:tr>
      <w:tr w:rsidR="00A7521D" w:rsidRPr="00995C3D" w14:paraId="0D58A8B1" w14:textId="77777777" w:rsidTr="00A7521D">
        <w:trPr>
          <w:tblHeader/>
          <w:jc w:val="center"/>
        </w:trPr>
        <w:tc>
          <w:tcPr>
            <w:tcW w:w="2805" w:type="dxa"/>
          </w:tcPr>
          <w:p w14:paraId="114B879F" w14:textId="77777777" w:rsidR="00A7521D" w:rsidRPr="00995C3D" w:rsidRDefault="00A7521D" w:rsidP="00A7521D">
            <w:pPr>
              <w:spacing w:after="0" w:line="240" w:lineRule="auto"/>
              <w:jc w:val="center"/>
              <w:rPr>
                <w:rFonts w:cs="Calibri"/>
                <w:color w:val="000000"/>
              </w:rPr>
            </w:pPr>
            <w:r w:rsidRPr="00995C3D">
              <w:rPr>
                <w:rFonts w:cs="Calibri"/>
                <w:color w:val="000000"/>
              </w:rPr>
              <w:t>Matlock garden centre</w:t>
            </w:r>
          </w:p>
        </w:tc>
        <w:tc>
          <w:tcPr>
            <w:tcW w:w="1115" w:type="dxa"/>
          </w:tcPr>
          <w:p w14:paraId="199EAA85" w14:textId="77777777" w:rsidR="00A7521D" w:rsidRPr="00995C3D" w:rsidRDefault="00A7521D" w:rsidP="00A7521D">
            <w:pPr>
              <w:spacing w:after="0" w:line="240" w:lineRule="auto"/>
              <w:jc w:val="center"/>
            </w:pPr>
            <w:r w:rsidRPr="00995C3D">
              <w:t>DE4 5FR</w:t>
            </w:r>
          </w:p>
        </w:tc>
        <w:tc>
          <w:tcPr>
            <w:tcW w:w="1065" w:type="dxa"/>
          </w:tcPr>
          <w:p w14:paraId="7700616E" w14:textId="77777777" w:rsidR="00A7521D" w:rsidRPr="00995C3D" w:rsidRDefault="00A7521D" w:rsidP="00A7521D">
            <w:pPr>
              <w:spacing w:after="0" w:line="240" w:lineRule="auto"/>
              <w:jc w:val="center"/>
              <w:rPr>
                <w:rFonts w:cs="Calibri"/>
                <w:color w:val="000000"/>
              </w:rPr>
            </w:pPr>
            <w:r w:rsidRPr="00995C3D">
              <w:rPr>
                <w:rFonts w:cs="Calibri"/>
                <w:color w:val="000000"/>
              </w:rPr>
              <w:t>3</w:t>
            </w:r>
          </w:p>
        </w:tc>
        <w:tc>
          <w:tcPr>
            <w:tcW w:w="1196" w:type="dxa"/>
          </w:tcPr>
          <w:p w14:paraId="64A6A87D" w14:textId="77777777" w:rsidR="00A7521D" w:rsidRPr="00995C3D" w:rsidRDefault="00A7521D" w:rsidP="00A7521D">
            <w:pPr>
              <w:spacing w:after="0" w:line="240" w:lineRule="auto"/>
              <w:jc w:val="center"/>
              <w:rPr>
                <w:rFonts w:cs="Calibri"/>
                <w:color w:val="000000"/>
              </w:rPr>
            </w:pPr>
            <w:r w:rsidRPr="00995C3D">
              <w:rPr>
                <w:rFonts w:cs="Calibri"/>
                <w:color w:val="000000"/>
              </w:rPr>
              <w:t>2</w:t>
            </w:r>
            <w:r>
              <w:rPr>
                <w:rFonts w:cs="Calibri"/>
                <w:color w:val="000000"/>
              </w:rPr>
              <w:t>,</w:t>
            </w:r>
            <w:r w:rsidRPr="00995C3D">
              <w:rPr>
                <w:rFonts w:cs="Calibri"/>
                <w:color w:val="000000"/>
              </w:rPr>
              <w:t>388</w:t>
            </w:r>
          </w:p>
        </w:tc>
        <w:tc>
          <w:tcPr>
            <w:tcW w:w="1798" w:type="dxa"/>
          </w:tcPr>
          <w:p w14:paraId="689ABED1" w14:textId="77777777" w:rsidR="00A7521D" w:rsidRPr="00995C3D" w:rsidRDefault="00A7521D" w:rsidP="00A7521D">
            <w:pPr>
              <w:spacing w:after="0" w:line="240" w:lineRule="auto"/>
              <w:jc w:val="center"/>
              <w:rPr>
                <w:rFonts w:cs="Calibri"/>
                <w:color w:val="000000"/>
              </w:rPr>
            </w:pPr>
            <w:r w:rsidRPr="00995C3D">
              <w:rPr>
                <w:rFonts w:cs="Calibri"/>
                <w:color w:val="000000"/>
              </w:rPr>
              <w:t>8</w:t>
            </w:r>
          </w:p>
        </w:tc>
        <w:tc>
          <w:tcPr>
            <w:tcW w:w="1014" w:type="dxa"/>
          </w:tcPr>
          <w:p w14:paraId="139737FD" w14:textId="77777777" w:rsidR="00A7521D" w:rsidRPr="00995C3D" w:rsidRDefault="00A7521D" w:rsidP="00A7521D">
            <w:pPr>
              <w:spacing w:after="0" w:line="240" w:lineRule="auto"/>
              <w:jc w:val="center"/>
              <w:rPr>
                <w:rFonts w:cs="Calibri"/>
                <w:color w:val="000000"/>
              </w:rPr>
            </w:pPr>
            <w:r w:rsidRPr="00995C3D">
              <w:rPr>
                <w:rFonts w:cs="Calibri"/>
                <w:color w:val="000000"/>
              </w:rPr>
              <w:t>2</w:t>
            </w:r>
          </w:p>
        </w:tc>
        <w:tc>
          <w:tcPr>
            <w:tcW w:w="844" w:type="dxa"/>
          </w:tcPr>
          <w:p w14:paraId="2B4B9324" w14:textId="77777777" w:rsidR="00A7521D" w:rsidRPr="00995C3D" w:rsidRDefault="00A7521D" w:rsidP="00A7521D">
            <w:pPr>
              <w:spacing w:after="0" w:line="240" w:lineRule="auto"/>
              <w:jc w:val="center"/>
              <w:rPr>
                <w:rFonts w:cs="Calibri"/>
                <w:color w:val="000000"/>
              </w:rPr>
            </w:pPr>
            <w:r w:rsidRPr="00995C3D">
              <w:rPr>
                <w:rFonts w:cs="Calibri"/>
                <w:color w:val="000000"/>
              </w:rPr>
              <w:t>5</w:t>
            </w:r>
          </w:p>
        </w:tc>
      </w:tr>
      <w:tr w:rsidR="00A7521D" w:rsidRPr="00995C3D" w14:paraId="47E99BBD" w14:textId="77777777" w:rsidTr="00A7521D">
        <w:trPr>
          <w:tblHeader/>
          <w:jc w:val="center"/>
        </w:trPr>
        <w:tc>
          <w:tcPr>
            <w:tcW w:w="2805" w:type="dxa"/>
          </w:tcPr>
          <w:p w14:paraId="1D4C5543" w14:textId="77777777" w:rsidR="00A7521D" w:rsidRPr="00995C3D" w:rsidRDefault="00A7521D" w:rsidP="00A7521D">
            <w:pPr>
              <w:spacing w:after="0" w:line="240" w:lineRule="auto"/>
              <w:jc w:val="center"/>
              <w:rPr>
                <w:rFonts w:cs="Calibri"/>
                <w:color w:val="000000"/>
              </w:rPr>
            </w:pPr>
            <w:r w:rsidRPr="00995C3D">
              <w:rPr>
                <w:rFonts w:cs="Calibri"/>
                <w:color w:val="000000"/>
              </w:rPr>
              <w:t>The Gate Inn</w:t>
            </w:r>
          </w:p>
        </w:tc>
        <w:tc>
          <w:tcPr>
            <w:tcW w:w="1115" w:type="dxa"/>
          </w:tcPr>
          <w:p w14:paraId="146F9F58" w14:textId="77777777" w:rsidR="00A7521D" w:rsidRPr="00995C3D" w:rsidRDefault="00A7521D" w:rsidP="00A7521D">
            <w:pPr>
              <w:spacing w:after="0" w:line="240" w:lineRule="auto"/>
              <w:jc w:val="center"/>
            </w:pPr>
            <w:r w:rsidRPr="00995C3D">
              <w:t>DE4 5FN</w:t>
            </w:r>
          </w:p>
        </w:tc>
        <w:tc>
          <w:tcPr>
            <w:tcW w:w="1065" w:type="dxa"/>
          </w:tcPr>
          <w:p w14:paraId="1940A8B2" w14:textId="77777777" w:rsidR="00A7521D" w:rsidRPr="00995C3D" w:rsidRDefault="00A7521D" w:rsidP="00A7521D">
            <w:pPr>
              <w:spacing w:after="0" w:line="240" w:lineRule="auto"/>
              <w:jc w:val="center"/>
              <w:rPr>
                <w:rFonts w:cs="Calibri"/>
                <w:color w:val="000000"/>
              </w:rPr>
            </w:pPr>
            <w:r w:rsidRPr="00995C3D">
              <w:rPr>
                <w:rFonts w:cs="Calibri"/>
                <w:color w:val="000000"/>
              </w:rPr>
              <w:t>8</w:t>
            </w:r>
          </w:p>
        </w:tc>
        <w:tc>
          <w:tcPr>
            <w:tcW w:w="1196" w:type="dxa"/>
          </w:tcPr>
          <w:p w14:paraId="60947134" w14:textId="77777777" w:rsidR="00A7521D" w:rsidRPr="00995C3D" w:rsidRDefault="00A7521D" w:rsidP="00A7521D">
            <w:pPr>
              <w:spacing w:after="0" w:line="240" w:lineRule="auto"/>
              <w:jc w:val="center"/>
              <w:rPr>
                <w:rFonts w:cs="Calibri"/>
                <w:color w:val="000000"/>
              </w:rPr>
            </w:pPr>
            <w:r w:rsidRPr="00995C3D">
              <w:rPr>
                <w:rFonts w:cs="Calibri"/>
                <w:color w:val="000000"/>
              </w:rPr>
              <w:t>488</w:t>
            </w:r>
          </w:p>
        </w:tc>
        <w:tc>
          <w:tcPr>
            <w:tcW w:w="1798" w:type="dxa"/>
          </w:tcPr>
          <w:p w14:paraId="39C7CF1A" w14:textId="77777777" w:rsidR="00A7521D" w:rsidRPr="00995C3D" w:rsidRDefault="00A7521D" w:rsidP="00A7521D">
            <w:pPr>
              <w:spacing w:after="0" w:line="240" w:lineRule="auto"/>
              <w:jc w:val="center"/>
              <w:rPr>
                <w:rFonts w:cs="Calibri"/>
                <w:color w:val="000000"/>
              </w:rPr>
            </w:pPr>
            <w:r w:rsidRPr="00995C3D">
              <w:rPr>
                <w:rFonts w:cs="Calibri"/>
                <w:color w:val="000000"/>
              </w:rPr>
              <w:t>58</w:t>
            </w:r>
          </w:p>
        </w:tc>
        <w:tc>
          <w:tcPr>
            <w:tcW w:w="1014" w:type="dxa"/>
          </w:tcPr>
          <w:p w14:paraId="4160F1E9" w14:textId="77777777" w:rsidR="00A7521D" w:rsidRPr="00995C3D" w:rsidRDefault="00A7521D" w:rsidP="00A7521D">
            <w:pPr>
              <w:spacing w:after="0" w:line="240" w:lineRule="auto"/>
              <w:jc w:val="center"/>
              <w:rPr>
                <w:rFonts w:cs="Calibri"/>
                <w:color w:val="000000"/>
              </w:rPr>
            </w:pPr>
            <w:r w:rsidRPr="00995C3D">
              <w:rPr>
                <w:rFonts w:cs="Calibri"/>
                <w:color w:val="000000"/>
              </w:rPr>
              <w:t>23</w:t>
            </w:r>
          </w:p>
        </w:tc>
        <w:tc>
          <w:tcPr>
            <w:tcW w:w="844" w:type="dxa"/>
          </w:tcPr>
          <w:p w14:paraId="3F2D4CD7" w14:textId="77777777" w:rsidR="00A7521D" w:rsidRPr="00995C3D" w:rsidRDefault="00A7521D" w:rsidP="00A7521D">
            <w:pPr>
              <w:spacing w:after="0" w:line="240" w:lineRule="auto"/>
              <w:jc w:val="center"/>
              <w:rPr>
                <w:rFonts w:cs="Calibri"/>
                <w:color w:val="000000"/>
              </w:rPr>
            </w:pPr>
            <w:r w:rsidRPr="00995C3D">
              <w:rPr>
                <w:rFonts w:cs="Calibri"/>
                <w:color w:val="000000"/>
              </w:rPr>
              <w:t>33</w:t>
            </w:r>
          </w:p>
        </w:tc>
      </w:tr>
      <w:tr w:rsidR="00A7521D" w:rsidRPr="00995C3D" w14:paraId="68028295" w14:textId="77777777" w:rsidTr="00A7521D">
        <w:trPr>
          <w:tblHeader/>
          <w:jc w:val="center"/>
        </w:trPr>
        <w:tc>
          <w:tcPr>
            <w:tcW w:w="2805" w:type="dxa"/>
          </w:tcPr>
          <w:p w14:paraId="68086E03" w14:textId="77777777" w:rsidR="00A7521D" w:rsidRPr="00995C3D" w:rsidRDefault="00A7521D" w:rsidP="00A7521D">
            <w:pPr>
              <w:spacing w:after="0" w:line="240" w:lineRule="auto"/>
              <w:jc w:val="center"/>
              <w:rPr>
                <w:rFonts w:cs="Calibri"/>
                <w:color w:val="000000"/>
              </w:rPr>
            </w:pPr>
            <w:r w:rsidRPr="00995C3D">
              <w:rPr>
                <w:rFonts w:cs="Calibri"/>
                <w:color w:val="000000"/>
              </w:rPr>
              <w:t>Miscellaneous warehouse</w:t>
            </w:r>
            <w:r>
              <w:rPr>
                <w:rFonts w:cs="Calibri"/>
                <w:color w:val="000000"/>
              </w:rPr>
              <w:t>s</w:t>
            </w:r>
          </w:p>
        </w:tc>
        <w:tc>
          <w:tcPr>
            <w:tcW w:w="1115" w:type="dxa"/>
          </w:tcPr>
          <w:p w14:paraId="26714674" w14:textId="77777777" w:rsidR="00A7521D" w:rsidRPr="00995C3D" w:rsidRDefault="00A7521D" w:rsidP="00A7521D">
            <w:pPr>
              <w:spacing w:after="0" w:line="240" w:lineRule="auto"/>
              <w:jc w:val="center"/>
            </w:pPr>
            <w:r w:rsidRPr="00995C3D">
              <w:t>DE4 5EW</w:t>
            </w:r>
          </w:p>
        </w:tc>
        <w:tc>
          <w:tcPr>
            <w:tcW w:w="1065" w:type="dxa"/>
          </w:tcPr>
          <w:p w14:paraId="62A8900D" w14:textId="77777777" w:rsidR="00A7521D" w:rsidRPr="00995C3D" w:rsidRDefault="00A7521D" w:rsidP="00A7521D">
            <w:pPr>
              <w:spacing w:after="0" w:line="240" w:lineRule="auto"/>
              <w:jc w:val="center"/>
              <w:rPr>
                <w:rFonts w:cs="Calibri"/>
                <w:color w:val="000000"/>
              </w:rPr>
            </w:pPr>
            <w:r w:rsidRPr="00995C3D">
              <w:rPr>
                <w:rFonts w:cs="Calibri"/>
                <w:color w:val="000000"/>
              </w:rPr>
              <w:t>4</w:t>
            </w:r>
          </w:p>
        </w:tc>
        <w:tc>
          <w:tcPr>
            <w:tcW w:w="1196" w:type="dxa"/>
          </w:tcPr>
          <w:p w14:paraId="77AB4099" w14:textId="77777777" w:rsidR="00A7521D" w:rsidRPr="00995C3D" w:rsidRDefault="00A7521D" w:rsidP="00A7521D">
            <w:pPr>
              <w:spacing w:after="0" w:line="240" w:lineRule="auto"/>
              <w:jc w:val="center"/>
              <w:rPr>
                <w:rFonts w:cs="Calibri"/>
                <w:color w:val="000000"/>
              </w:rPr>
            </w:pPr>
            <w:r w:rsidRPr="00995C3D">
              <w:rPr>
                <w:rFonts w:cs="Calibri"/>
                <w:color w:val="000000"/>
              </w:rPr>
              <w:t>1</w:t>
            </w:r>
            <w:r>
              <w:rPr>
                <w:rFonts w:cs="Calibri"/>
                <w:color w:val="000000"/>
              </w:rPr>
              <w:t>,</w:t>
            </w:r>
            <w:r w:rsidRPr="00995C3D">
              <w:rPr>
                <w:rFonts w:cs="Calibri"/>
                <w:color w:val="000000"/>
              </w:rPr>
              <w:t>059</w:t>
            </w:r>
          </w:p>
        </w:tc>
        <w:tc>
          <w:tcPr>
            <w:tcW w:w="1798" w:type="dxa"/>
          </w:tcPr>
          <w:p w14:paraId="7FDA33C6" w14:textId="77777777" w:rsidR="00A7521D" w:rsidRPr="00995C3D" w:rsidRDefault="00A7521D" w:rsidP="00A7521D">
            <w:pPr>
              <w:spacing w:after="0" w:line="240" w:lineRule="auto"/>
              <w:jc w:val="center"/>
              <w:rPr>
                <w:rFonts w:cs="Calibri"/>
                <w:color w:val="000000"/>
              </w:rPr>
            </w:pPr>
            <w:r w:rsidRPr="00995C3D">
              <w:rPr>
                <w:rFonts w:cs="Calibri"/>
                <w:color w:val="000000"/>
              </w:rPr>
              <w:t>165</w:t>
            </w:r>
          </w:p>
        </w:tc>
        <w:tc>
          <w:tcPr>
            <w:tcW w:w="1014" w:type="dxa"/>
          </w:tcPr>
          <w:p w14:paraId="71013F6B" w14:textId="77777777" w:rsidR="00A7521D" w:rsidRPr="00995C3D" w:rsidRDefault="00A7521D" w:rsidP="00A7521D">
            <w:pPr>
              <w:spacing w:after="0" w:line="240" w:lineRule="auto"/>
              <w:jc w:val="center"/>
              <w:rPr>
                <w:rFonts w:cs="Calibri"/>
                <w:color w:val="000000"/>
              </w:rPr>
            </w:pPr>
            <w:r w:rsidRPr="00995C3D">
              <w:rPr>
                <w:rFonts w:cs="Calibri"/>
                <w:color w:val="000000"/>
              </w:rPr>
              <w:t>49</w:t>
            </w:r>
          </w:p>
        </w:tc>
        <w:tc>
          <w:tcPr>
            <w:tcW w:w="844" w:type="dxa"/>
          </w:tcPr>
          <w:p w14:paraId="57EADBE3" w14:textId="77777777" w:rsidR="00A7521D" w:rsidRPr="00995C3D" w:rsidRDefault="00A7521D" w:rsidP="00A7521D">
            <w:pPr>
              <w:spacing w:after="0" w:line="240" w:lineRule="auto"/>
              <w:jc w:val="center"/>
              <w:rPr>
                <w:rFonts w:cs="Calibri"/>
                <w:color w:val="000000"/>
              </w:rPr>
            </w:pPr>
            <w:r w:rsidRPr="00995C3D">
              <w:rPr>
                <w:rFonts w:cs="Calibri"/>
                <w:color w:val="000000"/>
              </w:rPr>
              <w:t>95</w:t>
            </w:r>
          </w:p>
        </w:tc>
      </w:tr>
      <w:tr w:rsidR="00A7521D" w:rsidRPr="00995C3D" w14:paraId="398514D8" w14:textId="77777777" w:rsidTr="00A7521D">
        <w:trPr>
          <w:tblHeader/>
          <w:jc w:val="center"/>
        </w:trPr>
        <w:tc>
          <w:tcPr>
            <w:tcW w:w="2805" w:type="dxa"/>
          </w:tcPr>
          <w:p w14:paraId="43587648" w14:textId="77777777" w:rsidR="00A7521D" w:rsidRPr="00995C3D" w:rsidRDefault="00A7521D" w:rsidP="00A7521D">
            <w:pPr>
              <w:spacing w:after="0" w:line="240" w:lineRule="auto"/>
              <w:jc w:val="center"/>
              <w:rPr>
                <w:rFonts w:cs="Calibri"/>
                <w:color w:val="000000"/>
              </w:rPr>
            </w:pPr>
            <w:r w:rsidRPr="00995C3D">
              <w:rPr>
                <w:rFonts w:cs="Calibri"/>
                <w:color w:val="000000"/>
              </w:rPr>
              <w:t>Paddock spares</w:t>
            </w:r>
          </w:p>
        </w:tc>
        <w:tc>
          <w:tcPr>
            <w:tcW w:w="1115" w:type="dxa"/>
          </w:tcPr>
          <w:p w14:paraId="33BE6E11" w14:textId="77777777" w:rsidR="00A7521D" w:rsidRPr="00995C3D" w:rsidRDefault="00A7521D" w:rsidP="00A7521D">
            <w:pPr>
              <w:spacing w:after="0" w:line="240" w:lineRule="auto"/>
              <w:jc w:val="center"/>
            </w:pPr>
            <w:r w:rsidRPr="00995C3D">
              <w:t>DE4 5EW</w:t>
            </w:r>
          </w:p>
        </w:tc>
        <w:tc>
          <w:tcPr>
            <w:tcW w:w="1065" w:type="dxa"/>
          </w:tcPr>
          <w:p w14:paraId="2B9147B6" w14:textId="77777777" w:rsidR="00A7521D" w:rsidRPr="00995C3D" w:rsidRDefault="00A7521D" w:rsidP="00A7521D">
            <w:pPr>
              <w:spacing w:after="0" w:line="240" w:lineRule="auto"/>
              <w:jc w:val="center"/>
              <w:rPr>
                <w:rFonts w:cs="Calibri"/>
                <w:color w:val="000000"/>
              </w:rPr>
            </w:pPr>
            <w:r w:rsidRPr="00995C3D">
              <w:rPr>
                <w:rFonts w:cs="Calibri"/>
                <w:color w:val="000000"/>
              </w:rPr>
              <w:t>4</w:t>
            </w:r>
          </w:p>
        </w:tc>
        <w:tc>
          <w:tcPr>
            <w:tcW w:w="1196" w:type="dxa"/>
          </w:tcPr>
          <w:p w14:paraId="7F78DA2B" w14:textId="77777777" w:rsidR="00A7521D" w:rsidRPr="00995C3D" w:rsidRDefault="00A7521D" w:rsidP="00A7521D">
            <w:pPr>
              <w:spacing w:after="0" w:line="240" w:lineRule="auto"/>
              <w:jc w:val="center"/>
              <w:rPr>
                <w:rFonts w:cs="Calibri"/>
                <w:color w:val="000000"/>
              </w:rPr>
            </w:pPr>
            <w:r w:rsidRPr="00995C3D">
              <w:rPr>
                <w:rFonts w:cs="Calibri"/>
                <w:color w:val="000000"/>
              </w:rPr>
              <w:t>1</w:t>
            </w:r>
            <w:r>
              <w:rPr>
                <w:rFonts w:cs="Calibri"/>
                <w:color w:val="000000"/>
              </w:rPr>
              <w:t>,</w:t>
            </w:r>
            <w:r w:rsidRPr="00995C3D">
              <w:rPr>
                <w:rFonts w:cs="Calibri"/>
                <w:color w:val="000000"/>
              </w:rPr>
              <w:t>436</w:t>
            </w:r>
          </w:p>
        </w:tc>
        <w:tc>
          <w:tcPr>
            <w:tcW w:w="1798" w:type="dxa"/>
          </w:tcPr>
          <w:p w14:paraId="5A56A7A5" w14:textId="77777777" w:rsidR="00A7521D" w:rsidRPr="00995C3D" w:rsidRDefault="00A7521D" w:rsidP="00A7521D">
            <w:pPr>
              <w:spacing w:after="0" w:line="240" w:lineRule="auto"/>
              <w:jc w:val="center"/>
              <w:rPr>
                <w:rFonts w:cs="Calibri"/>
                <w:color w:val="000000"/>
              </w:rPr>
            </w:pPr>
            <w:r w:rsidRPr="00995C3D">
              <w:rPr>
                <w:rFonts w:cs="Calibri"/>
                <w:color w:val="000000"/>
              </w:rPr>
              <w:t>223</w:t>
            </w:r>
          </w:p>
        </w:tc>
        <w:tc>
          <w:tcPr>
            <w:tcW w:w="1014" w:type="dxa"/>
          </w:tcPr>
          <w:p w14:paraId="496A40E1" w14:textId="77777777" w:rsidR="00A7521D" w:rsidRPr="00995C3D" w:rsidRDefault="00A7521D" w:rsidP="00A7521D">
            <w:pPr>
              <w:spacing w:after="0" w:line="240" w:lineRule="auto"/>
              <w:jc w:val="center"/>
              <w:rPr>
                <w:rFonts w:cs="Calibri"/>
                <w:color w:val="000000"/>
              </w:rPr>
            </w:pPr>
            <w:r w:rsidRPr="00995C3D">
              <w:rPr>
                <w:rFonts w:cs="Calibri"/>
                <w:color w:val="000000"/>
              </w:rPr>
              <w:t>66</w:t>
            </w:r>
          </w:p>
        </w:tc>
        <w:tc>
          <w:tcPr>
            <w:tcW w:w="844" w:type="dxa"/>
          </w:tcPr>
          <w:p w14:paraId="0C47CCB6" w14:textId="77777777" w:rsidR="00A7521D" w:rsidRPr="00995C3D" w:rsidRDefault="00A7521D" w:rsidP="00A7521D">
            <w:pPr>
              <w:spacing w:after="0" w:line="240" w:lineRule="auto"/>
              <w:jc w:val="center"/>
              <w:rPr>
                <w:rFonts w:cs="Calibri"/>
                <w:color w:val="000000"/>
              </w:rPr>
            </w:pPr>
            <w:r w:rsidRPr="00995C3D">
              <w:rPr>
                <w:rFonts w:cs="Calibri"/>
                <w:color w:val="000000"/>
              </w:rPr>
              <w:t>129</w:t>
            </w:r>
          </w:p>
        </w:tc>
      </w:tr>
      <w:tr w:rsidR="00A7521D" w:rsidRPr="00995C3D" w14:paraId="5B2C9F30" w14:textId="77777777" w:rsidTr="00A7521D">
        <w:trPr>
          <w:tblHeader/>
          <w:jc w:val="center"/>
        </w:trPr>
        <w:tc>
          <w:tcPr>
            <w:tcW w:w="2805" w:type="dxa"/>
          </w:tcPr>
          <w:p w14:paraId="417D7B2F" w14:textId="77777777" w:rsidR="00A7521D" w:rsidRPr="00995C3D" w:rsidRDefault="00A7521D" w:rsidP="00A7521D">
            <w:pPr>
              <w:spacing w:after="0" w:line="240" w:lineRule="auto"/>
              <w:jc w:val="center"/>
              <w:rPr>
                <w:rFonts w:cs="Calibri"/>
                <w:color w:val="000000"/>
              </w:rPr>
            </w:pPr>
            <w:r w:rsidRPr="00995C3D">
              <w:rPr>
                <w:rFonts w:cs="Calibri"/>
                <w:color w:val="000000"/>
              </w:rPr>
              <w:t>Miscellaneous warehouse</w:t>
            </w:r>
            <w:r>
              <w:rPr>
                <w:rFonts w:cs="Calibri"/>
                <w:color w:val="000000"/>
              </w:rPr>
              <w:t>s</w:t>
            </w:r>
          </w:p>
        </w:tc>
        <w:tc>
          <w:tcPr>
            <w:tcW w:w="1115" w:type="dxa"/>
          </w:tcPr>
          <w:p w14:paraId="05EB9651" w14:textId="77777777" w:rsidR="00A7521D" w:rsidRPr="00995C3D" w:rsidRDefault="00A7521D" w:rsidP="00A7521D">
            <w:pPr>
              <w:spacing w:after="0" w:line="240" w:lineRule="auto"/>
              <w:jc w:val="center"/>
            </w:pPr>
            <w:r w:rsidRPr="00995C3D">
              <w:t>DE4 5EW</w:t>
            </w:r>
          </w:p>
        </w:tc>
        <w:tc>
          <w:tcPr>
            <w:tcW w:w="1065" w:type="dxa"/>
          </w:tcPr>
          <w:p w14:paraId="39F2458B" w14:textId="77777777" w:rsidR="00A7521D" w:rsidRPr="00995C3D" w:rsidRDefault="00A7521D" w:rsidP="00A7521D">
            <w:pPr>
              <w:spacing w:after="0" w:line="240" w:lineRule="auto"/>
              <w:jc w:val="center"/>
              <w:rPr>
                <w:rFonts w:cs="Calibri"/>
                <w:color w:val="000000"/>
              </w:rPr>
            </w:pPr>
            <w:r w:rsidRPr="00995C3D">
              <w:rPr>
                <w:rFonts w:cs="Calibri"/>
                <w:color w:val="000000"/>
              </w:rPr>
              <w:t>27</w:t>
            </w:r>
          </w:p>
        </w:tc>
        <w:tc>
          <w:tcPr>
            <w:tcW w:w="1196" w:type="dxa"/>
          </w:tcPr>
          <w:p w14:paraId="1E62AE1B" w14:textId="77777777" w:rsidR="00A7521D" w:rsidRPr="00995C3D" w:rsidRDefault="00A7521D" w:rsidP="00A7521D">
            <w:pPr>
              <w:spacing w:after="0" w:line="240" w:lineRule="auto"/>
              <w:jc w:val="center"/>
              <w:rPr>
                <w:rFonts w:cs="Calibri"/>
                <w:color w:val="000000"/>
              </w:rPr>
            </w:pPr>
            <w:r w:rsidRPr="00995C3D">
              <w:rPr>
                <w:rFonts w:cs="Calibri"/>
                <w:color w:val="000000"/>
              </w:rPr>
              <w:t>1</w:t>
            </w:r>
            <w:r>
              <w:rPr>
                <w:rFonts w:cs="Calibri"/>
                <w:color w:val="000000"/>
              </w:rPr>
              <w:t>,</w:t>
            </w:r>
            <w:r w:rsidRPr="00995C3D">
              <w:rPr>
                <w:rFonts w:cs="Calibri"/>
                <w:color w:val="000000"/>
              </w:rPr>
              <w:t>476</w:t>
            </w:r>
          </w:p>
        </w:tc>
        <w:tc>
          <w:tcPr>
            <w:tcW w:w="1798" w:type="dxa"/>
          </w:tcPr>
          <w:p w14:paraId="4ABDF5A9" w14:textId="77777777" w:rsidR="00A7521D" w:rsidRPr="00995C3D" w:rsidRDefault="00A7521D" w:rsidP="00A7521D">
            <w:pPr>
              <w:spacing w:after="0" w:line="240" w:lineRule="auto"/>
              <w:jc w:val="center"/>
              <w:rPr>
                <w:rFonts w:cs="Calibri"/>
                <w:color w:val="000000"/>
              </w:rPr>
            </w:pPr>
            <w:r w:rsidRPr="00995C3D">
              <w:rPr>
                <w:rFonts w:cs="Calibri"/>
                <w:color w:val="000000"/>
              </w:rPr>
              <w:t>228</w:t>
            </w:r>
          </w:p>
        </w:tc>
        <w:tc>
          <w:tcPr>
            <w:tcW w:w="1014" w:type="dxa"/>
          </w:tcPr>
          <w:p w14:paraId="7486228B" w14:textId="77777777" w:rsidR="00A7521D" w:rsidRPr="00995C3D" w:rsidRDefault="00A7521D" w:rsidP="00A7521D">
            <w:pPr>
              <w:spacing w:after="0" w:line="240" w:lineRule="auto"/>
              <w:jc w:val="center"/>
              <w:rPr>
                <w:rFonts w:cs="Calibri"/>
                <w:color w:val="000000"/>
              </w:rPr>
            </w:pPr>
            <w:r w:rsidRPr="00995C3D">
              <w:rPr>
                <w:rFonts w:cs="Calibri"/>
                <w:color w:val="000000"/>
              </w:rPr>
              <w:t>90</w:t>
            </w:r>
          </w:p>
        </w:tc>
        <w:tc>
          <w:tcPr>
            <w:tcW w:w="844" w:type="dxa"/>
          </w:tcPr>
          <w:p w14:paraId="58E819A4" w14:textId="77777777" w:rsidR="00A7521D" w:rsidRPr="00995C3D" w:rsidRDefault="00A7521D" w:rsidP="00A7521D">
            <w:pPr>
              <w:spacing w:after="0" w:line="240" w:lineRule="auto"/>
              <w:jc w:val="center"/>
              <w:rPr>
                <w:rFonts w:cs="Calibri"/>
                <w:color w:val="000000"/>
              </w:rPr>
            </w:pPr>
            <w:r w:rsidRPr="00995C3D">
              <w:rPr>
                <w:rFonts w:cs="Calibri"/>
                <w:color w:val="000000"/>
              </w:rPr>
              <w:t>238</w:t>
            </w:r>
          </w:p>
        </w:tc>
      </w:tr>
      <w:tr w:rsidR="00A7521D" w:rsidRPr="00995C3D" w14:paraId="072B97DE" w14:textId="77777777" w:rsidTr="00A7521D">
        <w:trPr>
          <w:tblHeader/>
          <w:jc w:val="center"/>
        </w:trPr>
        <w:tc>
          <w:tcPr>
            <w:tcW w:w="2805" w:type="dxa"/>
          </w:tcPr>
          <w:p w14:paraId="59E3E2E1" w14:textId="77777777" w:rsidR="00A7521D" w:rsidRPr="00995C3D" w:rsidRDefault="00A7521D" w:rsidP="00A7521D">
            <w:pPr>
              <w:spacing w:after="0" w:line="240" w:lineRule="auto"/>
              <w:jc w:val="center"/>
              <w:rPr>
                <w:rFonts w:cs="Calibri"/>
                <w:color w:val="000000"/>
              </w:rPr>
            </w:pPr>
            <w:r w:rsidRPr="00995C3D">
              <w:rPr>
                <w:rFonts w:cs="Calibri"/>
                <w:color w:val="000000"/>
              </w:rPr>
              <w:t>Palin John</w:t>
            </w:r>
          </w:p>
        </w:tc>
        <w:tc>
          <w:tcPr>
            <w:tcW w:w="1115" w:type="dxa"/>
          </w:tcPr>
          <w:p w14:paraId="1683C7E7" w14:textId="77777777" w:rsidR="00A7521D" w:rsidRPr="00995C3D" w:rsidRDefault="00A7521D" w:rsidP="00A7521D">
            <w:pPr>
              <w:spacing w:after="0" w:line="240" w:lineRule="auto"/>
              <w:jc w:val="center"/>
            </w:pPr>
            <w:r w:rsidRPr="00995C3D">
              <w:t>DE4 5ND</w:t>
            </w:r>
          </w:p>
        </w:tc>
        <w:tc>
          <w:tcPr>
            <w:tcW w:w="1065" w:type="dxa"/>
          </w:tcPr>
          <w:p w14:paraId="5898AD8D" w14:textId="77777777" w:rsidR="00A7521D" w:rsidRPr="00995C3D" w:rsidRDefault="00A7521D" w:rsidP="00A7521D">
            <w:pPr>
              <w:spacing w:after="0" w:line="240" w:lineRule="auto"/>
              <w:jc w:val="center"/>
              <w:rPr>
                <w:rFonts w:cs="Calibri"/>
                <w:color w:val="000000"/>
              </w:rPr>
            </w:pPr>
            <w:r w:rsidRPr="00995C3D">
              <w:rPr>
                <w:rFonts w:cs="Calibri"/>
                <w:color w:val="000000"/>
              </w:rPr>
              <w:t>4</w:t>
            </w:r>
          </w:p>
        </w:tc>
        <w:tc>
          <w:tcPr>
            <w:tcW w:w="1196" w:type="dxa"/>
          </w:tcPr>
          <w:p w14:paraId="7446E2BF" w14:textId="77777777" w:rsidR="00A7521D" w:rsidRPr="00995C3D" w:rsidRDefault="00A7521D" w:rsidP="00A7521D">
            <w:pPr>
              <w:spacing w:after="0" w:line="240" w:lineRule="auto"/>
              <w:jc w:val="center"/>
              <w:rPr>
                <w:rFonts w:cs="Calibri"/>
                <w:color w:val="000000"/>
              </w:rPr>
            </w:pPr>
            <w:r w:rsidRPr="00995C3D">
              <w:rPr>
                <w:rFonts w:cs="Calibri"/>
                <w:color w:val="000000"/>
              </w:rPr>
              <w:t>2</w:t>
            </w:r>
            <w:r>
              <w:rPr>
                <w:rFonts w:cs="Calibri"/>
                <w:color w:val="000000"/>
              </w:rPr>
              <w:t>,</w:t>
            </w:r>
            <w:r w:rsidRPr="00995C3D">
              <w:rPr>
                <w:rFonts w:cs="Calibri"/>
                <w:color w:val="000000"/>
              </w:rPr>
              <w:t>287</w:t>
            </w:r>
          </w:p>
        </w:tc>
        <w:tc>
          <w:tcPr>
            <w:tcW w:w="1798" w:type="dxa"/>
          </w:tcPr>
          <w:p w14:paraId="5E75A223" w14:textId="77777777" w:rsidR="00A7521D" w:rsidRPr="00995C3D" w:rsidRDefault="00A7521D" w:rsidP="00A7521D">
            <w:pPr>
              <w:spacing w:after="0" w:line="240" w:lineRule="auto"/>
              <w:jc w:val="center"/>
              <w:rPr>
                <w:rFonts w:cs="Calibri"/>
                <w:color w:val="000000"/>
              </w:rPr>
            </w:pPr>
            <w:r w:rsidRPr="00995C3D">
              <w:rPr>
                <w:rFonts w:cs="Calibri"/>
                <w:color w:val="000000"/>
              </w:rPr>
              <w:t>355</w:t>
            </w:r>
          </w:p>
        </w:tc>
        <w:tc>
          <w:tcPr>
            <w:tcW w:w="1014" w:type="dxa"/>
          </w:tcPr>
          <w:p w14:paraId="61D9F028" w14:textId="77777777" w:rsidR="00A7521D" w:rsidRPr="00995C3D" w:rsidRDefault="00A7521D" w:rsidP="00A7521D">
            <w:pPr>
              <w:spacing w:after="0" w:line="240" w:lineRule="auto"/>
              <w:jc w:val="center"/>
              <w:rPr>
                <w:rFonts w:cs="Calibri"/>
                <w:color w:val="000000"/>
              </w:rPr>
            </w:pPr>
            <w:r w:rsidRPr="00995C3D">
              <w:rPr>
                <w:rFonts w:cs="Calibri"/>
                <w:color w:val="000000"/>
              </w:rPr>
              <w:t>105</w:t>
            </w:r>
          </w:p>
        </w:tc>
        <w:tc>
          <w:tcPr>
            <w:tcW w:w="844" w:type="dxa"/>
          </w:tcPr>
          <w:p w14:paraId="00DF0766" w14:textId="77777777" w:rsidR="00A7521D" w:rsidRPr="00995C3D" w:rsidRDefault="00A7521D" w:rsidP="00A7521D">
            <w:pPr>
              <w:spacing w:after="0" w:line="240" w:lineRule="auto"/>
              <w:jc w:val="center"/>
              <w:rPr>
                <w:rFonts w:cs="Calibri"/>
                <w:color w:val="000000"/>
              </w:rPr>
            </w:pPr>
            <w:r w:rsidRPr="00995C3D">
              <w:rPr>
                <w:rFonts w:cs="Calibri"/>
                <w:color w:val="000000"/>
              </w:rPr>
              <w:t>205</w:t>
            </w:r>
          </w:p>
        </w:tc>
      </w:tr>
      <w:tr w:rsidR="00A7521D" w:rsidRPr="00995C3D" w14:paraId="49CA3CE8" w14:textId="77777777" w:rsidTr="00A7521D">
        <w:trPr>
          <w:tblHeader/>
          <w:jc w:val="center"/>
        </w:trPr>
        <w:tc>
          <w:tcPr>
            <w:tcW w:w="2805" w:type="dxa"/>
          </w:tcPr>
          <w:p w14:paraId="2E6DE1E3" w14:textId="77777777" w:rsidR="00A7521D" w:rsidRPr="00995C3D" w:rsidRDefault="00A7521D" w:rsidP="00A7521D">
            <w:pPr>
              <w:spacing w:after="0" w:line="240" w:lineRule="auto"/>
              <w:jc w:val="center"/>
              <w:rPr>
                <w:rFonts w:cs="Calibri"/>
                <w:color w:val="000000"/>
              </w:rPr>
            </w:pPr>
            <w:r>
              <w:rPr>
                <w:rFonts w:cs="Calibri"/>
                <w:color w:val="000000"/>
              </w:rPr>
              <w:t>Derbyshire County Council</w:t>
            </w:r>
            <w:r w:rsidRPr="00995C3D">
              <w:rPr>
                <w:rFonts w:cs="Calibri"/>
                <w:color w:val="000000"/>
              </w:rPr>
              <w:t xml:space="preserve"> office</w:t>
            </w:r>
          </w:p>
        </w:tc>
        <w:tc>
          <w:tcPr>
            <w:tcW w:w="1115" w:type="dxa"/>
          </w:tcPr>
          <w:p w14:paraId="487F9652" w14:textId="77777777" w:rsidR="00A7521D" w:rsidRPr="00995C3D" w:rsidRDefault="00A7521D" w:rsidP="00A7521D">
            <w:pPr>
              <w:spacing w:after="0" w:line="240" w:lineRule="auto"/>
              <w:jc w:val="center"/>
            </w:pPr>
            <w:r w:rsidRPr="00995C3D">
              <w:t>DE4 3AG</w:t>
            </w:r>
          </w:p>
        </w:tc>
        <w:tc>
          <w:tcPr>
            <w:tcW w:w="1065" w:type="dxa"/>
          </w:tcPr>
          <w:p w14:paraId="61B6A99B" w14:textId="77777777" w:rsidR="00A7521D" w:rsidRPr="00995C3D" w:rsidRDefault="00A7521D" w:rsidP="00A7521D">
            <w:pPr>
              <w:spacing w:after="0" w:line="240" w:lineRule="auto"/>
              <w:jc w:val="center"/>
              <w:rPr>
                <w:rFonts w:cs="Calibri"/>
                <w:color w:val="000000"/>
              </w:rPr>
            </w:pPr>
            <w:r w:rsidRPr="00995C3D">
              <w:rPr>
                <w:rFonts w:cs="Calibri"/>
                <w:color w:val="000000"/>
              </w:rPr>
              <w:t>1</w:t>
            </w:r>
          </w:p>
        </w:tc>
        <w:tc>
          <w:tcPr>
            <w:tcW w:w="1196" w:type="dxa"/>
          </w:tcPr>
          <w:p w14:paraId="3795915A" w14:textId="77777777" w:rsidR="00A7521D" w:rsidRPr="00995C3D" w:rsidRDefault="00A7521D" w:rsidP="00A7521D">
            <w:pPr>
              <w:spacing w:after="0" w:line="240" w:lineRule="auto"/>
              <w:jc w:val="center"/>
              <w:rPr>
                <w:rFonts w:cs="Calibri"/>
                <w:color w:val="000000"/>
              </w:rPr>
            </w:pPr>
            <w:r w:rsidRPr="00995C3D">
              <w:rPr>
                <w:rFonts w:cs="Calibri"/>
                <w:color w:val="000000"/>
              </w:rPr>
              <w:t>23</w:t>
            </w:r>
            <w:r>
              <w:rPr>
                <w:rFonts w:cs="Calibri"/>
                <w:color w:val="000000"/>
              </w:rPr>
              <w:t>,</w:t>
            </w:r>
            <w:r w:rsidRPr="00995C3D">
              <w:rPr>
                <w:rFonts w:cs="Calibri"/>
                <w:color w:val="000000"/>
              </w:rPr>
              <w:t>026</w:t>
            </w:r>
          </w:p>
        </w:tc>
        <w:tc>
          <w:tcPr>
            <w:tcW w:w="1798" w:type="dxa"/>
          </w:tcPr>
          <w:p w14:paraId="7FF5EEB3" w14:textId="77777777" w:rsidR="00A7521D" w:rsidRPr="00995C3D" w:rsidRDefault="00A7521D" w:rsidP="00A7521D">
            <w:pPr>
              <w:spacing w:after="0" w:line="240" w:lineRule="auto"/>
              <w:jc w:val="center"/>
              <w:rPr>
                <w:rFonts w:cs="Calibri"/>
                <w:color w:val="000000"/>
              </w:rPr>
            </w:pPr>
            <w:r w:rsidRPr="00995C3D">
              <w:rPr>
                <w:rFonts w:cs="Calibri"/>
                <w:color w:val="000000"/>
              </w:rPr>
              <w:t>2493</w:t>
            </w:r>
          </w:p>
        </w:tc>
        <w:tc>
          <w:tcPr>
            <w:tcW w:w="1014" w:type="dxa"/>
          </w:tcPr>
          <w:p w14:paraId="18D35466" w14:textId="77777777" w:rsidR="00A7521D" w:rsidRPr="00995C3D" w:rsidRDefault="00A7521D" w:rsidP="00A7521D">
            <w:pPr>
              <w:spacing w:after="0" w:line="240" w:lineRule="auto"/>
              <w:jc w:val="center"/>
              <w:rPr>
                <w:rFonts w:cs="Calibri"/>
                <w:color w:val="000000"/>
              </w:rPr>
            </w:pPr>
            <w:r w:rsidRPr="00995C3D">
              <w:rPr>
                <w:rFonts w:cs="Calibri"/>
                <w:color w:val="000000"/>
              </w:rPr>
              <w:t>978</w:t>
            </w:r>
          </w:p>
        </w:tc>
        <w:tc>
          <w:tcPr>
            <w:tcW w:w="844" w:type="dxa"/>
          </w:tcPr>
          <w:p w14:paraId="7E597AD5" w14:textId="77777777" w:rsidR="00A7521D" w:rsidRPr="00995C3D" w:rsidRDefault="00A7521D" w:rsidP="00A7521D">
            <w:pPr>
              <w:spacing w:after="0" w:line="240" w:lineRule="auto"/>
              <w:jc w:val="center"/>
              <w:rPr>
                <w:rFonts w:cs="Calibri"/>
                <w:color w:val="000000"/>
              </w:rPr>
            </w:pPr>
            <w:r w:rsidRPr="00995C3D">
              <w:rPr>
                <w:rFonts w:cs="Calibri"/>
                <w:color w:val="000000"/>
              </w:rPr>
              <w:t>4365</w:t>
            </w:r>
          </w:p>
        </w:tc>
      </w:tr>
      <w:tr w:rsidR="00A7521D" w:rsidRPr="00995C3D" w14:paraId="27EC6C81" w14:textId="77777777" w:rsidTr="00A7521D">
        <w:trPr>
          <w:tblHeader/>
          <w:jc w:val="center"/>
        </w:trPr>
        <w:tc>
          <w:tcPr>
            <w:tcW w:w="2805" w:type="dxa"/>
            <w:tcBorders>
              <w:bottom w:val="single" w:sz="4" w:space="0" w:color="auto"/>
            </w:tcBorders>
          </w:tcPr>
          <w:p w14:paraId="6E8F701D" w14:textId="77777777" w:rsidR="00A7521D" w:rsidRPr="00995C3D" w:rsidRDefault="00A7521D" w:rsidP="00A7521D">
            <w:pPr>
              <w:spacing w:after="0" w:line="240" w:lineRule="auto"/>
              <w:jc w:val="center"/>
              <w:rPr>
                <w:rFonts w:cs="Calibri"/>
                <w:color w:val="000000"/>
              </w:rPr>
            </w:pPr>
            <w:r w:rsidRPr="00995C3D">
              <w:rPr>
                <w:rFonts w:cs="Calibri"/>
                <w:color w:val="000000"/>
              </w:rPr>
              <w:t>Lime grove medical centre</w:t>
            </w:r>
          </w:p>
        </w:tc>
        <w:tc>
          <w:tcPr>
            <w:tcW w:w="1115" w:type="dxa"/>
            <w:tcBorders>
              <w:bottom w:val="single" w:sz="4" w:space="0" w:color="auto"/>
            </w:tcBorders>
          </w:tcPr>
          <w:p w14:paraId="0FCCEE97" w14:textId="77777777" w:rsidR="00A7521D" w:rsidRPr="00995C3D" w:rsidRDefault="00A7521D" w:rsidP="00A7521D">
            <w:pPr>
              <w:spacing w:after="0" w:line="240" w:lineRule="auto"/>
              <w:jc w:val="center"/>
            </w:pPr>
            <w:r w:rsidRPr="00995C3D">
              <w:t>DE4 3FD</w:t>
            </w:r>
          </w:p>
        </w:tc>
        <w:tc>
          <w:tcPr>
            <w:tcW w:w="1065" w:type="dxa"/>
            <w:tcBorders>
              <w:bottom w:val="single" w:sz="4" w:space="0" w:color="auto"/>
            </w:tcBorders>
          </w:tcPr>
          <w:p w14:paraId="43E9D99E" w14:textId="77777777" w:rsidR="00A7521D" w:rsidRPr="00995C3D" w:rsidRDefault="00A7521D" w:rsidP="00A7521D">
            <w:pPr>
              <w:spacing w:after="0" w:line="240" w:lineRule="auto"/>
              <w:jc w:val="center"/>
              <w:rPr>
                <w:rFonts w:cs="Calibri"/>
                <w:color w:val="000000"/>
              </w:rPr>
            </w:pPr>
            <w:r w:rsidRPr="00995C3D">
              <w:rPr>
                <w:rFonts w:cs="Calibri"/>
                <w:color w:val="000000"/>
              </w:rPr>
              <w:t>19</w:t>
            </w:r>
          </w:p>
        </w:tc>
        <w:tc>
          <w:tcPr>
            <w:tcW w:w="1196" w:type="dxa"/>
            <w:tcBorders>
              <w:bottom w:val="single" w:sz="4" w:space="0" w:color="auto"/>
            </w:tcBorders>
          </w:tcPr>
          <w:p w14:paraId="7D4E562A" w14:textId="77777777" w:rsidR="00A7521D" w:rsidRPr="00995C3D" w:rsidRDefault="00A7521D" w:rsidP="00A7521D">
            <w:pPr>
              <w:spacing w:after="0" w:line="240" w:lineRule="auto"/>
              <w:jc w:val="center"/>
              <w:rPr>
                <w:rFonts w:cs="Calibri"/>
                <w:color w:val="000000"/>
              </w:rPr>
            </w:pPr>
            <w:r w:rsidRPr="00995C3D">
              <w:rPr>
                <w:rFonts w:cs="Calibri"/>
                <w:color w:val="000000"/>
              </w:rPr>
              <w:t>469</w:t>
            </w:r>
          </w:p>
        </w:tc>
        <w:tc>
          <w:tcPr>
            <w:tcW w:w="1798" w:type="dxa"/>
            <w:tcBorders>
              <w:bottom w:val="single" w:sz="4" w:space="0" w:color="auto"/>
            </w:tcBorders>
          </w:tcPr>
          <w:p w14:paraId="414C8C4F" w14:textId="77777777" w:rsidR="00A7521D" w:rsidRPr="00995C3D" w:rsidRDefault="00A7521D" w:rsidP="00A7521D">
            <w:pPr>
              <w:spacing w:after="0" w:line="240" w:lineRule="auto"/>
              <w:jc w:val="center"/>
              <w:rPr>
                <w:rFonts w:cs="Calibri"/>
                <w:color w:val="000000"/>
              </w:rPr>
            </w:pPr>
            <w:r w:rsidRPr="00995C3D">
              <w:rPr>
                <w:rFonts w:cs="Calibri"/>
                <w:color w:val="000000"/>
              </w:rPr>
              <w:t>88</w:t>
            </w:r>
          </w:p>
        </w:tc>
        <w:tc>
          <w:tcPr>
            <w:tcW w:w="1014" w:type="dxa"/>
            <w:tcBorders>
              <w:bottom w:val="single" w:sz="4" w:space="0" w:color="auto"/>
            </w:tcBorders>
          </w:tcPr>
          <w:p w14:paraId="30AF80B3" w14:textId="77777777" w:rsidR="00A7521D" w:rsidRPr="00995C3D" w:rsidRDefault="00A7521D" w:rsidP="00A7521D">
            <w:pPr>
              <w:spacing w:after="0" w:line="240" w:lineRule="auto"/>
              <w:jc w:val="center"/>
              <w:rPr>
                <w:rFonts w:cs="Calibri"/>
                <w:color w:val="000000"/>
              </w:rPr>
            </w:pPr>
            <w:r w:rsidRPr="00995C3D">
              <w:rPr>
                <w:rFonts w:cs="Calibri"/>
                <w:color w:val="000000"/>
              </w:rPr>
              <w:t>13</w:t>
            </w:r>
          </w:p>
        </w:tc>
        <w:tc>
          <w:tcPr>
            <w:tcW w:w="844" w:type="dxa"/>
            <w:tcBorders>
              <w:bottom w:val="single" w:sz="4" w:space="0" w:color="auto"/>
            </w:tcBorders>
          </w:tcPr>
          <w:p w14:paraId="57E9303D" w14:textId="77777777" w:rsidR="00A7521D" w:rsidRPr="00995C3D" w:rsidRDefault="00A7521D" w:rsidP="00A7521D">
            <w:pPr>
              <w:spacing w:after="0" w:line="240" w:lineRule="auto"/>
              <w:jc w:val="center"/>
              <w:rPr>
                <w:rFonts w:cs="Calibri"/>
                <w:color w:val="000000"/>
              </w:rPr>
            </w:pPr>
            <w:r w:rsidRPr="00995C3D">
              <w:rPr>
                <w:rFonts w:cs="Calibri"/>
                <w:color w:val="000000"/>
              </w:rPr>
              <w:t>24</w:t>
            </w:r>
          </w:p>
        </w:tc>
      </w:tr>
    </w:tbl>
    <w:p w14:paraId="340B4A42" w14:textId="77777777" w:rsidR="00A7521D" w:rsidRDefault="00A7521D" w:rsidP="00A7521D">
      <w:pPr>
        <w:spacing w:line="259" w:lineRule="auto"/>
        <w:jc w:val="left"/>
        <w:rPr>
          <w:rFonts w:ascii="Calibri" w:eastAsia="SimSun" w:hAnsi="Calibri" w:cs="Arial"/>
          <w:b/>
          <w:bCs/>
          <w:sz w:val="18"/>
          <w:szCs w:val="18"/>
        </w:rPr>
      </w:pPr>
      <w:bookmarkStart w:id="978" w:name="_Toc468265829"/>
    </w:p>
    <w:p w14:paraId="302CA510" w14:textId="0AE41662" w:rsidR="00A7521D" w:rsidRDefault="00A7521D" w:rsidP="00A7521D">
      <w:pPr>
        <w:pStyle w:val="Caption"/>
        <w:keepNext/>
      </w:pPr>
      <w:bookmarkStart w:id="979" w:name="_Toc468265830"/>
      <w:bookmarkStart w:id="980" w:name="_Toc525230154"/>
      <w:bookmarkStart w:id="981" w:name="_Toc7187719"/>
      <w:r>
        <w:t xml:space="preserve">Table </w:t>
      </w:r>
      <w:fldSimple w:instr=" STYLEREF 1 \s ">
        <w:r w:rsidR="00CB7456">
          <w:rPr>
            <w:noProof/>
          </w:rPr>
          <w:t>13</w:t>
        </w:r>
      </w:fldSimple>
      <w:r w:rsidR="009E1A67">
        <w:t>.</w:t>
      </w:r>
      <w:fldSimple w:instr=" SEQ Table \* ARABIC \s 1 ">
        <w:r w:rsidR="00CB7456">
          <w:rPr>
            <w:noProof/>
          </w:rPr>
          <w:t>2</w:t>
        </w:r>
      </w:fldSimple>
      <w:r>
        <w:t xml:space="preserve">: Large heat users in </w:t>
      </w:r>
      <w:proofErr w:type="spellStart"/>
      <w:r>
        <w:t>Rowsley</w:t>
      </w:r>
      <w:bookmarkEnd w:id="979"/>
      <w:bookmarkEnd w:id="980"/>
      <w:proofErr w:type="spellEnd"/>
      <w:r>
        <w:t>.</w:t>
      </w:r>
      <w:bookmarkEnd w:id="981"/>
    </w:p>
    <w:tbl>
      <w:tblPr>
        <w:tblW w:w="9601" w:type="dxa"/>
        <w:jc w:val="center"/>
        <w:tblBorders>
          <w:top w:val="single" w:sz="4" w:space="0" w:color="auto"/>
          <w:bottom w:val="single" w:sz="4" w:space="0" w:color="auto"/>
        </w:tblBorders>
        <w:tblLook w:val="00A0" w:firstRow="1" w:lastRow="0" w:firstColumn="1" w:lastColumn="0" w:noHBand="0" w:noVBand="0"/>
      </w:tblPr>
      <w:tblGrid>
        <w:gridCol w:w="2551"/>
        <w:gridCol w:w="1115"/>
        <w:gridCol w:w="1065"/>
        <w:gridCol w:w="1196"/>
        <w:gridCol w:w="1816"/>
        <w:gridCol w:w="1014"/>
        <w:gridCol w:w="844"/>
      </w:tblGrid>
      <w:tr w:rsidR="00A7521D" w:rsidRPr="00995C3D" w14:paraId="690374B6" w14:textId="77777777" w:rsidTr="00A7521D">
        <w:trPr>
          <w:jc w:val="center"/>
        </w:trPr>
        <w:tc>
          <w:tcPr>
            <w:tcW w:w="2551" w:type="dxa"/>
            <w:tcBorders>
              <w:top w:val="single" w:sz="4" w:space="0" w:color="auto"/>
              <w:bottom w:val="single" w:sz="4" w:space="0" w:color="auto"/>
            </w:tcBorders>
          </w:tcPr>
          <w:p w14:paraId="3BC51D8C" w14:textId="77777777" w:rsidR="00A7521D" w:rsidRPr="00995C3D" w:rsidRDefault="00A7521D" w:rsidP="00A7521D">
            <w:pPr>
              <w:spacing w:after="0" w:line="240" w:lineRule="auto"/>
              <w:jc w:val="center"/>
            </w:pPr>
            <w:r w:rsidRPr="00995C3D">
              <w:t>Building name</w:t>
            </w:r>
          </w:p>
        </w:tc>
        <w:tc>
          <w:tcPr>
            <w:tcW w:w="1115" w:type="dxa"/>
            <w:tcBorders>
              <w:top w:val="single" w:sz="4" w:space="0" w:color="auto"/>
              <w:bottom w:val="single" w:sz="4" w:space="0" w:color="auto"/>
            </w:tcBorders>
          </w:tcPr>
          <w:p w14:paraId="140B4952" w14:textId="77777777" w:rsidR="00A7521D" w:rsidRPr="00995C3D" w:rsidRDefault="00A7521D" w:rsidP="00A7521D">
            <w:pPr>
              <w:spacing w:after="0" w:line="240" w:lineRule="auto"/>
              <w:jc w:val="center"/>
            </w:pPr>
            <w:r w:rsidRPr="00995C3D">
              <w:t>Postcode</w:t>
            </w:r>
          </w:p>
        </w:tc>
        <w:tc>
          <w:tcPr>
            <w:tcW w:w="1065" w:type="dxa"/>
            <w:tcBorders>
              <w:top w:val="single" w:sz="4" w:space="0" w:color="auto"/>
              <w:bottom w:val="single" w:sz="4" w:space="0" w:color="auto"/>
            </w:tcBorders>
          </w:tcPr>
          <w:p w14:paraId="100890E1" w14:textId="77777777" w:rsidR="00A7521D" w:rsidRPr="00995C3D" w:rsidRDefault="00A7521D" w:rsidP="00A7521D">
            <w:pPr>
              <w:spacing w:after="0" w:line="240" w:lineRule="auto"/>
              <w:jc w:val="center"/>
            </w:pPr>
            <w:r w:rsidRPr="00995C3D">
              <w:t>CIBSE category</w:t>
            </w:r>
          </w:p>
        </w:tc>
        <w:tc>
          <w:tcPr>
            <w:tcW w:w="1196" w:type="dxa"/>
            <w:tcBorders>
              <w:top w:val="single" w:sz="4" w:space="0" w:color="auto"/>
              <w:bottom w:val="single" w:sz="4" w:space="0" w:color="auto"/>
            </w:tcBorders>
          </w:tcPr>
          <w:p w14:paraId="33AAC328" w14:textId="77777777" w:rsidR="00A7521D" w:rsidRPr="00995C3D" w:rsidRDefault="00A7521D" w:rsidP="00A7521D">
            <w:pPr>
              <w:spacing w:after="0" w:line="240" w:lineRule="auto"/>
              <w:jc w:val="center"/>
            </w:pPr>
            <w:r w:rsidRPr="00995C3D">
              <w:t>Estimated floor area (m</w:t>
            </w:r>
            <w:r w:rsidRPr="00995C3D">
              <w:rPr>
                <w:vertAlign w:val="superscript"/>
              </w:rPr>
              <w:t>2</w:t>
            </w:r>
            <w:r w:rsidRPr="00995C3D">
              <w:t>)</w:t>
            </w:r>
          </w:p>
        </w:tc>
        <w:tc>
          <w:tcPr>
            <w:tcW w:w="1816" w:type="dxa"/>
            <w:tcBorders>
              <w:top w:val="single" w:sz="4" w:space="0" w:color="auto"/>
              <w:bottom w:val="single" w:sz="4" w:space="0" w:color="auto"/>
            </w:tcBorders>
          </w:tcPr>
          <w:p w14:paraId="390DB0F2" w14:textId="77777777" w:rsidR="00A7521D" w:rsidRPr="00995C3D" w:rsidRDefault="00A7521D" w:rsidP="00A7521D">
            <w:pPr>
              <w:spacing w:after="0" w:line="240" w:lineRule="auto"/>
              <w:jc w:val="center"/>
            </w:pPr>
            <w:r w:rsidRPr="00995C3D">
              <w:t>Yearly energy use for heating (MWh)</w:t>
            </w:r>
          </w:p>
        </w:tc>
        <w:tc>
          <w:tcPr>
            <w:tcW w:w="1014" w:type="dxa"/>
            <w:tcBorders>
              <w:top w:val="single" w:sz="4" w:space="0" w:color="auto"/>
              <w:bottom w:val="single" w:sz="4" w:space="0" w:color="auto"/>
            </w:tcBorders>
          </w:tcPr>
          <w:p w14:paraId="5D49FE77" w14:textId="77777777" w:rsidR="00A7521D" w:rsidRPr="00995C3D" w:rsidRDefault="00A7521D" w:rsidP="00A7521D">
            <w:pPr>
              <w:spacing w:after="0" w:line="240" w:lineRule="auto"/>
              <w:jc w:val="center"/>
            </w:pPr>
            <w:r w:rsidRPr="00995C3D">
              <w:t>Average power (kW)</w:t>
            </w:r>
          </w:p>
        </w:tc>
        <w:tc>
          <w:tcPr>
            <w:tcW w:w="844" w:type="dxa"/>
            <w:tcBorders>
              <w:top w:val="single" w:sz="4" w:space="0" w:color="auto"/>
              <w:bottom w:val="single" w:sz="4" w:space="0" w:color="auto"/>
            </w:tcBorders>
          </w:tcPr>
          <w:p w14:paraId="7AB4112A" w14:textId="77777777" w:rsidR="00A7521D" w:rsidRPr="00995C3D" w:rsidRDefault="00A7521D" w:rsidP="00A7521D">
            <w:pPr>
              <w:spacing w:after="0" w:line="240" w:lineRule="auto"/>
              <w:jc w:val="center"/>
            </w:pPr>
            <w:r w:rsidRPr="00995C3D">
              <w:t>Peak power (kW)</w:t>
            </w:r>
          </w:p>
        </w:tc>
      </w:tr>
      <w:tr w:rsidR="00A7521D" w:rsidRPr="00995C3D" w14:paraId="216EB90A" w14:textId="77777777" w:rsidTr="00A7521D">
        <w:trPr>
          <w:jc w:val="center"/>
        </w:trPr>
        <w:tc>
          <w:tcPr>
            <w:tcW w:w="2551" w:type="dxa"/>
            <w:tcBorders>
              <w:top w:val="single" w:sz="4" w:space="0" w:color="auto"/>
              <w:bottom w:val="nil"/>
            </w:tcBorders>
          </w:tcPr>
          <w:p w14:paraId="44A15F15" w14:textId="77777777" w:rsidR="00A7521D" w:rsidRPr="00995C3D" w:rsidRDefault="00A7521D" w:rsidP="00A7521D">
            <w:pPr>
              <w:spacing w:after="0" w:line="240" w:lineRule="auto"/>
              <w:jc w:val="center"/>
              <w:rPr>
                <w:rFonts w:cs="Calibri"/>
                <w:color w:val="000000"/>
              </w:rPr>
            </w:pPr>
            <w:r w:rsidRPr="00995C3D">
              <w:rPr>
                <w:rFonts w:cs="Calibri"/>
                <w:color w:val="000000"/>
              </w:rPr>
              <w:t>Alcoa</w:t>
            </w:r>
          </w:p>
        </w:tc>
        <w:tc>
          <w:tcPr>
            <w:tcW w:w="1115" w:type="dxa"/>
            <w:tcBorders>
              <w:top w:val="single" w:sz="4" w:space="0" w:color="auto"/>
              <w:bottom w:val="nil"/>
            </w:tcBorders>
          </w:tcPr>
          <w:p w14:paraId="7DC970DB" w14:textId="77777777" w:rsidR="00A7521D" w:rsidRPr="00995C3D" w:rsidRDefault="00A7521D" w:rsidP="00A7521D">
            <w:pPr>
              <w:spacing w:after="0" w:line="240" w:lineRule="auto"/>
              <w:jc w:val="center"/>
            </w:pPr>
            <w:r w:rsidRPr="00995C3D">
              <w:t>DE4 2JB</w:t>
            </w:r>
          </w:p>
        </w:tc>
        <w:tc>
          <w:tcPr>
            <w:tcW w:w="1065" w:type="dxa"/>
            <w:tcBorders>
              <w:top w:val="single" w:sz="4" w:space="0" w:color="auto"/>
              <w:bottom w:val="nil"/>
            </w:tcBorders>
          </w:tcPr>
          <w:p w14:paraId="33FB85A9" w14:textId="77777777" w:rsidR="00A7521D" w:rsidRPr="00995C3D" w:rsidRDefault="00A7521D" w:rsidP="00A7521D">
            <w:pPr>
              <w:spacing w:after="0" w:line="240" w:lineRule="auto"/>
              <w:jc w:val="center"/>
              <w:rPr>
                <w:rFonts w:cs="Calibri"/>
                <w:color w:val="000000"/>
              </w:rPr>
            </w:pPr>
            <w:r w:rsidRPr="00995C3D">
              <w:rPr>
                <w:rFonts w:cs="Calibri"/>
                <w:color w:val="000000"/>
              </w:rPr>
              <w:t>27</w:t>
            </w:r>
          </w:p>
        </w:tc>
        <w:tc>
          <w:tcPr>
            <w:tcW w:w="1196" w:type="dxa"/>
            <w:tcBorders>
              <w:top w:val="single" w:sz="4" w:space="0" w:color="auto"/>
              <w:bottom w:val="nil"/>
            </w:tcBorders>
          </w:tcPr>
          <w:p w14:paraId="534360DC" w14:textId="77777777" w:rsidR="00A7521D" w:rsidRPr="00995C3D" w:rsidRDefault="00A7521D" w:rsidP="00A7521D">
            <w:pPr>
              <w:spacing w:after="0" w:line="240" w:lineRule="auto"/>
              <w:jc w:val="center"/>
              <w:rPr>
                <w:rFonts w:cs="Calibri"/>
                <w:color w:val="000000"/>
              </w:rPr>
            </w:pPr>
            <w:r w:rsidRPr="00995C3D">
              <w:rPr>
                <w:rFonts w:cs="Calibri"/>
                <w:color w:val="000000"/>
              </w:rPr>
              <w:t>22</w:t>
            </w:r>
            <w:r>
              <w:rPr>
                <w:rFonts w:cs="Calibri"/>
                <w:color w:val="000000"/>
              </w:rPr>
              <w:t>,</w:t>
            </w:r>
            <w:r w:rsidRPr="00995C3D">
              <w:rPr>
                <w:rFonts w:cs="Calibri"/>
                <w:color w:val="000000"/>
              </w:rPr>
              <w:t>031</w:t>
            </w:r>
          </w:p>
        </w:tc>
        <w:tc>
          <w:tcPr>
            <w:tcW w:w="1816" w:type="dxa"/>
            <w:tcBorders>
              <w:top w:val="single" w:sz="4" w:space="0" w:color="auto"/>
              <w:bottom w:val="nil"/>
            </w:tcBorders>
          </w:tcPr>
          <w:p w14:paraId="5AE7C82A" w14:textId="77777777" w:rsidR="00A7521D" w:rsidRPr="00995C3D" w:rsidRDefault="00A7521D" w:rsidP="00A7521D">
            <w:pPr>
              <w:spacing w:after="0" w:line="240" w:lineRule="auto"/>
              <w:jc w:val="center"/>
              <w:rPr>
                <w:rFonts w:cs="Calibri"/>
                <w:color w:val="000000"/>
              </w:rPr>
            </w:pPr>
            <w:r w:rsidRPr="00995C3D">
              <w:rPr>
                <w:rFonts w:cs="Calibri"/>
                <w:color w:val="000000"/>
              </w:rPr>
              <w:t>3409</w:t>
            </w:r>
          </w:p>
        </w:tc>
        <w:tc>
          <w:tcPr>
            <w:tcW w:w="1014" w:type="dxa"/>
            <w:tcBorders>
              <w:top w:val="single" w:sz="4" w:space="0" w:color="auto"/>
              <w:bottom w:val="nil"/>
            </w:tcBorders>
          </w:tcPr>
          <w:p w14:paraId="08F6D0D9" w14:textId="77777777" w:rsidR="00A7521D" w:rsidRPr="00995C3D" w:rsidRDefault="00A7521D" w:rsidP="00A7521D">
            <w:pPr>
              <w:spacing w:after="0" w:line="240" w:lineRule="auto"/>
              <w:jc w:val="center"/>
              <w:rPr>
                <w:rFonts w:cs="Calibri"/>
                <w:color w:val="000000"/>
              </w:rPr>
            </w:pPr>
            <w:r w:rsidRPr="00995C3D">
              <w:rPr>
                <w:rFonts w:cs="Calibri"/>
                <w:color w:val="000000"/>
              </w:rPr>
              <w:t>1337</w:t>
            </w:r>
          </w:p>
        </w:tc>
        <w:tc>
          <w:tcPr>
            <w:tcW w:w="844" w:type="dxa"/>
            <w:tcBorders>
              <w:top w:val="single" w:sz="4" w:space="0" w:color="auto"/>
              <w:bottom w:val="nil"/>
            </w:tcBorders>
          </w:tcPr>
          <w:p w14:paraId="7FB6C349" w14:textId="77777777" w:rsidR="00A7521D" w:rsidRPr="00995C3D" w:rsidRDefault="00A7521D" w:rsidP="00A7521D">
            <w:pPr>
              <w:spacing w:after="0" w:line="240" w:lineRule="auto"/>
              <w:jc w:val="center"/>
              <w:rPr>
                <w:rFonts w:cs="Calibri"/>
                <w:color w:val="000000"/>
              </w:rPr>
            </w:pPr>
            <w:r w:rsidRPr="00995C3D">
              <w:rPr>
                <w:rFonts w:cs="Calibri"/>
                <w:color w:val="000000"/>
              </w:rPr>
              <w:t>3555</w:t>
            </w:r>
          </w:p>
        </w:tc>
      </w:tr>
      <w:tr w:rsidR="00A7521D" w:rsidRPr="00995C3D" w14:paraId="6780F40F" w14:textId="77777777" w:rsidTr="00A7521D">
        <w:trPr>
          <w:jc w:val="center"/>
        </w:trPr>
        <w:tc>
          <w:tcPr>
            <w:tcW w:w="2551" w:type="dxa"/>
            <w:tcBorders>
              <w:top w:val="nil"/>
            </w:tcBorders>
          </w:tcPr>
          <w:p w14:paraId="2FBD6F4E" w14:textId="77777777" w:rsidR="00A7521D" w:rsidRPr="00995C3D" w:rsidRDefault="00A7521D" w:rsidP="00A7521D">
            <w:pPr>
              <w:spacing w:after="0" w:line="240" w:lineRule="auto"/>
              <w:jc w:val="center"/>
              <w:rPr>
                <w:rFonts w:cs="Calibri"/>
                <w:color w:val="000000"/>
              </w:rPr>
            </w:pPr>
            <w:r w:rsidRPr="00995C3D">
              <w:rPr>
                <w:rFonts w:cs="Calibri"/>
                <w:color w:val="000000"/>
              </w:rPr>
              <w:t>Darley Dale garage</w:t>
            </w:r>
          </w:p>
        </w:tc>
        <w:tc>
          <w:tcPr>
            <w:tcW w:w="1115" w:type="dxa"/>
            <w:tcBorders>
              <w:top w:val="nil"/>
            </w:tcBorders>
          </w:tcPr>
          <w:p w14:paraId="1163BF6E" w14:textId="77777777" w:rsidR="00A7521D" w:rsidRPr="00995C3D" w:rsidRDefault="00A7521D" w:rsidP="00A7521D">
            <w:pPr>
              <w:spacing w:after="0" w:line="240" w:lineRule="auto"/>
              <w:jc w:val="center"/>
            </w:pPr>
            <w:r w:rsidRPr="00995C3D">
              <w:t>DE4 2HX</w:t>
            </w:r>
          </w:p>
        </w:tc>
        <w:tc>
          <w:tcPr>
            <w:tcW w:w="1065" w:type="dxa"/>
            <w:tcBorders>
              <w:top w:val="nil"/>
            </w:tcBorders>
          </w:tcPr>
          <w:p w14:paraId="3AB3AC5D" w14:textId="77777777" w:rsidR="00A7521D" w:rsidRPr="00995C3D" w:rsidRDefault="00A7521D" w:rsidP="00A7521D">
            <w:pPr>
              <w:spacing w:after="0" w:line="240" w:lineRule="auto"/>
              <w:jc w:val="center"/>
              <w:rPr>
                <w:rFonts w:cs="Calibri"/>
                <w:color w:val="000000"/>
              </w:rPr>
            </w:pPr>
            <w:r w:rsidRPr="00995C3D">
              <w:rPr>
                <w:rFonts w:cs="Calibri"/>
                <w:color w:val="000000"/>
              </w:rPr>
              <w:t>27</w:t>
            </w:r>
          </w:p>
        </w:tc>
        <w:tc>
          <w:tcPr>
            <w:tcW w:w="1196" w:type="dxa"/>
            <w:tcBorders>
              <w:top w:val="nil"/>
            </w:tcBorders>
          </w:tcPr>
          <w:p w14:paraId="19E8379E" w14:textId="77777777" w:rsidR="00A7521D" w:rsidRPr="00995C3D" w:rsidRDefault="00A7521D" w:rsidP="00A7521D">
            <w:pPr>
              <w:spacing w:after="0" w:line="240" w:lineRule="auto"/>
              <w:jc w:val="center"/>
              <w:rPr>
                <w:rFonts w:cs="Calibri"/>
                <w:color w:val="000000"/>
              </w:rPr>
            </w:pPr>
            <w:r w:rsidRPr="00995C3D">
              <w:rPr>
                <w:rFonts w:cs="Calibri"/>
                <w:color w:val="000000"/>
              </w:rPr>
              <w:t>1</w:t>
            </w:r>
            <w:r>
              <w:rPr>
                <w:rFonts w:cs="Calibri"/>
                <w:color w:val="000000"/>
              </w:rPr>
              <w:t>,</w:t>
            </w:r>
            <w:r w:rsidRPr="00995C3D">
              <w:rPr>
                <w:rFonts w:cs="Calibri"/>
                <w:color w:val="000000"/>
              </w:rPr>
              <w:t>463</w:t>
            </w:r>
          </w:p>
        </w:tc>
        <w:tc>
          <w:tcPr>
            <w:tcW w:w="1816" w:type="dxa"/>
            <w:tcBorders>
              <w:top w:val="nil"/>
            </w:tcBorders>
          </w:tcPr>
          <w:p w14:paraId="7CAA54FA" w14:textId="77777777" w:rsidR="00A7521D" w:rsidRPr="00995C3D" w:rsidRDefault="00A7521D" w:rsidP="00A7521D">
            <w:pPr>
              <w:spacing w:after="0" w:line="240" w:lineRule="auto"/>
              <w:jc w:val="center"/>
              <w:rPr>
                <w:rFonts w:cs="Calibri"/>
                <w:color w:val="000000"/>
              </w:rPr>
            </w:pPr>
            <w:r w:rsidRPr="00995C3D">
              <w:rPr>
                <w:rFonts w:cs="Calibri"/>
                <w:color w:val="000000"/>
              </w:rPr>
              <w:t>226</w:t>
            </w:r>
          </w:p>
        </w:tc>
        <w:tc>
          <w:tcPr>
            <w:tcW w:w="1014" w:type="dxa"/>
            <w:tcBorders>
              <w:top w:val="nil"/>
            </w:tcBorders>
          </w:tcPr>
          <w:p w14:paraId="2D8AFDF2" w14:textId="77777777" w:rsidR="00A7521D" w:rsidRPr="00995C3D" w:rsidRDefault="00A7521D" w:rsidP="00A7521D">
            <w:pPr>
              <w:spacing w:after="0" w:line="240" w:lineRule="auto"/>
              <w:jc w:val="center"/>
              <w:rPr>
                <w:rFonts w:cs="Calibri"/>
                <w:color w:val="000000"/>
              </w:rPr>
            </w:pPr>
            <w:r w:rsidRPr="00995C3D">
              <w:rPr>
                <w:rFonts w:cs="Calibri"/>
                <w:color w:val="000000"/>
              </w:rPr>
              <w:t>89</w:t>
            </w:r>
          </w:p>
        </w:tc>
        <w:tc>
          <w:tcPr>
            <w:tcW w:w="844" w:type="dxa"/>
            <w:tcBorders>
              <w:top w:val="nil"/>
            </w:tcBorders>
          </w:tcPr>
          <w:p w14:paraId="483D01F5" w14:textId="77777777" w:rsidR="00A7521D" w:rsidRPr="00995C3D" w:rsidRDefault="00A7521D" w:rsidP="00A7521D">
            <w:pPr>
              <w:spacing w:after="0" w:line="240" w:lineRule="auto"/>
              <w:jc w:val="center"/>
              <w:rPr>
                <w:rFonts w:cs="Calibri"/>
                <w:color w:val="000000"/>
              </w:rPr>
            </w:pPr>
            <w:r w:rsidRPr="00995C3D">
              <w:rPr>
                <w:rFonts w:cs="Calibri"/>
                <w:color w:val="000000"/>
              </w:rPr>
              <w:t>236</w:t>
            </w:r>
          </w:p>
        </w:tc>
      </w:tr>
      <w:tr w:rsidR="00A7521D" w:rsidRPr="00995C3D" w14:paraId="0D051A7E" w14:textId="77777777" w:rsidTr="00A7521D">
        <w:trPr>
          <w:jc w:val="center"/>
        </w:trPr>
        <w:tc>
          <w:tcPr>
            <w:tcW w:w="2551" w:type="dxa"/>
          </w:tcPr>
          <w:p w14:paraId="591FDE68" w14:textId="77777777" w:rsidR="00A7521D" w:rsidRPr="00995C3D" w:rsidRDefault="00A7521D" w:rsidP="00A7521D">
            <w:pPr>
              <w:spacing w:after="0" w:line="240" w:lineRule="auto"/>
              <w:jc w:val="center"/>
              <w:rPr>
                <w:rFonts w:cs="Calibri"/>
                <w:color w:val="000000"/>
              </w:rPr>
            </w:pPr>
            <w:r w:rsidRPr="00995C3D">
              <w:rPr>
                <w:rFonts w:cs="Calibri"/>
                <w:color w:val="000000"/>
              </w:rPr>
              <w:t>Unity coachworks</w:t>
            </w:r>
          </w:p>
        </w:tc>
        <w:tc>
          <w:tcPr>
            <w:tcW w:w="1115" w:type="dxa"/>
          </w:tcPr>
          <w:p w14:paraId="36A41865" w14:textId="77777777" w:rsidR="00A7521D" w:rsidRPr="00995C3D" w:rsidRDefault="00A7521D" w:rsidP="00A7521D">
            <w:pPr>
              <w:spacing w:after="0" w:line="240" w:lineRule="auto"/>
              <w:jc w:val="center"/>
            </w:pPr>
            <w:r w:rsidRPr="00995C3D">
              <w:t>DE4 2FS</w:t>
            </w:r>
          </w:p>
        </w:tc>
        <w:tc>
          <w:tcPr>
            <w:tcW w:w="1065" w:type="dxa"/>
          </w:tcPr>
          <w:p w14:paraId="5048A1A6" w14:textId="77777777" w:rsidR="00A7521D" w:rsidRPr="00995C3D" w:rsidRDefault="00A7521D" w:rsidP="00A7521D">
            <w:pPr>
              <w:spacing w:after="0" w:line="240" w:lineRule="auto"/>
              <w:jc w:val="center"/>
              <w:rPr>
                <w:rFonts w:cs="Calibri"/>
                <w:color w:val="000000"/>
              </w:rPr>
            </w:pPr>
            <w:r w:rsidRPr="00995C3D">
              <w:rPr>
                <w:rFonts w:cs="Calibri"/>
                <w:color w:val="000000"/>
              </w:rPr>
              <w:t>27</w:t>
            </w:r>
          </w:p>
        </w:tc>
        <w:tc>
          <w:tcPr>
            <w:tcW w:w="1196" w:type="dxa"/>
          </w:tcPr>
          <w:p w14:paraId="0D6E37AC" w14:textId="77777777" w:rsidR="00A7521D" w:rsidRPr="00995C3D" w:rsidRDefault="00A7521D" w:rsidP="00A7521D">
            <w:pPr>
              <w:spacing w:after="0" w:line="240" w:lineRule="auto"/>
              <w:jc w:val="center"/>
              <w:rPr>
                <w:rFonts w:cs="Calibri"/>
                <w:color w:val="000000"/>
              </w:rPr>
            </w:pPr>
            <w:r w:rsidRPr="00995C3D">
              <w:rPr>
                <w:rFonts w:cs="Calibri"/>
                <w:color w:val="000000"/>
              </w:rPr>
              <w:t>598</w:t>
            </w:r>
          </w:p>
        </w:tc>
        <w:tc>
          <w:tcPr>
            <w:tcW w:w="1816" w:type="dxa"/>
          </w:tcPr>
          <w:p w14:paraId="585A7735" w14:textId="77777777" w:rsidR="00A7521D" w:rsidRPr="00995C3D" w:rsidRDefault="00A7521D" w:rsidP="00A7521D">
            <w:pPr>
              <w:spacing w:after="0" w:line="240" w:lineRule="auto"/>
              <w:jc w:val="center"/>
              <w:rPr>
                <w:rFonts w:cs="Calibri"/>
                <w:color w:val="000000"/>
              </w:rPr>
            </w:pPr>
            <w:r w:rsidRPr="00995C3D">
              <w:rPr>
                <w:rFonts w:cs="Calibri"/>
                <w:color w:val="000000"/>
              </w:rPr>
              <w:t>93</w:t>
            </w:r>
          </w:p>
        </w:tc>
        <w:tc>
          <w:tcPr>
            <w:tcW w:w="1014" w:type="dxa"/>
          </w:tcPr>
          <w:p w14:paraId="219C0F29" w14:textId="77777777" w:rsidR="00A7521D" w:rsidRPr="00995C3D" w:rsidRDefault="00A7521D" w:rsidP="00A7521D">
            <w:pPr>
              <w:spacing w:after="0" w:line="240" w:lineRule="auto"/>
              <w:jc w:val="center"/>
              <w:rPr>
                <w:rFonts w:cs="Calibri"/>
                <w:color w:val="000000"/>
              </w:rPr>
            </w:pPr>
            <w:r w:rsidRPr="00995C3D">
              <w:rPr>
                <w:rFonts w:cs="Calibri"/>
                <w:color w:val="000000"/>
              </w:rPr>
              <w:t>36</w:t>
            </w:r>
          </w:p>
        </w:tc>
        <w:tc>
          <w:tcPr>
            <w:tcW w:w="844" w:type="dxa"/>
          </w:tcPr>
          <w:p w14:paraId="7AFE68BD" w14:textId="77777777" w:rsidR="00A7521D" w:rsidRPr="00995C3D" w:rsidRDefault="00A7521D" w:rsidP="00A7521D">
            <w:pPr>
              <w:spacing w:after="0" w:line="240" w:lineRule="auto"/>
              <w:jc w:val="center"/>
              <w:rPr>
                <w:rFonts w:cs="Calibri"/>
                <w:color w:val="000000"/>
              </w:rPr>
            </w:pPr>
            <w:r w:rsidRPr="00995C3D">
              <w:rPr>
                <w:rFonts w:cs="Calibri"/>
                <w:color w:val="000000"/>
              </w:rPr>
              <w:t>97</w:t>
            </w:r>
          </w:p>
        </w:tc>
      </w:tr>
      <w:tr w:rsidR="00A7521D" w:rsidRPr="00995C3D" w14:paraId="230EFE46" w14:textId="77777777" w:rsidTr="00A7521D">
        <w:trPr>
          <w:jc w:val="center"/>
        </w:trPr>
        <w:tc>
          <w:tcPr>
            <w:tcW w:w="2551" w:type="dxa"/>
          </w:tcPr>
          <w:p w14:paraId="17D602C2" w14:textId="77777777" w:rsidR="00A7521D" w:rsidRPr="00995C3D" w:rsidRDefault="00A7521D" w:rsidP="00A7521D">
            <w:pPr>
              <w:spacing w:after="0" w:line="240" w:lineRule="auto"/>
              <w:jc w:val="center"/>
              <w:rPr>
                <w:rFonts w:cs="Calibri"/>
                <w:color w:val="000000"/>
              </w:rPr>
            </w:pPr>
            <w:r w:rsidRPr="00995C3D">
              <w:rPr>
                <w:rFonts w:cs="Calibri"/>
                <w:color w:val="000000"/>
              </w:rPr>
              <w:t>Shalimar</w:t>
            </w:r>
          </w:p>
        </w:tc>
        <w:tc>
          <w:tcPr>
            <w:tcW w:w="1115" w:type="dxa"/>
          </w:tcPr>
          <w:p w14:paraId="08347BAF" w14:textId="77777777" w:rsidR="00A7521D" w:rsidRPr="00995C3D" w:rsidRDefault="00A7521D" w:rsidP="00A7521D">
            <w:pPr>
              <w:spacing w:after="0" w:line="240" w:lineRule="auto"/>
              <w:jc w:val="center"/>
            </w:pPr>
            <w:r w:rsidRPr="00995C3D">
              <w:t>DE4 2HX</w:t>
            </w:r>
          </w:p>
        </w:tc>
        <w:tc>
          <w:tcPr>
            <w:tcW w:w="1065" w:type="dxa"/>
          </w:tcPr>
          <w:p w14:paraId="6079ACAF" w14:textId="77777777" w:rsidR="00A7521D" w:rsidRPr="00995C3D" w:rsidRDefault="00A7521D" w:rsidP="00A7521D">
            <w:pPr>
              <w:spacing w:after="0" w:line="240" w:lineRule="auto"/>
              <w:jc w:val="center"/>
              <w:rPr>
                <w:rFonts w:cs="Calibri"/>
                <w:color w:val="000000"/>
              </w:rPr>
            </w:pPr>
            <w:r w:rsidRPr="00995C3D">
              <w:rPr>
                <w:rFonts w:cs="Calibri"/>
                <w:color w:val="000000"/>
              </w:rPr>
              <w:t>7</w:t>
            </w:r>
          </w:p>
        </w:tc>
        <w:tc>
          <w:tcPr>
            <w:tcW w:w="1196" w:type="dxa"/>
          </w:tcPr>
          <w:p w14:paraId="36E293AF" w14:textId="77777777" w:rsidR="00A7521D" w:rsidRPr="00995C3D" w:rsidRDefault="00A7521D" w:rsidP="00A7521D">
            <w:pPr>
              <w:spacing w:after="0" w:line="240" w:lineRule="auto"/>
              <w:jc w:val="center"/>
              <w:rPr>
                <w:rFonts w:cs="Calibri"/>
                <w:color w:val="000000"/>
              </w:rPr>
            </w:pPr>
            <w:r w:rsidRPr="00995C3D">
              <w:rPr>
                <w:rFonts w:cs="Calibri"/>
                <w:color w:val="000000"/>
              </w:rPr>
              <w:t>341</w:t>
            </w:r>
          </w:p>
        </w:tc>
        <w:tc>
          <w:tcPr>
            <w:tcW w:w="1816" w:type="dxa"/>
          </w:tcPr>
          <w:p w14:paraId="2D487FCF" w14:textId="77777777" w:rsidR="00A7521D" w:rsidRPr="00995C3D" w:rsidRDefault="00A7521D" w:rsidP="00A7521D">
            <w:pPr>
              <w:spacing w:after="0" w:line="240" w:lineRule="auto"/>
              <w:jc w:val="center"/>
              <w:rPr>
                <w:rFonts w:cs="Calibri"/>
                <w:color w:val="000000"/>
              </w:rPr>
            </w:pPr>
            <w:r w:rsidRPr="00995C3D">
              <w:rPr>
                <w:rFonts w:cs="Calibri"/>
                <w:color w:val="000000"/>
              </w:rPr>
              <w:t>43</w:t>
            </w:r>
          </w:p>
        </w:tc>
        <w:tc>
          <w:tcPr>
            <w:tcW w:w="1014" w:type="dxa"/>
          </w:tcPr>
          <w:p w14:paraId="515BFCDE" w14:textId="77777777" w:rsidR="00A7521D" w:rsidRPr="00995C3D" w:rsidRDefault="00A7521D" w:rsidP="00A7521D">
            <w:pPr>
              <w:spacing w:after="0" w:line="240" w:lineRule="auto"/>
              <w:jc w:val="center"/>
              <w:rPr>
                <w:rFonts w:cs="Calibri"/>
                <w:color w:val="000000"/>
              </w:rPr>
            </w:pPr>
            <w:r w:rsidRPr="00995C3D">
              <w:rPr>
                <w:rFonts w:cs="Calibri"/>
                <w:color w:val="000000"/>
              </w:rPr>
              <w:t>20</w:t>
            </w:r>
          </w:p>
        </w:tc>
        <w:tc>
          <w:tcPr>
            <w:tcW w:w="844" w:type="dxa"/>
          </w:tcPr>
          <w:p w14:paraId="5100B43A" w14:textId="77777777" w:rsidR="00A7521D" w:rsidRPr="00995C3D" w:rsidRDefault="00A7521D" w:rsidP="00A7521D">
            <w:pPr>
              <w:spacing w:after="0" w:line="240" w:lineRule="auto"/>
              <w:jc w:val="center"/>
              <w:rPr>
                <w:rFonts w:cs="Calibri"/>
                <w:color w:val="000000"/>
              </w:rPr>
            </w:pPr>
            <w:r w:rsidRPr="00995C3D">
              <w:rPr>
                <w:rFonts w:cs="Calibri"/>
                <w:color w:val="000000"/>
              </w:rPr>
              <w:t>51</w:t>
            </w:r>
          </w:p>
        </w:tc>
      </w:tr>
      <w:tr w:rsidR="00A7521D" w:rsidRPr="00995C3D" w14:paraId="630978E2" w14:textId="77777777" w:rsidTr="00A7521D">
        <w:trPr>
          <w:jc w:val="center"/>
        </w:trPr>
        <w:tc>
          <w:tcPr>
            <w:tcW w:w="2551" w:type="dxa"/>
          </w:tcPr>
          <w:p w14:paraId="113D77CF" w14:textId="77777777" w:rsidR="00A7521D" w:rsidRPr="00995C3D" w:rsidRDefault="00A7521D" w:rsidP="00A7521D">
            <w:pPr>
              <w:spacing w:after="0" w:line="240" w:lineRule="auto"/>
              <w:jc w:val="center"/>
              <w:rPr>
                <w:rFonts w:cs="Calibri"/>
                <w:color w:val="000000"/>
              </w:rPr>
            </w:pPr>
            <w:r w:rsidRPr="00995C3D">
              <w:rPr>
                <w:rFonts w:cs="Calibri"/>
                <w:color w:val="000000"/>
              </w:rPr>
              <w:t>Ashbrook roofing and supplies</w:t>
            </w:r>
          </w:p>
        </w:tc>
        <w:tc>
          <w:tcPr>
            <w:tcW w:w="1115" w:type="dxa"/>
          </w:tcPr>
          <w:p w14:paraId="7E29F266" w14:textId="77777777" w:rsidR="00A7521D" w:rsidRPr="00995C3D" w:rsidRDefault="00A7521D" w:rsidP="00A7521D">
            <w:pPr>
              <w:spacing w:after="0" w:line="240" w:lineRule="auto"/>
              <w:jc w:val="center"/>
            </w:pPr>
            <w:r w:rsidRPr="00995C3D">
              <w:t>DE4 2LF</w:t>
            </w:r>
          </w:p>
        </w:tc>
        <w:tc>
          <w:tcPr>
            <w:tcW w:w="1065" w:type="dxa"/>
          </w:tcPr>
          <w:p w14:paraId="2A4527B8" w14:textId="77777777" w:rsidR="00A7521D" w:rsidRPr="00995C3D" w:rsidRDefault="00A7521D" w:rsidP="00A7521D">
            <w:pPr>
              <w:spacing w:after="0" w:line="240" w:lineRule="auto"/>
              <w:jc w:val="center"/>
              <w:rPr>
                <w:rFonts w:cs="Calibri"/>
                <w:color w:val="000000"/>
              </w:rPr>
            </w:pPr>
            <w:r w:rsidRPr="00995C3D">
              <w:rPr>
                <w:rFonts w:cs="Calibri"/>
                <w:color w:val="000000"/>
              </w:rPr>
              <w:t>4</w:t>
            </w:r>
          </w:p>
        </w:tc>
        <w:tc>
          <w:tcPr>
            <w:tcW w:w="1196" w:type="dxa"/>
          </w:tcPr>
          <w:p w14:paraId="3A1190A4" w14:textId="77777777" w:rsidR="00A7521D" w:rsidRPr="00995C3D" w:rsidRDefault="00A7521D" w:rsidP="00A7521D">
            <w:pPr>
              <w:spacing w:after="0" w:line="240" w:lineRule="auto"/>
              <w:jc w:val="center"/>
              <w:rPr>
                <w:rFonts w:cs="Calibri"/>
                <w:color w:val="000000"/>
              </w:rPr>
            </w:pPr>
            <w:r w:rsidRPr="00995C3D">
              <w:rPr>
                <w:rFonts w:cs="Calibri"/>
                <w:color w:val="000000"/>
              </w:rPr>
              <w:t>1</w:t>
            </w:r>
            <w:r>
              <w:rPr>
                <w:rFonts w:cs="Calibri"/>
                <w:color w:val="000000"/>
              </w:rPr>
              <w:t>,</w:t>
            </w:r>
            <w:r w:rsidRPr="00995C3D">
              <w:rPr>
                <w:rFonts w:cs="Calibri"/>
                <w:color w:val="000000"/>
              </w:rPr>
              <w:t>095</w:t>
            </w:r>
          </w:p>
        </w:tc>
        <w:tc>
          <w:tcPr>
            <w:tcW w:w="1816" w:type="dxa"/>
          </w:tcPr>
          <w:p w14:paraId="4EE6B267" w14:textId="77777777" w:rsidR="00A7521D" w:rsidRPr="00995C3D" w:rsidRDefault="00A7521D" w:rsidP="00A7521D">
            <w:pPr>
              <w:spacing w:after="0" w:line="240" w:lineRule="auto"/>
              <w:jc w:val="center"/>
              <w:rPr>
                <w:rFonts w:cs="Calibri"/>
                <w:color w:val="000000"/>
              </w:rPr>
            </w:pPr>
            <w:r w:rsidRPr="00995C3D">
              <w:rPr>
                <w:rFonts w:cs="Calibri"/>
                <w:color w:val="000000"/>
              </w:rPr>
              <w:t>170</w:t>
            </w:r>
          </w:p>
        </w:tc>
        <w:tc>
          <w:tcPr>
            <w:tcW w:w="1014" w:type="dxa"/>
          </w:tcPr>
          <w:p w14:paraId="0356F68F" w14:textId="77777777" w:rsidR="00A7521D" w:rsidRPr="00995C3D" w:rsidRDefault="00A7521D" w:rsidP="00A7521D">
            <w:pPr>
              <w:spacing w:after="0" w:line="240" w:lineRule="auto"/>
              <w:jc w:val="center"/>
              <w:rPr>
                <w:rFonts w:cs="Calibri"/>
                <w:color w:val="000000"/>
              </w:rPr>
            </w:pPr>
            <w:r w:rsidRPr="00995C3D">
              <w:rPr>
                <w:rFonts w:cs="Calibri"/>
                <w:color w:val="000000"/>
              </w:rPr>
              <w:t>50</w:t>
            </w:r>
          </w:p>
        </w:tc>
        <w:tc>
          <w:tcPr>
            <w:tcW w:w="844" w:type="dxa"/>
          </w:tcPr>
          <w:p w14:paraId="3A3D76F5" w14:textId="77777777" w:rsidR="00A7521D" w:rsidRPr="00995C3D" w:rsidRDefault="00A7521D" w:rsidP="00A7521D">
            <w:pPr>
              <w:spacing w:after="0" w:line="240" w:lineRule="auto"/>
              <w:jc w:val="center"/>
              <w:rPr>
                <w:rFonts w:cs="Calibri"/>
                <w:color w:val="000000"/>
              </w:rPr>
            </w:pPr>
            <w:r w:rsidRPr="00995C3D">
              <w:rPr>
                <w:rFonts w:cs="Calibri"/>
                <w:color w:val="000000"/>
              </w:rPr>
              <w:t>98</w:t>
            </w:r>
          </w:p>
        </w:tc>
      </w:tr>
      <w:tr w:rsidR="00A7521D" w:rsidRPr="00995C3D" w14:paraId="669E4615" w14:textId="77777777" w:rsidTr="00A7521D">
        <w:trPr>
          <w:jc w:val="center"/>
        </w:trPr>
        <w:tc>
          <w:tcPr>
            <w:tcW w:w="2551" w:type="dxa"/>
          </w:tcPr>
          <w:p w14:paraId="7D6F54CF" w14:textId="77777777" w:rsidR="00A7521D" w:rsidRPr="00995C3D" w:rsidRDefault="00A7521D" w:rsidP="00A7521D">
            <w:pPr>
              <w:spacing w:after="0" w:line="240" w:lineRule="auto"/>
              <w:jc w:val="center"/>
              <w:rPr>
                <w:rFonts w:cs="Calibri"/>
                <w:color w:val="000000"/>
              </w:rPr>
            </w:pPr>
            <w:r w:rsidRPr="00995C3D">
              <w:rPr>
                <w:rFonts w:cs="Calibri"/>
                <w:color w:val="000000"/>
              </w:rPr>
              <w:t>Peak shopping village</w:t>
            </w:r>
          </w:p>
        </w:tc>
        <w:tc>
          <w:tcPr>
            <w:tcW w:w="1115" w:type="dxa"/>
          </w:tcPr>
          <w:p w14:paraId="331579D1" w14:textId="77777777" w:rsidR="00A7521D" w:rsidRPr="00995C3D" w:rsidRDefault="00A7521D" w:rsidP="00A7521D">
            <w:pPr>
              <w:spacing w:after="0" w:line="240" w:lineRule="auto"/>
              <w:jc w:val="center"/>
            </w:pPr>
            <w:r w:rsidRPr="00995C3D">
              <w:t>DE4 2JE</w:t>
            </w:r>
          </w:p>
        </w:tc>
        <w:tc>
          <w:tcPr>
            <w:tcW w:w="1065" w:type="dxa"/>
          </w:tcPr>
          <w:p w14:paraId="59EF2110" w14:textId="77777777" w:rsidR="00A7521D" w:rsidRPr="00995C3D" w:rsidRDefault="00A7521D" w:rsidP="00A7521D">
            <w:pPr>
              <w:spacing w:after="0" w:line="240" w:lineRule="auto"/>
              <w:jc w:val="center"/>
              <w:rPr>
                <w:rFonts w:cs="Calibri"/>
                <w:color w:val="000000"/>
              </w:rPr>
            </w:pPr>
            <w:r w:rsidRPr="00995C3D">
              <w:rPr>
                <w:rFonts w:cs="Calibri"/>
                <w:color w:val="000000"/>
              </w:rPr>
              <w:t>25</w:t>
            </w:r>
          </w:p>
        </w:tc>
        <w:tc>
          <w:tcPr>
            <w:tcW w:w="1196" w:type="dxa"/>
          </w:tcPr>
          <w:p w14:paraId="45D4505C" w14:textId="77777777" w:rsidR="00A7521D" w:rsidRPr="00995C3D" w:rsidRDefault="00A7521D" w:rsidP="00A7521D">
            <w:pPr>
              <w:spacing w:after="0" w:line="240" w:lineRule="auto"/>
              <w:jc w:val="center"/>
              <w:rPr>
                <w:rFonts w:cs="Calibri"/>
                <w:color w:val="000000"/>
              </w:rPr>
            </w:pPr>
            <w:r w:rsidRPr="00995C3D">
              <w:rPr>
                <w:rFonts w:cs="Calibri"/>
                <w:color w:val="000000"/>
              </w:rPr>
              <w:t>4</w:t>
            </w:r>
            <w:r>
              <w:rPr>
                <w:rFonts w:cs="Calibri"/>
                <w:color w:val="000000"/>
              </w:rPr>
              <w:t>,</w:t>
            </w:r>
            <w:r w:rsidRPr="00995C3D">
              <w:rPr>
                <w:rFonts w:cs="Calibri"/>
                <w:color w:val="000000"/>
              </w:rPr>
              <w:t>432</w:t>
            </w:r>
          </w:p>
        </w:tc>
        <w:tc>
          <w:tcPr>
            <w:tcW w:w="1816" w:type="dxa"/>
          </w:tcPr>
          <w:p w14:paraId="7D1BA253" w14:textId="77777777" w:rsidR="00A7521D" w:rsidRPr="00995C3D" w:rsidRDefault="00A7521D" w:rsidP="00A7521D">
            <w:pPr>
              <w:spacing w:after="0" w:line="240" w:lineRule="auto"/>
              <w:jc w:val="center"/>
              <w:rPr>
                <w:rFonts w:cs="Calibri"/>
                <w:color w:val="000000"/>
              </w:rPr>
            </w:pPr>
            <w:r w:rsidRPr="00995C3D">
              <w:rPr>
                <w:rFonts w:cs="Calibri"/>
                <w:color w:val="000000"/>
              </w:rPr>
              <w:t>375</w:t>
            </w:r>
          </w:p>
        </w:tc>
        <w:tc>
          <w:tcPr>
            <w:tcW w:w="1014" w:type="dxa"/>
          </w:tcPr>
          <w:p w14:paraId="282F403E" w14:textId="77777777" w:rsidR="00A7521D" w:rsidRPr="00995C3D" w:rsidRDefault="00A7521D" w:rsidP="00A7521D">
            <w:pPr>
              <w:spacing w:after="0" w:line="240" w:lineRule="auto"/>
              <w:jc w:val="center"/>
              <w:rPr>
                <w:rFonts w:cs="Calibri"/>
                <w:color w:val="000000"/>
              </w:rPr>
            </w:pPr>
            <w:r w:rsidRPr="00995C3D">
              <w:rPr>
                <w:rFonts w:cs="Calibri"/>
                <w:color w:val="000000"/>
              </w:rPr>
              <w:t>147</w:t>
            </w:r>
          </w:p>
        </w:tc>
        <w:tc>
          <w:tcPr>
            <w:tcW w:w="844" w:type="dxa"/>
          </w:tcPr>
          <w:p w14:paraId="37C04831" w14:textId="77777777" w:rsidR="00A7521D" w:rsidRPr="00995C3D" w:rsidRDefault="00A7521D" w:rsidP="00A7521D">
            <w:pPr>
              <w:spacing w:after="0" w:line="240" w:lineRule="auto"/>
              <w:jc w:val="center"/>
              <w:rPr>
                <w:rFonts w:cs="Calibri"/>
                <w:color w:val="000000"/>
              </w:rPr>
            </w:pPr>
            <w:r w:rsidRPr="00995C3D">
              <w:rPr>
                <w:rFonts w:cs="Calibri"/>
                <w:color w:val="000000"/>
              </w:rPr>
              <w:t>391</w:t>
            </w:r>
          </w:p>
        </w:tc>
      </w:tr>
      <w:tr w:rsidR="00A7521D" w:rsidRPr="00995C3D" w14:paraId="493212B3" w14:textId="77777777" w:rsidTr="00A7521D">
        <w:trPr>
          <w:jc w:val="center"/>
        </w:trPr>
        <w:tc>
          <w:tcPr>
            <w:tcW w:w="2551" w:type="dxa"/>
          </w:tcPr>
          <w:p w14:paraId="60F37C01" w14:textId="77777777" w:rsidR="00A7521D" w:rsidRPr="00995C3D" w:rsidRDefault="00A7521D" w:rsidP="00A7521D">
            <w:pPr>
              <w:spacing w:after="0" w:line="240" w:lineRule="auto"/>
              <w:jc w:val="center"/>
              <w:rPr>
                <w:rFonts w:cs="Calibri"/>
                <w:color w:val="000000"/>
              </w:rPr>
            </w:pPr>
            <w:r w:rsidRPr="00995C3D">
              <w:rPr>
                <w:rFonts w:cs="Calibri"/>
                <w:color w:val="000000"/>
              </w:rPr>
              <w:t>Grouse and claret</w:t>
            </w:r>
          </w:p>
        </w:tc>
        <w:tc>
          <w:tcPr>
            <w:tcW w:w="1115" w:type="dxa"/>
          </w:tcPr>
          <w:p w14:paraId="77E90D2C" w14:textId="77777777" w:rsidR="00A7521D" w:rsidRPr="00995C3D" w:rsidRDefault="00A7521D" w:rsidP="00A7521D">
            <w:pPr>
              <w:spacing w:after="0" w:line="240" w:lineRule="auto"/>
              <w:jc w:val="center"/>
            </w:pPr>
            <w:r w:rsidRPr="00995C3D">
              <w:t>DE4 2EB</w:t>
            </w:r>
          </w:p>
        </w:tc>
        <w:tc>
          <w:tcPr>
            <w:tcW w:w="1065" w:type="dxa"/>
          </w:tcPr>
          <w:p w14:paraId="42AB56E2" w14:textId="77777777" w:rsidR="00A7521D" w:rsidRPr="00995C3D" w:rsidRDefault="00A7521D" w:rsidP="00A7521D">
            <w:pPr>
              <w:spacing w:after="0" w:line="240" w:lineRule="auto"/>
              <w:jc w:val="center"/>
              <w:rPr>
                <w:rFonts w:cs="Calibri"/>
                <w:color w:val="000000"/>
              </w:rPr>
            </w:pPr>
            <w:r w:rsidRPr="00995C3D">
              <w:rPr>
                <w:rFonts w:cs="Calibri"/>
                <w:color w:val="000000"/>
              </w:rPr>
              <w:t>8</w:t>
            </w:r>
          </w:p>
        </w:tc>
        <w:tc>
          <w:tcPr>
            <w:tcW w:w="1196" w:type="dxa"/>
          </w:tcPr>
          <w:p w14:paraId="4230E65B" w14:textId="77777777" w:rsidR="00A7521D" w:rsidRPr="00995C3D" w:rsidRDefault="00A7521D" w:rsidP="00A7521D">
            <w:pPr>
              <w:spacing w:after="0" w:line="240" w:lineRule="auto"/>
              <w:jc w:val="center"/>
              <w:rPr>
                <w:rFonts w:cs="Calibri"/>
                <w:color w:val="000000"/>
              </w:rPr>
            </w:pPr>
            <w:r w:rsidRPr="00995C3D">
              <w:rPr>
                <w:rFonts w:cs="Calibri"/>
                <w:color w:val="000000"/>
              </w:rPr>
              <w:t>554</w:t>
            </w:r>
          </w:p>
        </w:tc>
        <w:tc>
          <w:tcPr>
            <w:tcW w:w="1816" w:type="dxa"/>
          </w:tcPr>
          <w:p w14:paraId="69020B1F" w14:textId="77777777" w:rsidR="00A7521D" w:rsidRPr="00995C3D" w:rsidRDefault="00A7521D" w:rsidP="00A7521D">
            <w:pPr>
              <w:spacing w:after="0" w:line="240" w:lineRule="auto"/>
              <w:jc w:val="center"/>
              <w:rPr>
                <w:rFonts w:cs="Calibri"/>
                <w:color w:val="000000"/>
              </w:rPr>
            </w:pPr>
            <w:r w:rsidRPr="00995C3D">
              <w:rPr>
                <w:rFonts w:cs="Calibri"/>
                <w:color w:val="000000"/>
              </w:rPr>
              <w:t>66</w:t>
            </w:r>
          </w:p>
        </w:tc>
        <w:tc>
          <w:tcPr>
            <w:tcW w:w="1014" w:type="dxa"/>
          </w:tcPr>
          <w:p w14:paraId="0E718AD8" w14:textId="77777777" w:rsidR="00A7521D" w:rsidRPr="00995C3D" w:rsidRDefault="00A7521D" w:rsidP="00A7521D">
            <w:pPr>
              <w:spacing w:after="0" w:line="240" w:lineRule="auto"/>
              <w:jc w:val="center"/>
              <w:rPr>
                <w:rFonts w:cs="Calibri"/>
                <w:color w:val="000000"/>
              </w:rPr>
            </w:pPr>
            <w:r w:rsidRPr="00995C3D">
              <w:rPr>
                <w:rFonts w:cs="Calibri"/>
                <w:color w:val="000000"/>
              </w:rPr>
              <w:t>26</w:t>
            </w:r>
          </w:p>
        </w:tc>
        <w:tc>
          <w:tcPr>
            <w:tcW w:w="844" w:type="dxa"/>
          </w:tcPr>
          <w:p w14:paraId="34E82722" w14:textId="77777777" w:rsidR="00A7521D" w:rsidRPr="00995C3D" w:rsidRDefault="00A7521D" w:rsidP="00A7521D">
            <w:pPr>
              <w:spacing w:after="0" w:line="240" w:lineRule="auto"/>
              <w:jc w:val="center"/>
              <w:rPr>
                <w:rFonts w:cs="Calibri"/>
                <w:color w:val="000000"/>
              </w:rPr>
            </w:pPr>
            <w:r w:rsidRPr="00995C3D">
              <w:rPr>
                <w:rFonts w:cs="Calibri"/>
                <w:color w:val="000000"/>
              </w:rPr>
              <w:t>38</w:t>
            </w:r>
          </w:p>
        </w:tc>
      </w:tr>
      <w:tr w:rsidR="00A7521D" w:rsidRPr="00995C3D" w14:paraId="04B81CD4" w14:textId="77777777" w:rsidTr="00A7521D">
        <w:trPr>
          <w:jc w:val="center"/>
        </w:trPr>
        <w:tc>
          <w:tcPr>
            <w:tcW w:w="2551" w:type="dxa"/>
            <w:tcBorders>
              <w:bottom w:val="single" w:sz="4" w:space="0" w:color="auto"/>
            </w:tcBorders>
          </w:tcPr>
          <w:p w14:paraId="21044495" w14:textId="77777777" w:rsidR="00A7521D" w:rsidRPr="00995C3D" w:rsidRDefault="00A7521D" w:rsidP="00A7521D">
            <w:pPr>
              <w:spacing w:after="0" w:line="240" w:lineRule="auto"/>
              <w:jc w:val="center"/>
              <w:rPr>
                <w:rFonts w:cs="Calibri"/>
                <w:color w:val="000000"/>
              </w:rPr>
            </w:pPr>
            <w:r w:rsidRPr="00995C3D">
              <w:rPr>
                <w:rFonts w:cs="Calibri"/>
                <w:color w:val="000000"/>
              </w:rPr>
              <w:t xml:space="preserve">The Peacock at </w:t>
            </w:r>
            <w:proofErr w:type="spellStart"/>
            <w:r w:rsidRPr="00995C3D">
              <w:rPr>
                <w:rFonts w:cs="Calibri"/>
                <w:color w:val="000000"/>
              </w:rPr>
              <w:t>Rowsley</w:t>
            </w:r>
            <w:proofErr w:type="spellEnd"/>
          </w:p>
        </w:tc>
        <w:tc>
          <w:tcPr>
            <w:tcW w:w="1115" w:type="dxa"/>
            <w:tcBorders>
              <w:bottom w:val="single" w:sz="4" w:space="0" w:color="auto"/>
            </w:tcBorders>
          </w:tcPr>
          <w:p w14:paraId="3BC7BCA7" w14:textId="77777777" w:rsidR="00A7521D" w:rsidRPr="00995C3D" w:rsidRDefault="00A7521D" w:rsidP="00A7521D">
            <w:pPr>
              <w:spacing w:after="0" w:line="240" w:lineRule="auto"/>
              <w:jc w:val="center"/>
            </w:pPr>
            <w:r w:rsidRPr="00995C3D">
              <w:t>DE4 2EB</w:t>
            </w:r>
          </w:p>
        </w:tc>
        <w:tc>
          <w:tcPr>
            <w:tcW w:w="1065" w:type="dxa"/>
            <w:tcBorders>
              <w:bottom w:val="single" w:sz="4" w:space="0" w:color="auto"/>
            </w:tcBorders>
          </w:tcPr>
          <w:p w14:paraId="789D392B" w14:textId="77777777" w:rsidR="00A7521D" w:rsidRPr="00995C3D" w:rsidRDefault="00A7521D" w:rsidP="00A7521D">
            <w:pPr>
              <w:spacing w:after="0" w:line="240" w:lineRule="auto"/>
              <w:jc w:val="center"/>
              <w:rPr>
                <w:rFonts w:cs="Calibri"/>
                <w:color w:val="000000"/>
              </w:rPr>
            </w:pPr>
            <w:r w:rsidRPr="00995C3D">
              <w:rPr>
                <w:rFonts w:cs="Calibri"/>
                <w:color w:val="000000"/>
              </w:rPr>
              <w:t>8</w:t>
            </w:r>
          </w:p>
        </w:tc>
        <w:tc>
          <w:tcPr>
            <w:tcW w:w="1196" w:type="dxa"/>
            <w:tcBorders>
              <w:bottom w:val="single" w:sz="4" w:space="0" w:color="auto"/>
            </w:tcBorders>
          </w:tcPr>
          <w:p w14:paraId="42A7130B" w14:textId="77777777" w:rsidR="00A7521D" w:rsidRPr="00995C3D" w:rsidRDefault="00A7521D" w:rsidP="00A7521D">
            <w:pPr>
              <w:spacing w:after="0" w:line="240" w:lineRule="auto"/>
              <w:jc w:val="center"/>
              <w:rPr>
                <w:rFonts w:cs="Calibri"/>
                <w:color w:val="000000"/>
              </w:rPr>
            </w:pPr>
            <w:r w:rsidRPr="00995C3D">
              <w:rPr>
                <w:rFonts w:cs="Calibri"/>
                <w:color w:val="000000"/>
              </w:rPr>
              <w:t>1</w:t>
            </w:r>
            <w:r>
              <w:rPr>
                <w:rFonts w:cs="Calibri"/>
                <w:color w:val="000000"/>
              </w:rPr>
              <w:t>,</w:t>
            </w:r>
            <w:r w:rsidRPr="00995C3D">
              <w:rPr>
                <w:rFonts w:cs="Calibri"/>
                <w:color w:val="000000"/>
              </w:rPr>
              <w:t>469</w:t>
            </w:r>
          </w:p>
        </w:tc>
        <w:tc>
          <w:tcPr>
            <w:tcW w:w="1816" w:type="dxa"/>
            <w:tcBorders>
              <w:bottom w:val="single" w:sz="4" w:space="0" w:color="auto"/>
            </w:tcBorders>
          </w:tcPr>
          <w:p w14:paraId="1E92608B" w14:textId="77777777" w:rsidR="00A7521D" w:rsidRPr="00995C3D" w:rsidRDefault="00A7521D" w:rsidP="00A7521D">
            <w:pPr>
              <w:spacing w:after="0" w:line="240" w:lineRule="auto"/>
              <w:jc w:val="center"/>
              <w:rPr>
                <w:rFonts w:cs="Calibri"/>
                <w:color w:val="000000"/>
              </w:rPr>
            </w:pPr>
            <w:r w:rsidRPr="00995C3D">
              <w:rPr>
                <w:rFonts w:cs="Calibri"/>
                <w:color w:val="000000"/>
              </w:rPr>
              <w:t>175</w:t>
            </w:r>
          </w:p>
        </w:tc>
        <w:tc>
          <w:tcPr>
            <w:tcW w:w="1014" w:type="dxa"/>
            <w:tcBorders>
              <w:bottom w:val="single" w:sz="4" w:space="0" w:color="auto"/>
            </w:tcBorders>
          </w:tcPr>
          <w:p w14:paraId="708E7C46" w14:textId="77777777" w:rsidR="00A7521D" w:rsidRPr="00995C3D" w:rsidRDefault="00A7521D" w:rsidP="00A7521D">
            <w:pPr>
              <w:spacing w:after="0" w:line="240" w:lineRule="auto"/>
              <w:jc w:val="center"/>
              <w:rPr>
                <w:rFonts w:cs="Calibri"/>
                <w:color w:val="000000"/>
              </w:rPr>
            </w:pPr>
            <w:r w:rsidRPr="00995C3D">
              <w:rPr>
                <w:rFonts w:cs="Calibri"/>
                <w:color w:val="000000"/>
              </w:rPr>
              <w:t>70</w:t>
            </w:r>
          </w:p>
        </w:tc>
        <w:tc>
          <w:tcPr>
            <w:tcW w:w="844" w:type="dxa"/>
            <w:tcBorders>
              <w:bottom w:val="single" w:sz="4" w:space="0" w:color="auto"/>
            </w:tcBorders>
          </w:tcPr>
          <w:p w14:paraId="25428A15" w14:textId="77777777" w:rsidR="00A7521D" w:rsidRPr="00995C3D" w:rsidRDefault="00A7521D" w:rsidP="00A7521D">
            <w:pPr>
              <w:spacing w:after="0" w:line="240" w:lineRule="auto"/>
              <w:jc w:val="center"/>
              <w:rPr>
                <w:rFonts w:cs="Calibri"/>
                <w:color w:val="000000"/>
              </w:rPr>
            </w:pPr>
            <w:r w:rsidRPr="00995C3D">
              <w:rPr>
                <w:rFonts w:cs="Calibri"/>
                <w:color w:val="000000"/>
              </w:rPr>
              <w:t>100</w:t>
            </w:r>
          </w:p>
        </w:tc>
      </w:tr>
    </w:tbl>
    <w:p w14:paraId="26369249" w14:textId="77777777" w:rsidR="00A7521D" w:rsidRDefault="00A7521D" w:rsidP="00A7521D">
      <w:pPr>
        <w:spacing w:line="259" w:lineRule="auto"/>
        <w:jc w:val="left"/>
        <w:rPr>
          <w:rFonts w:ascii="Calibri" w:eastAsia="SimSun" w:hAnsi="Calibri" w:cs="Arial"/>
          <w:b/>
          <w:bCs/>
          <w:sz w:val="18"/>
          <w:szCs w:val="18"/>
        </w:rPr>
      </w:pPr>
    </w:p>
    <w:p w14:paraId="1696C6E0" w14:textId="77777777" w:rsidR="00A7521D" w:rsidRDefault="00A7521D" w:rsidP="00A7521D">
      <w:pPr>
        <w:jc w:val="left"/>
        <w:rPr>
          <w:b/>
          <w:bCs/>
          <w:sz w:val="18"/>
          <w:szCs w:val="18"/>
        </w:rPr>
      </w:pPr>
      <w:bookmarkStart w:id="982" w:name="_Toc525230153"/>
      <w:r>
        <w:br w:type="page"/>
      </w:r>
    </w:p>
    <w:p w14:paraId="31583660" w14:textId="54D024ED" w:rsidR="00A7521D" w:rsidRDefault="00A7521D" w:rsidP="00A7521D">
      <w:pPr>
        <w:pStyle w:val="Caption"/>
        <w:keepNext/>
      </w:pPr>
      <w:bookmarkStart w:id="983" w:name="_Toc7187720"/>
      <w:r>
        <w:lastRenderedPageBreak/>
        <w:t xml:space="preserve">Table </w:t>
      </w:r>
      <w:fldSimple w:instr=" STYLEREF 1 \s ">
        <w:r w:rsidR="00CB7456">
          <w:rPr>
            <w:noProof/>
          </w:rPr>
          <w:t>13</w:t>
        </w:r>
      </w:fldSimple>
      <w:r w:rsidR="009E1A67">
        <w:t>.</w:t>
      </w:r>
      <w:fldSimple w:instr=" SEQ Table \* ARABIC \s 1 ">
        <w:r w:rsidR="00CB7456">
          <w:rPr>
            <w:noProof/>
          </w:rPr>
          <w:t>3</w:t>
        </w:r>
      </w:fldSimple>
      <w:r>
        <w:t>: Large heat users in Darley Dale</w:t>
      </w:r>
      <w:bookmarkEnd w:id="978"/>
      <w:bookmarkEnd w:id="982"/>
      <w:r>
        <w:t>.</w:t>
      </w:r>
      <w:bookmarkEnd w:id="983"/>
    </w:p>
    <w:tbl>
      <w:tblPr>
        <w:tblW w:w="9601" w:type="dxa"/>
        <w:jc w:val="center"/>
        <w:tblBorders>
          <w:top w:val="single" w:sz="4" w:space="0" w:color="auto"/>
          <w:bottom w:val="single" w:sz="4" w:space="0" w:color="auto"/>
        </w:tblBorders>
        <w:tblLook w:val="00A0" w:firstRow="1" w:lastRow="0" w:firstColumn="1" w:lastColumn="0" w:noHBand="0" w:noVBand="0"/>
      </w:tblPr>
      <w:tblGrid>
        <w:gridCol w:w="2552"/>
        <w:gridCol w:w="1115"/>
        <w:gridCol w:w="1065"/>
        <w:gridCol w:w="1196"/>
        <w:gridCol w:w="1815"/>
        <w:gridCol w:w="1014"/>
        <w:gridCol w:w="844"/>
      </w:tblGrid>
      <w:tr w:rsidR="00A7521D" w:rsidRPr="00995C3D" w14:paraId="74DB806D" w14:textId="77777777" w:rsidTr="00A7521D">
        <w:trPr>
          <w:jc w:val="center"/>
        </w:trPr>
        <w:tc>
          <w:tcPr>
            <w:tcW w:w="2552" w:type="dxa"/>
            <w:tcBorders>
              <w:top w:val="single" w:sz="4" w:space="0" w:color="auto"/>
              <w:bottom w:val="single" w:sz="4" w:space="0" w:color="auto"/>
            </w:tcBorders>
          </w:tcPr>
          <w:p w14:paraId="202AC0CB" w14:textId="77777777" w:rsidR="00A7521D" w:rsidRPr="00995C3D" w:rsidRDefault="00A7521D" w:rsidP="00A7521D">
            <w:pPr>
              <w:spacing w:after="0" w:line="240" w:lineRule="auto"/>
              <w:jc w:val="center"/>
            </w:pPr>
            <w:r w:rsidRPr="00995C3D">
              <w:t>Building name</w:t>
            </w:r>
          </w:p>
        </w:tc>
        <w:tc>
          <w:tcPr>
            <w:tcW w:w="1115" w:type="dxa"/>
            <w:tcBorders>
              <w:top w:val="single" w:sz="4" w:space="0" w:color="auto"/>
              <w:bottom w:val="single" w:sz="4" w:space="0" w:color="auto"/>
            </w:tcBorders>
          </w:tcPr>
          <w:p w14:paraId="2332DCE7" w14:textId="77777777" w:rsidR="00A7521D" w:rsidRPr="00995C3D" w:rsidRDefault="00A7521D" w:rsidP="00A7521D">
            <w:pPr>
              <w:spacing w:after="0" w:line="240" w:lineRule="auto"/>
              <w:jc w:val="center"/>
            </w:pPr>
            <w:r w:rsidRPr="00995C3D">
              <w:t>Postcode</w:t>
            </w:r>
          </w:p>
        </w:tc>
        <w:tc>
          <w:tcPr>
            <w:tcW w:w="1065" w:type="dxa"/>
            <w:tcBorders>
              <w:top w:val="single" w:sz="4" w:space="0" w:color="auto"/>
              <w:bottom w:val="single" w:sz="4" w:space="0" w:color="auto"/>
            </w:tcBorders>
          </w:tcPr>
          <w:p w14:paraId="71514363" w14:textId="77777777" w:rsidR="00A7521D" w:rsidRPr="00995C3D" w:rsidRDefault="00A7521D" w:rsidP="00A7521D">
            <w:pPr>
              <w:spacing w:after="0" w:line="240" w:lineRule="auto"/>
              <w:jc w:val="center"/>
            </w:pPr>
            <w:r w:rsidRPr="00995C3D">
              <w:t>CIBSE category</w:t>
            </w:r>
          </w:p>
        </w:tc>
        <w:tc>
          <w:tcPr>
            <w:tcW w:w="1196" w:type="dxa"/>
            <w:tcBorders>
              <w:top w:val="single" w:sz="4" w:space="0" w:color="auto"/>
              <w:bottom w:val="single" w:sz="4" w:space="0" w:color="auto"/>
            </w:tcBorders>
          </w:tcPr>
          <w:p w14:paraId="55931304" w14:textId="77777777" w:rsidR="00A7521D" w:rsidRPr="00995C3D" w:rsidRDefault="00A7521D" w:rsidP="00A7521D">
            <w:pPr>
              <w:spacing w:after="0" w:line="240" w:lineRule="auto"/>
              <w:jc w:val="center"/>
            </w:pPr>
            <w:r w:rsidRPr="00995C3D">
              <w:t>Estimated floor area (m</w:t>
            </w:r>
            <w:r w:rsidRPr="00995C3D">
              <w:rPr>
                <w:vertAlign w:val="superscript"/>
              </w:rPr>
              <w:t>2</w:t>
            </w:r>
            <w:r w:rsidRPr="00995C3D">
              <w:t>)</w:t>
            </w:r>
          </w:p>
        </w:tc>
        <w:tc>
          <w:tcPr>
            <w:tcW w:w="1815" w:type="dxa"/>
            <w:tcBorders>
              <w:top w:val="single" w:sz="4" w:space="0" w:color="auto"/>
              <w:bottom w:val="single" w:sz="4" w:space="0" w:color="auto"/>
            </w:tcBorders>
          </w:tcPr>
          <w:p w14:paraId="064D6995" w14:textId="77777777" w:rsidR="00A7521D" w:rsidRPr="00995C3D" w:rsidRDefault="00A7521D" w:rsidP="00A7521D">
            <w:pPr>
              <w:spacing w:after="0" w:line="240" w:lineRule="auto"/>
              <w:jc w:val="center"/>
            </w:pPr>
            <w:r w:rsidRPr="00995C3D">
              <w:t>Yearly energy use for heating (MWh)</w:t>
            </w:r>
          </w:p>
        </w:tc>
        <w:tc>
          <w:tcPr>
            <w:tcW w:w="1014" w:type="dxa"/>
            <w:tcBorders>
              <w:top w:val="single" w:sz="4" w:space="0" w:color="auto"/>
              <w:bottom w:val="single" w:sz="4" w:space="0" w:color="auto"/>
            </w:tcBorders>
          </w:tcPr>
          <w:p w14:paraId="62D82689" w14:textId="77777777" w:rsidR="00A7521D" w:rsidRPr="00995C3D" w:rsidRDefault="00A7521D" w:rsidP="00A7521D">
            <w:pPr>
              <w:spacing w:after="0" w:line="240" w:lineRule="auto"/>
              <w:jc w:val="center"/>
            </w:pPr>
            <w:r w:rsidRPr="00995C3D">
              <w:t>Average power (kW)</w:t>
            </w:r>
          </w:p>
        </w:tc>
        <w:tc>
          <w:tcPr>
            <w:tcW w:w="844" w:type="dxa"/>
            <w:tcBorders>
              <w:top w:val="single" w:sz="4" w:space="0" w:color="auto"/>
              <w:bottom w:val="single" w:sz="4" w:space="0" w:color="auto"/>
            </w:tcBorders>
          </w:tcPr>
          <w:p w14:paraId="194B3275" w14:textId="77777777" w:rsidR="00A7521D" w:rsidRPr="00995C3D" w:rsidRDefault="00A7521D" w:rsidP="00A7521D">
            <w:pPr>
              <w:spacing w:after="0" w:line="240" w:lineRule="auto"/>
              <w:jc w:val="center"/>
            </w:pPr>
            <w:r w:rsidRPr="00995C3D">
              <w:t>Peak power (kW)</w:t>
            </w:r>
          </w:p>
        </w:tc>
      </w:tr>
      <w:tr w:rsidR="00A7521D" w:rsidRPr="00995C3D" w14:paraId="76824E11" w14:textId="77777777" w:rsidTr="00A7521D">
        <w:trPr>
          <w:jc w:val="center"/>
        </w:trPr>
        <w:tc>
          <w:tcPr>
            <w:tcW w:w="2552" w:type="dxa"/>
            <w:tcBorders>
              <w:top w:val="single" w:sz="4" w:space="0" w:color="auto"/>
              <w:bottom w:val="nil"/>
            </w:tcBorders>
          </w:tcPr>
          <w:p w14:paraId="23DAD235" w14:textId="77777777" w:rsidR="00A7521D" w:rsidRPr="00995C3D" w:rsidRDefault="00A7521D" w:rsidP="00A7521D">
            <w:pPr>
              <w:spacing w:after="0" w:line="240" w:lineRule="auto"/>
              <w:jc w:val="center"/>
              <w:rPr>
                <w:rFonts w:cs="Calibri"/>
                <w:color w:val="000000"/>
              </w:rPr>
            </w:pPr>
            <w:r w:rsidRPr="00995C3D">
              <w:rPr>
                <w:rFonts w:cs="Calibri"/>
                <w:color w:val="000000"/>
              </w:rPr>
              <w:t>Galliford try</w:t>
            </w:r>
          </w:p>
        </w:tc>
        <w:tc>
          <w:tcPr>
            <w:tcW w:w="1115" w:type="dxa"/>
            <w:tcBorders>
              <w:top w:val="single" w:sz="4" w:space="0" w:color="auto"/>
              <w:bottom w:val="nil"/>
            </w:tcBorders>
          </w:tcPr>
          <w:p w14:paraId="1CBEF16E" w14:textId="77777777" w:rsidR="00A7521D" w:rsidRPr="00995C3D" w:rsidRDefault="00A7521D" w:rsidP="00A7521D">
            <w:pPr>
              <w:spacing w:after="0" w:line="240" w:lineRule="auto"/>
              <w:jc w:val="center"/>
            </w:pPr>
            <w:r w:rsidRPr="00995C3D">
              <w:t>DE4 3AF</w:t>
            </w:r>
          </w:p>
        </w:tc>
        <w:tc>
          <w:tcPr>
            <w:tcW w:w="1065" w:type="dxa"/>
            <w:tcBorders>
              <w:top w:val="single" w:sz="4" w:space="0" w:color="auto"/>
              <w:bottom w:val="nil"/>
            </w:tcBorders>
          </w:tcPr>
          <w:p w14:paraId="6440C8F3" w14:textId="77777777" w:rsidR="00A7521D" w:rsidRPr="00995C3D" w:rsidRDefault="00A7521D" w:rsidP="00A7521D">
            <w:pPr>
              <w:spacing w:after="0" w:line="240" w:lineRule="auto"/>
              <w:jc w:val="center"/>
              <w:rPr>
                <w:rFonts w:cs="Calibri"/>
                <w:color w:val="000000"/>
              </w:rPr>
            </w:pPr>
            <w:r w:rsidRPr="00995C3D">
              <w:rPr>
                <w:rFonts w:cs="Calibri"/>
                <w:color w:val="000000"/>
              </w:rPr>
              <w:t>1</w:t>
            </w:r>
          </w:p>
        </w:tc>
        <w:tc>
          <w:tcPr>
            <w:tcW w:w="1196" w:type="dxa"/>
            <w:tcBorders>
              <w:top w:val="single" w:sz="4" w:space="0" w:color="auto"/>
              <w:bottom w:val="nil"/>
            </w:tcBorders>
          </w:tcPr>
          <w:p w14:paraId="2469F0C4" w14:textId="77777777" w:rsidR="00A7521D" w:rsidRPr="00995C3D" w:rsidRDefault="00A7521D" w:rsidP="00A7521D">
            <w:pPr>
              <w:spacing w:after="0" w:line="240" w:lineRule="auto"/>
              <w:jc w:val="center"/>
              <w:rPr>
                <w:rFonts w:cs="Calibri"/>
                <w:color w:val="000000"/>
              </w:rPr>
            </w:pPr>
            <w:r w:rsidRPr="00995C3D">
              <w:rPr>
                <w:rFonts w:cs="Calibri"/>
                <w:color w:val="000000"/>
              </w:rPr>
              <w:t>2</w:t>
            </w:r>
            <w:r>
              <w:rPr>
                <w:rFonts w:cs="Calibri"/>
                <w:color w:val="000000"/>
              </w:rPr>
              <w:t>,</w:t>
            </w:r>
            <w:r w:rsidRPr="00995C3D">
              <w:rPr>
                <w:rFonts w:cs="Calibri"/>
                <w:color w:val="000000"/>
              </w:rPr>
              <w:t>034</w:t>
            </w:r>
          </w:p>
        </w:tc>
        <w:tc>
          <w:tcPr>
            <w:tcW w:w="1815" w:type="dxa"/>
            <w:tcBorders>
              <w:top w:val="single" w:sz="4" w:space="0" w:color="auto"/>
              <w:bottom w:val="nil"/>
            </w:tcBorders>
          </w:tcPr>
          <w:p w14:paraId="0F46448E" w14:textId="77777777" w:rsidR="00A7521D" w:rsidRPr="00995C3D" w:rsidRDefault="00A7521D" w:rsidP="00A7521D">
            <w:pPr>
              <w:spacing w:after="0" w:line="240" w:lineRule="auto"/>
              <w:jc w:val="center"/>
              <w:rPr>
                <w:rFonts w:cs="Calibri"/>
                <w:color w:val="000000"/>
              </w:rPr>
            </w:pPr>
            <w:r w:rsidRPr="00995C3D">
              <w:rPr>
                <w:rFonts w:cs="Calibri"/>
                <w:color w:val="000000"/>
              </w:rPr>
              <w:t>220</w:t>
            </w:r>
          </w:p>
        </w:tc>
        <w:tc>
          <w:tcPr>
            <w:tcW w:w="1014" w:type="dxa"/>
            <w:tcBorders>
              <w:top w:val="single" w:sz="4" w:space="0" w:color="auto"/>
              <w:bottom w:val="nil"/>
            </w:tcBorders>
          </w:tcPr>
          <w:p w14:paraId="15C0BBA7" w14:textId="77777777" w:rsidR="00A7521D" w:rsidRPr="00995C3D" w:rsidRDefault="00A7521D" w:rsidP="00A7521D">
            <w:pPr>
              <w:spacing w:after="0" w:line="240" w:lineRule="auto"/>
              <w:jc w:val="center"/>
              <w:rPr>
                <w:rFonts w:cs="Calibri"/>
                <w:color w:val="000000"/>
              </w:rPr>
            </w:pPr>
            <w:r w:rsidRPr="00995C3D">
              <w:rPr>
                <w:rFonts w:cs="Calibri"/>
                <w:color w:val="000000"/>
              </w:rPr>
              <w:t>86</w:t>
            </w:r>
          </w:p>
        </w:tc>
        <w:tc>
          <w:tcPr>
            <w:tcW w:w="844" w:type="dxa"/>
            <w:tcBorders>
              <w:top w:val="single" w:sz="4" w:space="0" w:color="auto"/>
              <w:bottom w:val="nil"/>
            </w:tcBorders>
          </w:tcPr>
          <w:p w14:paraId="1DEBB4C3" w14:textId="77777777" w:rsidR="00A7521D" w:rsidRPr="00995C3D" w:rsidRDefault="00A7521D" w:rsidP="00A7521D">
            <w:pPr>
              <w:spacing w:after="0" w:line="240" w:lineRule="auto"/>
              <w:jc w:val="center"/>
              <w:rPr>
                <w:rFonts w:cs="Calibri"/>
                <w:color w:val="000000"/>
              </w:rPr>
            </w:pPr>
            <w:r w:rsidRPr="00995C3D">
              <w:rPr>
                <w:rFonts w:cs="Calibri"/>
                <w:color w:val="000000"/>
              </w:rPr>
              <w:t>386</w:t>
            </w:r>
          </w:p>
        </w:tc>
      </w:tr>
      <w:tr w:rsidR="00A7521D" w:rsidRPr="00995C3D" w14:paraId="126FF46A" w14:textId="77777777" w:rsidTr="00A7521D">
        <w:trPr>
          <w:jc w:val="center"/>
        </w:trPr>
        <w:tc>
          <w:tcPr>
            <w:tcW w:w="2552" w:type="dxa"/>
            <w:tcBorders>
              <w:top w:val="nil"/>
            </w:tcBorders>
          </w:tcPr>
          <w:p w14:paraId="7FF9C8F9" w14:textId="77777777" w:rsidR="00A7521D" w:rsidRPr="00995C3D" w:rsidRDefault="00A7521D" w:rsidP="00A7521D">
            <w:pPr>
              <w:spacing w:after="0" w:line="240" w:lineRule="auto"/>
              <w:jc w:val="center"/>
              <w:rPr>
                <w:rFonts w:cs="Calibri"/>
                <w:color w:val="000000"/>
              </w:rPr>
            </w:pPr>
            <w:r w:rsidRPr="00995C3D">
              <w:rPr>
                <w:rFonts w:cs="Calibri"/>
                <w:color w:val="000000"/>
              </w:rPr>
              <w:t>Forest garden centre</w:t>
            </w:r>
          </w:p>
        </w:tc>
        <w:tc>
          <w:tcPr>
            <w:tcW w:w="1115" w:type="dxa"/>
            <w:tcBorders>
              <w:top w:val="nil"/>
            </w:tcBorders>
          </w:tcPr>
          <w:p w14:paraId="2CA000C1" w14:textId="77777777" w:rsidR="00A7521D" w:rsidRPr="00995C3D" w:rsidRDefault="00A7521D" w:rsidP="00A7521D">
            <w:pPr>
              <w:spacing w:after="0" w:line="240" w:lineRule="auto"/>
              <w:jc w:val="center"/>
            </w:pPr>
            <w:r w:rsidRPr="00995C3D">
              <w:t>DE4 2EX</w:t>
            </w:r>
          </w:p>
        </w:tc>
        <w:tc>
          <w:tcPr>
            <w:tcW w:w="1065" w:type="dxa"/>
            <w:tcBorders>
              <w:top w:val="nil"/>
            </w:tcBorders>
          </w:tcPr>
          <w:p w14:paraId="1149AF2D" w14:textId="77777777" w:rsidR="00A7521D" w:rsidRPr="00995C3D" w:rsidRDefault="00A7521D" w:rsidP="00A7521D">
            <w:pPr>
              <w:spacing w:after="0" w:line="240" w:lineRule="auto"/>
              <w:jc w:val="center"/>
              <w:rPr>
                <w:rFonts w:cs="Calibri"/>
                <w:color w:val="000000"/>
              </w:rPr>
            </w:pPr>
            <w:r w:rsidRPr="00995C3D">
              <w:rPr>
                <w:rFonts w:cs="Calibri"/>
                <w:color w:val="000000"/>
              </w:rPr>
              <w:t>3</w:t>
            </w:r>
          </w:p>
        </w:tc>
        <w:tc>
          <w:tcPr>
            <w:tcW w:w="1196" w:type="dxa"/>
            <w:tcBorders>
              <w:top w:val="nil"/>
            </w:tcBorders>
          </w:tcPr>
          <w:p w14:paraId="52D21AA0" w14:textId="77777777" w:rsidR="00A7521D" w:rsidRPr="00995C3D" w:rsidRDefault="00A7521D" w:rsidP="00A7521D">
            <w:pPr>
              <w:spacing w:after="0" w:line="240" w:lineRule="auto"/>
              <w:jc w:val="center"/>
              <w:rPr>
                <w:rFonts w:cs="Calibri"/>
                <w:color w:val="000000"/>
              </w:rPr>
            </w:pPr>
            <w:r w:rsidRPr="00995C3D">
              <w:rPr>
                <w:rFonts w:cs="Calibri"/>
                <w:color w:val="000000"/>
              </w:rPr>
              <w:t>853</w:t>
            </w:r>
          </w:p>
        </w:tc>
        <w:tc>
          <w:tcPr>
            <w:tcW w:w="1815" w:type="dxa"/>
            <w:tcBorders>
              <w:top w:val="nil"/>
            </w:tcBorders>
          </w:tcPr>
          <w:p w14:paraId="61545EB0" w14:textId="77777777" w:rsidR="00A7521D" w:rsidRPr="00995C3D" w:rsidRDefault="00A7521D" w:rsidP="00A7521D">
            <w:pPr>
              <w:spacing w:after="0" w:line="240" w:lineRule="auto"/>
              <w:jc w:val="center"/>
              <w:rPr>
                <w:rFonts w:cs="Calibri"/>
                <w:color w:val="000000"/>
              </w:rPr>
            </w:pPr>
            <w:r w:rsidRPr="00995C3D">
              <w:rPr>
                <w:rFonts w:cs="Calibri"/>
                <w:color w:val="000000"/>
              </w:rPr>
              <w:t>3</w:t>
            </w:r>
          </w:p>
        </w:tc>
        <w:tc>
          <w:tcPr>
            <w:tcW w:w="1014" w:type="dxa"/>
            <w:tcBorders>
              <w:top w:val="nil"/>
            </w:tcBorders>
          </w:tcPr>
          <w:p w14:paraId="7CC17BB9" w14:textId="77777777" w:rsidR="00A7521D" w:rsidRPr="00995C3D" w:rsidRDefault="00A7521D" w:rsidP="00A7521D">
            <w:pPr>
              <w:spacing w:after="0" w:line="240" w:lineRule="auto"/>
              <w:jc w:val="center"/>
              <w:rPr>
                <w:rFonts w:cs="Calibri"/>
                <w:color w:val="000000"/>
              </w:rPr>
            </w:pPr>
            <w:r w:rsidRPr="00995C3D">
              <w:rPr>
                <w:rFonts w:cs="Calibri"/>
                <w:color w:val="000000"/>
              </w:rPr>
              <w:t>1</w:t>
            </w:r>
          </w:p>
        </w:tc>
        <w:tc>
          <w:tcPr>
            <w:tcW w:w="844" w:type="dxa"/>
            <w:tcBorders>
              <w:top w:val="nil"/>
            </w:tcBorders>
          </w:tcPr>
          <w:p w14:paraId="25B456BA" w14:textId="77777777" w:rsidR="00A7521D" w:rsidRPr="00995C3D" w:rsidRDefault="00A7521D" w:rsidP="00A7521D">
            <w:pPr>
              <w:spacing w:after="0" w:line="240" w:lineRule="auto"/>
              <w:jc w:val="center"/>
              <w:rPr>
                <w:rFonts w:cs="Calibri"/>
                <w:color w:val="000000"/>
              </w:rPr>
            </w:pPr>
            <w:r w:rsidRPr="00995C3D">
              <w:rPr>
                <w:rFonts w:cs="Calibri"/>
                <w:color w:val="000000"/>
              </w:rPr>
              <w:t>2</w:t>
            </w:r>
          </w:p>
        </w:tc>
      </w:tr>
      <w:tr w:rsidR="00A7521D" w:rsidRPr="00995C3D" w14:paraId="33995087" w14:textId="77777777" w:rsidTr="00A7521D">
        <w:trPr>
          <w:jc w:val="center"/>
        </w:trPr>
        <w:tc>
          <w:tcPr>
            <w:tcW w:w="2552" w:type="dxa"/>
          </w:tcPr>
          <w:p w14:paraId="6C004DFD" w14:textId="77777777" w:rsidR="00A7521D" w:rsidRPr="00995C3D" w:rsidRDefault="00A7521D" w:rsidP="00A7521D">
            <w:pPr>
              <w:spacing w:after="0" w:line="240" w:lineRule="auto"/>
              <w:jc w:val="center"/>
              <w:rPr>
                <w:rFonts w:cs="Calibri"/>
                <w:color w:val="000000"/>
              </w:rPr>
            </w:pPr>
            <w:r w:rsidRPr="00995C3D">
              <w:rPr>
                <w:rFonts w:cs="Calibri"/>
                <w:color w:val="000000"/>
              </w:rPr>
              <w:t>DFS</w:t>
            </w:r>
          </w:p>
        </w:tc>
        <w:tc>
          <w:tcPr>
            <w:tcW w:w="1115" w:type="dxa"/>
          </w:tcPr>
          <w:p w14:paraId="62BCC7B0" w14:textId="77777777" w:rsidR="00A7521D" w:rsidRPr="00995C3D" w:rsidRDefault="00A7521D" w:rsidP="00A7521D">
            <w:pPr>
              <w:spacing w:after="0" w:line="240" w:lineRule="auto"/>
              <w:jc w:val="center"/>
            </w:pPr>
            <w:r w:rsidRPr="00995C3D">
              <w:t>DE4 2ET</w:t>
            </w:r>
          </w:p>
        </w:tc>
        <w:tc>
          <w:tcPr>
            <w:tcW w:w="1065" w:type="dxa"/>
          </w:tcPr>
          <w:p w14:paraId="7F45909D" w14:textId="77777777" w:rsidR="00A7521D" w:rsidRPr="00995C3D" w:rsidRDefault="00A7521D" w:rsidP="00A7521D">
            <w:pPr>
              <w:spacing w:after="0" w:line="240" w:lineRule="auto"/>
              <w:jc w:val="center"/>
              <w:rPr>
                <w:rFonts w:cs="Calibri"/>
                <w:color w:val="000000"/>
              </w:rPr>
            </w:pPr>
            <w:r w:rsidRPr="00995C3D">
              <w:rPr>
                <w:rFonts w:cs="Calibri"/>
                <w:color w:val="000000"/>
              </w:rPr>
              <w:t>4</w:t>
            </w:r>
          </w:p>
        </w:tc>
        <w:tc>
          <w:tcPr>
            <w:tcW w:w="1196" w:type="dxa"/>
          </w:tcPr>
          <w:p w14:paraId="2AC9C388" w14:textId="77777777" w:rsidR="00A7521D" w:rsidRPr="00995C3D" w:rsidRDefault="00A7521D" w:rsidP="00A7521D">
            <w:pPr>
              <w:spacing w:after="0" w:line="240" w:lineRule="auto"/>
              <w:jc w:val="center"/>
              <w:rPr>
                <w:rFonts w:cs="Calibri"/>
                <w:color w:val="000000"/>
              </w:rPr>
            </w:pPr>
            <w:r w:rsidRPr="00995C3D">
              <w:rPr>
                <w:rFonts w:cs="Calibri"/>
                <w:color w:val="000000"/>
              </w:rPr>
              <w:t>5</w:t>
            </w:r>
            <w:r>
              <w:rPr>
                <w:rFonts w:cs="Calibri"/>
                <w:color w:val="000000"/>
              </w:rPr>
              <w:t>,</w:t>
            </w:r>
            <w:r w:rsidRPr="00995C3D">
              <w:rPr>
                <w:rFonts w:cs="Calibri"/>
                <w:color w:val="000000"/>
              </w:rPr>
              <w:t>014</w:t>
            </w:r>
          </w:p>
        </w:tc>
        <w:tc>
          <w:tcPr>
            <w:tcW w:w="1815" w:type="dxa"/>
          </w:tcPr>
          <w:p w14:paraId="195F12D9" w14:textId="77777777" w:rsidR="00A7521D" w:rsidRPr="00995C3D" w:rsidRDefault="00A7521D" w:rsidP="00A7521D">
            <w:pPr>
              <w:spacing w:after="0" w:line="240" w:lineRule="auto"/>
              <w:jc w:val="center"/>
              <w:rPr>
                <w:rFonts w:cs="Calibri"/>
                <w:color w:val="000000"/>
              </w:rPr>
            </w:pPr>
            <w:r w:rsidRPr="00995C3D">
              <w:rPr>
                <w:rFonts w:cs="Calibri"/>
                <w:color w:val="000000"/>
              </w:rPr>
              <w:t>779</w:t>
            </w:r>
          </w:p>
        </w:tc>
        <w:tc>
          <w:tcPr>
            <w:tcW w:w="1014" w:type="dxa"/>
          </w:tcPr>
          <w:p w14:paraId="6F62CB85" w14:textId="77777777" w:rsidR="00A7521D" w:rsidRPr="00995C3D" w:rsidRDefault="00A7521D" w:rsidP="00A7521D">
            <w:pPr>
              <w:spacing w:after="0" w:line="240" w:lineRule="auto"/>
              <w:jc w:val="center"/>
              <w:rPr>
                <w:rFonts w:cs="Calibri"/>
                <w:color w:val="000000"/>
              </w:rPr>
            </w:pPr>
            <w:r w:rsidRPr="00995C3D">
              <w:rPr>
                <w:rFonts w:cs="Calibri"/>
                <w:color w:val="000000"/>
              </w:rPr>
              <w:t>230</w:t>
            </w:r>
          </w:p>
        </w:tc>
        <w:tc>
          <w:tcPr>
            <w:tcW w:w="844" w:type="dxa"/>
          </w:tcPr>
          <w:p w14:paraId="3C26B277" w14:textId="77777777" w:rsidR="00A7521D" w:rsidRPr="00995C3D" w:rsidRDefault="00A7521D" w:rsidP="00A7521D">
            <w:pPr>
              <w:spacing w:after="0" w:line="240" w:lineRule="auto"/>
              <w:jc w:val="center"/>
              <w:rPr>
                <w:rFonts w:cs="Calibri"/>
                <w:color w:val="000000"/>
              </w:rPr>
            </w:pPr>
            <w:r w:rsidRPr="00995C3D">
              <w:rPr>
                <w:rFonts w:cs="Calibri"/>
                <w:color w:val="000000"/>
              </w:rPr>
              <w:t>449</w:t>
            </w:r>
          </w:p>
        </w:tc>
      </w:tr>
      <w:tr w:rsidR="00A7521D" w:rsidRPr="00995C3D" w14:paraId="13D2F3FF" w14:textId="77777777" w:rsidTr="00A7521D">
        <w:trPr>
          <w:jc w:val="center"/>
        </w:trPr>
        <w:tc>
          <w:tcPr>
            <w:tcW w:w="2552" w:type="dxa"/>
          </w:tcPr>
          <w:p w14:paraId="1BB327F5" w14:textId="77777777" w:rsidR="00A7521D" w:rsidRPr="00995C3D" w:rsidRDefault="00A7521D" w:rsidP="00A7521D">
            <w:pPr>
              <w:spacing w:after="0" w:line="240" w:lineRule="auto"/>
              <w:jc w:val="center"/>
              <w:rPr>
                <w:rFonts w:cs="Calibri"/>
                <w:color w:val="000000"/>
              </w:rPr>
            </w:pPr>
            <w:r w:rsidRPr="00995C3D">
              <w:rPr>
                <w:rFonts w:cs="Calibri"/>
                <w:color w:val="000000"/>
              </w:rPr>
              <w:t>Darley Dale primary school</w:t>
            </w:r>
          </w:p>
        </w:tc>
        <w:tc>
          <w:tcPr>
            <w:tcW w:w="1115" w:type="dxa"/>
          </w:tcPr>
          <w:p w14:paraId="43109E79" w14:textId="77777777" w:rsidR="00A7521D" w:rsidRPr="00995C3D" w:rsidRDefault="00A7521D" w:rsidP="00A7521D">
            <w:pPr>
              <w:spacing w:after="0" w:line="240" w:lineRule="auto"/>
              <w:jc w:val="center"/>
            </w:pPr>
            <w:r w:rsidRPr="00995C3D">
              <w:t>DE4 2QB</w:t>
            </w:r>
          </w:p>
        </w:tc>
        <w:tc>
          <w:tcPr>
            <w:tcW w:w="1065" w:type="dxa"/>
          </w:tcPr>
          <w:p w14:paraId="6F9C51D5" w14:textId="77777777" w:rsidR="00A7521D" w:rsidRPr="00995C3D" w:rsidRDefault="00A7521D" w:rsidP="00A7521D">
            <w:pPr>
              <w:spacing w:after="0" w:line="240" w:lineRule="auto"/>
              <w:jc w:val="center"/>
              <w:rPr>
                <w:rFonts w:cs="Calibri"/>
                <w:color w:val="000000"/>
              </w:rPr>
            </w:pPr>
            <w:r w:rsidRPr="00995C3D">
              <w:rPr>
                <w:rFonts w:cs="Calibri"/>
                <w:color w:val="000000"/>
              </w:rPr>
              <w:t>17</w:t>
            </w:r>
          </w:p>
        </w:tc>
        <w:tc>
          <w:tcPr>
            <w:tcW w:w="1196" w:type="dxa"/>
          </w:tcPr>
          <w:p w14:paraId="5AFC5C54" w14:textId="77777777" w:rsidR="00A7521D" w:rsidRPr="00995C3D" w:rsidRDefault="00A7521D" w:rsidP="00A7521D">
            <w:pPr>
              <w:spacing w:after="0" w:line="240" w:lineRule="auto"/>
              <w:jc w:val="center"/>
              <w:rPr>
                <w:rFonts w:cs="Calibri"/>
                <w:color w:val="000000"/>
              </w:rPr>
            </w:pPr>
            <w:r w:rsidRPr="00995C3D">
              <w:rPr>
                <w:rFonts w:cs="Calibri"/>
                <w:color w:val="000000"/>
              </w:rPr>
              <w:t>2</w:t>
            </w:r>
            <w:r>
              <w:rPr>
                <w:rFonts w:cs="Calibri"/>
                <w:color w:val="000000"/>
              </w:rPr>
              <w:t>,</w:t>
            </w:r>
            <w:r w:rsidRPr="00995C3D">
              <w:rPr>
                <w:rFonts w:cs="Calibri"/>
                <w:color w:val="000000"/>
              </w:rPr>
              <w:t>486</w:t>
            </w:r>
          </w:p>
        </w:tc>
        <w:tc>
          <w:tcPr>
            <w:tcW w:w="1815" w:type="dxa"/>
          </w:tcPr>
          <w:p w14:paraId="1E6ED769" w14:textId="77777777" w:rsidR="00A7521D" w:rsidRPr="00995C3D" w:rsidRDefault="00A7521D" w:rsidP="00A7521D">
            <w:pPr>
              <w:spacing w:after="0" w:line="240" w:lineRule="auto"/>
              <w:jc w:val="center"/>
              <w:rPr>
                <w:rFonts w:cs="Calibri"/>
                <w:color w:val="000000"/>
              </w:rPr>
            </w:pPr>
            <w:r w:rsidRPr="00995C3D">
              <w:rPr>
                <w:rFonts w:cs="Calibri"/>
                <w:color w:val="000000"/>
              </w:rPr>
              <w:t>344</w:t>
            </w:r>
          </w:p>
        </w:tc>
        <w:tc>
          <w:tcPr>
            <w:tcW w:w="1014" w:type="dxa"/>
          </w:tcPr>
          <w:p w14:paraId="1D4AA945" w14:textId="77777777" w:rsidR="00A7521D" w:rsidRPr="00995C3D" w:rsidRDefault="00A7521D" w:rsidP="00A7521D">
            <w:pPr>
              <w:spacing w:after="0" w:line="240" w:lineRule="auto"/>
              <w:jc w:val="center"/>
              <w:rPr>
                <w:rFonts w:cs="Calibri"/>
                <w:color w:val="000000"/>
              </w:rPr>
            </w:pPr>
            <w:r w:rsidRPr="00995C3D">
              <w:rPr>
                <w:rFonts w:cs="Calibri"/>
                <w:color w:val="000000"/>
              </w:rPr>
              <w:t>186</w:t>
            </w:r>
          </w:p>
        </w:tc>
        <w:tc>
          <w:tcPr>
            <w:tcW w:w="844" w:type="dxa"/>
          </w:tcPr>
          <w:p w14:paraId="544C728A" w14:textId="77777777" w:rsidR="00A7521D" w:rsidRPr="00995C3D" w:rsidRDefault="00A7521D" w:rsidP="00A7521D">
            <w:pPr>
              <w:spacing w:after="0" w:line="240" w:lineRule="auto"/>
              <w:jc w:val="center"/>
              <w:rPr>
                <w:rFonts w:cs="Calibri"/>
                <w:color w:val="000000"/>
              </w:rPr>
            </w:pPr>
            <w:r w:rsidRPr="00995C3D">
              <w:rPr>
                <w:rFonts w:cs="Calibri"/>
                <w:color w:val="000000"/>
              </w:rPr>
              <w:t>1036</w:t>
            </w:r>
          </w:p>
        </w:tc>
      </w:tr>
      <w:tr w:rsidR="00A7521D" w:rsidRPr="00995C3D" w14:paraId="2F1E30BB" w14:textId="77777777" w:rsidTr="00A7521D">
        <w:trPr>
          <w:jc w:val="center"/>
        </w:trPr>
        <w:tc>
          <w:tcPr>
            <w:tcW w:w="2552" w:type="dxa"/>
          </w:tcPr>
          <w:p w14:paraId="1EE74BA4" w14:textId="77777777" w:rsidR="00A7521D" w:rsidRPr="00995C3D" w:rsidRDefault="00A7521D" w:rsidP="00A7521D">
            <w:pPr>
              <w:spacing w:after="0" w:line="240" w:lineRule="auto"/>
              <w:jc w:val="center"/>
              <w:rPr>
                <w:rFonts w:cs="Calibri"/>
                <w:color w:val="000000"/>
              </w:rPr>
            </w:pPr>
            <w:r w:rsidRPr="00995C3D">
              <w:rPr>
                <w:rFonts w:cs="Calibri"/>
                <w:color w:val="000000"/>
              </w:rPr>
              <w:t>Darley Dale medical centre</w:t>
            </w:r>
          </w:p>
        </w:tc>
        <w:tc>
          <w:tcPr>
            <w:tcW w:w="1115" w:type="dxa"/>
          </w:tcPr>
          <w:p w14:paraId="2A4D896D" w14:textId="77777777" w:rsidR="00A7521D" w:rsidRPr="00995C3D" w:rsidRDefault="00A7521D" w:rsidP="00A7521D">
            <w:pPr>
              <w:spacing w:after="0" w:line="240" w:lineRule="auto"/>
              <w:jc w:val="center"/>
            </w:pPr>
            <w:r w:rsidRPr="00995C3D">
              <w:t>DE4 2SA</w:t>
            </w:r>
          </w:p>
        </w:tc>
        <w:tc>
          <w:tcPr>
            <w:tcW w:w="1065" w:type="dxa"/>
          </w:tcPr>
          <w:p w14:paraId="7B9DF2EF" w14:textId="77777777" w:rsidR="00A7521D" w:rsidRPr="00995C3D" w:rsidRDefault="00A7521D" w:rsidP="00A7521D">
            <w:pPr>
              <w:spacing w:after="0" w:line="240" w:lineRule="auto"/>
              <w:jc w:val="center"/>
              <w:rPr>
                <w:rFonts w:cs="Calibri"/>
                <w:color w:val="000000"/>
              </w:rPr>
            </w:pPr>
            <w:r w:rsidRPr="00995C3D">
              <w:rPr>
                <w:rFonts w:cs="Calibri"/>
                <w:color w:val="000000"/>
              </w:rPr>
              <w:t>19</w:t>
            </w:r>
          </w:p>
        </w:tc>
        <w:tc>
          <w:tcPr>
            <w:tcW w:w="1196" w:type="dxa"/>
          </w:tcPr>
          <w:p w14:paraId="757DC0F1" w14:textId="77777777" w:rsidR="00A7521D" w:rsidRPr="00995C3D" w:rsidRDefault="00A7521D" w:rsidP="00A7521D">
            <w:pPr>
              <w:spacing w:after="0" w:line="240" w:lineRule="auto"/>
              <w:jc w:val="center"/>
              <w:rPr>
                <w:rFonts w:cs="Calibri"/>
                <w:color w:val="000000"/>
              </w:rPr>
            </w:pPr>
            <w:r w:rsidRPr="00995C3D">
              <w:rPr>
                <w:rFonts w:cs="Calibri"/>
                <w:color w:val="000000"/>
              </w:rPr>
              <w:t>250</w:t>
            </w:r>
          </w:p>
        </w:tc>
        <w:tc>
          <w:tcPr>
            <w:tcW w:w="1815" w:type="dxa"/>
          </w:tcPr>
          <w:p w14:paraId="745FE325" w14:textId="77777777" w:rsidR="00A7521D" w:rsidRPr="00995C3D" w:rsidRDefault="00A7521D" w:rsidP="00A7521D">
            <w:pPr>
              <w:spacing w:after="0" w:line="240" w:lineRule="auto"/>
              <w:jc w:val="center"/>
              <w:rPr>
                <w:rFonts w:cs="Calibri"/>
                <w:color w:val="000000"/>
              </w:rPr>
            </w:pPr>
            <w:r w:rsidRPr="00995C3D">
              <w:rPr>
                <w:rFonts w:cs="Calibri"/>
                <w:color w:val="000000"/>
              </w:rPr>
              <w:t>47</w:t>
            </w:r>
          </w:p>
        </w:tc>
        <w:tc>
          <w:tcPr>
            <w:tcW w:w="1014" w:type="dxa"/>
          </w:tcPr>
          <w:p w14:paraId="1D99FD8D" w14:textId="77777777" w:rsidR="00A7521D" w:rsidRPr="00995C3D" w:rsidRDefault="00A7521D" w:rsidP="00A7521D">
            <w:pPr>
              <w:spacing w:after="0" w:line="240" w:lineRule="auto"/>
              <w:jc w:val="center"/>
              <w:rPr>
                <w:rFonts w:cs="Calibri"/>
                <w:color w:val="000000"/>
              </w:rPr>
            </w:pPr>
            <w:r w:rsidRPr="00995C3D">
              <w:rPr>
                <w:rFonts w:cs="Calibri"/>
                <w:color w:val="000000"/>
              </w:rPr>
              <w:t>7</w:t>
            </w:r>
          </w:p>
        </w:tc>
        <w:tc>
          <w:tcPr>
            <w:tcW w:w="844" w:type="dxa"/>
          </w:tcPr>
          <w:p w14:paraId="37A0CE7C" w14:textId="77777777" w:rsidR="00A7521D" w:rsidRPr="00995C3D" w:rsidRDefault="00A7521D" w:rsidP="00A7521D">
            <w:pPr>
              <w:spacing w:after="0" w:line="240" w:lineRule="auto"/>
              <w:jc w:val="center"/>
              <w:rPr>
                <w:rFonts w:cs="Calibri"/>
                <w:color w:val="000000"/>
              </w:rPr>
            </w:pPr>
            <w:r w:rsidRPr="00995C3D">
              <w:rPr>
                <w:rFonts w:cs="Calibri"/>
                <w:color w:val="000000"/>
              </w:rPr>
              <w:t>13</w:t>
            </w:r>
          </w:p>
        </w:tc>
      </w:tr>
      <w:tr w:rsidR="00A7521D" w:rsidRPr="00995C3D" w14:paraId="70812791" w14:textId="77777777" w:rsidTr="00A7521D">
        <w:trPr>
          <w:jc w:val="center"/>
        </w:trPr>
        <w:tc>
          <w:tcPr>
            <w:tcW w:w="2552" w:type="dxa"/>
          </w:tcPr>
          <w:p w14:paraId="34404CED" w14:textId="77777777" w:rsidR="00A7521D" w:rsidRPr="00995C3D" w:rsidRDefault="00A7521D" w:rsidP="00A7521D">
            <w:pPr>
              <w:spacing w:after="0" w:line="240" w:lineRule="auto"/>
              <w:jc w:val="center"/>
              <w:rPr>
                <w:rFonts w:cs="Calibri"/>
                <w:color w:val="000000"/>
              </w:rPr>
            </w:pPr>
            <w:r w:rsidRPr="00995C3D">
              <w:rPr>
                <w:rFonts w:cs="Calibri"/>
                <w:color w:val="000000"/>
              </w:rPr>
              <w:t>Darley hall residential care home</w:t>
            </w:r>
          </w:p>
        </w:tc>
        <w:tc>
          <w:tcPr>
            <w:tcW w:w="1115" w:type="dxa"/>
          </w:tcPr>
          <w:p w14:paraId="21D3F585" w14:textId="77777777" w:rsidR="00A7521D" w:rsidRPr="00995C3D" w:rsidRDefault="00A7521D" w:rsidP="00A7521D">
            <w:pPr>
              <w:spacing w:after="0" w:line="240" w:lineRule="auto"/>
              <w:jc w:val="center"/>
            </w:pPr>
            <w:r w:rsidRPr="00995C3D">
              <w:t>DE4 3FB</w:t>
            </w:r>
          </w:p>
        </w:tc>
        <w:tc>
          <w:tcPr>
            <w:tcW w:w="1065" w:type="dxa"/>
          </w:tcPr>
          <w:p w14:paraId="5B7EA57D" w14:textId="77777777" w:rsidR="00A7521D" w:rsidRPr="00995C3D" w:rsidRDefault="00A7521D" w:rsidP="00A7521D">
            <w:pPr>
              <w:spacing w:after="0" w:line="240" w:lineRule="auto"/>
              <w:jc w:val="center"/>
              <w:rPr>
                <w:rFonts w:cs="Calibri"/>
                <w:color w:val="000000"/>
              </w:rPr>
            </w:pPr>
            <w:r w:rsidRPr="00995C3D">
              <w:rPr>
                <w:rFonts w:cs="Calibri"/>
                <w:color w:val="000000"/>
              </w:rPr>
              <w:t>21</w:t>
            </w:r>
          </w:p>
        </w:tc>
        <w:tc>
          <w:tcPr>
            <w:tcW w:w="1196" w:type="dxa"/>
          </w:tcPr>
          <w:p w14:paraId="249F92C4" w14:textId="2D42ABDB" w:rsidR="00A7521D" w:rsidRPr="00995C3D" w:rsidRDefault="006C2BA2" w:rsidP="00A7521D">
            <w:pPr>
              <w:spacing w:after="0" w:line="240" w:lineRule="auto"/>
              <w:jc w:val="center"/>
              <w:rPr>
                <w:rFonts w:cs="Calibri"/>
                <w:color w:val="000000"/>
              </w:rPr>
            </w:pPr>
            <w:r>
              <w:rPr>
                <w:rFonts w:cs="Calibri"/>
                <w:color w:val="000000"/>
              </w:rPr>
              <w:t>-</w:t>
            </w:r>
          </w:p>
        </w:tc>
        <w:tc>
          <w:tcPr>
            <w:tcW w:w="1815" w:type="dxa"/>
          </w:tcPr>
          <w:p w14:paraId="18CE2154" w14:textId="71C7B69D" w:rsidR="00A7521D" w:rsidRPr="00995C3D" w:rsidRDefault="006C2BA2" w:rsidP="00A7521D">
            <w:pPr>
              <w:spacing w:after="0" w:line="240" w:lineRule="auto"/>
              <w:jc w:val="center"/>
              <w:rPr>
                <w:rFonts w:cs="Calibri"/>
                <w:color w:val="000000"/>
              </w:rPr>
            </w:pPr>
            <w:r>
              <w:rPr>
                <w:rFonts w:cs="Calibri"/>
                <w:color w:val="000000"/>
              </w:rPr>
              <w:t>-</w:t>
            </w:r>
          </w:p>
        </w:tc>
        <w:tc>
          <w:tcPr>
            <w:tcW w:w="1014" w:type="dxa"/>
          </w:tcPr>
          <w:p w14:paraId="36E148DE" w14:textId="15B59EDF" w:rsidR="00A7521D" w:rsidRPr="00995C3D" w:rsidRDefault="006C2BA2" w:rsidP="00A7521D">
            <w:pPr>
              <w:spacing w:after="0" w:line="240" w:lineRule="auto"/>
              <w:jc w:val="center"/>
              <w:rPr>
                <w:rFonts w:cs="Calibri"/>
                <w:color w:val="000000"/>
              </w:rPr>
            </w:pPr>
            <w:r>
              <w:rPr>
                <w:rFonts w:cs="Calibri"/>
                <w:color w:val="000000"/>
              </w:rPr>
              <w:t>-</w:t>
            </w:r>
          </w:p>
        </w:tc>
        <w:tc>
          <w:tcPr>
            <w:tcW w:w="844" w:type="dxa"/>
          </w:tcPr>
          <w:p w14:paraId="7BB52CB5" w14:textId="739C91F9" w:rsidR="00A7521D" w:rsidRPr="00995C3D" w:rsidRDefault="006C2BA2" w:rsidP="00A7521D">
            <w:pPr>
              <w:spacing w:after="0" w:line="240" w:lineRule="auto"/>
              <w:jc w:val="center"/>
              <w:rPr>
                <w:rFonts w:cs="Calibri"/>
                <w:color w:val="000000"/>
              </w:rPr>
            </w:pPr>
            <w:r>
              <w:rPr>
                <w:rFonts w:cs="Calibri"/>
                <w:color w:val="000000"/>
              </w:rPr>
              <w:t>-</w:t>
            </w:r>
          </w:p>
        </w:tc>
      </w:tr>
      <w:tr w:rsidR="00A7521D" w:rsidRPr="00995C3D" w14:paraId="53772E1D" w14:textId="77777777" w:rsidTr="00A7521D">
        <w:trPr>
          <w:jc w:val="center"/>
        </w:trPr>
        <w:tc>
          <w:tcPr>
            <w:tcW w:w="2552" w:type="dxa"/>
          </w:tcPr>
          <w:p w14:paraId="25D7E3C8" w14:textId="77777777" w:rsidR="00A7521D" w:rsidRPr="00995C3D" w:rsidRDefault="00A7521D" w:rsidP="00A7521D">
            <w:pPr>
              <w:spacing w:after="0" w:line="240" w:lineRule="auto"/>
              <w:jc w:val="center"/>
              <w:rPr>
                <w:rFonts w:cs="Calibri"/>
                <w:color w:val="000000"/>
              </w:rPr>
            </w:pPr>
            <w:r w:rsidRPr="00995C3D">
              <w:rPr>
                <w:rFonts w:cs="Calibri"/>
                <w:color w:val="000000"/>
              </w:rPr>
              <w:t>Restaurant at the red house</w:t>
            </w:r>
          </w:p>
        </w:tc>
        <w:tc>
          <w:tcPr>
            <w:tcW w:w="1115" w:type="dxa"/>
          </w:tcPr>
          <w:p w14:paraId="664A3E1B" w14:textId="77777777" w:rsidR="00A7521D" w:rsidRPr="00995C3D" w:rsidRDefault="00A7521D" w:rsidP="00A7521D">
            <w:pPr>
              <w:spacing w:after="0" w:line="240" w:lineRule="auto"/>
              <w:jc w:val="center"/>
            </w:pPr>
            <w:r w:rsidRPr="00995C3D">
              <w:t>DE4 2ER</w:t>
            </w:r>
          </w:p>
        </w:tc>
        <w:tc>
          <w:tcPr>
            <w:tcW w:w="1065" w:type="dxa"/>
          </w:tcPr>
          <w:p w14:paraId="493D7277" w14:textId="77777777" w:rsidR="00A7521D" w:rsidRPr="00995C3D" w:rsidRDefault="00A7521D" w:rsidP="00A7521D">
            <w:pPr>
              <w:spacing w:after="0" w:line="240" w:lineRule="auto"/>
              <w:jc w:val="center"/>
              <w:rPr>
                <w:rFonts w:cs="Calibri"/>
                <w:color w:val="000000"/>
              </w:rPr>
            </w:pPr>
            <w:r w:rsidRPr="00995C3D">
              <w:rPr>
                <w:rFonts w:cs="Calibri"/>
                <w:color w:val="000000"/>
              </w:rPr>
              <w:t>7</w:t>
            </w:r>
          </w:p>
        </w:tc>
        <w:tc>
          <w:tcPr>
            <w:tcW w:w="1196" w:type="dxa"/>
          </w:tcPr>
          <w:p w14:paraId="555D2535" w14:textId="0F09D409" w:rsidR="00A7521D" w:rsidRPr="00995C3D" w:rsidRDefault="006C2BA2" w:rsidP="00A7521D">
            <w:pPr>
              <w:spacing w:after="0" w:line="240" w:lineRule="auto"/>
              <w:jc w:val="center"/>
              <w:rPr>
                <w:rFonts w:cs="Calibri"/>
                <w:color w:val="000000"/>
              </w:rPr>
            </w:pPr>
            <w:r>
              <w:rPr>
                <w:rFonts w:cs="Calibri"/>
                <w:color w:val="000000"/>
              </w:rPr>
              <w:t>-</w:t>
            </w:r>
          </w:p>
        </w:tc>
        <w:tc>
          <w:tcPr>
            <w:tcW w:w="1815" w:type="dxa"/>
          </w:tcPr>
          <w:p w14:paraId="71694442" w14:textId="071826C7" w:rsidR="00A7521D" w:rsidRPr="00995C3D" w:rsidRDefault="006C2BA2" w:rsidP="00A7521D">
            <w:pPr>
              <w:spacing w:after="0" w:line="240" w:lineRule="auto"/>
              <w:jc w:val="center"/>
              <w:rPr>
                <w:rFonts w:cs="Calibri"/>
                <w:color w:val="000000"/>
              </w:rPr>
            </w:pPr>
            <w:r>
              <w:rPr>
                <w:rFonts w:cs="Calibri"/>
                <w:color w:val="000000"/>
              </w:rPr>
              <w:t>-</w:t>
            </w:r>
          </w:p>
        </w:tc>
        <w:tc>
          <w:tcPr>
            <w:tcW w:w="1014" w:type="dxa"/>
          </w:tcPr>
          <w:p w14:paraId="6E6C884B" w14:textId="082F061A" w:rsidR="00A7521D" w:rsidRPr="00995C3D" w:rsidRDefault="006C2BA2" w:rsidP="00A7521D">
            <w:pPr>
              <w:spacing w:after="0" w:line="240" w:lineRule="auto"/>
              <w:jc w:val="center"/>
              <w:rPr>
                <w:rFonts w:cs="Calibri"/>
                <w:color w:val="000000"/>
              </w:rPr>
            </w:pPr>
            <w:r>
              <w:rPr>
                <w:rFonts w:cs="Calibri"/>
                <w:color w:val="000000"/>
              </w:rPr>
              <w:t>-</w:t>
            </w:r>
          </w:p>
        </w:tc>
        <w:tc>
          <w:tcPr>
            <w:tcW w:w="844" w:type="dxa"/>
          </w:tcPr>
          <w:p w14:paraId="54B589E0" w14:textId="40729E48" w:rsidR="00A7521D" w:rsidRPr="00995C3D" w:rsidRDefault="006C2BA2" w:rsidP="00A7521D">
            <w:pPr>
              <w:spacing w:after="0" w:line="240" w:lineRule="auto"/>
              <w:jc w:val="center"/>
              <w:rPr>
                <w:rFonts w:cs="Calibri"/>
                <w:color w:val="000000"/>
              </w:rPr>
            </w:pPr>
            <w:r>
              <w:rPr>
                <w:rFonts w:cs="Calibri"/>
                <w:color w:val="000000"/>
              </w:rPr>
              <w:t>-</w:t>
            </w:r>
          </w:p>
        </w:tc>
      </w:tr>
      <w:tr w:rsidR="00A7521D" w:rsidRPr="00995C3D" w14:paraId="3EA73C8C" w14:textId="77777777" w:rsidTr="00A7521D">
        <w:trPr>
          <w:jc w:val="center"/>
        </w:trPr>
        <w:tc>
          <w:tcPr>
            <w:tcW w:w="2552" w:type="dxa"/>
          </w:tcPr>
          <w:p w14:paraId="1E310347" w14:textId="77777777" w:rsidR="00A7521D" w:rsidRPr="00995C3D" w:rsidRDefault="00A7521D" w:rsidP="00A7521D">
            <w:pPr>
              <w:spacing w:after="0" w:line="240" w:lineRule="auto"/>
              <w:jc w:val="center"/>
              <w:rPr>
                <w:rFonts w:cs="Calibri"/>
                <w:color w:val="000000"/>
              </w:rPr>
            </w:pPr>
            <w:r w:rsidRPr="00995C3D">
              <w:rPr>
                <w:rFonts w:cs="Calibri"/>
                <w:color w:val="000000"/>
              </w:rPr>
              <w:t xml:space="preserve">Slaters </w:t>
            </w:r>
            <w:proofErr w:type="spellStart"/>
            <w:r w:rsidRPr="00995C3D">
              <w:rPr>
                <w:rFonts w:cs="Calibri"/>
                <w:color w:val="000000"/>
              </w:rPr>
              <w:t>plastikard</w:t>
            </w:r>
            <w:proofErr w:type="spellEnd"/>
            <w:r w:rsidRPr="00995C3D">
              <w:rPr>
                <w:rFonts w:cs="Calibri"/>
                <w:color w:val="000000"/>
              </w:rPr>
              <w:t xml:space="preserve"> Ltd</w:t>
            </w:r>
          </w:p>
        </w:tc>
        <w:tc>
          <w:tcPr>
            <w:tcW w:w="1115" w:type="dxa"/>
          </w:tcPr>
          <w:p w14:paraId="59576E1E" w14:textId="77777777" w:rsidR="00A7521D" w:rsidRPr="00995C3D" w:rsidRDefault="00A7521D" w:rsidP="00A7521D">
            <w:pPr>
              <w:spacing w:after="0" w:line="240" w:lineRule="auto"/>
              <w:jc w:val="center"/>
            </w:pPr>
            <w:r w:rsidRPr="00995C3D">
              <w:t>DE4 2ER</w:t>
            </w:r>
          </w:p>
        </w:tc>
        <w:tc>
          <w:tcPr>
            <w:tcW w:w="1065" w:type="dxa"/>
          </w:tcPr>
          <w:p w14:paraId="0A285F00" w14:textId="77777777" w:rsidR="00A7521D" w:rsidRPr="00995C3D" w:rsidRDefault="00A7521D" w:rsidP="00A7521D">
            <w:pPr>
              <w:spacing w:after="0" w:line="240" w:lineRule="auto"/>
              <w:jc w:val="center"/>
              <w:rPr>
                <w:rFonts w:cs="Calibri"/>
                <w:color w:val="000000"/>
              </w:rPr>
            </w:pPr>
            <w:r w:rsidRPr="00995C3D">
              <w:rPr>
                <w:rFonts w:cs="Calibri"/>
                <w:color w:val="000000"/>
              </w:rPr>
              <w:t>27</w:t>
            </w:r>
          </w:p>
        </w:tc>
        <w:tc>
          <w:tcPr>
            <w:tcW w:w="1196" w:type="dxa"/>
          </w:tcPr>
          <w:p w14:paraId="49D13E45" w14:textId="77777777" w:rsidR="00A7521D" w:rsidRPr="00995C3D" w:rsidRDefault="00A7521D" w:rsidP="00A7521D">
            <w:pPr>
              <w:spacing w:after="0" w:line="240" w:lineRule="auto"/>
              <w:jc w:val="center"/>
              <w:rPr>
                <w:rFonts w:cs="Calibri"/>
                <w:color w:val="000000"/>
              </w:rPr>
            </w:pPr>
            <w:r w:rsidRPr="00995C3D">
              <w:rPr>
                <w:rFonts w:cs="Calibri"/>
                <w:color w:val="000000"/>
              </w:rPr>
              <w:t>1</w:t>
            </w:r>
            <w:r>
              <w:rPr>
                <w:rFonts w:cs="Calibri"/>
                <w:color w:val="000000"/>
              </w:rPr>
              <w:t>,</w:t>
            </w:r>
            <w:r w:rsidRPr="00995C3D">
              <w:rPr>
                <w:rFonts w:cs="Calibri"/>
                <w:color w:val="000000"/>
              </w:rPr>
              <w:t>784</w:t>
            </w:r>
          </w:p>
        </w:tc>
        <w:tc>
          <w:tcPr>
            <w:tcW w:w="1815" w:type="dxa"/>
          </w:tcPr>
          <w:p w14:paraId="7B4EAA8A" w14:textId="77777777" w:rsidR="00A7521D" w:rsidRPr="00995C3D" w:rsidRDefault="00A7521D" w:rsidP="00A7521D">
            <w:pPr>
              <w:spacing w:after="0" w:line="240" w:lineRule="auto"/>
              <w:jc w:val="center"/>
              <w:rPr>
                <w:rFonts w:cs="Calibri"/>
                <w:color w:val="000000"/>
              </w:rPr>
            </w:pPr>
            <w:r w:rsidRPr="00995C3D">
              <w:rPr>
                <w:rFonts w:cs="Calibri"/>
                <w:color w:val="000000"/>
              </w:rPr>
              <w:t>276</w:t>
            </w:r>
          </w:p>
        </w:tc>
        <w:tc>
          <w:tcPr>
            <w:tcW w:w="1014" w:type="dxa"/>
          </w:tcPr>
          <w:p w14:paraId="13F1694B" w14:textId="77777777" w:rsidR="00A7521D" w:rsidRPr="00995C3D" w:rsidRDefault="00A7521D" w:rsidP="00A7521D">
            <w:pPr>
              <w:spacing w:after="0" w:line="240" w:lineRule="auto"/>
              <w:jc w:val="center"/>
              <w:rPr>
                <w:rFonts w:cs="Calibri"/>
                <w:color w:val="000000"/>
              </w:rPr>
            </w:pPr>
            <w:r w:rsidRPr="00995C3D">
              <w:rPr>
                <w:rFonts w:cs="Calibri"/>
                <w:color w:val="000000"/>
              </w:rPr>
              <w:t>108</w:t>
            </w:r>
          </w:p>
        </w:tc>
        <w:tc>
          <w:tcPr>
            <w:tcW w:w="844" w:type="dxa"/>
          </w:tcPr>
          <w:p w14:paraId="2F613126" w14:textId="77777777" w:rsidR="00A7521D" w:rsidRPr="00995C3D" w:rsidRDefault="00A7521D" w:rsidP="00A7521D">
            <w:pPr>
              <w:spacing w:after="0" w:line="240" w:lineRule="auto"/>
              <w:jc w:val="center"/>
              <w:rPr>
                <w:rFonts w:cs="Calibri"/>
                <w:color w:val="000000"/>
              </w:rPr>
            </w:pPr>
            <w:r w:rsidRPr="00995C3D">
              <w:rPr>
                <w:rFonts w:cs="Calibri"/>
                <w:color w:val="000000"/>
              </w:rPr>
              <w:t>288</w:t>
            </w:r>
          </w:p>
        </w:tc>
      </w:tr>
      <w:tr w:rsidR="00A7521D" w:rsidRPr="00995C3D" w14:paraId="245D1E03" w14:textId="77777777" w:rsidTr="00A7521D">
        <w:trPr>
          <w:jc w:val="center"/>
        </w:trPr>
        <w:tc>
          <w:tcPr>
            <w:tcW w:w="2552" w:type="dxa"/>
          </w:tcPr>
          <w:p w14:paraId="30CA941D" w14:textId="77777777" w:rsidR="00A7521D" w:rsidRPr="00995C3D" w:rsidRDefault="00A7521D" w:rsidP="00A7521D">
            <w:pPr>
              <w:spacing w:after="0" w:line="240" w:lineRule="auto"/>
              <w:jc w:val="center"/>
              <w:rPr>
                <w:rFonts w:cs="Calibri"/>
                <w:color w:val="000000"/>
              </w:rPr>
            </w:pPr>
            <w:r w:rsidRPr="00995C3D">
              <w:rPr>
                <w:rFonts w:cs="Calibri"/>
                <w:color w:val="000000"/>
              </w:rPr>
              <w:t>M Markovitz</w:t>
            </w:r>
          </w:p>
        </w:tc>
        <w:tc>
          <w:tcPr>
            <w:tcW w:w="1115" w:type="dxa"/>
          </w:tcPr>
          <w:p w14:paraId="66A0DA6D" w14:textId="77777777" w:rsidR="00A7521D" w:rsidRPr="00995C3D" w:rsidRDefault="00A7521D" w:rsidP="00A7521D">
            <w:pPr>
              <w:spacing w:after="0" w:line="240" w:lineRule="auto"/>
              <w:jc w:val="center"/>
            </w:pPr>
            <w:r w:rsidRPr="00995C3D">
              <w:t>DE4 2EQ</w:t>
            </w:r>
          </w:p>
        </w:tc>
        <w:tc>
          <w:tcPr>
            <w:tcW w:w="1065" w:type="dxa"/>
          </w:tcPr>
          <w:p w14:paraId="43E862C9" w14:textId="77777777" w:rsidR="00A7521D" w:rsidRPr="00995C3D" w:rsidRDefault="00A7521D" w:rsidP="00A7521D">
            <w:pPr>
              <w:spacing w:after="0" w:line="240" w:lineRule="auto"/>
              <w:jc w:val="center"/>
              <w:rPr>
                <w:rFonts w:cs="Calibri"/>
                <w:color w:val="000000"/>
              </w:rPr>
            </w:pPr>
            <w:r w:rsidRPr="00995C3D">
              <w:rPr>
                <w:rFonts w:cs="Calibri"/>
                <w:color w:val="000000"/>
              </w:rPr>
              <w:t>27</w:t>
            </w:r>
          </w:p>
        </w:tc>
        <w:tc>
          <w:tcPr>
            <w:tcW w:w="1196" w:type="dxa"/>
          </w:tcPr>
          <w:p w14:paraId="45229508" w14:textId="77777777" w:rsidR="00A7521D" w:rsidRPr="00995C3D" w:rsidRDefault="00A7521D" w:rsidP="00A7521D">
            <w:pPr>
              <w:spacing w:after="0" w:line="240" w:lineRule="auto"/>
              <w:jc w:val="center"/>
              <w:rPr>
                <w:rFonts w:cs="Calibri"/>
                <w:color w:val="000000"/>
              </w:rPr>
            </w:pPr>
            <w:r w:rsidRPr="00995C3D">
              <w:rPr>
                <w:rFonts w:cs="Calibri"/>
                <w:color w:val="000000"/>
              </w:rPr>
              <w:t>1</w:t>
            </w:r>
            <w:r>
              <w:rPr>
                <w:rFonts w:cs="Calibri"/>
                <w:color w:val="000000"/>
              </w:rPr>
              <w:t>,</w:t>
            </w:r>
            <w:r w:rsidRPr="00995C3D">
              <w:rPr>
                <w:rFonts w:cs="Calibri"/>
                <w:color w:val="000000"/>
              </w:rPr>
              <w:t>542</w:t>
            </w:r>
          </w:p>
        </w:tc>
        <w:tc>
          <w:tcPr>
            <w:tcW w:w="1815" w:type="dxa"/>
          </w:tcPr>
          <w:p w14:paraId="5ABC2FD8" w14:textId="77777777" w:rsidR="00A7521D" w:rsidRPr="00995C3D" w:rsidRDefault="00A7521D" w:rsidP="00A7521D">
            <w:pPr>
              <w:spacing w:after="0" w:line="240" w:lineRule="auto"/>
              <w:jc w:val="center"/>
              <w:rPr>
                <w:rFonts w:cs="Calibri"/>
                <w:color w:val="000000"/>
              </w:rPr>
            </w:pPr>
            <w:r w:rsidRPr="00995C3D">
              <w:rPr>
                <w:rFonts w:cs="Calibri"/>
                <w:color w:val="000000"/>
              </w:rPr>
              <w:t>239</w:t>
            </w:r>
          </w:p>
        </w:tc>
        <w:tc>
          <w:tcPr>
            <w:tcW w:w="1014" w:type="dxa"/>
          </w:tcPr>
          <w:p w14:paraId="00844671" w14:textId="77777777" w:rsidR="00A7521D" w:rsidRPr="00995C3D" w:rsidRDefault="00A7521D" w:rsidP="00A7521D">
            <w:pPr>
              <w:spacing w:after="0" w:line="240" w:lineRule="auto"/>
              <w:jc w:val="center"/>
              <w:rPr>
                <w:rFonts w:cs="Calibri"/>
                <w:color w:val="000000"/>
              </w:rPr>
            </w:pPr>
            <w:r w:rsidRPr="00995C3D">
              <w:rPr>
                <w:rFonts w:cs="Calibri"/>
                <w:color w:val="000000"/>
              </w:rPr>
              <w:t>94</w:t>
            </w:r>
          </w:p>
        </w:tc>
        <w:tc>
          <w:tcPr>
            <w:tcW w:w="844" w:type="dxa"/>
          </w:tcPr>
          <w:p w14:paraId="6D8F0FC6" w14:textId="77777777" w:rsidR="00A7521D" w:rsidRPr="00995C3D" w:rsidRDefault="00A7521D" w:rsidP="00A7521D">
            <w:pPr>
              <w:spacing w:after="0" w:line="240" w:lineRule="auto"/>
              <w:jc w:val="center"/>
              <w:rPr>
                <w:rFonts w:cs="Calibri"/>
                <w:color w:val="000000"/>
              </w:rPr>
            </w:pPr>
            <w:r w:rsidRPr="00995C3D">
              <w:rPr>
                <w:rFonts w:cs="Calibri"/>
                <w:color w:val="000000"/>
              </w:rPr>
              <w:t>249</w:t>
            </w:r>
          </w:p>
        </w:tc>
      </w:tr>
      <w:tr w:rsidR="00A7521D" w:rsidRPr="00995C3D" w14:paraId="09AE9813" w14:textId="77777777" w:rsidTr="00A7521D">
        <w:trPr>
          <w:jc w:val="center"/>
        </w:trPr>
        <w:tc>
          <w:tcPr>
            <w:tcW w:w="2552" w:type="dxa"/>
          </w:tcPr>
          <w:p w14:paraId="23551A81" w14:textId="77777777" w:rsidR="00A7521D" w:rsidRPr="00995C3D" w:rsidRDefault="00A7521D" w:rsidP="00A7521D">
            <w:pPr>
              <w:spacing w:after="0" w:line="240" w:lineRule="auto"/>
              <w:jc w:val="center"/>
              <w:rPr>
                <w:rFonts w:cs="Calibri"/>
                <w:color w:val="000000"/>
              </w:rPr>
            </w:pPr>
            <w:r w:rsidRPr="00995C3D">
              <w:rPr>
                <w:rFonts w:cs="Calibri"/>
                <w:color w:val="000000"/>
              </w:rPr>
              <w:t>Milner off road</w:t>
            </w:r>
          </w:p>
        </w:tc>
        <w:tc>
          <w:tcPr>
            <w:tcW w:w="1115" w:type="dxa"/>
          </w:tcPr>
          <w:p w14:paraId="12E6904C" w14:textId="77777777" w:rsidR="00A7521D" w:rsidRPr="00995C3D" w:rsidRDefault="00A7521D" w:rsidP="00A7521D">
            <w:pPr>
              <w:spacing w:after="0" w:line="240" w:lineRule="auto"/>
              <w:jc w:val="center"/>
            </w:pPr>
            <w:r w:rsidRPr="00995C3D">
              <w:t>DE4 2ER</w:t>
            </w:r>
          </w:p>
        </w:tc>
        <w:tc>
          <w:tcPr>
            <w:tcW w:w="1065" w:type="dxa"/>
          </w:tcPr>
          <w:p w14:paraId="323A6763" w14:textId="77777777" w:rsidR="00A7521D" w:rsidRPr="00995C3D" w:rsidRDefault="00A7521D" w:rsidP="00A7521D">
            <w:pPr>
              <w:spacing w:after="0" w:line="240" w:lineRule="auto"/>
              <w:jc w:val="center"/>
              <w:rPr>
                <w:rFonts w:cs="Calibri"/>
                <w:color w:val="000000"/>
              </w:rPr>
            </w:pPr>
            <w:r w:rsidRPr="00995C3D">
              <w:rPr>
                <w:rFonts w:cs="Calibri"/>
                <w:color w:val="000000"/>
              </w:rPr>
              <w:t>27</w:t>
            </w:r>
          </w:p>
        </w:tc>
        <w:tc>
          <w:tcPr>
            <w:tcW w:w="1196" w:type="dxa"/>
          </w:tcPr>
          <w:p w14:paraId="059D0827" w14:textId="77777777" w:rsidR="00A7521D" w:rsidRPr="00995C3D" w:rsidRDefault="00A7521D" w:rsidP="00A7521D">
            <w:pPr>
              <w:spacing w:after="0" w:line="240" w:lineRule="auto"/>
              <w:jc w:val="center"/>
              <w:rPr>
                <w:rFonts w:cs="Calibri"/>
                <w:color w:val="000000"/>
              </w:rPr>
            </w:pPr>
            <w:r w:rsidRPr="00995C3D">
              <w:rPr>
                <w:rFonts w:cs="Calibri"/>
                <w:color w:val="000000"/>
              </w:rPr>
              <w:t>993</w:t>
            </w:r>
          </w:p>
        </w:tc>
        <w:tc>
          <w:tcPr>
            <w:tcW w:w="1815" w:type="dxa"/>
          </w:tcPr>
          <w:p w14:paraId="744E62B5" w14:textId="77777777" w:rsidR="00A7521D" w:rsidRPr="00995C3D" w:rsidRDefault="00A7521D" w:rsidP="00A7521D">
            <w:pPr>
              <w:spacing w:after="0" w:line="240" w:lineRule="auto"/>
              <w:jc w:val="center"/>
              <w:rPr>
                <w:rFonts w:cs="Calibri"/>
                <w:color w:val="000000"/>
              </w:rPr>
            </w:pPr>
            <w:r w:rsidRPr="00995C3D">
              <w:rPr>
                <w:rFonts w:cs="Calibri"/>
                <w:color w:val="000000"/>
              </w:rPr>
              <w:t>154</w:t>
            </w:r>
          </w:p>
        </w:tc>
        <w:tc>
          <w:tcPr>
            <w:tcW w:w="1014" w:type="dxa"/>
          </w:tcPr>
          <w:p w14:paraId="7E2DAFD6" w14:textId="77777777" w:rsidR="00A7521D" w:rsidRPr="00995C3D" w:rsidRDefault="00A7521D" w:rsidP="00A7521D">
            <w:pPr>
              <w:spacing w:after="0" w:line="240" w:lineRule="auto"/>
              <w:jc w:val="center"/>
              <w:rPr>
                <w:rFonts w:cs="Calibri"/>
                <w:color w:val="000000"/>
              </w:rPr>
            </w:pPr>
            <w:r w:rsidRPr="00995C3D">
              <w:rPr>
                <w:rFonts w:cs="Calibri"/>
                <w:color w:val="000000"/>
              </w:rPr>
              <w:t>60</w:t>
            </w:r>
          </w:p>
        </w:tc>
        <w:tc>
          <w:tcPr>
            <w:tcW w:w="844" w:type="dxa"/>
          </w:tcPr>
          <w:p w14:paraId="39BFAF23" w14:textId="77777777" w:rsidR="00A7521D" w:rsidRPr="00995C3D" w:rsidRDefault="00A7521D" w:rsidP="00A7521D">
            <w:pPr>
              <w:spacing w:after="0" w:line="240" w:lineRule="auto"/>
              <w:jc w:val="center"/>
              <w:rPr>
                <w:rFonts w:cs="Calibri"/>
                <w:color w:val="000000"/>
              </w:rPr>
            </w:pPr>
            <w:r w:rsidRPr="00995C3D">
              <w:rPr>
                <w:rFonts w:cs="Calibri"/>
                <w:color w:val="000000"/>
              </w:rPr>
              <w:t>160</w:t>
            </w:r>
          </w:p>
        </w:tc>
      </w:tr>
      <w:tr w:rsidR="00A7521D" w:rsidRPr="00995C3D" w14:paraId="7DA9154A" w14:textId="77777777" w:rsidTr="00A7521D">
        <w:trPr>
          <w:jc w:val="center"/>
        </w:trPr>
        <w:tc>
          <w:tcPr>
            <w:tcW w:w="2552" w:type="dxa"/>
          </w:tcPr>
          <w:p w14:paraId="0A0CD9E3" w14:textId="77777777" w:rsidR="00A7521D" w:rsidRPr="00995C3D" w:rsidRDefault="00A7521D" w:rsidP="00A7521D">
            <w:pPr>
              <w:spacing w:after="0" w:line="240" w:lineRule="auto"/>
              <w:jc w:val="center"/>
              <w:rPr>
                <w:rFonts w:cs="Calibri"/>
                <w:color w:val="000000"/>
              </w:rPr>
            </w:pPr>
            <w:r w:rsidRPr="00995C3D">
              <w:rPr>
                <w:rFonts w:cs="Calibri"/>
                <w:color w:val="000000"/>
              </w:rPr>
              <w:t>Square and compass</w:t>
            </w:r>
          </w:p>
        </w:tc>
        <w:tc>
          <w:tcPr>
            <w:tcW w:w="1115" w:type="dxa"/>
          </w:tcPr>
          <w:p w14:paraId="2A0F89CC" w14:textId="77777777" w:rsidR="00A7521D" w:rsidRPr="00995C3D" w:rsidRDefault="00A7521D" w:rsidP="00A7521D">
            <w:pPr>
              <w:spacing w:after="0" w:line="240" w:lineRule="auto"/>
              <w:jc w:val="center"/>
            </w:pPr>
            <w:r w:rsidRPr="00995C3D">
              <w:t>DE4 2EQ</w:t>
            </w:r>
          </w:p>
        </w:tc>
        <w:tc>
          <w:tcPr>
            <w:tcW w:w="1065" w:type="dxa"/>
          </w:tcPr>
          <w:p w14:paraId="312610A8" w14:textId="77777777" w:rsidR="00A7521D" w:rsidRPr="00995C3D" w:rsidRDefault="00A7521D" w:rsidP="00A7521D">
            <w:pPr>
              <w:spacing w:after="0" w:line="240" w:lineRule="auto"/>
              <w:jc w:val="center"/>
              <w:rPr>
                <w:rFonts w:cs="Calibri"/>
                <w:color w:val="000000"/>
              </w:rPr>
            </w:pPr>
            <w:r w:rsidRPr="00995C3D">
              <w:rPr>
                <w:rFonts w:cs="Calibri"/>
                <w:color w:val="000000"/>
              </w:rPr>
              <w:t>8</w:t>
            </w:r>
          </w:p>
        </w:tc>
        <w:tc>
          <w:tcPr>
            <w:tcW w:w="1196" w:type="dxa"/>
          </w:tcPr>
          <w:p w14:paraId="1C59C3B1" w14:textId="77777777" w:rsidR="00A7521D" w:rsidRPr="00995C3D" w:rsidRDefault="00A7521D" w:rsidP="00A7521D">
            <w:pPr>
              <w:spacing w:after="0" w:line="240" w:lineRule="auto"/>
              <w:jc w:val="center"/>
              <w:rPr>
                <w:rFonts w:cs="Calibri"/>
                <w:color w:val="000000"/>
              </w:rPr>
            </w:pPr>
            <w:r w:rsidRPr="00995C3D">
              <w:rPr>
                <w:rFonts w:cs="Calibri"/>
                <w:color w:val="000000"/>
              </w:rPr>
              <w:t>266</w:t>
            </w:r>
          </w:p>
        </w:tc>
        <w:tc>
          <w:tcPr>
            <w:tcW w:w="1815" w:type="dxa"/>
          </w:tcPr>
          <w:p w14:paraId="3AB51BCB" w14:textId="77777777" w:rsidR="00A7521D" w:rsidRPr="00995C3D" w:rsidRDefault="00A7521D" w:rsidP="00A7521D">
            <w:pPr>
              <w:spacing w:after="0" w:line="240" w:lineRule="auto"/>
              <w:jc w:val="center"/>
              <w:rPr>
                <w:rFonts w:cs="Calibri"/>
                <w:color w:val="000000"/>
              </w:rPr>
            </w:pPr>
            <w:r w:rsidRPr="00995C3D">
              <w:rPr>
                <w:rFonts w:cs="Calibri"/>
                <w:color w:val="000000"/>
              </w:rPr>
              <w:t>32</w:t>
            </w:r>
          </w:p>
        </w:tc>
        <w:tc>
          <w:tcPr>
            <w:tcW w:w="1014" w:type="dxa"/>
          </w:tcPr>
          <w:p w14:paraId="50F800F4" w14:textId="77777777" w:rsidR="00A7521D" w:rsidRPr="00995C3D" w:rsidRDefault="00A7521D" w:rsidP="00A7521D">
            <w:pPr>
              <w:spacing w:after="0" w:line="240" w:lineRule="auto"/>
              <w:jc w:val="center"/>
              <w:rPr>
                <w:rFonts w:cs="Calibri"/>
                <w:color w:val="000000"/>
              </w:rPr>
            </w:pPr>
            <w:r w:rsidRPr="00995C3D">
              <w:rPr>
                <w:rFonts w:cs="Calibri"/>
                <w:color w:val="000000"/>
              </w:rPr>
              <w:t>13</w:t>
            </w:r>
          </w:p>
        </w:tc>
        <w:tc>
          <w:tcPr>
            <w:tcW w:w="844" w:type="dxa"/>
          </w:tcPr>
          <w:p w14:paraId="5549720C" w14:textId="77777777" w:rsidR="00A7521D" w:rsidRPr="00995C3D" w:rsidRDefault="00A7521D" w:rsidP="00A7521D">
            <w:pPr>
              <w:spacing w:after="0" w:line="240" w:lineRule="auto"/>
              <w:jc w:val="center"/>
              <w:rPr>
                <w:rFonts w:cs="Calibri"/>
                <w:color w:val="000000"/>
              </w:rPr>
            </w:pPr>
            <w:r w:rsidRPr="00995C3D">
              <w:rPr>
                <w:rFonts w:cs="Calibri"/>
                <w:color w:val="000000"/>
              </w:rPr>
              <w:t>18</w:t>
            </w:r>
          </w:p>
        </w:tc>
      </w:tr>
      <w:tr w:rsidR="00A7521D" w:rsidRPr="00995C3D" w14:paraId="5BE6D743" w14:textId="77777777" w:rsidTr="00A7521D">
        <w:trPr>
          <w:jc w:val="center"/>
        </w:trPr>
        <w:tc>
          <w:tcPr>
            <w:tcW w:w="2552" w:type="dxa"/>
          </w:tcPr>
          <w:p w14:paraId="5AA2BD67" w14:textId="77777777" w:rsidR="00A7521D" w:rsidRPr="00995C3D" w:rsidRDefault="00A7521D" w:rsidP="00A7521D">
            <w:pPr>
              <w:spacing w:after="0" w:line="240" w:lineRule="auto"/>
              <w:jc w:val="center"/>
              <w:rPr>
                <w:rFonts w:cs="Calibri"/>
                <w:color w:val="000000"/>
              </w:rPr>
            </w:pPr>
            <w:r w:rsidRPr="00995C3D">
              <w:rPr>
                <w:rFonts w:cs="Calibri"/>
                <w:color w:val="000000"/>
              </w:rPr>
              <w:t>Three stags</w:t>
            </w:r>
          </w:p>
        </w:tc>
        <w:tc>
          <w:tcPr>
            <w:tcW w:w="1115" w:type="dxa"/>
          </w:tcPr>
          <w:p w14:paraId="30490CA2" w14:textId="77777777" w:rsidR="00A7521D" w:rsidRPr="00995C3D" w:rsidRDefault="00A7521D" w:rsidP="00A7521D">
            <w:pPr>
              <w:spacing w:after="0" w:line="240" w:lineRule="auto"/>
              <w:jc w:val="center"/>
            </w:pPr>
            <w:r w:rsidRPr="00995C3D">
              <w:t>DE4 2JY</w:t>
            </w:r>
          </w:p>
        </w:tc>
        <w:tc>
          <w:tcPr>
            <w:tcW w:w="1065" w:type="dxa"/>
          </w:tcPr>
          <w:p w14:paraId="7D76721F" w14:textId="77777777" w:rsidR="00A7521D" w:rsidRPr="00995C3D" w:rsidRDefault="00A7521D" w:rsidP="00A7521D">
            <w:pPr>
              <w:spacing w:after="0" w:line="240" w:lineRule="auto"/>
              <w:jc w:val="center"/>
              <w:rPr>
                <w:rFonts w:cs="Calibri"/>
                <w:color w:val="000000"/>
              </w:rPr>
            </w:pPr>
            <w:r w:rsidRPr="00995C3D">
              <w:rPr>
                <w:rFonts w:cs="Calibri"/>
                <w:color w:val="000000"/>
              </w:rPr>
              <w:t>8</w:t>
            </w:r>
          </w:p>
        </w:tc>
        <w:tc>
          <w:tcPr>
            <w:tcW w:w="1196" w:type="dxa"/>
          </w:tcPr>
          <w:p w14:paraId="44051635" w14:textId="77777777" w:rsidR="00A7521D" w:rsidRPr="00995C3D" w:rsidRDefault="00A7521D" w:rsidP="00A7521D">
            <w:pPr>
              <w:spacing w:after="0" w:line="240" w:lineRule="auto"/>
              <w:jc w:val="center"/>
              <w:rPr>
                <w:rFonts w:cs="Calibri"/>
                <w:color w:val="000000"/>
              </w:rPr>
            </w:pPr>
            <w:r w:rsidRPr="00995C3D">
              <w:rPr>
                <w:rFonts w:cs="Calibri"/>
                <w:color w:val="000000"/>
              </w:rPr>
              <w:t>111</w:t>
            </w:r>
          </w:p>
        </w:tc>
        <w:tc>
          <w:tcPr>
            <w:tcW w:w="1815" w:type="dxa"/>
          </w:tcPr>
          <w:p w14:paraId="1231CE57" w14:textId="77777777" w:rsidR="00A7521D" w:rsidRPr="00995C3D" w:rsidRDefault="00A7521D" w:rsidP="00A7521D">
            <w:pPr>
              <w:spacing w:after="0" w:line="240" w:lineRule="auto"/>
              <w:jc w:val="center"/>
              <w:rPr>
                <w:rFonts w:cs="Calibri"/>
                <w:color w:val="000000"/>
              </w:rPr>
            </w:pPr>
            <w:r w:rsidRPr="00995C3D">
              <w:rPr>
                <w:rFonts w:cs="Calibri"/>
                <w:color w:val="000000"/>
              </w:rPr>
              <w:t>13</w:t>
            </w:r>
          </w:p>
        </w:tc>
        <w:tc>
          <w:tcPr>
            <w:tcW w:w="1014" w:type="dxa"/>
          </w:tcPr>
          <w:p w14:paraId="1BC5A657" w14:textId="77777777" w:rsidR="00A7521D" w:rsidRPr="00995C3D" w:rsidRDefault="00A7521D" w:rsidP="00A7521D">
            <w:pPr>
              <w:spacing w:after="0" w:line="240" w:lineRule="auto"/>
              <w:jc w:val="center"/>
              <w:rPr>
                <w:rFonts w:cs="Calibri"/>
                <w:color w:val="000000"/>
              </w:rPr>
            </w:pPr>
            <w:r w:rsidRPr="00995C3D">
              <w:rPr>
                <w:rFonts w:cs="Calibri"/>
                <w:color w:val="000000"/>
              </w:rPr>
              <w:t>5</w:t>
            </w:r>
          </w:p>
        </w:tc>
        <w:tc>
          <w:tcPr>
            <w:tcW w:w="844" w:type="dxa"/>
          </w:tcPr>
          <w:p w14:paraId="088B1D11" w14:textId="77777777" w:rsidR="00A7521D" w:rsidRPr="00995C3D" w:rsidRDefault="00A7521D" w:rsidP="00A7521D">
            <w:pPr>
              <w:spacing w:after="0" w:line="240" w:lineRule="auto"/>
              <w:jc w:val="center"/>
              <w:rPr>
                <w:rFonts w:cs="Calibri"/>
                <w:color w:val="000000"/>
              </w:rPr>
            </w:pPr>
            <w:r w:rsidRPr="00995C3D">
              <w:rPr>
                <w:rFonts w:cs="Calibri"/>
                <w:color w:val="000000"/>
              </w:rPr>
              <w:t>8</w:t>
            </w:r>
          </w:p>
        </w:tc>
      </w:tr>
      <w:tr w:rsidR="00A7521D" w:rsidRPr="00995C3D" w14:paraId="7D4DE806" w14:textId="77777777" w:rsidTr="00A7521D">
        <w:trPr>
          <w:jc w:val="center"/>
        </w:trPr>
        <w:tc>
          <w:tcPr>
            <w:tcW w:w="2552" w:type="dxa"/>
          </w:tcPr>
          <w:p w14:paraId="41DD071F" w14:textId="77777777" w:rsidR="00A7521D" w:rsidRPr="00995C3D" w:rsidRDefault="00A7521D" w:rsidP="00A7521D">
            <w:pPr>
              <w:spacing w:after="0" w:line="240" w:lineRule="auto"/>
              <w:jc w:val="center"/>
              <w:rPr>
                <w:rFonts w:cs="Calibri"/>
                <w:color w:val="000000"/>
              </w:rPr>
            </w:pPr>
            <w:proofErr w:type="spellStart"/>
            <w:r w:rsidRPr="00995C3D">
              <w:rPr>
                <w:rFonts w:cs="Calibri"/>
                <w:color w:val="000000"/>
              </w:rPr>
              <w:t>Ivonbrook</w:t>
            </w:r>
            <w:proofErr w:type="spellEnd"/>
            <w:r w:rsidRPr="00995C3D">
              <w:rPr>
                <w:rFonts w:cs="Calibri"/>
                <w:color w:val="000000"/>
              </w:rPr>
              <w:t xml:space="preserve"> care home</w:t>
            </w:r>
          </w:p>
        </w:tc>
        <w:tc>
          <w:tcPr>
            <w:tcW w:w="1115" w:type="dxa"/>
          </w:tcPr>
          <w:p w14:paraId="57670BAC" w14:textId="77777777" w:rsidR="00A7521D" w:rsidRPr="00995C3D" w:rsidRDefault="00A7521D" w:rsidP="00A7521D">
            <w:pPr>
              <w:spacing w:after="0" w:line="240" w:lineRule="auto"/>
              <w:jc w:val="center"/>
            </w:pPr>
            <w:r w:rsidRPr="00995C3D">
              <w:t>DE4 2JW</w:t>
            </w:r>
          </w:p>
        </w:tc>
        <w:tc>
          <w:tcPr>
            <w:tcW w:w="1065" w:type="dxa"/>
          </w:tcPr>
          <w:p w14:paraId="2737B667" w14:textId="77777777" w:rsidR="00A7521D" w:rsidRPr="00995C3D" w:rsidRDefault="00A7521D" w:rsidP="00A7521D">
            <w:pPr>
              <w:spacing w:after="0" w:line="240" w:lineRule="auto"/>
              <w:jc w:val="center"/>
              <w:rPr>
                <w:rFonts w:cs="Calibri"/>
                <w:color w:val="000000"/>
              </w:rPr>
            </w:pPr>
            <w:r w:rsidRPr="00995C3D">
              <w:rPr>
                <w:rFonts w:cs="Calibri"/>
                <w:color w:val="000000"/>
              </w:rPr>
              <w:t>21</w:t>
            </w:r>
          </w:p>
        </w:tc>
        <w:tc>
          <w:tcPr>
            <w:tcW w:w="1196" w:type="dxa"/>
          </w:tcPr>
          <w:p w14:paraId="1F5D5CFE" w14:textId="77777777" w:rsidR="00A7521D" w:rsidRPr="00995C3D" w:rsidRDefault="00A7521D" w:rsidP="00A7521D">
            <w:pPr>
              <w:spacing w:after="0" w:line="240" w:lineRule="auto"/>
              <w:jc w:val="center"/>
              <w:rPr>
                <w:rFonts w:cs="Calibri"/>
                <w:color w:val="000000"/>
              </w:rPr>
            </w:pPr>
            <w:r w:rsidRPr="00995C3D">
              <w:rPr>
                <w:rFonts w:cs="Calibri"/>
                <w:color w:val="000000"/>
              </w:rPr>
              <w:t>222</w:t>
            </w:r>
          </w:p>
        </w:tc>
        <w:tc>
          <w:tcPr>
            <w:tcW w:w="1815" w:type="dxa"/>
          </w:tcPr>
          <w:p w14:paraId="5BC5525D" w14:textId="77777777" w:rsidR="00A7521D" w:rsidRPr="00995C3D" w:rsidRDefault="00A7521D" w:rsidP="00A7521D">
            <w:pPr>
              <w:spacing w:after="0" w:line="240" w:lineRule="auto"/>
              <w:jc w:val="center"/>
              <w:rPr>
                <w:rFonts w:cs="Calibri"/>
                <w:color w:val="000000"/>
              </w:rPr>
            </w:pPr>
            <w:r w:rsidRPr="00995C3D">
              <w:rPr>
                <w:rFonts w:cs="Calibri"/>
                <w:color w:val="000000"/>
              </w:rPr>
              <w:t>67</w:t>
            </w:r>
          </w:p>
        </w:tc>
        <w:tc>
          <w:tcPr>
            <w:tcW w:w="1014" w:type="dxa"/>
          </w:tcPr>
          <w:p w14:paraId="3BF5AEAD" w14:textId="77777777" w:rsidR="00A7521D" w:rsidRPr="00995C3D" w:rsidRDefault="00A7521D" w:rsidP="00A7521D">
            <w:pPr>
              <w:spacing w:after="0" w:line="240" w:lineRule="auto"/>
              <w:jc w:val="center"/>
              <w:rPr>
                <w:rFonts w:cs="Calibri"/>
                <w:color w:val="000000"/>
              </w:rPr>
            </w:pPr>
            <w:r w:rsidRPr="00995C3D">
              <w:rPr>
                <w:rFonts w:cs="Calibri"/>
                <w:color w:val="000000"/>
              </w:rPr>
              <w:t>26</w:t>
            </w:r>
          </w:p>
        </w:tc>
        <w:tc>
          <w:tcPr>
            <w:tcW w:w="844" w:type="dxa"/>
          </w:tcPr>
          <w:p w14:paraId="5B3AE41C" w14:textId="77777777" w:rsidR="00A7521D" w:rsidRPr="00995C3D" w:rsidRDefault="00A7521D" w:rsidP="00A7521D">
            <w:pPr>
              <w:spacing w:after="0" w:line="240" w:lineRule="auto"/>
              <w:jc w:val="center"/>
              <w:rPr>
                <w:rFonts w:cs="Calibri"/>
                <w:color w:val="000000"/>
              </w:rPr>
            </w:pPr>
            <w:r w:rsidRPr="00995C3D">
              <w:rPr>
                <w:rFonts w:cs="Calibri"/>
                <w:color w:val="000000"/>
              </w:rPr>
              <w:t>70</w:t>
            </w:r>
          </w:p>
        </w:tc>
      </w:tr>
      <w:tr w:rsidR="00A7521D" w:rsidRPr="00995C3D" w14:paraId="58FAFAD5" w14:textId="77777777" w:rsidTr="00A7521D">
        <w:trPr>
          <w:jc w:val="center"/>
        </w:trPr>
        <w:tc>
          <w:tcPr>
            <w:tcW w:w="2552" w:type="dxa"/>
          </w:tcPr>
          <w:p w14:paraId="30CB36ED" w14:textId="77777777" w:rsidR="00A7521D" w:rsidRPr="00995C3D" w:rsidRDefault="00A7521D" w:rsidP="00A7521D">
            <w:pPr>
              <w:spacing w:after="0" w:line="240" w:lineRule="auto"/>
              <w:jc w:val="center"/>
              <w:rPr>
                <w:rFonts w:cs="Calibri"/>
                <w:color w:val="000000"/>
              </w:rPr>
            </w:pPr>
            <w:r w:rsidRPr="00995C3D">
              <w:rPr>
                <w:rFonts w:cs="Calibri"/>
                <w:color w:val="000000"/>
              </w:rPr>
              <w:t xml:space="preserve">Darley </w:t>
            </w:r>
            <w:proofErr w:type="spellStart"/>
            <w:r w:rsidRPr="00995C3D">
              <w:rPr>
                <w:rFonts w:cs="Calibri"/>
                <w:color w:val="000000"/>
              </w:rPr>
              <w:t>churchtown</w:t>
            </w:r>
            <w:proofErr w:type="spellEnd"/>
            <w:r w:rsidRPr="00995C3D">
              <w:rPr>
                <w:rFonts w:cs="Calibri"/>
                <w:color w:val="000000"/>
              </w:rPr>
              <w:t xml:space="preserve"> c of e primary school</w:t>
            </w:r>
          </w:p>
        </w:tc>
        <w:tc>
          <w:tcPr>
            <w:tcW w:w="1115" w:type="dxa"/>
          </w:tcPr>
          <w:p w14:paraId="7F06E89A" w14:textId="77777777" w:rsidR="00A7521D" w:rsidRPr="00995C3D" w:rsidRDefault="00A7521D" w:rsidP="00A7521D">
            <w:pPr>
              <w:spacing w:after="0" w:line="240" w:lineRule="auto"/>
              <w:jc w:val="center"/>
            </w:pPr>
            <w:r w:rsidRPr="00995C3D">
              <w:t>DE4 2GL</w:t>
            </w:r>
          </w:p>
        </w:tc>
        <w:tc>
          <w:tcPr>
            <w:tcW w:w="1065" w:type="dxa"/>
          </w:tcPr>
          <w:p w14:paraId="4716593A" w14:textId="77777777" w:rsidR="00A7521D" w:rsidRPr="00995C3D" w:rsidRDefault="00A7521D" w:rsidP="00A7521D">
            <w:pPr>
              <w:spacing w:after="0" w:line="240" w:lineRule="auto"/>
              <w:jc w:val="center"/>
              <w:rPr>
                <w:rFonts w:cs="Calibri"/>
                <w:color w:val="000000"/>
              </w:rPr>
            </w:pPr>
            <w:r w:rsidRPr="00995C3D">
              <w:rPr>
                <w:rFonts w:cs="Calibri"/>
                <w:color w:val="000000"/>
              </w:rPr>
              <w:t>17</w:t>
            </w:r>
          </w:p>
        </w:tc>
        <w:tc>
          <w:tcPr>
            <w:tcW w:w="1196" w:type="dxa"/>
          </w:tcPr>
          <w:p w14:paraId="3F69D485" w14:textId="77777777" w:rsidR="00A7521D" w:rsidRPr="00995C3D" w:rsidRDefault="00A7521D" w:rsidP="00A7521D">
            <w:pPr>
              <w:spacing w:after="0" w:line="240" w:lineRule="auto"/>
              <w:jc w:val="center"/>
              <w:rPr>
                <w:rFonts w:cs="Calibri"/>
                <w:color w:val="000000"/>
              </w:rPr>
            </w:pPr>
            <w:r w:rsidRPr="00995C3D">
              <w:rPr>
                <w:rFonts w:cs="Calibri"/>
                <w:color w:val="000000"/>
              </w:rPr>
              <w:t>718</w:t>
            </w:r>
          </w:p>
        </w:tc>
        <w:tc>
          <w:tcPr>
            <w:tcW w:w="1815" w:type="dxa"/>
          </w:tcPr>
          <w:p w14:paraId="5A0AD2F9" w14:textId="77777777" w:rsidR="00A7521D" w:rsidRPr="00995C3D" w:rsidRDefault="00A7521D" w:rsidP="00A7521D">
            <w:pPr>
              <w:spacing w:after="0" w:line="240" w:lineRule="auto"/>
              <w:jc w:val="center"/>
              <w:rPr>
                <w:rFonts w:cs="Calibri"/>
                <w:color w:val="000000"/>
              </w:rPr>
            </w:pPr>
            <w:r w:rsidRPr="00995C3D">
              <w:rPr>
                <w:rFonts w:cs="Calibri"/>
                <w:color w:val="000000"/>
              </w:rPr>
              <w:t>99</w:t>
            </w:r>
          </w:p>
        </w:tc>
        <w:tc>
          <w:tcPr>
            <w:tcW w:w="1014" w:type="dxa"/>
          </w:tcPr>
          <w:p w14:paraId="6C4C806F" w14:textId="77777777" w:rsidR="00A7521D" w:rsidRPr="00995C3D" w:rsidRDefault="00A7521D" w:rsidP="00A7521D">
            <w:pPr>
              <w:spacing w:after="0" w:line="240" w:lineRule="auto"/>
              <w:jc w:val="center"/>
              <w:rPr>
                <w:rFonts w:cs="Calibri"/>
                <w:color w:val="000000"/>
              </w:rPr>
            </w:pPr>
            <w:r w:rsidRPr="00995C3D">
              <w:rPr>
                <w:rFonts w:cs="Calibri"/>
                <w:color w:val="000000"/>
              </w:rPr>
              <w:t>54</w:t>
            </w:r>
          </w:p>
        </w:tc>
        <w:tc>
          <w:tcPr>
            <w:tcW w:w="844" w:type="dxa"/>
          </w:tcPr>
          <w:p w14:paraId="4DE80454" w14:textId="77777777" w:rsidR="00A7521D" w:rsidRPr="00995C3D" w:rsidRDefault="00A7521D" w:rsidP="00A7521D">
            <w:pPr>
              <w:spacing w:after="0" w:line="240" w:lineRule="auto"/>
              <w:jc w:val="center"/>
              <w:rPr>
                <w:rFonts w:cs="Calibri"/>
                <w:color w:val="000000"/>
              </w:rPr>
            </w:pPr>
            <w:r w:rsidRPr="00995C3D">
              <w:rPr>
                <w:rFonts w:cs="Calibri"/>
                <w:color w:val="000000"/>
              </w:rPr>
              <w:t>299</w:t>
            </w:r>
          </w:p>
        </w:tc>
      </w:tr>
      <w:tr w:rsidR="00A7521D" w:rsidRPr="00995C3D" w14:paraId="0D4DC536" w14:textId="77777777" w:rsidTr="00A7521D">
        <w:trPr>
          <w:jc w:val="center"/>
        </w:trPr>
        <w:tc>
          <w:tcPr>
            <w:tcW w:w="2552" w:type="dxa"/>
          </w:tcPr>
          <w:p w14:paraId="2F75A1EF" w14:textId="77777777" w:rsidR="00A7521D" w:rsidRPr="00995C3D" w:rsidRDefault="00A7521D" w:rsidP="00A7521D">
            <w:pPr>
              <w:spacing w:after="0" w:line="240" w:lineRule="auto"/>
              <w:jc w:val="center"/>
              <w:rPr>
                <w:rFonts w:cs="Calibri"/>
                <w:color w:val="000000"/>
              </w:rPr>
            </w:pPr>
            <w:r w:rsidRPr="00995C3D">
              <w:rPr>
                <w:rFonts w:cs="Calibri"/>
                <w:color w:val="000000"/>
              </w:rPr>
              <w:t>Church inn</w:t>
            </w:r>
          </w:p>
        </w:tc>
        <w:tc>
          <w:tcPr>
            <w:tcW w:w="1115" w:type="dxa"/>
          </w:tcPr>
          <w:p w14:paraId="4ED21E85" w14:textId="77777777" w:rsidR="00A7521D" w:rsidRPr="00995C3D" w:rsidRDefault="00A7521D" w:rsidP="00A7521D">
            <w:pPr>
              <w:spacing w:after="0" w:line="240" w:lineRule="auto"/>
              <w:jc w:val="center"/>
            </w:pPr>
            <w:r w:rsidRPr="00995C3D">
              <w:t>DE4 2GG</w:t>
            </w:r>
          </w:p>
        </w:tc>
        <w:tc>
          <w:tcPr>
            <w:tcW w:w="1065" w:type="dxa"/>
          </w:tcPr>
          <w:p w14:paraId="6DE9C634" w14:textId="77777777" w:rsidR="00A7521D" w:rsidRPr="00995C3D" w:rsidRDefault="00A7521D" w:rsidP="00A7521D">
            <w:pPr>
              <w:spacing w:after="0" w:line="240" w:lineRule="auto"/>
              <w:jc w:val="center"/>
              <w:rPr>
                <w:rFonts w:cs="Calibri"/>
                <w:color w:val="000000"/>
              </w:rPr>
            </w:pPr>
            <w:r w:rsidRPr="00995C3D">
              <w:rPr>
                <w:rFonts w:cs="Calibri"/>
                <w:color w:val="000000"/>
              </w:rPr>
              <w:t>8</w:t>
            </w:r>
          </w:p>
        </w:tc>
        <w:tc>
          <w:tcPr>
            <w:tcW w:w="1196" w:type="dxa"/>
          </w:tcPr>
          <w:p w14:paraId="3C65BCB1" w14:textId="77777777" w:rsidR="00A7521D" w:rsidRPr="00995C3D" w:rsidRDefault="00A7521D" w:rsidP="00A7521D">
            <w:pPr>
              <w:spacing w:after="0" w:line="240" w:lineRule="auto"/>
              <w:jc w:val="center"/>
              <w:rPr>
                <w:rFonts w:cs="Calibri"/>
                <w:color w:val="000000"/>
              </w:rPr>
            </w:pPr>
            <w:r w:rsidRPr="00995C3D">
              <w:rPr>
                <w:rFonts w:cs="Calibri"/>
                <w:color w:val="000000"/>
              </w:rPr>
              <w:t>133</w:t>
            </w:r>
          </w:p>
        </w:tc>
        <w:tc>
          <w:tcPr>
            <w:tcW w:w="1815" w:type="dxa"/>
          </w:tcPr>
          <w:p w14:paraId="26049943" w14:textId="77777777" w:rsidR="00A7521D" w:rsidRPr="00995C3D" w:rsidRDefault="00A7521D" w:rsidP="00A7521D">
            <w:pPr>
              <w:spacing w:after="0" w:line="240" w:lineRule="auto"/>
              <w:jc w:val="center"/>
              <w:rPr>
                <w:rFonts w:cs="Calibri"/>
                <w:color w:val="000000"/>
              </w:rPr>
            </w:pPr>
            <w:r w:rsidRPr="00995C3D">
              <w:rPr>
                <w:rFonts w:cs="Calibri"/>
                <w:color w:val="000000"/>
              </w:rPr>
              <w:t>16</w:t>
            </w:r>
          </w:p>
        </w:tc>
        <w:tc>
          <w:tcPr>
            <w:tcW w:w="1014" w:type="dxa"/>
          </w:tcPr>
          <w:p w14:paraId="19785358" w14:textId="77777777" w:rsidR="00A7521D" w:rsidRPr="00995C3D" w:rsidRDefault="00A7521D" w:rsidP="00A7521D">
            <w:pPr>
              <w:spacing w:after="0" w:line="240" w:lineRule="auto"/>
              <w:jc w:val="center"/>
              <w:rPr>
                <w:rFonts w:cs="Calibri"/>
                <w:color w:val="000000"/>
              </w:rPr>
            </w:pPr>
            <w:r w:rsidRPr="00995C3D">
              <w:rPr>
                <w:rFonts w:cs="Calibri"/>
                <w:color w:val="000000"/>
              </w:rPr>
              <w:t>6</w:t>
            </w:r>
          </w:p>
        </w:tc>
        <w:tc>
          <w:tcPr>
            <w:tcW w:w="844" w:type="dxa"/>
          </w:tcPr>
          <w:p w14:paraId="38220CB1" w14:textId="77777777" w:rsidR="00A7521D" w:rsidRPr="00995C3D" w:rsidRDefault="00A7521D" w:rsidP="00A7521D">
            <w:pPr>
              <w:spacing w:after="0" w:line="240" w:lineRule="auto"/>
              <w:jc w:val="center"/>
              <w:rPr>
                <w:rFonts w:cs="Calibri"/>
                <w:color w:val="000000"/>
              </w:rPr>
            </w:pPr>
            <w:r w:rsidRPr="00995C3D">
              <w:rPr>
                <w:rFonts w:cs="Calibri"/>
                <w:color w:val="000000"/>
              </w:rPr>
              <w:t>9</w:t>
            </w:r>
          </w:p>
        </w:tc>
      </w:tr>
      <w:tr w:rsidR="00A7521D" w:rsidRPr="00995C3D" w14:paraId="3BE59A6A" w14:textId="77777777" w:rsidTr="00A7521D">
        <w:trPr>
          <w:jc w:val="center"/>
        </w:trPr>
        <w:tc>
          <w:tcPr>
            <w:tcW w:w="2552" w:type="dxa"/>
          </w:tcPr>
          <w:p w14:paraId="7B935319" w14:textId="77777777" w:rsidR="00A7521D" w:rsidRPr="00995C3D" w:rsidRDefault="00A7521D" w:rsidP="00A7521D">
            <w:pPr>
              <w:spacing w:after="0" w:line="240" w:lineRule="auto"/>
              <w:jc w:val="center"/>
              <w:rPr>
                <w:rFonts w:cs="Calibri"/>
                <w:color w:val="000000"/>
              </w:rPr>
            </w:pPr>
            <w:proofErr w:type="spellStart"/>
            <w:r w:rsidRPr="00995C3D">
              <w:rPr>
                <w:rFonts w:cs="Calibri"/>
                <w:color w:val="000000"/>
              </w:rPr>
              <w:t>Barringtons</w:t>
            </w:r>
            <w:proofErr w:type="spellEnd"/>
          </w:p>
        </w:tc>
        <w:tc>
          <w:tcPr>
            <w:tcW w:w="1115" w:type="dxa"/>
          </w:tcPr>
          <w:p w14:paraId="5DE7E5E9" w14:textId="77777777" w:rsidR="00A7521D" w:rsidRPr="00995C3D" w:rsidRDefault="00A7521D" w:rsidP="00A7521D">
            <w:pPr>
              <w:spacing w:after="0" w:line="240" w:lineRule="auto"/>
              <w:jc w:val="center"/>
            </w:pPr>
            <w:r w:rsidRPr="00995C3D">
              <w:t>DE4 2EQ</w:t>
            </w:r>
          </w:p>
        </w:tc>
        <w:tc>
          <w:tcPr>
            <w:tcW w:w="1065" w:type="dxa"/>
          </w:tcPr>
          <w:p w14:paraId="246BF0FD" w14:textId="77777777" w:rsidR="00A7521D" w:rsidRPr="00995C3D" w:rsidRDefault="00A7521D" w:rsidP="00A7521D">
            <w:pPr>
              <w:spacing w:after="0" w:line="240" w:lineRule="auto"/>
              <w:jc w:val="center"/>
              <w:rPr>
                <w:rFonts w:cs="Calibri"/>
                <w:color w:val="000000"/>
              </w:rPr>
            </w:pPr>
            <w:r w:rsidRPr="00995C3D">
              <w:rPr>
                <w:rFonts w:cs="Calibri"/>
                <w:color w:val="000000"/>
              </w:rPr>
              <w:t>8</w:t>
            </w:r>
          </w:p>
        </w:tc>
        <w:tc>
          <w:tcPr>
            <w:tcW w:w="1196" w:type="dxa"/>
          </w:tcPr>
          <w:p w14:paraId="5C08EF7A" w14:textId="77777777" w:rsidR="00A7521D" w:rsidRPr="00995C3D" w:rsidRDefault="00A7521D" w:rsidP="00A7521D">
            <w:pPr>
              <w:spacing w:after="0" w:line="240" w:lineRule="auto"/>
              <w:jc w:val="center"/>
              <w:rPr>
                <w:rFonts w:cs="Calibri"/>
                <w:color w:val="000000"/>
              </w:rPr>
            </w:pPr>
            <w:r w:rsidRPr="00995C3D">
              <w:rPr>
                <w:rFonts w:cs="Calibri"/>
                <w:color w:val="000000"/>
              </w:rPr>
              <w:t>520</w:t>
            </w:r>
          </w:p>
        </w:tc>
        <w:tc>
          <w:tcPr>
            <w:tcW w:w="1815" w:type="dxa"/>
          </w:tcPr>
          <w:p w14:paraId="5DD805CB" w14:textId="77777777" w:rsidR="00A7521D" w:rsidRPr="00995C3D" w:rsidRDefault="00A7521D" w:rsidP="00A7521D">
            <w:pPr>
              <w:spacing w:after="0" w:line="240" w:lineRule="auto"/>
              <w:jc w:val="center"/>
              <w:rPr>
                <w:rFonts w:cs="Calibri"/>
                <w:color w:val="000000"/>
              </w:rPr>
            </w:pPr>
            <w:r w:rsidRPr="00995C3D">
              <w:rPr>
                <w:rFonts w:cs="Calibri"/>
                <w:color w:val="000000"/>
              </w:rPr>
              <w:t>62</w:t>
            </w:r>
          </w:p>
        </w:tc>
        <w:tc>
          <w:tcPr>
            <w:tcW w:w="1014" w:type="dxa"/>
          </w:tcPr>
          <w:p w14:paraId="43631ADB" w14:textId="77777777" w:rsidR="00A7521D" w:rsidRPr="00995C3D" w:rsidRDefault="00A7521D" w:rsidP="00A7521D">
            <w:pPr>
              <w:spacing w:after="0" w:line="240" w:lineRule="auto"/>
              <w:jc w:val="center"/>
              <w:rPr>
                <w:rFonts w:cs="Calibri"/>
                <w:color w:val="000000"/>
              </w:rPr>
            </w:pPr>
            <w:r w:rsidRPr="00995C3D">
              <w:rPr>
                <w:rFonts w:cs="Calibri"/>
                <w:color w:val="000000"/>
              </w:rPr>
              <w:t>25</w:t>
            </w:r>
          </w:p>
        </w:tc>
        <w:tc>
          <w:tcPr>
            <w:tcW w:w="844" w:type="dxa"/>
          </w:tcPr>
          <w:p w14:paraId="4C0A22CB" w14:textId="77777777" w:rsidR="00A7521D" w:rsidRPr="00995C3D" w:rsidRDefault="00A7521D" w:rsidP="00A7521D">
            <w:pPr>
              <w:spacing w:after="0" w:line="240" w:lineRule="auto"/>
              <w:jc w:val="center"/>
              <w:rPr>
                <w:rFonts w:cs="Calibri"/>
                <w:color w:val="000000"/>
              </w:rPr>
            </w:pPr>
            <w:r w:rsidRPr="00995C3D">
              <w:rPr>
                <w:rFonts w:cs="Calibri"/>
                <w:color w:val="000000"/>
              </w:rPr>
              <w:t>35</w:t>
            </w:r>
          </w:p>
        </w:tc>
      </w:tr>
      <w:tr w:rsidR="00A7521D" w:rsidRPr="00995C3D" w14:paraId="5A800B78" w14:textId="77777777" w:rsidTr="00A7521D">
        <w:trPr>
          <w:jc w:val="center"/>
        </w:trPr>
        <w:tc>
          <w:tcPr>
            <w:tcW w:w="2552" w:type="dxa"/>
          </w:tcPr>
          <w:p w14:paraId="7261B816" w14:textId="77777777" w:rsidR="00A7521D" w:rsidRPr="00995C3D" w:rsidRDefault="00A7521D" w:rsidP="00A7521D">
            <w:pPr>
              <w:spacing w:after="0" w:line="240" w:lineRule="auto"/>
              <w:jc w:val="center"/>
              <w:rPr>
                <w:rFonts w:cs="Calibri"/>
                <w:color w:val="000000"/>
              </w:rPr>
            </w:pPr>
            <w:r w:rsidRPr="00995C3D">
              <w:rPr>
                <w:rFonts w:cs="Calibri"/>
                <w:color w:val="000000"/>
              </w:rPr>
              <w:t>The Whitworth</w:t>
            </w:r>
          </w:p>
        </w:tc>
        <w:tc>
          <w:tcPr>
            <w:tcW w:w="1115" w:type="dxa"/>
          </w:tcPr>
          <w:p w14:paraId="29E00D31" w14:textId="77777777" w:rsidR="00A7521D" w:rsidRPr="00995C3D" w:rsidRDefault="00A7521D" w:rsidP="00A7521D">
            <w:pPr>
              <w:spacing w:after="0" w:line="240" w:lineRule="auto"/>
              <w:jc w:val="center"/>
            </w:pPr>
            <w:r w:rsidRPr="00995C3D">
              <w:t>DE4 2EQ</w:t>
            </w:r>
          </w:p>
        </w:tc>
        <w:tc>
          <w:tcPr>
            <w:tcW w:w="1065" w:type="dxa"/>
          </w:tcPr>
          <w:p w14:paraId="1366EB8B" w14:textId="77777777" w:rsidR="00A7521D" w:rsidRPr="00995C3D" w:rsidRDefault="00A7521D" w:rsidP="00A7521D">
            <w:pPr>
              <w:spacing w:after="0" w:line="240" w:lineRule="auto"/>
              <w:jc w:val="center"/>
              <w:rPr>
                <w:rFonts w:cs="Calibri"/>
                <w:color w:val="000000"/>
              </w:rPr>
            </w:pPr>
            <w:r w:rsidRPr="00995C3D">
              <w:rPr>
                <w:rFonts w:cs="Calibri"/>
                <w:color w:val="000000"/>
              </w:rPr>
              <w:t>7</w:t>
            </w:r>
          </w:p>
        </w:tc>
        <w:tc>
          <w:tcPr>
            <w:tcW w:w="1196" w:type="dxa"/>
          </w:tcPr>
          <w:p w14:paraId="6E66E5B2" w14:textId="77777777" w:rsidR="00A7521D" w:rsidRPr="00995C3D" w:rsidRDefault="00A7521D" w:rsidP="00A7521D">
            <w:pPr>
              <w:spacing w:after="0" w:line="240" w:lineRule="auto"/>
              <w:jc w:val="center"/>
              <w:rPr>
                <w:rFonts w:cs="Calibri"/>
                <w:color w:val="000000"/>
              </w:rPr>
            </w:pPr>
            <w:r w:rsidRPr="00995C3D">
              <w:rPr>
                <w:rFonts w:cs="Calibri"/>
                <w:color w:val="000000"/>
              </w:rPr>
              <w:t>1</w:t>
            </w:r>
            <w:r>
              <w:rPr>
                <w:rFonts w:cs="Calibri"/>
                <w:color w:val="000000"/>
              </w:rPr>
              <w:t>,</w:t>
            </w:r>
            <w:r w:rsidRPr="00995C3D">
              <w:rPr>
                <w:rFonts w:cs="Calibri"/>
                <w:color w:val="000000"/>
              </w:rPr>
              <w:t>114</w:t>
            </w:r>
          </w:p>
        </w:tc>
        <w:tc>
          <w:tcPr>
            <w:tcW w:w="1815" w:type="dxa"/>
          </w:tcPr>
          <w:p w14:paraId="7C86D253" w14:textId="77777777" w:rsidR="00A7521D" w:rsidRPr="00995C3D" w:rsidRDefault="00A7521D" w:rsidP="00A7521D">
            <w:pPr>
              <w:spacing w:after="0" w:line="240" w:lineRule="auto"/>
              <w:jc w:val="center"/>
              <w:rPr>
                <w:rFonts w:cs="Calibri"/>
                <w:color w:val="000000"/>
              </w:rPr>
            </w:pPr>
            <w:r w:rsidRPr="00995C3D">
              <w:rPr>
                <w:rFonts w:cs="Calibri"/>
                <w:color w:val="000000"/>
              </w:rPr>
              <w:t>139</w:t>
            </w:r>
          </w:p>
        </w:tc>
        <w:tc>
          <w:tcPr>
            <w:tcW w:w="1014" w:type="dxa"/>
          </w:tcPr>
          <w:p w14:paraId="5B3FB34F" w14:textId="77777777" w:rsidR="00A7521D" w:rsidRPr="00995C3D" w:rsidRDefault="00A7521D" w:rsidP="00A7521D">
            <w:pPr>
              <w:spacing w:after="0" w:line="240" w:lineRule="auto"/>
              <w:jc w:val="center"/>
              <w:rPr>
                <w:rFonts w:cs="Calibri"/>
                <w:color w:val="000000"/>
              </w:rPr>
            </w:pPr>
            <w:r w:rsidRPr="00995C3D">
              <w:rPr>
                <w:rFonts w:cs="Calibri"/>
                <w:color w:val="000000"/>
              </w:rPr>
              <w:t>65</w:t>
            </w:r>
          </w:p>
        </w:tc>
        <w:tc>
          <w:tcPr>
            <w:tcW w:w="844" w:type="dxa"/>
          </w:tcPr>
          <w:p w14:paraId="35CED2F7" w14:textId="77777777" w:rsidR="00A7521D" w:rsidRPr="00995C3D" w:rsidRDefault="00A7521D" w:rsidP="00A7521D">
            <w:pPr>
              <w:spacing w:after="0" w:line="240" w:lineRule="auto"/>
              <w:jc w:val="center"/>
              <w:rPr>
                <w:rFonts w:cs="Calibri"/>
                <w:color w:val="000000"/>
              </w:rPr>
            </w:pPr>
            <w:r w:rsidRPr="00995C3D">
              <w:rPr>
                <w:rFonts w:cs="Calibri"/>
                <w:color w:val="000000"/>
              </w:rPr>
              <w:t>165</w:t>
            </w:r>
          </w:p>
        </w:tc>
      </w:tr>
      <w:tr w:rsidR="00A7521D" w:rsidRPr="00995C3D" w14:paraId="4A80BEDF" w14:textId="77777777" w:rsidTr="00A7521D">
        <w:trPr>
          <w:jc w:val="center"/>
        </w:trPr>
        <w:tc>
          <w:tcPr>
            <w:tcW w:w="2552" w:type="dxa"/>
          </w:tcPr>
          <w:p w14:paraId="7D44EE34" w14:textId="77777777" w:rsidR="00A7521D" w:rsidRPr="00995C3D" w:rsidRDefault="00A7521D" w:rsidP="00A7521D">
            <w:pPr>
              <w:spacing w:after="0" w:line="240" w:lineRule="auto"/>
              <w:jc w:val="center"/>
              <w:rPr>
                <w:rFonts w:cs="Calibri"/>
                <w:color w:val="000000"/>
              </w:rPr>
            </w:pPr>
            <w:r w:rsidRPr="00995C3D">
              <w:rPr>
                <w:rFonts w:cs="Calibri"/>
                <w:color w:val="000000"/>
              </w:rPr>
              <w:t>Grouse Inn</w:t>
            </w:r>
          </w:p>
        </w:tc>
        <w:tc>
          <w:tcPr>
            <w:tcW w:w="1115" w:type="dxa"/>
          </w:tcPr>
          <w:p w14:paraId="58734B82" w14:textId="77777777" w:rsidR="00A7521D" w:rsidRPr="00995C3D" w:rsidRDefault="00A7521D" w:rsidP="00A7521D">
            <w:pPr>
              <w:spacing w:after="0" w:line="240" w:lineRule="auto"/>
              <w:jc w:val="center"/>
            </w:pPr>
            <w:r w:rsidRPr="00995C3D">
              <w:t>DE4 2FT</w:t>
            </w:r>
          </w:p>
        </w:tc>
        <w:tc>
          <w:tcPr>
            <w:tcW w:w="1065" w:type="dxa"/>
          </w:tcPr>
          <w:p w14:paraId="5A249590" w14:textId="77777777" w:rsidR="00A7521D" w:rsidRPr="00995C3D" w:rsidRDefault="00A7521D" w:rsidP="00A7521D">
            <w:pPr>
              <w:spacing w:after="0" w:line="240" w:lineRule="auto"/>
              <w:jc w:val="center"/>
              <w:rPr>
                <w:rFonts w:cs="Calibri"/>
                <w:color w:val="000000"/>
              </w:rPr>
            </w:pPr>
            <w:r w:rsidRPr="00995C3D">
              <w:rPr>
                <w:rFonts w:cs="Calibri"/>
                <w:color w:val="000000"/>
              </w:rPr>
              <w:t>8</w:t>
            </w:r>
          </w:p>
        </w:tc>
        <w:tc>
          <w:tcPr>
            <w:tcW w:w="1196" w:type="dxa"/>
          </w:tcPr>
          <w:p w14:paraId="488A9F43" w14:textId="77777777" w:rsidR="00A7521D" w:rsidRPr="00995C3D" w:rsidRDefault="00A7521D" w:rsidP="00A7521D">
            <w:pPr>
              <w:spacing w:after="0" w:line="240" w:lineRule="auto"/>
              <w:jc w:val="center"/>
              <w:rPr>
                <w:rFonts w:cs="Calibri"/>
                <w:color w:val="000000"/>
              </w:rPr>
            </w:pPr>
            <w:r w:rsidRPr="00995C3D">
              <w:rPr>
                <w:rFonts w:cs="Calibri"/>
                <w:color w:val="000000"/>
              </w:rPr>
              <w:t>222</w:t>
            </w:r>
          </w:p>
        </w:tc>
        <w:tc>
          <w:tcPr>
            <w:tcW w:w="1815" w:type="dxa"/>
          </w:tcPr>
          <w:p w14:paraId="090CA10A" w14:textId="77777777" w:rsidR="00A7521D" w:rsidRPr="00995C3D" w:rsidRDefault="00A7521D" w:rsidP="00A7521D">
            <w:pPr>
              <w:spacing w:after="0" w:line="240" w:lineRule="auto"/>
              <w:jc w:val="center"/>
              <w:rPr>
                <w:rFonts w:cs="Calibri"/>
                <w:color w:val="000000"/>
              </w:rPr>
            </w:pPr>
            <w:r w:rsidRPr="00995C3D">
              <w:rPr>
                <w:rFonts w:cs="Calibri"/>
                <w:color w:val="000000"/>
              </w:rPr>
              <w:t>26</w:t>
            </w:r>
          </w:p>
        </w:tc>
        <w:tc>
          <w:tcPr>
            <w:tcW w:w="1014" w:type="dxa"/>
          </w:tcPr>
          <w:p w14:paraId="448AABFD" w14:textId="77777777" w:rsidR="00A7521D" w:rsidRPr="00995C3D" w:rsidRDefault="00A7521D" w:rsidP="00A7521D">
            <w:pPr>
              <w:spacing w:after="0" w:line="240" w:lineRule="auto"/>
              <w:jc w:val="center"/>
              <w:rPr>
                <w:rFonts w:cs="Calibri"/>
                <w:color w:val="000000"/>
              </w:rPr>
            </w:pPr>
            <w:r w:rsidRPr="00995C3D">
              <w:rPr>
                <w:rFonts w:cs="Calibri"/>
                <w:color w:val="000000"/>
              </w:rPr>
              <w:t>11</w:t>
            </w:r>
          </w:p>
        </w:tc>
        <w:tc>
          <w:tcPr>
            <w:tcW w:w="844" w:type="dxa"/>
          </w:tcPr>
          <w:p w14:paraId="16F4DAF6" w14:textId="77777777" w:rsidR="00A7521D" w:rsidRPr="00995C3D" w:rsidRDefault="00A7521D" w:rsidP="00A7521D">
            <w:pPr>
              <w:spacing w:after="0" w:line="240" w:lineRule="auto"/>
              <w:jc w:val="center"/>
              <w:rPr>
                <w:rFonts w:cs="Calibri"/>
                <w:color w:val="000000"/>
              </w:rPr>
            </w:pPr>
            <w:r w:rsidRPr="00995C3D">
              <w:rPr>
                <w:rFonts w:cs="Calibri"/>
                <w:color w:val="000000"/>
              </w:rPr>
              <w:t>15</w:t>
            </w:r>
          </w:p>
        </w:tc>
      </w:tr>
      <w:tr w:rsidR="00A7521D" w:rsidRPr="00995C3D" w14:paraId="4DE09B77" w14:textId="77777777" w:rsidTr="00A7521D">
        <w:trPr>
          <w:jc w:val="center"/>
        </w:trPr>
        <w:tc>
          <w:tcPr>
            <w:tcW w:w="2552" w:type="dxa"/>
          </w:tcPr>
          <w:p w14:paraId="482750FF" w14:textId="77777777" w:rsidR="00A7521D" w:rsidRPr="00995C3D" w:rsidRDefault="00A7521D" w:rsidP="00A7521D">
            <w:pPr>
              <w:spacing w:after="0" w:line="240" w:lineRule="auto"/>
              <w:jc w:val="center"/>
              <w:rPr>
                <w:rFonts w:cs="Calibri"/>
                <w:color w:val="000000"/>
              </w:rPr>
            </w:pPr>
            <w:r w:rsidRPr="00995C3D">
              <w:rPr>
                <w:rFonts w:cs="Calibri"/>
                <w:color w:val="000000"/>
              </w:rPr>
              <w:t>Molyneux business park</w:t>
            </w:r>
          </w:p>
        </w:tc>
        <w:tc>
          <w:tcPr>
            <w:tcW w:w="1115" w:type="dxa"/>
          </w:tcPr>
          <w:p w14:paraId="275B1444" w14:textId="77777777" w:rsidR="00A7521D" w:rsidRPr="00995C3D" w:rsidRDefault="00A7521D" w:rsidP="00A7521D">
            <w:pPr>
              <w:spacing w:after="0" w:line="240" w:lineRule="auto"/>
              <w:jc w:val="center"/>
            </w:pPr>
            <w:r w:rsidRPr="00995C3D">
              <w:t>DE4 2HJ</w:t>
            </w:r>
          </w:p>
        </w:tc>
        <w:tc>
          <w:tcPr>
            <w:tcW w:w="1065" w:type="dxa"/>
          </w:tcPr>
          <w:p w14:paraId="6C252F12" w14:textId="77777777" w:rsidR="00A7521D" w:rsidRPr="00995C3D" w:rsidRDefault="00A7521D" w:rsidP="00A7521D">
            <w:pPr>
              <w:spacing w:after="0" w:line="240" w:lineRule="auto"/>
              <w:jc w:val="center"/>
              <w:rPr>
                <w:rFonts w:cs="Calibri"/>
                <w:color w:val="000000"/>
              </w:rPr>
            </w:pPr>
            <w:r w:rsidRPr="00995C3D">
              <w:rPr>
                <w:rFonts w:cs="Calibri"/>
                <w:color w:val="000000"/>
              </w:rPr>
              <w:t>27</w:t>
            </w:r>
          </w:p>
        </w:tc>
        <w:tc>
          <w:tcPr>
            <w:tcW w:w="1196" w:type="dxa"/>
          </w:tcPr>
          <w:p w14:paraId="698BB27C" w14:textId="77777777" w:rsidR="00A7521D" w:rsidRPr="00995C3D" w:rsidRDefault="00A7521D" w:rsidP="00A7521D">
            <w:pPr>
              <w:spacing w:after="0" w:line="240" w:lineRule="auto"/>
              <w:jc w:val="center"/>
              <w:rPr>
                <w:rFonts w:cs="Calibri"/>
                <w:color w:val="000000"/>
              </w:rPr>
            </w:pPr>
            <w:r w:rsidRPr="00995C3D">
              <w:rPr>
                <w:rFonts w:cs="Calibri"/>
                <w:color w:val="000000"/>
              </w:rPr>
              <w:t>2</w:t>
            </w:r>
            <w:r>
              <w:rPr>
                <w:rFonts w:cs="Calibri"/>
                <w:color w:val="000000"/>
              </w:rPr>
              <w:t>,</w:t>
            </w:r>
            <w:r w:rsidRPr="00995C3D">
              <w:rPr>
                <w:rFonts w:cs="Calibri"/>
                <w:color w:val="000000"/>
              </w:rPr>
              <w:t>730</w:t>
            </w:r>
          </w:p>
        </w:tc>
        <w:tc>
          <w:tcPr>
            <w:tcW w:w="1815" w:type="dxa"/>
          </w:tcPr>
          <w:p w14:paraId="2F4B1D15" w14:textId="77777777" w:rsidR="00A7521D" w:rsidRPr="00995C3D" w:rsidRDefault="00A7521D" w:rsidP="00A7521D">
            <w:pPr>
              <w:spacing w:after="0" w:line="240" w:lineRule="auto"/>
              <w:jc w:val="center"/>
              <w:rPr>
                <w:rFonts w:cs="Calibri"/>
                <w:color w:val="000000"/>
              </w:rPr>
            </w:pPr>
            <w:r w:rsidRPr="00995C3D">
              <w:rPr>
                <w:rFonts w:cs="Calibri"/>
                <w:color w:val="000000"/>
              </w:rPr>
              <w:t>422</w:t>
            </w:r>
          </w:p>
        </w:tc>
        <w:tc>
          <w:tcPr>
            <w:tcW w:w="1014" w:type="dxa"/>
          </w:tcPr>
          <w:p w14:paraId="6FA786E4" w14:textId="77777777" w:rsidR="00A7521D" w:rsidRPr="00995C3D" w:rsidRDefault="00A7521D" w:rsidP="00A7521D">
            <w:pPr>
              <w:spacing w:after="0" w:line="240" w:lineRule="auto"/>
              <w:jc w:val="center"/>
              <w:rPr>
                <w:rFonts w:cs="Calibri"/>
                <w:color w:val="000000"/>
              </w:rPr>
            </w:pPr>
            <w:r w:rsidRPr="00995C3D">
              <w:rPr>
                <w:rFonts w:cs="Calibri"/>
                <w:color w:val="000000"/>
              </w:rPr>
              <w:t>166</w:t>
            </w:r>
          </w:p>
        </w:tc>
        <w:tc>
          <w:tcPr>
            <w:tcW w:w="844" w:type="dxa"/>
          </w:tcPr>
          <w:p w14:paraId="08EED7FC" w14:textId="77777777" w:rsidR="00A7521D" w:rsidRPr="00995C3D" w:rsidRDefault="00A7521D" w:rsidP="00A7521D">
            <w:pPr>
              <w:spacing w:after="0" w:line="240" w:lineRule="auto"/>
              <w:jc w:val="center"/>
              <w:rPr>
                <w:rFonts w:cs="Calibri"/>
                <w:color w:val="000000"/>
              </w:rPr>
            </w:pPr>
            <w:r w:rsidRPr="00995C3D">
              <w:rPr>
                <w:rFonts w:cs="Calibri"/>
                <w:color w:val="000000"/>
              </w:rPr>
              <w:t>441</w:t>
            </w:r>
          </w:p>
        </w:tc>
      </w:tr>
      <w:tr w:rsidR="00A7521D" w:rsidRPr="00995C3D" w14:paraId="5F4AC4DF" w14:textId="77777777" w:rsidTr="00A7521D">
        <w:trPr>
          <w:jc w:val="center"/>
        </w:trPr>
        <w:tc>
          <w:tcPr>
            <w:tcW w:w="2552" w:type="dxa"/>
          </w:tcPr>
          <w:p w14:paraId="3CB8F18F" w14:textId="77777777" w:rsidR="00A7521D" w:rsidRPr="00995C3D" w:rsidRDefault="00A7521D" w:rsidP="00A7521D">
            <w:pPr>
              <w:spacing w:after="0" w:line="240" w:lineRule="auto"/>
              <w:jc w:val="center"/>
              <w:rPr>
                <w:rFonts w:cs="Calibri"/>
                <w:color w:val="000000"/>
              </w:rPr>
            </w:pPr>
            <w:proofErr w:type="spellStart"/>
            <w:r w:rsidRPr="00995C3D">
              <w:rPr>
                <w:rFonts w:cs="Calibri"/>
                <w:color w:val="000000"/>
              </w:rPr>
              <w:t>Stancliffe</w:t>
            </w:r>
            <w:proofErr w:type="spellEnd"/>
            <w:r w:rsidRPr="00995C3D">
              <w:rPr>
                <w:rFonts w:cs="Calibri"/>
                <w:color w:val="000000"/>
              </w:rPr>
              <w:t xml:space="preserve"> Hall</w:t>
            </w:r>
          </w:p>
        </w:tc>
        <w:tc>
          <w:tcPr>
            <w:tcW w:w="1115" w:type="dxa"/>
          </w:tcPr>
          <w:p w14:paraId="1E17BFD0" w14:textId="77777777" w:rsidR="00A7521D" w:rsidRPr="00995C3D" w:rsidRDefault="00A7521D" w:rsidP="00A7521D">
            <w:pPr>
              <w:spacing w:after="0" w:line="240" w:lineRule="auto"/>
              <w:jc w:val="center"/>
            </w:pPr>
            <w:r w:rsidRPr="00995C3D">
              <w:t>DE4 2HJ</w:t>
            </w:r>
          </w:p>
        </w:tc>
        <w:tc>
          <w:tcPr>
            <w:tcW w:w="1065" w:type="dxa"/>
          </w:tcPr>
          <w:p w14:paraId="10263F45" w14:textId="77777777" w:rsidR="00A7521D" w:rsidRPr="00995C3D" w:rsidRDefault="00A7521D" w:rsidP="00A7521D">
            <w:pPr>
              <w:spacing w:after="0" w:line="240" w:lineRule="auto"/>
              <w:jc w:val="center"/>
              <w:rPr>
                <w:rFonts w:cs="Calibri"/>
                <w:color w:val="000000"/>
              </w:rPr>
            </w:pPr>
            <w:r w:rsidRPr="00995C3D">
              <w:rPr>
                <w:rFonts w:cs="Calibri"/>
                <w:color w:val="000000"/>
              </w:rPr>
              <w:t>10</w:t>
            </w:r>
          </w:p>
        </w:tc>
        <w:tc>
          <w:tcPr>
            <w:tcW w:w="1196" w:type="dxa"/>
          </w:tcPr>
          <w:p w14:paraId="2655F017" w14:textId="77777777" w:rsidR="00A7521D" w:rsidRPr="00995C3D" w:rsidRDefault="00A7521D" w:rsidP="00A7521D">
            <w:pPr>
              <w:spacing w:after="0" w:line="240" w:lineRule="auto"/>
              <w:jc w:val="center"/>
              <w:rPr>
                <w:rFonts w:cs="Calibri"/>
                <w:color w:val="000000"/>
              </w:rPr>
            </w:pPr>
            <w:r w:rsidRPr="00995C3D">
              <w:rPr>
                <w:rFonts w:cs="Calibri"/>
                <w:color w:val="000000"/>
              </w:rPr>
              <w:t>5</w:t>
            </w:r>
            <w:r>
              <w:rPr>
                <w:rFonts w:cs="Calibri"/>
                <w:color w:val="000000"/>
              </w:rPr>
              <w:t>,</w:t>
            </w:r>
            <w:r w:rsidRPr="00995C3D">
              <w:rPr>
                <w:rFonts w:cs="Calibri"/>
                <w:color w:val="000000"/>
              </w:rPr>
              <w:t>817</w:t>
            </w:r>
          </w:p>
        </w:tc>
        <w:tc>
          <w:tcPr>
            <w:tcW w:w="1815" w:type="dxa"/>
          </w:tcPr>
          <w:p w14:paraId="49E87AC5" w14:textId="77777777" w:rsidR="00A7521D" w:rsidRPr="00995C3D" w:rsidRDefault="00A7521D" w:rsidP="00A7521D">
            <w:pPr>
              <w:spacing w:after="0" w:line="240" w:lineRule="auto"/>
              <w:jc w:val="center"/>
              <w:rPr>
                <w:rFonts w:cs="Calibri"/>
                <w:color w:val="000000"/>
              </w:rPr>
            </w:pPr>
            <w:r w:rsidRPr="00995C3D">
              <w:rPr>
                <w:rFonts w:cs="Calibri"/>
                <w:color w:val="000000"/>
              </w:rPr>
              <w:t>1082</w:t>
            </w:r>
          </w:p>
        </w:tc>
        <w:tc>
          <w:tcPr>
            <w:tcW w:w="1014" w:type="dxa"/>
          </w:tcPr>
          <w:p w14:paraId="76BABE4A" w14:textId="77777777" w:rsidR="00A7521D" w:rsidRPr="00995C3D" w:rsidRDefault="00A7521D" w:rsidP="00A7521D">
            <w:pPr>
              <w:spacing w:after="0" w:line="240" w:lineRule="auto"/>
              <w:jc w:val="center"/>
              <w:rPr>
                <w:rFonts w:cs="Calibri"/>
                <w:color w:val="000000"/>
              </w:rPr>
            </w:pPr>
            <w:r w:rsidRPr="00995C3D">
              <w:rPr>
                <w:rFonts w:cs="Calibri"/>
                <w:color w:val="000000"/>
              </w:rPr>
              <w:t>424</w:t>
            </w:r>
          </w:p>
        </w:tc>
        <w:tc>
          <w:tcPr>
            <w:tcW w:w="844" w:type="dxa"/>
          </w:tcPr>
          <w:p w14:paraId="75231E35" w14:textId="77777777" w:rsidR="00A7521D" w:rsidRPr="00995C3D" w:rsidRDefault="00A7521D" w:rsidP="00A7521D">
            <w:pPr>
              <w:spacing w:after="0" w:line="240" w:lineRule="auto"/>
              <w:jc w:val="center"/>
              <w:rPr>
                <w:rFonts w:cs="Calibri"/>
                <w:color w:val="000000"/>
              </w:rPr>
            </w:pPr>
            <w:r w:rsidRPr="00995C3D">
              <w:rPr>
                <w:rFonts w:cs="Calibri"/>
                <w:color w:val="000000"/>
              </w:rPr>
              <w:t>1128</w:t>
            </w:r>
          </w:p>
        </w:tc>
      </w:tr>
      <w:tr w:rsidR="00A7521D" w:rsidRPr="00995C3D" w14:paraId="45A50C12" w14:textId="77777777" w:rsidTr="00A7521D">
        <w:trPr>
          <w:jc w:val="center"/>
        </w:trPr>
        <w:tc>
          <w:tcPr>
            <w:tcW w:w="2552" w:type="dxa"/>
          </w:tcPr>
          <w:p w14:paraId="526F9553" w14:textId="77777777" w:rsidR="00A7521D" w:rsidRPr="00995C3D" w:rsidRDefault="00A7521D" w:rsidP="00A7521D">
            <w:pPr>
              <w:spacing w:after="0" w:line="240" w:lineRule="auto"/>
              <w:jc w:val="center"/>
              <w:rPr>
                <w:rFonts w:cs="Calibri"/>
                <w:color w:val="000000"/>
              </w:rPr>
            </w:pPr>
            <w:r w:rsidRPr="00995C3D">
              <w:rPr>
                <w:rFonts w:cs="Calibri"/>
                <w:color w:val="000000"/>
              </w:rPr>
              <w:t>Red house museum</w:t>
            </w:r>
          </w:p>
        </w:tc>
        <w:tc>
          <w:tcPr>
            <w:tcW w:w="1115" w:type="dxa"/>
          </w:tcPr>
          <w:p w14:paraId="1DC063BA" w14:textId="77777777" w:rsidR="00A7521D" w:rsidRPr="00995C3D" w:rsidRDefault="00A7521D" w:rsidP="00A7521D">
            <w:pPr>
              <w:spacing w:after="0" w:line="240" w:lineRule="auto"/>
              <w:jc w:val="center"/>
            </w:pPr>
            <w:r w:rsidRPr="00995C3D">
              <w:t>DE4 2ER</w:t>
            </w:r>
          </w:p>
        </w:tc>
        <w:tc>
          <w:tcPr>
            <w:tcW w:w="1065" w:type="dxa"/>
          </w:tcPr>
          <w:p w14:paraId="78BE907D" w14:textId="77777777" w:rsidR="00A7521D" w:rsidRPr="00995C3D" w:rsidRDefault="00A7521D" w:rsidP="00A7521D">
            <w:pPr>
              <w:spacing w:after="0" w:line="240" w:lineRule="auto"/>
              <w:jc w:val="center"/>
              <w:rPr>
                <w:rFonts w:cs="Calibri"/>
                <w:color w:val="000000"/>
              </w:rPr>
            </w:pPr>
            <w:r w:rsidRPr="00995C3D">
              <w:rPr>
                <w:rFonts w:cs="Calibri"/>
                <w:color w:val="000000"/>
              </w:rPr>
              <w:t>10</w:t>
            </w:r>
          </w:p>
        </w:tc>
        <w:tc>
          <w:tcPr>
            <w:tcW w:w="1196" w:type="dxa"/>
          </w:tcPr>
          <w:p w14:paraId="41B9F4E9" w14:textId="77777777" w:rsidR="00A7521D" w:rsidRPr="00995C3D" w:rsidRDefault="00A7521D" w:rsidP="00A7521D">
            <w:pPr>
              <w:spacing w:after="0" w:line="240" w:lineRule="auto"/>
              <w:jc w:val="center"/>
              <w:rPr>
                <w:rFonts w:cs="Calibri"/>
                <w:color w:val="000000"/>
              </w:rPr>
            </w:pPr>
            <w:r w:rsidRPr="00995C3D">
              <w:rPr>
                <w:rFonts w:cs="Calibri"/>
                <w:color w:val="000000"/>
              </w:rPr>
              <w:t>66</w:t>
            </w:r>
          </w:p>
        </w:tc>
        <w:tc>
          <w:tcPr>
            <w:tcW w:w="1815" w:type="dxa"/>
          </w:tcPr>
          <w:p w14:paraId="15F55EE5" w14:textId="77777777" w:rsidR="00A7521D" w:rsidRPr="00995C3D" w:rsidRDefault="00A7521D" w:rsidP="00A7521D">
            <w:pPr>
              <w:spacing w:after="0" w:line="240" w:lineRule="auto"/>
              <w:jc w:val="center"/>
              <w:rPr>
                <w:rFonts w:cs="Calibri"/>
                <w:color w:val="000000"/>
              </w:rPr>
            </w:pPr>
            <w:r w:rsidRPr="00995C3D">
              <w:rPr>
                <w:rFonts w:cs="Calibri"/>
                <w:color w:val="000000"/>
              </w:rPr>
              <w:t>12</w:t>
            </w:r>
          </w:p>
        </w:tc>
        <w:tc>
          <w:tcPr>
            <w:tcW w:w="1014" w:type="dxa"/>
          </w:tcPr>
          <w:p w14:paraId="01463F47" w14:textId="77777777" w:rsidR="00A7521D" w:rsidRPr="00995C3D" w:rsidRDefault="00A7521D" w:rsidP="00A7521D">
            <w:pPr>
              <w:spacing w:after="0" w:line="240" w:lineRule="auto"/>
              <w:jc w:val="center"/>
              <w:rPr>
                <w:rFonts w:cs="Calibri"/>
                <w:color w:val="000000"/>
              </w:rPr>
            </w:pPr>
            <w:r w:rsidRPr="00995C3D">
              <w:rPr>
                <w:rFonts w:cs="Calibri"/>
                <w:color w:val="000000"/>
              </w:rPr>
              <w:t>5</w:t>
            </w:r>
          </w:p>
        </w:tc>
        <w:tc>
          <w:tcPr>
            <w:tcW w:w="844" w:type="dxa"/>
          </w:tcPr>
          <w:p w14:paraId="7EF6303A" w14:textId="77777777" w:rsidR="00A7521D" w:rsidRPr="00995C3D" w:rsidRDefault="00A7521D" w:rsidP="00A7521D">
            <w:pPr>
              <w:spacing w:after="0" w:line="240" w:lineRule="auto"/>
              <w:jc w:val="center"/>
              <w:rPr>
                <w:rFonts w:cs="Calibri"/>
                <w:color w:val="000000"/>
              </w:rPr>
            </w:pPr>
            <w:r w:rsidRPr="00995C3D">
              <w:rPr>
                <w:rFonts w:cs="Calibri"/>
                <w:color w:val="000000"/>
              </w:rPr>
              <w:t>13</w:t>
            </w:r>
          </w:p>
        </w:tc>
      </w:tr>
      <w:tr w:rsidR="00A7521D" w:rsidRPr="00995C3D" w14:paraId="41530895" w14:textId="77777777" w:rsidTr="00A7521D">
        <w:trPr>
          <w:jc w:val="center"/>
        </w:trPr>
        <w:tc>
          <w:tcPr>
            <w:tcW w:w="2552" w:type="dxa"/>
            <w:tcBorders>
              <w:bottom w:val="single" w:sz="4" w:space="0" w:color="auto"/>
            </w:tcBorders>
          </w:tcPr>
          <w:p w14:paraId="67CCDC3D" w14:textId="77777777" w:rsidR="00A7521D" w:rsidRPr="00995C3D" w:rsidRDefault="00A7521D" w:rsidP="00A7521D">
            <w:pPr>
              <w:spacing w:after="0" w:line="240" w:lineRule="auto"/>
              <w:jc w:val="center"/>
              <w:rPr>
                <w:rFonts w:cs="Calibri"/>
                <w:color w:val="000000"/>
              </w:rPr>
            </w:pPr>
            <w:r w:rsidRPr="00995C3D">
              <w:rPr>
                <w:rFonts w:cs="Calibri"/>
                <w:color w:val="000000"/>
              </w:rPr>
              <w:t>Carriage museum</w:t>
            </w:r>
          </w:p>
        </w:tc>
        <w:tc>
          <w:tcPr>
            <w:tcW w:w="1115" w:type="dxa"/>
            <w:tcBorders>
              <w:bottom w:val="single" w:sz="4" w:space="0" w:color="auto"/>
            </w:tcBorders>
          </w:tcPr>
          <w:p w14:paraId="3929F7DD" w14:textId="77777777" w:rsidR="00A7521D" w:rsidRPr="00995C3D" w:rsidRDefault="00A7521D" w:rsidP="00A7521D">
            <w:pPr>
              <w:spacing w:after="0" w:line="240" w:lineRule="auto"/>
              <w:jc w:val="center"/>
            </w:pPr>
            <w:r w:rsidRPr="00995C3D">
              <w:t>DE4 2ER</w:t>
            </w:r>
          </w:p>
        </w:tc>
        <w:tc>
          <w:tcPr>
            <w:tcW w:w="1065" w:type="dxa"/>
            <w:tcBorders>
              <w:bottom w:val="single" w:sz="4" w:space="0" w:color="auto"/>
            </w:tcBorders>
          </w:tcPr>
          <w:p w14:paraId="1A169BC0" w14:textId="77777777" w:rsidR="00A7521D" w:rsidRPr="00995C3D" w:rsidRDefault="00A7521D" w:rsidP="00A7521D">
            <w:pPr>
              <w:spacing w:after="0" w:line="240" w:lineRule="auto"/>
              <w:jc w:val="center"/>
              <w:rPr>
                <w:rFonts w:cs="Calibri"/>
                <w:color w:val="000000"/>
              </w:rPr>
            </w:pPr>
            <w:r w:rsidRPr="00995C3D">
              <w:rPr>
                <w:rFonts w:cs="Calibri"/>
                <w:color w:val="000000"/>
              </w:rPr>
              <w:t>10</w:t>
            </w:r>
          </w:p>
        </w:tc>
        <w:tc>
          <w:tcPr>
            <w:tcW w:w="1196" w:type="dxa"/>
            <w:tcBorders>
              <w:bottom w:val="single" w:sz="4" w:space="0" w:color="auto"/>
            </w:tcBorders>
          </w:tcPr>
          <w:p w14:paraId="7061CCA5" w14:textId="77777777" w:rsidR="00A7521D" w:rsidRPr="00995C3D" w:rsidRDefault="00A7521D" w:rsidP="00A7521D">
            <w:pPr>
              <w:spacing w:after="0" w:line="240" w:lineRule="auto"/>
              <w:jc w:val="center"/>
              <w:rPr>
                <w:rFonts w:cs="Calibri"/>
                <w:color w:val="000000"/>
              </w:rPr>
            </w:pPr>
            <w:r w:rsidRPr="00995C3D">
              <w:rPr>
                <w:rFonts w:cs="Calibri"/>
                <w:color w:val="000000"/>
              </w:rPr>
              <w:t>133</w:t>
            </w:r>
          </w:p>
        </w:tc>
        <w:tc>
          <w:tcPr>
            <w:tcW w:w="1815" w:type="dxa"/>
            <w:tcBorders>
              <w:bottom w:val="single" w:sz="4" w:space="0" w:color="auto"/>
            </w:tcBorders>
          </w:tcPr>
          <w:p w14:paraId="72F4C31C" w14:textId="77777777" w:rsidR="00A7521D" w:rsidRPr="00995C3D" w:rsidRDefault="00A7521D" w:rsidP="00A7521D">
            <w:pPr>
              <w:spacing w:after="0" w:line="240" w:lineRule="auto"/>
              <w:jc w:val="center"/>
              <w:rPr>
                <w:rFonts w:cs="Calibri"/>
                <w:color w:val="000000"/>
              </w:rPr>
            </w:pPr>
            <w:r w:rsidRPr="00995C3D">
              <w:rPr>
                <w:rFonts w:cs="Calibri"/>
                <w:color w:val="000000"/>
              </w:rPr>
              <w:t>25</w:t>
            </w:r>
          </w:p>
        </w:tc>
        <w:tc>
          <w:tcPr>
            <w:tcW w:w="1014" w:type="dxa"/>
            <w:tcBorders>
              <w:bottom w:val="single" w:sz="4" w:space="0" w:color="auto"/>
            </w:tcBorders>
          </w:tcPr>
          <w:p w14:paraId="32EDFC0A" w14:textId="77777777" w:rsidR="00A7521D" w:rsidRPr="00995C3D" w:rsidRDefault="00A7521D" w:rsidP="00A7521D">
            <w:pPr>
              <w:spacing w:after="0" w:line="240" w:lineRule="auto"/>
              <w:jc w:val="center"/>
              <w:rPr>
                <w:rFonts w:cs="Calibri"/>
                <w:color w:val="000000"/>
              </w:rPr>
            </w:pPr>
            <w:r w:rsidRPr="00995C3D">
              <w:rPr>
                <w:rFonts w:cs="Calibri"/>
                <w:color w:val="000000"/>
              </w:rPr>
              <w:t>10</w:t>
            </w:r>
          </w:p>
        </w:tc>
        <w:tc>
          <w:tcPr>
            <w:tcW w:w="844" w:type="dxa"/>
            <w:tcBorders>
              <w:bottom w:val="single" w:sz="4" w:space="0" w:color="auto"/>
            </w:tcBorders>
          </w:tcPr>
          <w:p w14:paraId="6EEAD0A4" w14:textId="77777777" w:rsidR="00A7521D" w:rsidRPr="00995C3D" w:rsidRDefault="00A7521D" w:rsidP="00A7521D">
            <w:pPr>
              <w:spacing w:after="0" w:line="240" w:lineRule="auto"/>
              <w:jc w:val="center"/>
              <w:rPr>
                <w:rFonts w:cs="Calibri"/>
                <w:color w:val="000000"/>
              </w:rPr>
            </w:pPr>
            <w:r w:rsidRPr="00995C3D">
              <w:rPr>
                <w:rFonts w:cs="Calibri"/>
                <w:color w:val="000000"/>
              </w:rPr>
              <w:t>26</w:t>
            </w:r>
          </w:p>
        </w:tc>
      </w:tr>
    </w:tbl>
    <w:p w14:paraId="297D1046" w14:textId="77777777" w:rsidR="00A7521D" w:rsidRDefault="00A7521D" w:rsidP="00A7521D"/>
    <w:p w14:paraId="3DE62698" w14:textId="77777777" w:rsidR="00A7521D" w:rsidRDefault="00A7521D" w:rsidP="00A7521D">
      <w:pPr>
        <w:jc w:val="left"/>
        <w:rPr>
          <w:b/>
          <w:bCs/>
          <w:sz w:val="18"/>
          <w:szCs w:val="18"/>
        </w:rPr>
      </w:pPr>
      <w:bookmarkStart w:id="984" w:name="_Toc468265831"/>
      <w:bookmarkStart w:id="985" w:name="_Toc525230155"/>
      <w:r>
        <w:br w:type="page"/>
      </w:r>
    </w:p>
    <w:p w14:paraId="416374E7" w14:textId="70D2B031" w:rsidR="00A7521D" w:rsidRDefault="00A7521D" w:rsidP="00A7521D">
      <w:pPr>
        <w:pStyle w:val="Caption"/>
        <w:keepNext/>
      </w:pPr>
      <w:bookmarkStart w:id="986" w:name="_Toc7187721"/>
      <w:r>
        <w:lastRenderedPageBreak/>
        <w:t xml:space="preserve">Table </w:t>
      </w:r>
      <w:fldSimple w:instr=" STYLEREF 1 \s ">
        <w:r w:rsidR="00CB7456">
          <w:rPr>
            <w:noProof/>
          </w:rPr>
          <w:t>13</w:t>
        </w:r>
      </w:fldSimple>
      <w:r w:rsidR="009E1A67">
        <w:t>.</w:t>
      </w:r>
      <w:fldSimple w:instr=" SEQ Table \* ARABIC \s 1 ">
        <w:r w:rsidR="00CB7456">
          <w:rPr>
            <w:noProof/>
          </w:rPr>
          <w:t>4</w:t>
        </w:r>
      </w:fldSimple>
      <w:r>
        <w:rPr>
          <w:noProof/>
        </w:rPr>
        <w:t>:</w:t>
      </w:r>
      <w:r>
        <w:t xml:space="preserve"> Large heat users in Bakewell</w:t>
      </w:r>
      <w:bookmarkEnd w:id="984"/>
      <w:bookmarkEnd w:id="985"/>
      <w:r>
        <w:t>.</w:t>
      </w:r>
      <w:bookmarkEnd w:id="986"/>
    </w:p>
    <w:tbl>
      <w:tblPr>
        <w:tblW w:w="9793" w:type="dxa"/>
        <w:jc w:val="center"/>
        <w:tblBorders>
          <w:top w:val="single" w:sz="4" w:space="0" w:color="auto"/>
          <w:bottom w:val="single" w:sz="4" w:space="0" w:color="auto"/>
        </w:tblBorders>
        <w:tblLook w:val="00A0" w:firstRow="1" w:lastRow="0" w:firstColumn="1" w:lastColumn="0" w:noHBand="0" w:noVBand="0"/>
      </w:tblPr>
      <w:tblGrid>
        <w:gridCol w:w="2511"/>
        <w:gridCol w:w="1322"/>
        <w:gridCol w:w="1065"/>
        <w:gridCol w:w="1196"/>
        <w:gridCol w:w="1841"/>
        <w:gridCol w:w="1014"/>
        <w:gridCol w:w="844"/>
      </w:tblGrid>
      <w:tr w:rsidR="00A7521D" w:rsidRPr="00995C3D" w14:paraId="4CCD493D" w14:textId="77777777" w:rsidTr="00A7521D">
        <w:trPr>
          <w:jc w:val="center"/>
        </w:trPr>
        <w:tc>
          <w:tcPr>
            <w:tcW w:w="2511" w:type="dxa"/>
            <w:tcBorders>
              <w:top w:val="single" w:sz="4" w:space="0" w:color="auto"/>
              <w:bottom w:val="single" w:sz="4" w:space="0" w:color="auto"/>
            </w:tcBorders>
          </w:tcPr>
          <w:p w14:paraId="1F889A09" w14:textId="77777777" w:rsidR="00A7521D" w:rsidRPr="00995C3D" w:rsidRDefault="00A7521D" w:rsidP="00A7521D">
            <w:pPr>
              <w:spacing w:after="0" w:line="240" w:lineRule="auto"/>
              <w:jc w:val="center"/>
            </w:pPr>
            <w:r w:rsidRPr="00995C3D">
              <w:t>Building name</w:t>
            </w:r>
          </w:p>
        </w:tc>
        <w:tc>
          <w:tcPr>
            <w:tcW w:w="1322" w:type="dxa"/>
            <w:tcBorders>
              <w:top w:val="single" w:sz="4" w:space="0" w:color="auto"/>
              <w:bottom w:val="single" w:sz="4" w:space="0" w:color="auto"/>
            </w:tcBorders>
          </w:tcPr>
          <w:p w14:paraId="568A161F" w14:textId="77777777" w:rsidR="00A7521D" w:rsidRPr="00995C3D" w:rsidRDefault="00A7521D" w:rsidP="00A7521D">
            <w:pPr>
              <w:spacing w:after="0" w:line="240" w:lineRule="auto"/>
              <w:jc w:val="center"/>
            </w:pPr>
            <w:r w:rsidRPr="00995C3D">
              <w:t>Postcode</w:t>
            </w:r>
          </w:p>
        </w:tc>
        <w:tc>
          <w:tcPr>
            <w:tcW w:w="1065" w:type="dxa"/>
            <w:tcBorders>
              <w:top w:val="single" w:sz="4" w:space="0" w:color="auto"/>
              <w:bottom w:val="single" w:sz="4" w:space="0" w:color="auto"/>
            </w:tcBorders>
          </w:tcPr>
          <w:p w14:paraId="0A7F8EB6" w14:textId="77777777" w:rsidR="00A7521D" w:rsidRPr="00995C3D" w:rsidRDefault="00A7521D" w:rsidP="00A7521D">
            <w:pPr>
              <w:spacing w:after="0" w:line="240" w:lineRule="auto"/>
              <w:jc w:val="center"/>
            </w:pPr>
            <w:r w:rsidRPr="00995C3D">
              <w:t>CIBSE category</w:t>
            </w:r>
          </w:p>
        </w:tc>
        <w:tc>
          <w:tcPr>
            <w:tcW w:w="1196" w:type="dxa"/>
            <w:tcBorders>
              <w:top w:val="single" w:sz="4" w:space="0" w:color="auto"/>
              <w:bottom w:val="single" w:sz="4" w:space="0" w:color="auto"/>
            </w:tcBorders>
          </w:tcPr>
          <w:p w14:paraId="5A92A1B9" w14:textId="77777777" w:rsidR="00A7521D" w:rsidRPr="00995C3D" w:rsidRDefault="00A7521D" w:rsidP="00A7521D">
            <w:pPr>
              <w:spacing w:after="0" w:line="240" w:lineRule="auto"/>
              <w:jc w:val="center"/>
            </w:pPr>
            <w:r w:rsidRPr="00995C3D">
              <w:t>Estimated floor area (m</w:t>
            </w:r>
            <w:r w:rsidRPr="00995C3D">
              <w:rPr>
                <w:vertAlign w:val="superscript"/>
              </w:rPr>
              <w:t>2</w:t>
            </w:r>
            <w:r w:rsidRPr="00995C3D">
              <w:t>)</w:t>
            </w:r>
          </w:p>
        </w:tc>
        <w:tc>
          <w:tcPr>
            <w:tcW w:w="1841" w:type="dxa"/>
            <w:tcBorders>
              <w:top w:val="single" w:sz="4" w:space="0" w:color="auto"/>
              <w:bottom w:val="single" w:sz="4" w:space="0" w:color="auto"/>
            </w:tcBorders>
          </w:tcPr>
          <w:p w14:paraId="46532C98" w14:textId="77777777" w:rsidR="00A7521D" w:rsidRPr="00995C3D" w:rsidRDefault="00A7521D" w:rsidP="00A7521D">
            <w:pPr>
              <w:spacing w:after="0" w:line="240" w:lineRule="auto"/>
              <w:jc w:val="center"/>
            </w:pPr>
            <w:r w:rsidRPr="00995C3D">
              <w:t>Yearly energy use for heating (MWh)</w:t>
            </w:r>
          </w:p>
        </w:tc>
        <w:tc>
          <w:tcPr>
            <w:tcW w:w="1014" w:type="dxa"/>
            <w:tcBorders>
              <w:top w:val="single" w:sz="4" w:space="0" w:color="auto"/>
              <w:bottom w:val="single" w:sz="4" w:space="0" w:color="auto"/>
            </w:tcBorders>
          </w:tcPr>
          <w:p w14:paraId="7FE29CC1" w14:textId="77777777" w:rsidR="00A7521D" w:rsidRPr="00995C3D" w:rsidRDefault="00A7521D" w:rsidP="00A7521D">
            <w:pPr>
              <w:spacing w:after="0" w:line="240" w:lineRule="auto"/>
              <w:jc w:val="center"/>
            </w:pPr>
            <w:r w:rsidRPr="00995C3D">
              <w:t>Average power (kW)</w:t>
            </w:r>
          </w:p>
        </w:tc>
        <w:tc>
          <w:tcPr>
            <w:tcW w:w="844" w:type="dxa"/>
            <w:tcBorders>
              <w:top w:val="single" w:sz="4" w:space="0" w:color="auto"/>
              <w:bottom w:val="single" w:sz="4" w:space="0" w:color="auto"/>
            </w:tcBorders>
          </w:tcPr>
          <w:p w14:paraId="33A49AA4" w14:textId="77777777" w:rsidR="00A7521D" w:rsidRPr="00995C3D" w:rsidRDefault="00A7521D" w:rsidP="00A7521D">
            <w:pPr>
              <w:spacing w:after="0" w:line="240" w:lineRule="auto"/>
              <w:jc w:val="center"/>
            </w:pPr>
            <w:r w:rsidRPr="00995C3D">
              <w:t>Peak power (kW)</w:t>
            </w:r>
          </w:p>
        </w:tc>
      </w:tr>
      <w:tr w:rsidR="00A7521D" w:rsidRPr="00995C3D" w14:paraId="302C075C" w14:textId="77777777" w:rsidTr="00A7521D">
        <w:trPr>
          <w:jc w:val="center"/>
        </w:trPr>
        <w:tc>
          <w:tcPr>
            <w:tcW w:w="2511" w:type="dxa"/>
            <w:tcBorders>
              <w:top w:val="single" w:sz="4" w:space="0" w:color="auto"/>
              <w:bottom w:val="nil"/>
            </w:tcBorders>
          </w:tcPr>
          <w:p w14:paraId="7A7F83D2" w14:textId="77777777" w:rsidR="00A7521D" w:rsidRPr="00995C3D" w:rsidRDefault="00A7521D" w:rsidP="00A7521D">
            <w:pPr>
              <w:spacing w:after="0" w:line="240" w:lineRule="auto"/>
              <w:jc w:val="center"/>
              <w:rPr>
                <w:rFonts w:cs="Calibri"/>
                <w:color w:val="000000"/>
              </w:rPr>
            </w:pPr>
            <w:r w:rsidRPr="00995C3D">
              <w:rPr>
                <w:rFonts w:cs="Calibri"/>
                <w:color w:val="000000"/>
              </w:rPr>
              <w:t>The Manners</w:t>
            </w:r>
          </w:p>
        </w:tc>
        <w:tc>
          <w:tcPr>
            <w:tcW w:w="1322" w:type="dxa"/>
            <w:tcBorders>
              <w:top w:val="single" w:sz="4" w:space="0" w:color="auto"/>
              <w:bottom w:val="nil"/>
            </w:tcBorders>
          </w:tcPr>
          <w:p w14:paraId="08F10741" w14:textId="77777777" w:rsidR="00A7521D" w:rsidRPr="00995C3D" w:rsidRDefault="00A7521D" w:rsidP="00A7521D">
            <w:pPr>
              <w:spacing w:after="0" w:line="240" w:lineRule="auto"/>
              <w:jc w:val="center"/>
            </w:pPr>
            <w:r w:rsidRPr="00995C3D">
              <w:t>DE45 1EP</w:t>
            </w:r>
          </w:p>
        </w:tc>
        <w:tc>
          <w:tcPr>
            <w:tcW w:w="1065" w:type="dxa"/>
            <w:tcBorders>
              <w:top w:val="single" w:sz="4" w:space="0" w:color="auto"/>
              <w:bottom w:val="nil"/>
            </w:tcBorders>
          </w:tcPr>
          <w:p w14:paraId="21AFF4C0" w14:textId="77777777" w:rsidR="00A7521D" w:rsidRPr="00995C3D" w:rsidRDefault="00A7521D" w:rsidP="00A7521D">
            <w:pPr>
              <w:spacing w:after="0" w:line="240" w:lineRule="auto"/>
              <w:jc w:val="center"/>
              <w:rPr>
                <w:rFonts w:cs="Calibri"/>
                <w:color w:val="000000"/>
              </w:rPr>
            </w:pPr>
            <w:r w:rsidRPr="00995C3D">
              <w:rPr>
                <w:rFonts w:cs="Calibri"/>
                <w:color w:val="000000"/>
              </w:rPr>
              <w:t>8</w:t>
            </w:r>
          </w:p>
        </w:tc>
        <w:tc>
          <w:tcPr>
            <w:tcW w:w="1196" w:type="dxa"/>
            <w:tcBorders>
              <w:top w:val="single" w:sz="4" w:space="0" w:color="auto"/>
              <w:bottom w:val="nil"/>
            </w:tcBorders>
          </w:tcPr>
          <w:p w14:paraId="764D1CB3" w14:textId="77777777" w:rsidR="00A7521D" w:rsidRPr="00995C3D" w:rsidRDefault="00A7521D" w:rsidP="00A7521D">
            <w:pPr>
              <w:spacing w:after="0" w:line="240" w:lineRule="auto"/>
              <w:jc w:val="center"/>
              <w:rPr>
                <w:rFonts w:cs="Calibri"/>
                <w:color w:val="000000"/>
              </w:rPr>
            </w:pPr>
            <w:r w:rsidRPr="00995C3D">
              <w:rPr>
                <w:rFonts w:cs="Calibri"/>
                <w:color w:val="000000"/>
              </w:rPr>
              <w:t>781</w:t>
            </w:r>
          </w:p>
        </w:tc>
        <w:tc>
          <w:tcPr>
            <w:tcW w:w="1841" w:type="dxa"/>
            <w:tcBorders>
              <w:top w:val="single" w:sz="4" w:space="0" w:color="auto"/>
              <w:bottom w:val="nil"/>
            </w:tcBorders>
          </w:tcPr>
          <w:p w14:paraId="0752ECA7" w14:textId="77777777" w:rsidR="00A7521D" w:rsidRPr="00995C3D" w:rsidRDefault="00A7521D" w:rsidP="00A7521D">
            <w:pPr>
              <w:spacing w:after="0" w:line="240" w:lineRule="auto"/>
              <w:jc w:val="center"/>
              <w:rPr>
                <w:rFonts w:cs="Calibri"/>
                <w:color w:val="000000"/>
              </w:rPr>
            </w:pPr>
            <w:r w:rsidRPr="00995C3D">
              <w:rPr>
                <w:rFonts w:cs="Calibri"/>
                <w:color w:val="000000"/>
              </w:rPr>
              <w:t>93</w:t>
            </w:r>
          </w:p>
        </w:tc>
        <w:tc>
          <w:tcPr>
            <w:tcW w:w="1014" w:type="dxa"/>
            <w:tcBorders>
              <w:top w:val="single" w:sz="4" w:space="0" w:color="auto"/>
              <w:bottom w:val="nil"/>
            </w:tcBorders>
          </w:tcPr>
          <w:p w14:paraId="134D6C42" w14:textId="77777777" w:rsidR="00A7521D" w:rsidRPr="00995C3D" w:rsidRDefault="00A7521D" w:rsidP="00A7521D">
            <w:pPr>
              <w:spacing w:after="0" w:line="240" w:lineRule="auto"/>
              <w:jc w:val="center"/>
              <w:rPr>
                <w:rFonts w:cs="Calibri"/>
                <w:color w:val="000000"/>
              </w:rPr>
            </w:pPr>
            <w:r w:rsidRPr="00995C3D">
              <w:rPr>
                <w:rFonts w:cs="Calibri"/>
                <w:color w:val="000000"/>
              </w:rPr>
              <w:t>37</w:t>
            </w:r>
          </w:p>
        </w:tc>
        <w:tc>
          <w:tcPr>
            <w:tcW w:w="844" w:type="dxa"/>
            <w:tcBorders>
              <w:top w:val="single" w:sz="4" w:space="0" w:color="auto"/>
              <w:bottom w:val="nil"/>
            </w:tcBorders>
          </w:tcPr>
          <w:p w14:paraId="1C3ECC30" w14:textId="77777777" w:rsidR="00A7521D" w:rsidRPr="00995C3D" w:rsidRDefault="00A7521D" w:rsidP="00A7521D">
            <w:pPr>
              <w:spacing w:after="0" w:line="240" w:lineRule="auto"/>
              <w:jc w:val="center"/>
              <w:rPr>
                <w:rFonts w:cs="Calibri"/>
                <w:color w:val="000000"/>
              </w:rPr>
            </w:pPr>
            <w:r w:rsidRPr="00995C3D">
              <w:rPr>
                <w:rFonts w:cs="Calibri"/>
                <w:color w:val="000000"/>
              </w:rPr>
              <w:t>53</w:t>
            </w:r>
          </w:p>
        </w:tc>
      </w:tr>
      <w:tr w:rsidR="00A7521D" w:rsidRPr="00995C3D" w14:paraId="4199F925" w14:textId="77777777" w:rsidTr="00A7521D">
        <w:trPr>
          <w:jc w:val="center"/>
        </w:trPr>
        <w:tc>
          <w:tcPr>
            <w:tcW w:w="2511" w:type="dxa"/>
            <w:tcBorders>
              <w:top w:val="nil"/>
            </w:tcBorders>
          </w:tcPr>
          <w:p w14:paraId="2423178F" w14:textId="77777777" w:rsidR="00A7521D" w:rsidRPr="00995C3D" w:rsidRDefault="00A7521D" w:rsidP="00A7521D">
            <w:pPr>
              <w:spacing w:after="0" w:line="240" w:lineRule="auto"/>
              <w:jc w:val="center"/>
              <w:rPr>
                <w:rFonts w:cs="Calibri"/>
                <w:color w:val="000000"/>
              </w:rPr>
            </w:pPr>
            <w:r w:rsidRPr="00995C3D">
              <w:rPr>
                <w:rFonts w:cs="Calibri"/>
                <w:color w:val="000000"/>
              </w:rPr>
              <w:t>Bakewell nursery school</w:t>
            </w:r>
          </w:p>
        </w:tc>
        <w:tc>
          <w:tcPr>
            <w:tcW w:w="1322" w:type="dxa"/>
            <w:tcBorders>
              <w:top w:val="nil"/>
            </w:tcBorders>
          </w:tcPr>
          <w:p w14:paraId="714B9932" w14:textId="77777777" w:rsidR="00A7521D" w:rsidRPr="00995C3D" w:rsidRDefault="00A7521D" w:rsidP="00A7521D">
            <w:pPr>
              <w:spacing w:after="0" w:line="240" w:lineRule="auto"/>
              <w:jc w:val="center"/>
            </w:pPr>
            <w:r w:rsidRPr="00995C3D">
              <w:t>DE45 1EE</w:t>
            </w:r>
          </w:p>
        </w:tc>
        <w:tc>
          <w:tcPr>
            <w:tcW w:w="1065" w:type="dxa"/>
            <w:tcBorders>
              <w:top w:val="nil"/>
            </w:tcBorders>
          </w:tcPr>
          <w:p w14:paraId="7C41019B" w14:textId="77777777" w:rsidR="00A7521D" w:rsidRPr="00995C3D" w:rsidRDefault="00A7521D" w:rsidP="00A7521D">
            <w:pPr>
              <w:spacing w:after="0" w:line="240" w:lineRule="auto"/>
              <w:jc w:val="center"/>
              <w:rPr>
                <w:rFonts w:cs="Calibri"/>
                <w:color w:val="000000"/>
              </w:rPr>
            </w:pPr>
            <w:r w:rsidRPr="00995C3D">
              <w:rPr>
                <w:rFonts w:cs="Calibri"/>
                <w:color w:val="000000"/>
              </w:rPr>
              <w:t>17</w:t>
            </w:r>
          </w:p>
        </w:tc>
        <w:tc>
          <w:tcPr>
            <w:tcW w:w="1196" w:type="dxa"/>
            <w:tcBorders>
              <w:top w:val="nil"/>
            </w:tcBorders>
          </w:tcPr>
          <w:p w14:paraId="64E78D9E" w14:textId="77777777" w:rsidR="00A7521D" w:rsidRPr="00995C3D" w:rsidRDefault="00A7521D" w:rsidP="00A7521D">
            <w:pPr>
              <w:spacing w:after="0" w:line="240" w:lineRule="auto"/>
              <w:jc w:val="center"/>
              <w:rPr>
                <w:rFonts w:cs="Calibri"/>
                <w:color w:val="000000"/>
              </w:rPr>
            </w:pPr>
            <w:r w:rsidRPr="00995C3D">
              <w:rPr>
                <w:rFonts w:cs="Calibri"/>
                <w:color w:val="000000"/>
              </w:rPr>
              <w:t>369</w:t>
            </w:r>
          </w:p>
        </w:tc>
        <w:tc>
          <w:tcPr>
            <w:tcW w:w="1841" w:type="dxa"/>
            <w:tcBorders>
              <w:top w:val="nil"/>
            </w:tcBorders>
          </w:tcPr>
          <w:p w14:paraId="2230DF69" w14:textId="77777777" w:rsidR="00A7521D" w:rsidRPr="00995C3D" w:rsidRDefault="00A7521D" w:rsidP="00A7521D">
            <w:pPr>
              <w:spacing w:after="0" w:line="240" w:lineRule="auto"/>
              <w:jc w:val="center"/>
              <w:rPr>
                <w:rFonts w:cs="Calibri"/>
                <w:color w:val="000000"/>
              </w:rPr>
            </w:pPr>
            <w:r w:rsidRPr="00995C3D">
              <w:rPr>
                <w:rFonts w:cs="Calibri"/>
                <w:color w:val="000000"/>
              </w:rPr>
              <w:t>51</w:t>
            </w:r>
          </w:p>
        </w:tc>
        <w:tc>
          <w:tcPr>
            <w:tcW w:w="1014" w:type="dxa"/>
            <w:tcBorders>
              <w:top w:val="nil"/>
            </w:tcBorders>
          </w:tcPr>
          <w:p w14:paraId="47F78008" w14:textId="77777777" w:rsidR="00A7521D" w:rsidRPr="00995C3D" w:rsidRDefault="00A7521D" w:rsidP="00A7521D">
            <w:pPr>
              <w:spacing w:after="0" w:line="240" w:lineRule="auto"/>
              <w:jc w:val="center"/>
              <w:rPr>
                <w:rFonts w:cs="Calibri"/>
                <w:color w:val="000000"/>
              </w:rPr>
            </w:pPr>
            <w:r w:rsidRPr="00995C3D">
              <w:rPr>
                <w:rFonts w:cs="Calibri"/>
                <w:color w:val="000000"/>
              </w:rPr>
              <w:t>28</w:t>
            </w:r>
          </w:p>
        </w:tc>
        <w:tc>
          <w:tcPr>
            <w:tcW w:w="844" w:type="dxa"/>
            <w:tcBorders>
              <w:top w:val="nil"/>
            </w:tcBorders>
          </w:tcPr>
          <w:p w14:paraId="7CF79848" w14:textId="77777777" w:rsidR="00A7521D" w:rsidRPr="00995C3D" w:rsidRDefault="00A7521D" w:rsidP="00A7521D">
            <w:pPr>
              <w:spacing w:after="0" w:line="240" w:lineRule="auto"/>
              <w:jc w:val="center"/>
              <w:rPr>
                <w:rFonts w:cs="Calibri"/>
                <w:color w:val="000000"/>
              </w:rPr>
            </w:pPr>
            <w:r w:rsidRPr="00995C3D">
              <w:rPr>
                <w:rFonts w:cs="Calibri"/>
                <w:color w:val="000000"/>
              </w:rPr>
              <w:t>154</w:t>
            </w:r>
          </w:p>
        </w:tc>
      </w:tr>
      <w:tr w:rsidR="00A7521D" w:rsidRPr="00995C3D" w14:paraId="633D7726" w14:textId="77777777" w:rsidTr="00A7521D">
        <w:trPr>
          <w:jc w:val="center"/>
        </w:trPr>
        <w:tc>
          <w:tcPr>
            <w:tcW w:w="2511" w:type="dxa"/>
          </w:tcPr>
          <w:p w14:paraId="4AF7C500" w14:textId="77777777" w:rsidR="00A7521D" w:rsidRPr="00995C3D" w:rsidRDefault="00A7521D" w:rsidP="00A7521D">
            <w:pPr>
              <w:spacing w:after="0" w:line="240" w:lineRule="auto"/>
              <w:jc w:val="center"/>
              <w:rPr>
                <w:rFonts w:cs="Calibri"/>
                <w:color w:val="000000"/>
              </w:rPr>
            </w:pPr>
            <w:r w:rsidRPr="00995C3D">
              <w:rPr>
                <w:rFonts w:cs="Calibri"/>
                <w:color w:val="000000"/>
              </w:rPr>
              <w:t>Rutland arms</w:t>
            </w:r>
          </w:p>
        </w:tc>
        <w:tc>
          <w:tcPr>
            <w:tcW w:w="1322" w:type="dxa"/>
          </w:tcPr>
          <w:p w14:paraId="1E4D728F" w14:textId="77777777" w:rsidR="00A7521D" w:rsidRPr="00995C3D" w:rsidRDefault="00A7521D" w:rsidP="00A7521D">
            <w:pPr>
              <w:spacing w:after="0" w:line="240" w:lineRule="auto"/>
              <w:jc w:val="center"/>
            </w:pPr>
            <w:r w:rsidRPr="00995C3D">
              <w:t>DE45 1RP</w:t>
            </w:r>
          </w:p>
        </w:tc>
        <w:tc>
          <w:tcPr>
            <w:tcW w:w="1065" w:type="dxa"/>
          </w:tcPr>
          <w:p w14:paraId="1C309E76" w14:textId="77777777" w:rsidR="00A7521D" w:rsidRPr="00995C3D" w:rsidRDefault="00A7521D" w:rsidP="00A7521D">
            <w:pPr>
              <w:spacing w:after="0" w:line="240" w:lineRule="auto"/>
              <w:jc w:val="center"/>
              <w:rPr>
                <w:rFonts w:cs="Calibri"/>
                <w:color w:val="000000"/>
              </w:rPr>
            </w:pPr>
            <w:r w:rsidRPr="00995C3D">
              <w:rPr>
                <w:rFonts w:cs="Calibri"/>
                <w:color w:val="000000"/>
              </w:rPr>
              <w:t>27</w:t>
            </w:r>
          </w:p>
        </w:tc>
        <w:tc>
          <w:tcPr>
            <w:tcW w:w="1196" w:type="dxa"/>
          </w:tcPr>
          <w:p w14:paraId="103BC56D" w14:textId="77777777" w:rsidR="00A7521D" w:rsidRPr="00995C3D" w:rsidRDefault="00A7521D" w:rsidP="00A7521D">
            <w:pPr>
              <w:spacing w:after="0" w:line="240" w:lineRule="auto"/>
              <w:jc w:val="center"/>
              <w:rPr>
                <w:rFonts w:cs="Calibri"/>
                <w:color w:val="000000"/>
              </w:rPr>
            </w:pPr>
            <w:r w:rsidRPr="00995C3D">
              <w:rPr>
                <w:rFonts w:cs="Calibri"/>
                <w:color w:val="000000"/>
              </w:rPr>
              <w:t>1</w:t>
            </w:r>
            <w:r>
              <w:rPr>
                <w:rFonts w:cs="Calibri"/>
                <w:color w:val="000000"/>
              </w:rPr>
              <w:t>,</w:t>
            </w:r>
            <w:r w:rsidRPr="00995C3D">
              <w:rPr>
                <w:rFonts w:cs="Calibri"/>
                <w:color w:val="000000"/>
              </w:rPr>
              <w:t>033</w:t>
            </w:r>
          </w:p>
        </w:tc>
        <w:tc>
          <w:tcPr>
            <w:tcW w:w="1841" w:type="dxa"/>
          </w:tcPr>
          <w:p w14:paraId="60118EAF" w14:textId="77777777" w:rsidR="00A7521D" w:rsidRPr="00995C3D" w:rsidRDefault="00A7521D" w:rsidP="00A7521D">
            <w:pPr>
              <w:spacing w:after="0" w:line="240" w:lineRule="auto"/>
              <w:jc w:val="center"/>
              <w:rPr>
                <w:rFonts w:cs="Calibri"/>
                <w:color w:val="000000"/>
              </w:rPr>
            </w:pPr>
            <w:r w:rsidRPr="00995C3D">
              <w:rPr>
                <w:rFonts w:cs="Calibri"/>
                <w:color w:val="000000"/>
              </w:rPr>
              <w:t>160</w:t>
            </w:r>
          </w:p>
        </w:tc>
        <w:tc>
          <w:tcPr>
            <w:tcW w:w="1014" w:type="dxa"/>
          </w:tcPr>
          <w:p w14:paraId="1C9BB03C" w14:textId="77777777" w:rsidR="00A7521D" w:rsidRPr="00995C3D" w:rsidRDefault="00A7521D" w:rsidP="00A7521D">
            <w:pPr>
              <w:spacing w:after="0" w:line="240" w:lineRule="auto"/>
              <w:jc w:val="center"/>
              <w:rPr>
                <w:rFonts w:cs="Calibri"/>
                <w:color w:val="000000"/>
              </w:rPr>
            </w:pPr>
            <w:r w:rsidRPr="00995C3D">
              <w:rPr>
                <w:rFonts w:cs="Calibri"/>
                <w:color w:val="000000"/>
              </w:rPr>
              <w:t>63</w:t>
            </w:r>
          </w:p>
        </w:tc>
        <w:tc>
          <w:tcPr>
            <w:tcW w:w="844" w:type="dxa"/>
          </w:tcPr>
          <w:p w14:paraId="1BC4AD6A" w14:textId="77777777" w:rsidR="00A7521D" w:rsidRPr="00995C3D" w:rsidRDefault="00A7521D" w:rsidP="00A7521D">
            <w:pPr>
              <w:spacing w:after="0" w:line="240" w:lineRule="auto"/>
              <w:jc w:val="center"/>
              <w:rPr>
                <w:rFonts w:cs="Calibri"/>
                <w:color w:val="000000"/>
              </w:rPr>
            </w:pPr>
            <w:r w:rsidRPr="00995C3D">
              <w:rPr>
                <w:rFonts w:cs="Calibri"/>
                <w:color w:val="000000"/>
              </w:rPr>
              <w:t>167</w:t>
            </w:r>
          </w:p>
        </w:tc>
      </w:tr>
      <w:tr w:rsidR="00A7521D" w:rsidRPr="00995C3D" w14:paraId="267C08E0" w14:textId="77777777" w:rsidTr="00A7521D">
        <w:trPr>
          <w:jc w:val="center"/>
        </w:trPr>
        <w:tc>
          <w:tcPr>
            <w:tcW w:w="2511" w:type="dxa"/>
          </w:tcPr>
          <w:p w14:paraId="4810DD1F" w14:textId="77777777" w:rsidR="00A7521D" w:rsidRPr="00995C3D" w:rsidRDefault="00A7521D" w:rsidP="00A7521D">
            <w:pPr>
              <w:spacing w:after="0" w:line="240" w:lineRule="auto"/>
              <w:jc w:val="center"/>
              <w:rPr>
                <w:rFonts w:cs="Calibri"/>
                <w:color w:val="000000"/>
              </w:rPr>
            </w:pPr>
            <w:r w:rsidRPr="00995C3D">
              <w:rPr>
                <w:rFonts w:cs="Calibri"/>
                <w:color w:val="000000"/>
              </w:rPr>
              <w:t>Riverside business park</w:t>
            </w:r>
          </w:p>
        </w:tc>
        <w:tc>
          <w:tcPr>
            <w:tcW w:w="1322" w:type="dxa"/>
          </w:tcPr>
          <w:p w14:paraId="49FFD2D1" w14:textId="77777777" w:rsidR="00A7521D" w:rsidRPr="00995C3D" w:rsidRDefault="00A7521D" w:rsidP="00A7521D">
            <w:pPr>
              <w:spacing w:after="0" w:line="240" w:lineRule="auto"/>
              <w:jc w:val="center"/>
            </w:pPr>
            <w:r w:rsidRPr="00995C3D">
              <w:t>DE45 1GS</w:t>
            </w:r>
          </w:p>
        </w:tc>
        <w:tc>
          <w:tcPr>
            <w:tcW w:w="1065" w:type="dxa"/>
          </w:tcPr>
          <w:p w14:paraId="76476C9F" w14:textId="77777777" w:rsidR="00A7521D" w:rsidRPr="00995C3D" w:rsidRDefault="00A7521D" w:rsidP="00A7521D">
            <w:pPr>
              <w:spacing w:after="0" w:line="240" w:lineRule="auto"/>
              <w:jc w:val="center"/>
              <w:rPr>
                <w:rFonts w:cs="Calibri"/>
                <w:color w:val="000000"/>
              </w:rPr>
            </w:pPr>
            <w:r w:rsidRPr="00995C3D">
              <w:rPr>
                <w:rFonts w:cs="Calibri"/>
                <w:color w:val="000000"/>
              </w:rPr>
              <w:t>27</w:t>
            </w:r>
          </w:p>
        </w:tc>
        <w:tc>
          <w:tcPr>
            <w:tcW w:w="1196" w:type="dxa"/>
          </w:tcPr>
          <w:p w14:paraId="2D1F01A7" w14:textId="77777777" w:rsidR="00A7521D" w:rsidRPr="00995C3D" w:rsidRDefault="00A7521D" w:rsidP="00A7521D">
            <w:pPr>
              <w:spacing w:after="0" w:line="240" w:lineRule="auto"/>
              <w:jc w:val="center"/>
              <w:rPr>
                <w:rFonts w:cs="Calibri"/>
                <w:color w:val="000000"/>
              </w:rPr>
            </w:pPr>
            <w:r w:rsidRPr="00995C3D">
              <w:rPr>
                <w:rFonts w:cs="Calibri"/>
                <w:color w:val="000000"/>
              </w:rPr>
              <w:t>13</w:t>
            </w:r>
            <w:r>
              <w:rPr>
                <w:rFonts w:cs="Calibri"/>
                <w:color w:val="000000"/>
              </w:rPr>
              <w:t>,</w:t>
            </w:r>
            <w:r w:rsidRPr="00995C3D">
              <w:rPr>
                <w:rFonts w:cs="Calibri"/>
                <w:color w:val="000000"/>
              </w:rPr>
              <w:t>322</w:t>
            </w:r>
          </w:p>
        </w:tc>
        <w:tc>
          <w:tcPr>
            <w:tcW w:w="1841" w:type="dxa"/>
          </w:tcPr>
          <w:p w14:paraId="198F411B" w14:textId="77777777" w:rsidR="00A7521D" w:rsidRPr="00995C3D" w:rsidRDefault="00A7521D" w:rsidP="00A7521D">
            <w:pPr>
              <w:spacing w:after="0" w:line="240" w:lineRule="auto"/>
              <w:jc w:val="center"/>
              <w:rPr>
                <w:rFonts w:cs="Calibri"/>
                <w:color w:val="000000"/>
              </w:rPr>
            </w:pPr>
            <w:r w:rsidRPr="00995C3D">
              <w:rPr>
                <w:rFonts w:cs="Calibri"/>
                <w:color w:val="000000"/>
              </w:rPr>
              <w:t>2061</w:t>
            </w:r>
          </w:p>
        </w:tc>
        <w:tc>
          <w:tcPr>
            <w:tcW w:w="1014" w:type="dxa"/>
          </w:tcPr>
          <w:p w14:paraId="27C16FB1" w14:textId="77777777" w:rsidR="00A7521D" w:rsidRPr="00995C3D" w:rsidRDefault="00A7521D" w:rsidP="00A7521D">
            <w:pPr>
              <w:spacing w:after="0" w:line="240" w:lineRule="auto"/>
              <w:jc w:val="center"/>
              <w:rPr>
                <w:rFonts w:cs="Calibri"/>
                <w:color w:val="000000"/>
              </w:rPr>
            </w:pPr>
            <w:r w:rsidRPr="00995C3D">
              <w:rPr>
                <w:rFonts w:cs="Calibri"/>
                <w:color w:val="000000"/>
              </w:rPr>
              <w:t>808</w:t>
            </w:r>
          </w:p>
        </w:tc>
        <w:tc>
          <w:tcPr>
            <w:tcW w:w="844" w:type="dxa"/>
          </w:tcPr>
          <w:p w14:paraId="42E6ACB2" w14:textId="77777777" w:rsidR="00A7521D" w:rsidRPr="00995C3D" w:rsidRDefault="00A7521D" w:rsidP="00A7521D">
            <w:pPr>
              <w:spacing w:after="0" w:line="240" w:lineRule="auto"/>
              <w:jc w:val="center"/>
              <w:rPr>
                <w:rFonts w:cs="Calibri"/>
                <w:color w:val="000000"/>
              </w:rPr>
            </w:pPr>
            <w:r w:rsidRPr="00995C3D">
              <w:rPr>
                <w:rFonts w:cs="Calibri"/>
                <w:color w:val="000000"/>
              </w:rPr>
              <w:t>2150</w:t>
            </w:r>
          </w:p>
        </w:tc>
      </w:tr>
      <w:tr w:rsidR="00A7521D" w:rsidRPr="00995C3D" w14:paraId="69A3022E" w14:textId="77777777" w:rsidTr="00A7521D">
        <w:trPr>
          <w:jc w:val="center"/>
        </w:trPr>
        <w:tc>
          <w:tcPr>
            <w:tcW w:w="2511" w:type="dxa"/>
          </w:tcPr>
          <w:p w14:paraId="7F6D358A" w14:textId="77777777" w:rsidR="00A7521D" w:rsidRPr="00995C3D" w:rsidRDefault="00A7521D" w:rsidP="00A7521D">
            <w:pPr>
              <w:spacing w:after="0" w:line="240" w:lineRule="auto"/>
              <w:jc w:val="center"/>
              <w:rPr>
                <w:rFonts w:cs="Calibri"/>
                <w:color w:val="000000"/>
              </w:rPr>
            </w:pPr>
            <w:r w:rsidRPr="00995C3D">
              <w:rPr>
                <w:rFonts w:cs="Calibri"/>
                <w:color w:val="000000"/>
              </w:rPr>
              <w:t>Deepdale business park</w:t>
            </w:r>
          </w:p>
        </w:tc>
        <w:tc>
          <w:tcPr>
            <w:tcW w:w="1322" w:type="dxa"/>
          </w:tcPr>
          <w:p w14:paraId="1BABE9DE" w14:textId="77777777" w:rsidR="00A7521D" w:rsidRPr="00995C3D" w:rsidRDefault="00A7521D" w:rsidP="00A7521D">
            <w:pPr>
              <w:spacing w:after="0" w:line="240" w:lineRule="auto"/>
              <w:jc w:val="center"/>
            </w:pPr>
            <w:r w:rsidRPr="00995C3D">
              <w:t>DE45 1GT</w:t>
            </w:r>
          </w:p>
        </w:tc>
        <w:tc>
          <w:tcPr>
            <w:tcW w:w="1065" w:type="dxa"/>
          </w:tcPr>
          <w:p w14:paraId="2D37B182" w14:textId="77777777" w:rsidR="00A7521D" w:rsidRPr="00995C3D" w:rsidRDefault="00A7521D" w:rsidP="00A7521D">
            <w:pPr>
              <w:spacing w:after="0" w:line="240" w:lineRule="auto"/>
              <w:jc w:val="center"/>
              <w:rPr>
                <w:rFonts w:cs="Calibri"/>
                <w:color w:val="000000"/>
              </w:rPr>
            </w:pPr>
            <w:r w:rsidRPr="00995C3D">
              <w:rPr>
                <w:rFonts w:cs="Calibri"/>
                <w:color w:val="000000"/>
              </w:rPr>
              <w:t>27</w:t>
            </w:r>
          </w:p>
        </w:tc>
        <w:tc>
          <w:tcPr>
            <w:tcW w:w="1196" w:type="dxa"/>
          </w:tcPr>
          <w:p w14:paraId="4CA1831F" w14:textId="77777777" w:rsidR="00A7521D" w:rsidRPr="00995C3D" w:rsidRDefault="00A7521D" w:rsidP="00A7521D">
            <w:pPr>
              <w:spacing w:after="0" w:line="240" w:lineRule="auto"/>
              <w:jc w:val="center"/>
              <w:rPr>
                <w:rFonts w:cs="Calibri"/>
                <w:color w:val="000000"/>
              </w:rPr>
            </w:pPr>
            <w:r w:rsidRPr="00995C3D">
              <w:rPr>
                <w:rFonts w:cs="Calibri"/>
                <w:color w:val="000000"/>
              </w:rPr>
              <w:t>1</w:t>
            </w:r>
            <w:r>
              <w:rPr>
                <w:rFonts w:cs="Calibri"/>
                <w:color w:val="000000"/>
              </w:rPr>
              <w:t>,</w:t>
            </w:r>
            <w:r w:rsidRPr="00995C3D">
              <w:rPr>
                <w:rFonts w:cs="Calibri"/>
                <w:color w:val="000000"/>
              </w:rPr>
              <w:t>994</w:t>
            </w:r>
          </w:p>
        </w:tc>
        <w:tc>
          <w:tcPr>
            <w:tcW w:w="1841" w:type="dxa"/>
          </w:tcPr>
          <w:p w14:paraId="6B300D42" w14:textId="77777777" w:rsidR="00A7521D" w:rsidRPr="00995C3D" w:rsidRDefault="00A7521D" w:rsidP="00A7521D">
            <w:pPr>
              <w:spacing w:after="0" w:line="240" w:lineRule="auto"/>
              <w:jc w:val="center"/>
              <w:rPr>
                <w:rFonts w:cs="Calibri"/>
                <w:color w:val="000000"/>
              </w:rPr>
            </w:pPr>
            <w:r w:rsidRPr="00995C3D">
              <w:rPr>
                <w:rFonts w:cs="Calibri"/>
                <w:color w:val="000000"/>
              </w:rPr>
              <w:t>309</w:t>
            </w:r>
          </w:p>
        </w:tc>
        <w:tc>
          <w:tcPr>
            <w:tcW w:w="1014" w:type="dxa"/>
          </w:tcPr>
          <w:p w14:paraId="2D798461" w14:textId="77777777" w:rsidR="00A7521D" w:rsidRPr="00995C3D" w:rsidRDefault="00A7521D" w:rsidP="00A7521D">
            <w:pPr>
              <w:spacing w:after="0" w:line="240" w:lineRule="auto"/>
              <w:jc w:val="center"/>
              <w:rPr>
                <w:rFonts w:cs="Calibri"/>
                <w:color w:val="000000"/>
              </w:rPr>
            </w:pPr>
            <w:r w:rsidRPr="00995C3D">
              <w:rPr>
                <w:rFonts w:cs="Calibri"/>
                <w:color w:val="000000"/>
              </w:rPr>
              <w:t>121</w:t>
            </w:r>
          </w:p>
        </w:tc>
        <w:tc>
          <w:tcPr>
            <w:tcW w:w="844" w:type="dxa"/>
          </w:tcPr>
          <w:p w14:paraId="29D84A31" w14:textId="77777777" w:rsidR="00A7521D" w:rsidRPr="00995C3D" w:rsidRDefault="00A7521D" w:rsidP="00A7521D">
            <w:pPr>
              <w:spacing w:after="0" w:line="240" w:lineRule="auto"/>
              <w:jc w:val="center"/>
              <w:rPr>
                <w:rFonts w:cs="Calibri"/>
                <w:color w:val="000000"/>
              </w:rPr>
            </w:pPr>
            <w:r w:rsidRPr="00995C3D">
              <w:rPr>
                <w:rFonts w:cs="Calibri"/>
                <w:color w:val="000000"/>
              </w:rPr>
              <w:t>322</w:t>
            </w:r>
          </w:p>
        </w:tc>
      </w:tr>
      <w:tr w:rsidR="00A7521D" w:rsidRPr="00995C3D" w14:paraId="79A357AB" w14:textId="77777777" w:rsidTr="00A7521D">
        <w:trPr>
          <w:jc w:val="center"/>
        </w:trPr>
        <w:tc>
          <w:tcPr>
            <w:tcW w:w="2511" w:type="dxa"/>
          </w:tcPr>
          <w:p w14:paraId="2D978A62" w14:textId="77777777" w:rsidR="00A7521D" w:rsidRPr="00995C3D" w:rsidRDefault="00A7521D" w:rsidP="00A7521D">
            <w:pPr>
              <w:spacing w:after="0" w:line="240" w:lineRule="auto"/>
              <w:jc w:val="center"/>
              <w:rPr>
                <w:rFonts w:cs="Calibri"/>
                <w:color w:val="000000"/>
              </w:rPr>
            </w:pPr>
            <w:r w:rsidRPr="00995C3D">
              <w:rPr>
                <w:rFonts w:cs="Calibri"/>
                <w:color w:val="000000"/>
              </w:rPr>
              <w:t>Red Lion</w:t>
            </w:r>
          </w:p>
        </w:tc>
        <w:tc>
          <w:tcPr>
            <w:tcW w:w="1322" w:type="dxa"/>
          </w:tcPr>
          <w:p w14:paraId="29A4AC1E" w14:textId="77777777" w:rsidR="00A7521D" w:rsidRPr="00995C3D" w:rsidRDefault="00A7521D" w:rsidP="00A7521D">
            <w:pPr>
              <w:spacing w:after="0" w:line="240" w:lineRule="auto"/>
              <w:jc w:val="center"/>
            </w:pPr>
            <w:r w:rsidRPr="00995C3D">
              <w:t>DE45 1BT</w:t>
            </w:r>
          </w:p>
        </w:tc>
        <w:tc>
          <w:tcPr>
            <w:tcW w:w="1065" w:type="dxa"/>
          </w:tcPr>
          <w:p w14:paraId="2D6BBE8F" w14:textId="77777777" w:rsidR="00A7521D" w:rsidRPr="00995C3D" w:rsidRDefault="00A7521D" w:rsidP="00A7521D">
            <w:pPr>
              <w:spacing w:after="0" w:line="240" w:lineRule="auto"/>
              <w:jc w:val="center"/>
              <w:rPr>
                <w:rFonts w:cs="Calibri"/>
                <w:color w:val="000000"/>
              </w:rPr>
            </w:pPr>
            <w:r w:rsidRPr="00995C3D">
              <w:rPr>
                <w:rFonts w:cs="Calibri"/>
                <w:color w:val="000000"/>
              </w:rPr>
              <w:t>8</w:t>
            </w:r>
          </w:p>
        </w:tc>
        <w:tc>
          <w:tcPr>
            <w:tcW w:w="1196" w:type="dxa"/>
          </w:tcPr>
          <w:p w14:paraId="197A4E9D" w14:textId="77777777" w:rsidR="00A7521D" w:rsidRPr="00995C3D" w:rsidRDefault="00A7521D" w:rsidP="00A7521D">
            <w:pPr>
              <w:spacing w:after="0" w:line="240" w:lineRule="auto"/>
              <w:jc w:val="center"/>
              <w:rPr>
                <w:rFonts w:cs="Calibri"/>
                <w:color w:val="000000"/>
              </w:rPr>
            </w:pPr>
            <w:r w:rsidRPr="00995C3D">
              <w:rPr>
                <w:rFonts w:cs="Calibri"/>
                <w:color w:val="000000"/>
              </w:rPr>
              <w:t>436</w:t>
            </w:r>
          </w:p>
        </w:tc>
        <w:tc>
          <w:tcPr>
            <w:tcW w:w="1841" w:type="dxa"/>
          </w:tcPr>
          <w:p w14:paraId="0426AEA3" w14:textId="77777777" w:rsidR="00A7521D" w:rsidRPr="00995C3D" w:rsidRDefault="00A7521D" w:rsidP="00A7521D">
            <w:pPr>
              <w:spacing w:after="0" w:line="240" w:lineRule="auto"/>
              <w:jc w:val="center"/>
              <w:rPr>
                <w:rFonts w:cs="Calibri"/>
                <w:color w:val="000000"/>
              </w:rPr>
            </w:pPr>
            <w:r w:rsidRPr="00995C3D">
              <w:rPr>
                <w:rFonts w:cs="Calibri"/>
                <w:color w:val="000000"/>
              </w:rPr>
              <w:t>52</w:t>
            </w:r>
          </w:p>
        </w:tc>
        <w:tc>
          <w:tcPr>
            <w:tcW w:w="1014" w:type="dxa"/>
          </w:tcPr>
          <w:p w14:paraId="5B064F45" w14:textId="77777777" w:rsidR="00A7521D" w:rsidRPr="00995C3D" w:rsidRDefault="00A7521D" w:rsidP="00A7521D">
            <w:pPr>
              <w:spacing w:after="0" w:line="240" w:lineRule="auto"/>
              <w:jc w:val="center"/>
              <w:rPr>
                <w:rFonts w:cs="Calibri"/>
                <w:color w:val="000000"/>
              </w:rPr>
            </w:pPr>
            <w:r w:rsidRPr="00995C3D">
              <w:rPr>
                <w:rFonts w:cs="Calibri"/>
                <w:color w:val="000000"/>
              </w:rPr>
              <w:t>21</w:t>
            </w:r>
          </w:p>
        </w:tc>
        <w:tc>
          <w:tcPr>
            <w:tcW w:w="844" w:type="dxa"/>
          </w:tcPr>
          <w:p w14:paraId="1C1C02C7" w14:textId="77777777" w:rsidR="00A7521D" w:rsidRPr="00995C3D" w:rsidRDefault="00A7521D" w:rsidP="00A7521D">
            <w:pPr>
              <w:spacing w:after="0" w:line="240" w:lineRule="auto"/>
              <w:jc w:val="center"/>
              <w:rPr>
                <w:rFonts w:cs="Calibri"/>
                <w:color w:val="000000"/>
              </w:rPr>
            </w:pPr>
            <w:r w:rsidRPr="00995C3D">
              <w:rPr>
                <w:rFonts w:cs="Calibri"/>
                <w:color w:val="000000"/>
              </w:rPr>
              <w:t>30</w:t>
            </w:r>
          </w:p>
        </w:tc>
      </w:tr>
      <w:tr w:rsidR="00A7521D" w:rsidRPr="00995C3D" w14:paraId="08DB10DB" w14:textId="77777777" w:rsidTr="00A7521D">
        <w:trPr>
          <w:jc w:val="center"/>
        </w:trPr>
        <w:tc>
          <w:tcPr>
            <w:tcW w:w="2511" w:type="dxa"/>
          </w:tcPr>
          <w:p w14:paraId="0A6730FD" w14:textId="77777777" w:rsidR="00A7521D" w:rsidRPr="00995C3D" w:rsidRDefault="00A7521D" w:rsidP="00A7521D">
            <w:pPr>
              <w:spacing w:after="0" w:line="240" w:lineRule="auto"/>
              <w:jc w:val="center"/>
              <w:rPr>
                <w:rFonts w:cs="Calibri"/>
                <w:color w:val="000000"/>
              </w:rPr>
            </w:pPr>
            <w:r w:rsidRPr="00995C3D">
              <w:rPr>
                <w:rFonts w:cs="Calibri"/>
                <w:color w:val="000000"/>
              </w:rPr>
              <w:t>Wheatsheaf</w:t>
            </w:r>
          </w:p>
        </w:tc>
        <w:tc>
          <w:tcPr>
            <w:tcW w:w="1322" w:type="dxa"/>
          </w:tcPr>
          <w:p w14:paraId="33CF02BF" w14:textId="77777777" w:rsidR="00A7521D" w:rsidRPr="00995C3D" w:rsidRDefault="00A7521D" w:rsidP="00A7521D">
            <w:pPr>
              <w:spacing w:after="0" w:line="240" w:lineRule="auto"/>
              <w:jc w:val="center"/>
            </w:pPr>
            <w:r w:rsidRPr="00995C3D">
              <w:t>DE45 1DS</w:t>
            </w:r>
          </w:p>
        </w:tc>
        <w:tc>
          <w:tcPr>
            <w:tcW w:w="1065" w:type="dxa"/>
          </w:tcPr>
          <w:p w14:paraId="27A93301" w14:textId="77777777" w:rsidR="00A7521D" w:rsidRPr="00995C3D" w:rsidRDefault="00A7521D" w:rsidP="00A7521D">
            <w:pPr>
              <w:spacing w:after="0" w:line="240" w:lineRule="auto"/>
              <w:jc w:val="center"/>
              <w:rPr>
                <w:rFonts w:cs="Calibri"/>
                <w:color w:val="000000"/>
              </w:rPr>
            </w:pPr>
            <w:r w:rsidRPr="00995C3D">
              <w:rPr>
                <w:rFonts w:cs="Calibri"/>
                <w:color w:val="000000"/>
              </w:rPr>
              <w:t>8</w:t>
            </w:r>
          </w:p>
        </w:tc>
        <w:tc>
          <w:tcPr>
            <w:tcW w:w="1196" w:type="dxa"/>
          </w:tcPr>
          <w:p w14:paraId="21166A22" w14:textId="77777777" w:rsidR="00A7521D" w:rsidRPr="00995C3D" w:rsidRDefault="00A7521D" w:rsidP="00A7521D">
            <w:pPr>
              <w:spacing w:after="0" w:line="240" w:lineRule="auto"/>
              <w:jc w:val="center"/>
              <w:rPr>
                <w:rFonts w:cs="Calibri"/>
                <w:color w:val="000000"/>
              </w:rPr>
            </w:pPr>
            <w:r w:rsidRPr="00995C3D">
              <w:rPr>
                <w:rFonts w:cs="Calibri"/>
                <w:color w:val="000000"/>
              </w:rPr>
              <w:t>405</w:t>
            </w:r>
          </w:p>
        </w:tc>
        <w:tc>
          <w:tcPr>
            <w:tcW w:w="1841" w:type="dxa"/>
          </w:tcPr>
          <w:p w14:paraId="73F259BD" w14:textId="77777777" w:rsidR="00A7521D" w:rsidRPr="00995C3D" w:rsidRDefault="00A7521D" w:rsidP="00A7521D">
            <w:pPr>
              <w:spacing w:after="0" w:line="240" w:lineRule="auto"/>
              <w:jc w:val="center"/>
              <w:rPr>
                <w:rFonts w:cs="Calibri"/>
                <w:color w:val="000000"/>
              </w:rPr>
            </w:pPr>
            <w:r w:rsidRPr="00995C3D">
              <w:rPr>
                <w:rFonts w:cs="Calibri"/>
                <w:color w:val="000000"/>
              </w:rPr>
              <w:t>48</w:t>
            </w:r>
          </w:p>
        </w:tc>
        <w:tc>
          <w:tcPr>
            <w:tcW w:w="1014" w:type="dxa"/>
          </w:tcPr>
          <w:p w14:paraId="33699B20" w14:textId="77777777" w:rsidR="00A7521D" w:rsidRPr="00995C3D" w:rsidRDefault="00A7521D" w:rsidP="00A7521D">
            <w:pPr>
              <w:spacing w:after="0" w:line="240" w:lineRule="auto"/>
              <w:jc w:val="center"/>
              <w:rPr>
                <w:rFonts w:cs="Calibri"/>
                <w:color w:val="000000"/>
              </w:rPr>
            </w:pPr>
            <w:r w:rsidRPr="00995C3D">
              <w:rPr>
                <w:rFonts w:cs="Calibri"/>
                <w:color w:val="000000"/>
              </w:rPr>
              <w:t>19</w:t>
            </w:r>
          </w:p>
        </w:tc>
        <w:tc>
          <w:tcPr>
            <w:tcW w:w="844" w:type="dxa"/>
          </w:tcPr>
          <w:p w14:paraId="7570F104" w14:textId="77777777" w:rsidR="00A7521D" w:rsidRPr="00995C3D" w:rsidRDefault="00A7521D" w:rsidP="00A7521D">
            <w:pPr>
              <w:spacing w:after="0" w:line="240" w:lineRule="auto"/>
              <w:jc w:val="center"/>
              <w:rPr>
                <w:rFonts w:cs="Calibri"/>
                <w:color w:val="000000"/>
              </w:rPr>
            </w:pPr>
            <w:r w:rsidRPr="00995C3D">
              <w:rPr>
                <w:rFonts w:cs="Calibri"/>
                <w:color w:val="000000"/>
              </w:rPr>
              <w:t>28</w:t>
            </w:r>
          </w:p>
        </w:tc>
      </w:tr>
      <w:tr w:rsidR="00A7521D" w:rsidRPr="00995C3D" w14:paraId="7F4A9CE9" w14:textId="77777777" w:rsidTr="00A7521D">
        <w:trPr>
          <w:jc w:val="center"/>
        </w:trPr>
        <w:tc>
          <w:tcPr>
            <w:tcW w:w="2511" w:type="dxa"/>
          </w:tcPr>
          <w:p w14:paraId="57225256" w14:textId="77777777" w:rsidR="00A7521D" w:rsidRPr="00995C3D" w:rsidRDefault="00A7521D" w:rsidP="00A7521D">
            <w:pPr>
              <w:spacing w:after="0" w:line="240" w:lineRule="auto"/>
              <w:jc w:val="center"/>
              <w:rPr>
                <w:rFonts w:cs="Calibri"/>
                <w:color w:val="000000"/>
              </w:rPr>
            </w:pPr>
            <w:r w:rsidRPr="00995C3D">
              <w:rPr>
                <w:rFonts w:cs="Calibri"/>
                <w:color w:val="000000"/>
              </w:rPr>
              <w:t>Bakewell Castle</w:t>
            </w:r>
          </w:p>
        </w:tc>
        <w:tc>
          <w:tcPr>
            <w:tcW w:w="1322" w:type="dxa"/>
          </w:tcPr>
          <w:p w14:paraId="5ABD9099" w14:textId="77777777" w:rsidR="00A7521D" w:rsidRPr="00995C3D" w:rsidRDefault="00A7521D" w:rsidP="00A7521D">
            <w:pPr>
              <w:spacing w:after="0" w:line="240" w:lineRule="auto"/>
              <w:jc w:val="center"/>
            </w:pPr>
            <w:r w:rsidRPr="00995C3D">
              <w:t>DE45 1DU</w:t>
            </w:r>
          </w:p>
        </w:tc>
        <w:tc>
          <w:tcPr>
            <w:tcW w:w="1065" w:type="dxa"/>
          </w:tcPr>
          <w:p w14:paraId="356111E1" w14:textId="77777777" w:rsidR="00A7521D" w:rsidRPr="00995C3D" w:rsidRDefault="00A7521D" w:rsidP="00A7521D">
            <w:pPr>
              <w:spacing w:after="0" w:line="240" w:lineRule="auto"/>
              <w:jc w:val="center"/>
              <w:rPr>
                <w:rFonts w:cs="Calibri"/>
                <w:color w:val="000000"/>
              </w:rPr>
            </w:pPr>
            <w:r w:rsidRPr="00995C3D">
              <w:rPr>
                <w:rFonts w:cs="Calibri"/>
                <w:color w:val="000000"/>
              </w:rPr>
              <w:t>8</w:t>
            </w:r>
          </w:p>
        </w:tc>
        <w:tc>
          <w:tcPr>
            <w:tcW w:w="1196" w:type="dxa"/>
          </w:tcPr>
          <w:p w14:paraId="67F7A579" w14:textId="77777777" w:rsidR="00A7521D" w:rsidRPr="00995C3D" w:rsidRDefault="00A7521D" w:rsidP="00A7521D">
            <w:pPr>
              <w:spacing w:after="0" w:line="240" w:lineRule="auto"/>
              <w:jc w:val="center"/>
              <w:rPr>
                <w:rFonts w:cs="Calibri"/>
                <w:color w:val="000000"/>
              </w:rPr>
            </w:pPr>
            <w:r w:rsidRPr="00995C3D">
              <w:rPr>
                <w:rFonts w:cs="Calibri"/>
                <w:color w:val="000000"/>
              </w:rPr>
              <w:t>291</w:t>
            </w:r>
          </w:p>
        </w:tc>
        <w:tc>
          <w:tcPr>
            <w:tcW w:w="1841" w:type="dxa"/>
          </w:tcPr>
          <w:p w14:paraId="229410C4" w14:textId="77777777" w:rsidR="00A7521D" w:rsidRPr="00995C3D" w:rsidRDefault="00A7521D" w:rsidP="00A7521D">
            <w:pPr>
              <w:spacing w:after="0" w:line="240" w:lineRule="auto"/>
              <w:jc w:val="center"/>
              <w:rPr>
                <w:rFonts w:cs="Calibri"/>
                <w:color w:val="000000"/>
              </w:rPr>
            </w:pPr>
            <w:r w:rsidRPr="00995C3D">
              <w:rPr>
                <w:rFonts w:cs="Calibri"/>
                <w:color w:val="000000"/>
              </w:rPr>
              <w:t>35</w:t>
            </w:r>
          </w:p>
        </w:tc>
        <w:tc>
          <w:tcPr>
            <w:tcW w:w="1014" w:type="dxa"/>
          </w:tcPr>
          <w:p w14:paraId="2553E1B5" w14:textId="77777777" w:rsidR="00A7521D" w:rsidRPr="00995C3D" w:rsidRDefault="00A7521D" w:rsidP="00A7521D">
            <w:pPr>
              <w:spacing w:after="0" w:line="240" w:lineRule="auto"/>
              <w:jc w:val="center"/>
              <w:rPr>
                <w:rFonts w:cs="Calibri"/>
                <w:color w:val="000000"/>
              </w:rPr>
            </w:pPr>
            <w:r w:rsidRPr="00995C3D">
              <w:rPr>
                <w:rFonts w:cs="Calibri"/>
                <w:color w:val="000000"/>
              </w:rPr>
              <w:t>14</w:t>
            </w:r>
          </w:p>
        </w:tc>
        <w:tc>
          <w:tcPr>
            <w:tcW w:w="844" w:type="dxa"/>
          </w:tcPr>
          <w:p w14:paraId="1E06A091" w14:textId="77777777" w:rsidR="00A7521D" w:rsidRPr="00995C3D" w:rsidRDefault="00A7521D" w:rsidP="00A7521D">
            <w:pPr>
              <w:spacing w:after="0" w:line="240" w:lineRule="auto"/>
              <w:jc w:val="center"/>
              <w:rPr>
                <w:rFonts w:cs="Calibri"/>
                <w:color w:val="000000"/>
              </w:rPr>
            </w:pPr>
            <w:r w:rsidRPr="00995C3D">
              <w:rPr>
                <w:rFonts w:cs="Calibri"/>
                <w:color w:val="000000"/>
              </w:rPr>
              <w:t>20</w:t>
            </w:r>
          </w:p>
        </w:tc>
      </w:tr>
      <w:tr w:rsidR="00A7521D" w:rsidRPr="00995C3D" w14:paraId="45A80359" w14:textId="77777777" w:rsidTr="00A7521D">
        <w:trPr>
          <w:jc w:val="center"/>
        </w:trPr>
        <w:tc>
          <w:tcPr>
            <w:tcW w:w="2511" w:type="dxa"/>
          </w:tcPr>
          <w:p w14:paraId="6C72865C" w14:textId="77777777" w:rsidR="00A7521D" w:rsidRPr="00995C3D" w:rsidRDefault="00A7521D" w:rsidP="00A7521D">
            <w:pPr>
              <w:spacing w:after="0" w:line="240" w:lineRule="auto"/>
              <w:jc w:val="center"/>
              <w:rPr>
                <w:rFonts w:cs="Calibri"/>
                <w:color w:val="000000"/>
              </w:rPr>
            </w:pPr>
            <w:r w:rsidRPr="00995C3D">
              <w:rPr>
                <w:rFonts w:cs="Calibri"/>
                <w:color w:val="000000"/>
              </w:rPr>
              <w:t>Queen’s arms</w:t>
            </w:r>
          </w:p>
        </w:tc>
        <w:tc>
          <w:tcPr>
            <w:tcW w:w="1322" w:type="dxa"/>
          </w:tcPr>
          <w:p w14:paraId="00997109" w14:textId="77777777" w:rsidR="00A7521D" w:rsidRPr="00995C3D" w:rsidRDefault="00A7521D" w:rsidP="00A7521D">
            <w:pPr>
              <w:spacing w:after="0" w:line="240" w:lineRule="auto"/>
              <w:jc w:val="center"/>
            </w:pPr>
            <w:r w:rsidRPr="00995C3D">
              <w:t>DE45 1DS</w:t>
            </w:r>
          </w:p>
        </w:tc>
        <w:tc>
          <w:tcPr>
            <w:tcW w:w="1065" w:type="dxa"/>
          </w:tcPr>
          <w:p w14:paraId="19921241" w14:textId="77777777" w:rsidR="00A7521D" w:rsidRPr="00995C3D" w:rsidRDefault="00A7521D" w:rsidP="00A7521D">
            <w:pPr>
              <w:spacing w:after="0" w:line="240" w:lineRule="auto"/>
              <w:jc w:val="center"/>
              <w:rPr>
                <w:rFonts w:cs="Calibri"/>
                <w:color w:val="000000"/>
              </w:rPr>
            </w:pPr>
            <w:r w:rsidRPr="00995C3D">
              <w:rPr>
                <w:rFonts w:cs="Calibri"/>
                <w:color w:val="000000"/>
              </w:rPr>
              <w:t>8</w:t>
            </w:r>
          </w:p>
        </w:tc>
        <w:tc>
          <w:tcPr>
            <w:tcW w:w="1196" w:type="dxa"/>
          </w:tcPr>
          <w:p w14:paraId="13D312FF" w14:textId="77777777" w:rsidR="00A7521D" w:rsidRPr="00995C3D" w:rsidRDefault="00A7521D" w:rsidP="00A7521D">
            <w:pPr>
              <w:spacing w:after="0" w:line="240" w:lineRule="auto"/>
              <w:jc w:val="center"/>
              <w:rPr>
                <w:rFonts w:cs="Calibri"/>
                <w:color w:val="000000"/>
              </w:rPr>
            </w:pPr>
            <w:r w:rsidRPr="00995C3D">
              <w:rPr>
                <w:rFonts w:cs="Calibri"/>
                <w:color w:val="000000"/>
              </w:rPr>
              <w:t>416</w:t>
            </w:r>
          </w:p>
        </w:tc>
        <w:tc>
          <w:tcPr>
            <w:tcW w:w="1841" w:type="dxa"/>
          </w:tcPr>
          <w:p w14:paraId="238C7547" w14:textId="77777777" w:rsidR="00A7521D" w:rsidRPr="00995C3D" w:rsidRDefault="00A7521D" w:rsidP="00A7521D">
            <w:pPr>
              <w:spacing w:after="0" w:line="240" w:lineRule="auto"/>
              <w:jc w:val="center"/>
              <w:rPr>
                <w:rFonts w:cs="Calibri"/>
                <w:color w:val="000000"/>
              </w:rPr>
            </w:pPr>
            <w:r w:rsidRPr="00995C3D">
              <w:rPr>
                <w:rFonts w:cs="Calibri"/>
                <w:color w:val="000000"/>
              </w:rPr>
              <w:t>50</w:t>
            </w:r>
          </w:p>
        </w:tc>
        <w:tc>
          <w:tcPr>
            <w:tcW w:w="1014" w:type="dxa"/>
          </w:tcPr>
          <w:p w14:paraId="5E7BDC33" w14:textId="77777777" w:rsidR="00A7521D" w:rsidRPr="00995C3D" w:rsidRDefault="00A7521D" w:rsidP="00A7521D">
            <w:pPr>
              <w:spacing w:after="0" w:line="240" w:lineRule="auto"/>
              <w:jc w:val="center"/>
              <w:rPr>
                <w:rFonts w:cs="Calibri"/>
                <w:color w:val="000000"/>
              </w:rPr>
            </w:pPr>
            <w:r w:rsidRPr="00995C3D">
              <w:rPr>
                <w:rFonts w:cs="Calibri"/>
                <w:color w:val="000000"/>
              </w:rPr>
              <w:t>20</w:t>
            </w:r>
          </w:p>
        </w:tc>
        <w:tc>
          <w:tcPr>
            <w:tcW w:w="844" w:type="dxa"/>
          </w:tcPr>
          <w:p w14:paraId="50BB89F3" w14:textId="77777777" w:rsidR="00A7521D" w:rsidRPr="00995C3D" w:rsidRDefault="00A7521D" w:rsidP="00A7521D">
            <w:pPr>
              <w:spacing w:after="0" w:line="240" w:lineRule="auto"/>
              <w:jc w:val="center"/>
              <w:rPr>
                <w:rFonts w:cs="Calibri"/>
                <w:color w:val="000000"/>
              </w:rPr>
            </w:pPr>
            <w:r w:rsidRPr="00995C3D">
              <w:rPr>
                <w:rFonts w:cs="Calibri"/>
                <w:color w:val="000000"/>
              </w:rPr>
              <w:t>28</w:t>
            </w:r>
          </w:p>
        </w:tc>
      </w:tr>
      <w:tr w:rsidR="00A7521D" w:rsidRPr="00995C3D" w14:paraId="7DE6B1DB" w14:textId="77777777" w:rsidTr="00A7521D">
        <w:trPr>
          <w:jc w:val="center"/>
        </w:trPr>
        <w:tc>
          <w:tcPr>
            <w:tcW w:w="2511" w:type="dxa"/>
          </w:tcPr>
          <w:p w14:paraId="59953F87" w14:textId="77777777" w:rsidR="00A7521D" w:rsidRPr="00995C3D" w:rsidRDefault="00A7521D" w:rsidP="00A7521D">
            <w:pPr>
              <w:spacing w:after="0" w:line="240" w:lineRule="auto"/>
              <w:jc w:val="center"/>
              <w:rPr>
                <w:rFonts w:cs="Calibri"/>
                <w:color w:val="000000"/>
              </w:rPr>
            </w:pPr>
            <w:proofErr w:type="spellStart"/>
            <w:r w:rsidRPr="00995C3D">
              <w:rPr>
                <w:rFonts w:cs="Calibri"/>
                <w:color w:val="000000"/>
              </w:rPr>
              <w:t>Newholme</w:t>
            </w:r>
            <w:proofErr w:type="spellEnd"/>
            <w:r w:rsidRPr="00995C3D">
              <w:rPr>
                <w:rFonts w:cs="Calibri"/>
                <w:color w:val="000000"/>
              </w:rPr>
              <w:t xml:space="preserve"> hospital</w:t>
            </w:r>
          </w:p>
        </w:tc>
        <w:tc>
          <w:tcPr>
            <w:tcW w:w="1322" w:type="dxa"/>
          </w:tcPr>
          <w:p w14:paraId="4DB301D9" w14:textId="77777777" w:rsidR="00A7521D" w:rsidRPr="00995C3D" w:rsidRDefault="00A7521D" w:rsidP="00A7521D">
            <w:pPr>
              <w:spacing w:after="0" w:line="240" w:lineRule="auto"/>
              <w:jc w:val="center"/>
            </w:pPr>
            <w:r w:rsidRPr="00995C3D">
              <w:t>DE45 1AD</w:t>
            </w:r>
          </w:p>
        </w:tc>
        <w:tc>
          <w:tcPr>
            <w:tcW w:w="1065" w:type="dxa"/>
          </w:tcPr>
          <w:p w14:paraId="675AB992" w14:textId="77777777" w:rsidR="00A7521D" w:rsidRPr="00995C3D" w:rsidRDefault="00A7521D" w:rsidP="00A7521D">
            <w:pPr>
              <w:spacing w:after="0" w:line="240" w:lineRule="auto"/>
              <w:jc w:val="center"/>
              <w:rPr>
                <w:rFonts w:cs="Calibri"/>
                <w:color w:val="000000"/>
              </w:rPr>
            </w:pPr>
            <w:r w:rsidRPr="00995C3D">
              <w:rPr>
                <w:rFonts w:cs="Calibri"/>
                <w:color w:val="000000"/>
              </w:rPr>
              <w:t>20</w:t>
            </w:r>
          </w:p>
        </w:tc>
        <w:tc>
          <w:tcPr>
            <w:tcW w:w="1196" w:type="dxa"/>
          </w:tcPr>
          <w:p w14:paraId="1E8E0AC8" w14:textId="77777777" w:rsidR="00A7521D" w:rsidRPr="00995C3D" w:rsidRDefault="00A7521D" w:rsidP="00A7521D">
            <w:pPr>
              <w:spacing w:after="0" w:line="240" w:lineRule="auto"/>
              <w:jc w:val="center"/>
              <w:rPr>
                <w:rFonts w:cs="Calibri"/>
                <w:color w:val="000000"/>
              </w:rPr>
            </w:pPr>
            <w:r w:rsidRPr="00995C3D">
              <w:rPr>
                <w:rFonts w:cs="Calibri"/>
                <w:color w:val="000000"/>
              </w:rPr>
              <w:t>4</w:t>
            </w:r>
            <w:r>
              <w:rPr>
                <w:rFonts w:cs="Calibri"/>
                <w:color w:val="000000"/>
              </w:rPr>
              <w:t>,</w:t>
            </w:r>
            <w:r w:rsidRPr="00995C3D">
              <w:rPr>
                <w:rFonts w:cs="Calibri"/>
                <w:color w:val="000000"/>
              </w:rPr>
              <w:t>986</w:t>
            </w:r>
          </w:p>
        </w:tc>
        <w:tc>
          <w:tcPr>
            <w:tcW w:w="1841" w:type="dxa"/>
          </w:tcPr>
          <w:p w14:paraId="4A404DFB" w14:textId="77777777" w:rsidR="00A7521D" w:rsidRPr="00995C3D" w:rsidRDefault="00A7521D" w:rsidP="00A7521D">
            <w:pPr>
              <w:spacing w:after="0" w:line="240" w:lineRule="auto"/>
              <w:jc w:val="center"/>
              <w:rPr>
                <w:rFonts w:cs="Calibri"/>
                <w:color w:val="000000"/>
              </w:rPr>
            </w:pPr>
            <w:r w:rsidRPr="00995C3D">
              <w:rPr>
                <w:rFonts w:cs="Calibri"/>
                <w:color w:val="000000"/>
              </w:rPr>
              <w:t>1717</w:t>
            </w:r>
          </w:p>
        </w:tc>
        <w:tc>
          <w:tcPr>
            <w:tcW w:w="1014" w:type="dxa"/>
          </w:tcPr>
          <w:p w14:paraId="1FFC8049" w14:textId="77777777" w:rsidR="00A7521D" w:rsidRPr="00995C3D" w:rsidRDefault="00A7521D" w:rsidP="00A7521D">
            <w:pPr>
              <w:spacing w:after="0" w:line="240" w:lineRule="auto"/>
              <w:jc w:val="center"/>
              <w:rPr>
                <w:rFonts w:cs="Calibri"/>
                <w:color w:val="000000"/>
              </w:rPr>
            </w:pPr>
            <w:r w:rsidRPr="00995C3D">
              <w:rPr>
                <w:rFonts w:cs="Calibri"/>
                <w:color w:val="000000"/>
              </w:rPr>
              <w:t>262</w:t>
            </w:r>
          </w:p>
        </w:tc>
        <w:tc>
          <w:tcPr>
            <w:tcW w:w="844" w:type="dxa"/>
          </w:tcPr>
          <w:p w14:paraId="34D22BCA" w14:textId="77777777" w:rsidR="00A7521D" w:rsidRPr="00995C3D" w:rsidRDefault="00A7521D" w:rsidP="00A7521D">
            <w:pPr>
              <w:spacing w:after="0" w:line="240" w:lineRule="auto"/>
              <w:jc w:val="center"/>
              <w:rPr>
                <w:rFonts w:cs="Calibri"/>
                <w:color w:val="000000"/>
              </w:rPr>
            </w:pPr>
            <w:r w:rsidRPr="00995C3D">
              <w:rPr>
                <w:rFonts w:cs="Calibri"/>
                <w:color w:val="000000"/>
              </w:rPr>
              <w:t>468</w:t>
            </w:r>
          </w:p>
        </w:tc>
      </w:tr>
      <w:tr w:rsidR="00A7521D" w:rsidRPr="00995C3D" w14:paraId="154FD08D" w14:textId="77777777" w:rsidTr="00A7521D">
        <w:trPr>
          <w:jc w:val="center"/>
        </w:trPr>
        <w:tc>
          <w:tcPr>
            <w:tcW w:w="2511" w:type="dxa"/>
          </w:tcPr>
          <w:p w14:paraId="164217B8" w14:textId="77777777" w:rsidR="00A7521D" w:rsidRPr="00995C3D" w:rsidRDefault="00A7521D" w:rsidP="00A7521D">
            <w:pPr>
              <w:spacing w:after="0" w:line="240" w:lineRule="auto"/>
              <w:jc w:val="center"/>
              <w:rPr>
                <w:rFonts w:cs="Calibri"/>
                <w:color w:val="000000"/>
              </w:rPr>
            </w:pPr>
            <w:r w:rsidRPr="00995C3D">
              <w:rPr>
                <w:rFonts w:cs="Calibri"/>
                <w:color w:val="000000"/>
              </w:rPr>
              <w:t>Peak district national park authority</w:t>
            </w:r>
          </w:p>
        </w:tc>
        <w:tc>
          <w:tcPr>
            <w:tcW w:w="1322" w:type="dxa"/>
          </w:tcPr>
          <w:p w14:paraId="0094BCBF" w14:textId="77777777" w:rsidR="00A7521D" w:rsidRPr="00995C3D" w:rsidRDefault="00A7521D" w:rsidP="00A7521D">
            <w:pPr>
              <w:spacing w:after="0" w:line="240" w:lineRule="auto"/>
              <w:jc w:val="center"/>
            </w:pPr>
            <w:r w:rsidRPr="00995C3D">
              <w:t>DE45 1AE</w:t>
            </w:r>
          </w:p>
        </w:tc>
        <w:tc>
          <w:tcPr>
            <w:tcW w:w="1065" w:type="dxa"/>
          </w:tcPr>
          <w:p w14:paraId="6519A920" w14:textId="77777777" w:rsidR="00A7521D" w:rsidRPr="00995C3D" w:rsidRDefault="00A7521D" w:rsidP="00A7521D">
            <w:pPr>
              <w:spacing w:after="0" w:line="240" w:lineRule="auto"/>
              <w:jc w:val="center"/>
              <w:rPr>
                <w:rFonts w:cs="Calibri"/>
                <w:color w:val="000000"/>
              </w:rPr>
            </w:pPr>
            <w:r w:rsidRPr="00995C3D">
              <w:rPr>
                <w:rFonts w:cs="Calibri"/>
                <w:color w:val="000000"/>
              </w:rPr>
              <w:t>1</w:t>
            </w:r>
          </w:p>
        </w:tc>
        <w:tc>
          <w:tcPr>
            <w:tcW w:w="1196" w:type="dxa"/>
          </w:tcPr>
          <w:p w14:paraId="247A243E" w14:textId="77777777" w:rsidR="00A7521D" w:rsidRPr="00995C3D" w:rsidRDefault="00A7521D" w:rsidP="00A7521D">
            <w:pPr>
              <w:spacing w:after="0" w:line="240" w:lineRule="auto"/>
              <w:jc w:val="center"/>
              <w:rPr>
                <w:rFonts w:cs="Calibri"/>
                <w:color w:val="000000"/>
              </w:rPr>
            </w:pPr>
            <w:r w:rsidRPr="00995C3D">
              <w:rPr>
                <w:rFonts w:cs="Calibri"/>
                <w:color w:val="000000"/>
              </w:rPr>
              <w:t>1</w:t>
            </w:r>
            <w:r>
              <w:rPr>
                <w:rFonts w:cs="Calibri"/>
                <w:color w:val="000000"/>
              </w:rPr>
              <w:t>,</w:t>
            </w:r>
            <w:r w:rsidRPr="00995C3D">
              <w:rPr>
                <w:rFonts w:cs="Calibri"/>
                <w:color w:val="000000"/>
              </w:rPr>
              <w:t>994</w:t>
            </w:r>
          </w:p>
        </w:tc>
        <w:tc>
          <w:tcPr>
            <w:tcW w:w="1841" w:type="dxa"/>
          </w:tcPr>
          <w:p w14:paraId="7CCD27E0" w14:textId="77777777" w:rsidR="00A7521D" w:rsidRPr="00995C3D" w:rsidRDefault="00A7521D" w:rsidP="00A7521D">
            <w:pPr>
              <w:spacing w:after="0" w:line="240" w:lineRule="auto"/>
              <w:jc w:val="center"/>
              <w:rPr>
                <w:rFonts w:cs="Calibri"/>
                <w:color w:val="000000"/>
              </w:rPr>
            </w:pPr>
            <w:r w:rsidRPr="00995C3D">
              <w:rPr>
                <w:rFonts w:cs="Calibri"/>
                <w:color w:val="000000"/>
              </w:rPr>
              <w:t>216</w:t>
            </w:r>
          </w:p>
        </w:tc>
        <w:tc>
          <w:tcPr>
            <w:tcW w:w="1014" w:type="dxa"/>
          </w:tcPr>
          <w:p w14:paraId="657FB5E8" w14:textId="77777777" w:rsidR="00A7521D" w:rsidRPr="00995C3D" w:rsidRDefault="00A7521D" w:rsidP="00A7521D">
            <w:pPr>
              <w:spacing w:after="0" w:line="240" w:lineRule="auto"/>
              <w:jc w:val="center"/>
              <w:rPr>
                <w:rFonts w:cs="Calibri"/>
                <w:color w:val="000000"/>
              </w:rPr>
            </w:pPr>
            <w:r w:rsidRPr="00995C3D">
              <w:rPr>
                <w:rFonts w:cs="Calibri"/>
                <w:color w:val="000000"/>
              </w:rPr>
              <w:t>85</w:t>
            </w:r>
          </w:p>
        </w:tc>
        <w:tc>
          <w:tcPr>
            <w:tcW w:w="844" w:type="dxa"/>
          </w:tcPr>
          <w:p w14:paraId="6F727718" w14:textId="77777777" w:rsidR="00A7521D" w:rsidRPr="00995C3D" w:rsidRDefault="00A7521D" w:rsidP="00A7521D">
            <w:pPr>
              <w:spacing w:after="0" w:line="240" w:lineRule="auto"/>
              <w:jc w:val="center"/>
              <w:rPr>
                <w:rFonts w:cs="Calibri"/>
                <w:color w:val="000000"/>
              </w:rPr>
            </w:pPr>
            <w:r w:rsidRPr="00995C3D">
              <w:rPr>
                <w:rFonts w:cs="Calibri"/>
                <w:color w:val="000000"/>
              </w:rPr>
              <w:t>378</w:t>
            </w:r>
          </w:p>
        </w:tc>
      </w:tr>
      <w:tr w:rsidR="00A7521D" w:rsidRPr="00995C3D" w14:paraId="3EE52C4B" w14:textId="77777777" w:rsidTr="00A7521D">
        <w:trPr>
          <w:jc w:val="center"/>
        </w:trPr>
        <w:tc>
          <w:tcPr>
            <w:tcW w:w="2511" w:type="dxa"/>
          </w:tcPr>
          <w:p w14:paraId="32007C60" w14:textId="77777777" w:rsidR="00A7521D" w:rsidRPr="00995C3D" w:rsidRDefault="00A7521D" w:rsidP="00A7521D">
            <w:pPr>
              <w:spacing w:after="0" w:line="240" w:lineRule="auto"/>
              <w:jc w:val="center"/>
              <w:rPr>
                <w:rFonts w:cs="Calibri"/>
                <w:color w:val="000000"/>
              </w:rPr>
            </w:pPr>
            <w:r w:rsidRPr="00995C3D">
              <w:rPr>
                <w:rFonts w:cs="Calibri"/>
                <w:color w:val="000000"/>
              </w:rPr>
              <w:t>Burton close</w:t>
            </w:r>
          </w:p>
        </w:tc>
        <w:tc>
          <w:tcPr>
            <w:tcW w:w="1322" w:type="dxa"/>
          </w:tcPr>
          <w:p w14:paraId="57B04FD5" w14:textId="77777777" w:rsidR="00A7521D" w:rsidRPr="00995C3D" w:rsidRDefault="00A7521D" w:rsidP="00A7521D">
            <w:pPr>
              <w:spacing w:after="0" w:line="240" w:lineRule="auto"/>
              <w:jc w:val="center"/>
            </w:pPr>
            <w:r w:rsidRPr="00995C3D">
              <w:t>DE45 1BG</w:t>
            </w:r>
          </w:p>
        </w:tc>
        <w:tc>
          <w:tcPr>
            <w:tcW w:w="1065" w:type="dxa"/>
          </w:tcPr>
          <w:p w14:paraId="21F379DE" w14:textId="77777777" w:rsidR="00A7521D" w:rsidRPr="00995C3D" w:rsidRDefault="00A7521D" w:rsidP="00A7521D">
            <w:pPr>
              <w:spacing w:after="0" w:line="240" w:lineRule="auto"/>
              <w:jc w:val="center"/>
              <w:rPr>
                <w:rFonts w:cs="Calibri"/>
                <w:color w:val="000000"/>
              </w:rPr>
            </w:pPr>
            <w:r w:rsidRPr="00995C3D">
              <w:rPr>
                <w:rFonts w:cs="Calibri"/>
                <w:color w:val="000000"/>
              </w:rPr>
              <w:t>21</w:t>
            </w:r>
          </w:p>
        </w:tc>
        <w:tc>
          <w:tcPr>
            <w:tcW w:w="1196" w:type="dxa"/>
          </w:tcPr>
          <w:p w14:paraId="14970B2C" w14:textId="77777777" w:rsidR="00A7521D" w:rsidRPr="00995C3D" w:rsidRDefault="00A7521D" w:rsidP="00A7521D">
            <w:pPr>
              <w:spacing w:after="0" w:line="240" w:lineRule="auto"/>
              <w:jc w:val="center"/>
              <w:rPr>
                <w:rFonts w:cs="Calibri"/>
                <w:color w:val="000000"/>
              </w:rPr>
            </w:pPr>
            <w:r w:rsidRPr="00995C3D">
              <w:rPr>
                <w:rFonts w:cs="Calibri"/>
                <w:color w:val="000000"/>
              </w:rPr>
              <w:t>2</w:t>
            </w:r>
            <w:r>
              <w:rPr>
                <w:rFonts w:cs="Calibri"/>
                <w:color w:val="000000"/>
              </w:rPr>
              <w:t>,</w:t>
            </w:r>
            <w:r w:rsidRPr="00995C3D">
              <w:rPr>
                <w:rFonts w:cs="Calibri"/>
                <w:color w:val="000000"/>
              </w:rPr>
              <w:t>493</w:t>
            </w:r>
          </w:p>
        </w:tc>
        <w:tc>
          <w:tcPr>
            <w:tcW w:w="1841" w:type="dxa"/>
          </w:tcPr>
          <w:p w14:paraId="01946271" w14:textId="77777777" w:rsidR="00A7521D" w:rsidRPr="00995C3D" w:rsidRDefault="00A7521D" w:rsidP="00A7521D">
            <w:pPr>
              <w:spacing w:after="0" w:line="240" w:lineRule="auto"/>
              <w:jc w:val="center"/>
              <w:rPr>
                <w:rFonts w:cs="Calibri"/>
                <w:color w:val="000000"/>
              </w:rPr>
            </w:pPr>
            <w:r w:rsidRPr="00995C3D">
              <w:rPr>
                <w:rFonts w:cs="Calibri"/>
                <w:color w:val="000000"/>
              </w:rPr>
              <w:t>759</w:t>
            </w:r>
          </w:p>
        </w:tc>
        <w:tc>
          <w:tcPr>
            <w:tcW w:w="1014" w:type="dxa"/>
          </w:tcPr>
          <w:p w14:paraId="34913928" w14:textId="77777777" w:rsidR="00A7521D" w:rsidRPr="00995C3D" w:rsidRDefault="00A7521D" w:rsidP="00A7521D">
            <w:pPr>
              <w:spacing w:after="0" w:line="240" w:lineRule="auto"/>
              <w:jc w:val="center"/>
              <w:rPr>
                <w:rFonts w:cs="Calibri"/>
                <w:color w:val="000000"/>
              </w:rPr>
            </w:pPr>
            <w:r w:rsidRPr="00995C3D">
              <w:rPr>
                <w:rFonts w:cs="Calibri"/>
                <w:color w:val="000000"/>
              </w:rPr>
              <w:t>298</w:t>
            </w:r>
          </w:p>
        </w:tc>
        <w:tc>
          <w:tcPr>
            <w:tcW w:w="844" w:type="dxa"/>
          </w:tcPr>
          <w:p w14:paraId="424A7E89" w14:textId="77777777" w:rsidR="00A7521D" w:rsidRPr="00995C3D" w:rsidRDefault="00A7521D" w:rsidP="00A7521D">
            <w:pPr>
              <w:spacing w:after="0" w:line="240" w:lineRule="auto"/>
              <w:jc w:val="center"/>
              <w:rPr>
                <w:rFonts w:cs="Calibri"/>
                <w:color w:val="000000"/>
              </w:rPr>
            </w:pPr>
            <w:r w:rsidRPr="00995C3D">
              <w:rPr>
                <w:rFonts w:cs="Calibri"/>
                <w:color w:val="000000"/>
              </w:rPr>
              <w:t>792</w:t>
            </w:r>
          </w:p>
        </w:tc>
      </w:tr>
      <w:tr w:rsidR="00A7521D" w:rsidRPr="00995C3D" w14:paraId="5AFDB72D" w14:textId="77777777" w:rsidTr="00A7521D">
        <w:trPr>
          <w:jc w:val="center"/>
        </w:trPr>
        <w:tc>
          <w:tcPr>
            <w:tcW w:w="2511" w:type="dxa"/>
          </w:tcPr>
          <w:p w14:paraId="78E10538" w14:textId="77777777" w:rsidR="00A7521D" w:rsidRPr="00995C3D" w:rsidRDefault="00A7521D" w:rsidP="00A7521D">
            <w:pPr>
              <w:spacing w:after="0" w:line="240" w:lineRule="auto"/>
              <w:jc w:val="center"/>
              <w:rPr>
                <w:rFonts w:cs="Calibri"/>
                <w:color w:val="000000"/>
              </w:rPr>
            </w:pPr>
            <w:r w:rsidRPr="00995C3D">
              <w:rPr>
                <w:rFonts w:cs="Calibri"/>
                <w:color w:val="000000"/>
              </w:rPr>
              <w:t>Dale’s housing</w:t>
            </w:r>
          </w:p>
        </w:tc>
        <w:tc>
          <w:tcPr>
            <w:tcW w:w="1322" w:type="dxa"/>
          </w:tcPr>
          <w:p w14:paraId="6B923C96" w14:textId="77777777" w:rsidR="00A7521D" w:rsidRPr="00995C3D" w:rsidRDefault="00A7521D" w:rsidP="00A7521D">
            <w:pPr>
              <w:spacing w:after="0" w:line="240" w:lineRule="auto"/>
              <w:jc w:val="center"/>
            </w:pPr>
            <w:r w:rsidRPr="00995C3D">
              <w:t>DE4 3JX</w:t>
            </w:r>
          </w:p>
        </w:tc>
        <w:tc>
          <w:tcPr>
            <w:tcW w:w="1065" w:type="dxa"/>
          </w:tcPr>
          <w:p w14:paraId="642B4173" w14:textId="77777777" w:rsidR="00A7521D" w:rsidRPr="00995C3D" w:rsidRDefault="00A7521D" w:rsidP="00A7521D">
            <w:pPr>
              <w:spacing w:after="0" w:line="240" w:lineRule="auto"/>
              <w:jc w:val="center"/>
              <w:rPr>
                <w:rFonts w:cs="Calibri"/>
                <w:color w:val="000000"/>
              </w:rPr>
            </w:pPr>
            <w:r w:rsidRPr="00995C3D">
              <w:rPr>
                <w:rFonts w:cs="Calibri"/>
                <w:color w:val="000000"/>
              </w:rPr>
              <w:t>21</w:t>
            </w:r>
          </w:p>
        </w:tc>
        <w:tc>
          <w:tcPr>
            <w:tcW w:w="1196" w:type="dxa"/>
          </w:tcPr>
          <w:p w14:paraId="6A7AB576" w14:textId="77777777" w:rsidR="00A7521D" w:rsidRPr="00995C3D" w:rsidRDefault="00A7521D" w:rsidP="00A7521D">
            <w:pPr>
              <w:spacing w:after="0" w:line="240" w:lineRule="auto"/>
              <w:jc w:val="center"/>
              <w:rPr>
                <w:rFonts w:cs="Calibri"/>
                <w:color w:val="000000"/>
              </w:rPr>
            </w:pPr>
            <w:r w:rsidRPr="00995C3D">
              <w:rPr>
                <w:rFonts w:cs="Calibri"/>
                <w:color w:val="000000"/>
              </w:rPr>
              <w:t>2</w:t>
            </w:r>
            <w:r>
              <w:rPr>
                <w:rFonts w:cs="Calibri"/>
                <w:color w:val="000000"/>
              </w:rPr>
              <w:t>,</w:t>
            </w:r>
            <w:r w:rsidRPr="00995C3D">
              <w:rPr>
                <w:rFonts w:cs="Calibri"/>
                <w:color w:val="000000"/>
              </w:rPr>
              <w:t>491</w:t>
            </w:r>
          </w:p>
        </w:tc>
        <w:tc>
          <w:tcPr>
            <w:tcW w:w="1841" w:type="dxa"/>
          </w:tcPr>
          <w:p w14:paraId="00906429" w14:textId="77777777" w:rsidR="00A7521D" w:rsidRPr="00995C3D" w:rsidRDefault="00A7521D" w:rsidP="00A7521D">
            <w:pPr>
              <w:spacing w:after="0" w:line="240" w:lineRule="auto"/>
              <w:jc w:val="center"/>
              <w:rPr>
                <w:rFonts w:cs="Calibri"/>
                <w:color w:val="000000"/>
              </w:rPr>
            </w:pPr>
            <w:r w:rsidRPr="00995C3D">
              <w:rPr>
                <w:rFonts w:cs="Calibri"/>
                <w:color w:val="000000"/>
              </w:rPr>
              <w:t>759</w:t>
            </w:r>
          </w:p>
        </w:tc>
        <w:tc>
          <w:tcPr>
            <w:tcW w:w="1014" w:type="dxa"/>
          </w:tcPr>
          <w:p w14:paraId="3E5F28C6" w14:textId="77777777" w:rsidR="00A7521D" w:rsidRPr="00995C3D" w:rsidRDefault="00A7521D" w:rsidP="00A7521D">
            <w:pPr>
              <w:spacing w:after="0" w:line="240" w:lineRule="auto"/>
              <w:jc w:val="center"/>
              <w:rPr>
                <w:rFonts w:cs="Calibri"/>
                <w:color w:val="000000"/>
              </w:rPr>
            </w:pPr>
            <w:r w:rsidRPr="00995C3D">
              <w:rPr>
                <w:rFonts w:cs="Calibri"/>
                <w:color w:val="000000"/>
              </w:rPr>
              <w:t>298</w:t>
            </w:r>
          </w:p>
        </w:tc>
        <w:tc>
          <w:tcPr>
            <w:tcW w:w="844" w:type="dxa"/>
          </w:tcPr>
          <w:p w14:paraId="63AC1064" w14:textId="77777777" w:rsidR="00A7521D" w:rsidRPr="00995C3D" w:rsidRDefault="00A7521D" w:rsidP="00A7521D">
            <w:pPr>
              <w:spacing w:after="0" w:line="240" w:lineRule="auto"/>
              <w:jc w:val="center"/>
              <w:rPr>
                <w:rFonts w:cs="Calibri"/>
                <w:color w:val="000000"/>
              </w:rPr>
            </w:pPr>
            <w:r w:rsidRPr="00995C3D">
              <w:rPr>
                <w:rFonts w:cs="Calibri"/>
                <w:color w:val="000000"/>
              </w:rPr>
              <w:t>791</w:t>
            </w:r>
          </w:p>
        </w:tc>
      </w:tr>
      <w:tr w:rsidR="00A7521D" w:rsidRPr="00995C3D" w14:paraId="40175193" w14:textId="77777777" w:rsidTr="00A7521D">
        <w:trPr>
          <w:jc w:val="center"/>
        </w:trPr>
        <w:tc>
          <w:tcPr>
            <w:tcW w:w="2511" w:type="dxa"/>
          </w:tcPr>
          <w:p w14:paraId="526913EF" w14:textId="77777777" w:rsidR="00A7521D" w:rsidRPr="00995C3D" w:rsidRDefault="00A7521D" w:rsidP="00A7521D">
            <w:pPr>
              <w:spacing w:after="0" w:line="240" w:lineRule="auto"/>
              <w:jc w:val="center"/>
              <w:rPr>
                <w:rFonts w:cs="Calibri"/>
                <w:color w:val="000000"/>
              </w:rPr>
            </w:pPr>
            <w:r w:rsidRPr="00995C3D">
              <w:rPr>
                <w:rFonts w:cs="Calibri"/>
                <w:color w:val="000000"/>
              </w:rPr>
              <w:t>Co-op</w:t>
            </w:r>
          </w:p>
        </w:tc>
        <w:tc>
          <w:tcPr>
            <w:tcW w:w="1322" w:type="dxa"/>
          </w:tcPr>
          <w:p w14:paraId="242EA8D1" w14:textId="77777777" w:rsidR="00A7521D" w:rsidRPr="00995C3D" w:rsidRDefault="00A7521D" w:rsidP="00A7521D">
            <w:pPr>
              <w:spacing w:after="0" w:line="240" w:lineRule="auto"/>
              <w:jc w:val="center"/>
            </w:pPr>
            <w:r w:rsidRPr="00995C3D">
              <w:t>DE45 1DS</w:t>
            </w:r>
          </w:p>
        </w:tc>
        <w:tc>
          <w:tcPr>
            <w:tcW w:w="1065" w:type="dxa"/>
          </w:tcPr>
          <w:p w14:paraId="2D0F3078" w14:textId="77777777" w:rsidR="00A7521D" w:rsidRPr="00995C3D" w:rsidRDefault="00A7521D" w:rsidP="00A7521D">
            <w:pPr>
              <w:spacing w:after="0" w:line="240" w:lineRule="auto"/>
              <w:jc w:val="center"/>
              <w:rPr>
                <w:rFonts w:cs="Calibri"/>
                <w:color w:val="000000"/>
              </w:rPr>
            </w:pPr>
            <w:r w:rsidRPr="00995C3D">
              <w:rPr>
                <w:rFonts w:cs="Calibri"/>
                <w:color w:val="000000"/>
              </w:rPr>
              <w:t>6</w:t>
            </w:r>
          </w:p>
        </w:tc>
        <w:tc>
          <w:tcPr>
            <w:tcW w:w="1196" w:type="dxa"/>
          </w:tcPr>
          <w:p w14:paraId="3AC33D91" w14:textId="77777777" w:rsidR="00A7521D" w:rsidRPr="00995C3D" w:rsidRDefault="00A7521D" w:rsidP="00A7521D">
            <w:pPr>
              <w:spacing w:after="0" w:line="240" w:lineRule="auto"/>
              <w:jc w:val="center"/>
              <w:rPr>
                <w:rFonts w:cs="Calibri"/>
                <w:color w:val="000000"/>
              </w:rPr>
            </w:pPr>
            <w:r w:rsidRPr="00995C3D">
              <w:rPr>
                <w:rFonts w:cs="Calibri"/>
                <w:color w:val="000000"/>
              </w:rPr>
              <w:t>1</w:t>
            </w:r>
            <w:r>
              <w:rPr>
                <w:rFonts w:cs="Calibri"/>
                <w:color w:val="000000"/>
              </w:rPr>
              <w:t>,</w:t>
            </w:r>
            <w:r w:rsidRPr="00995C3D">
              <w:rPr>
                <w:rFonts w:cs="Calibri"/>
                <w:color w:val="000000"/>
              </w:rPr>
              <w:t>702</w:t>
            </w:r>
          </w:p>
        </w:tc>
        <w:tc>
          <w:tcPr>
            <w:tcW w:w="1841" w:type="dxa"/>
          </w:tcPr>
          <w:p w14:paraId="6F1DB293" w14:textId="77777777" w:rsidR="00A7521D" w:rsidRPr="00995C3D" w:rsidRDefault="00A7521D" w:rsidP="00A7521D">
            <w:pPr>
              <w:spacing w:after="0" w:line="240" w:lineRule="auto"/>
              <w:jc w:val="center"/>
              <w:rPr>
                <w:rFonts w:cs="Calibri"/>
                <w:color w:val="000000"/>
              </w:rPr>
            </w:pPr>
            <w:r w:rsidRPr="00995C3D">
              <w:rPr>
                <w:rFonts w:cs="Calibri"/>
                <w:color w:val="000000"/>
              </w:rPr>
              <w:t>114</w:t>
            </w:r>
          </w:p>
        </w:tc>
        <w:tc>
          <w:tcPr>
            <w:tcW w:w="1014" w:type="dxa"/>
          </w:tcPr>
          <w:p w14:paraId="61589581" w14:textId="77777777" w:rsidR="00A7521D" w:rsidRPr="00995C3D" w:rsidRDefault="00A7521D" w:rsidP="00A7521D">
            <w:pPr>
              <w:spacing w:after="0" w:line="240" w:lineRule="auto"/>
              <w:jc w:val="center"/>
              <w:rPr>
                <w:rFonts w:cs="Calibri"/>
                <w:color w:val="000000"/>
              </w:rPr>
            </w:pPr>
            <w:r w:rsidRPr="00995C3D">
              <w:rPr>
                <w:rFonts w:cs="Calibri"/>
                <w:color w:val="000000"/>
              </w:rPr>
              <w:t>21</w:t>
            </w:r>
          </w:p>
        </w:tc>
        <w:tc>
          <w:tcPr>
            <w:tcW w:w="844" w:type="dxa"/>
          </w:tcPr>
          <w:p w14:paraId="1E6C697B" w14:textId="77777777" w:rsidR="00A7521D" w:rsidRPr="00995C3D" w:rsidRDefault="00A7521D" w:rsidP="00A7521D">
            <w:pPr>
              <w:spacing w:after="0" w:line="240" w:lineRule="auto"/>
              <w:jc w:val="center"/>
              <w:rPr>
                <w:rFonts w:cs="Calibri"/>
                <w:color w:val="000000"/>
              </w:rPr>
            </w:pPr>
            <w:r w:rsidRPr="00995C3D">
              <w:rPr>
                <w:rFonts w:cs="Calibri"/>
                <w:color w:val="000000"/>
              </w:rPr>
              <w:t>68</w:t>
            </w:r>
          </w:p>
        </w:tc>
      </w:tr>
      <w:tr w:rsidR="00A7521D" w:rsidRPr="00995C3D" w14:paraId="4F6AE31B" w14:textId="77777777" w:rsidTr="00A7521D">
        <w:trPr>
          <w:jc w:val="center"/>
        </w:trPr>
        <w:tc>
          <w:tcPr>
            <w:tcW w:w="2511" w:type="dxa"/>
          </w:tcPr>
          <w:p w14:paraId="59A14F97" w14:textId="77777777" w:rsidR="00A7521D" w:rsidRPr="00995C3D" w:rsidRDefault="00A7521D" w:rsidP="00A7521D">
            <w:pPr>
              <w:spacing w:after="0" w:line="240" w:lineRule="auto"/>
              <w:jc w:val="center"/>
              <w:rPr>
                <w:rFonts w:cs="Calibri"/>
                <w:color w:val="000000"/>
              </w:rPr>
            </w:pPr>
            <w:r w:rsidRPr="00995C3D">
              <w:rPr>
                <w:rFonts w:cs="Calibri"/>
                <w:color w:val="000000"/>
              </w:rPr>
              <w:t>The peacock</w:t>
            </w:r>
          </w:p>
        </w:tc>
        <w:tc>
          <w:tcPr>
            <w:tcW w:w="1322" w:type="dxa"/>
          </w:tcPr>
          <w:p w14:paraId="1C772FDF" w14:textId="77777777" w:rsidR="00A7521D" w:rsidRPr="00995C3D" w:rsidRDefault="00A7521D" w:rsidP="00A7521D">
            <w:pPr>
              <w:spacing w:after="0" w:line="240" w:lineRule="auto"/>
              <w:jc w:val="center"/>
            </w:pPr>
            <w:r w:rsidRPr="00995C3D">
              <w:t>DE45 1DS</w:t>
            </w:r>
          </w:p>
        </w:tc>
        <w:tc>
          <w:tcPr>
            <w:tcW w:w="1065" w:type="dxa"/>
          </w:tcPr>
          <w:p w14:paraId="23743396" w14:textId="77777777" w:rsidR="00A7521D" w:rsidRPr="00995C3D" w:rsidRDefault="00A7521D" w:rsidP="00A7521D">
            <w:pPr>
              <w:spacing w:after="0" w:line="240" w:lineRule="auto"/>
              <w:jc w:val="center"/>
              <w:rPr>
                <w:rFonts w:cs="Calibri"/>
                <w:color w:val="000000"/>
              </w:rPr>
            </w:pPr>
            <w:r w:rsidRPr="00995C3D">
              <w:rPr>
                <w:rFonts w:cs="Calibri"/>
                <w:color w:val="000000"/>
              </w:rPr>
              <w:t>9</w:t>
            </w:r>
          </w:p>
        </w:tc>
        <w:tc>
          <w:tcPr>
            <w:tcW w:w="1196" w:type="dxa"/>
          </w:tcPr>
          <w:p w14:paraId="3BEBD676" w14:textId="77777777" w:rsidR="00A7521D" w:rsidRPr="00995C3D" w:rsidRDefault="00A7521D" w:rsidP="00A7521D">
            <w:pPr>
              <w:spacing w:after="0" w:line="240" w:lineRule="auto"/>
              <w:jc w:val="center"/>
              <w:rPr>
                <w:rFonts w:cs="Calibri"/>
                <w:color w:val="000000"/>
              </w:rPr>
            </w:pPr>
            <w:r w:rsidRPr="00995C3D">
              <w:rPr>
                <w:rFonts w:cs="Calibri"/>
                <w:color w:val="000000"/>
              </w:rPr>
              <w:t>302</w:t>
            </w:r>
          </w:p>
        </w:tc>
        <w:tc>
          <w:tcPr>
            <w:tcW w:w="1841" w:type="dxa"/>
          </w:tcPr>
          <w:p w14:paraId="618F45F5" w14:textId="77777777" w:rsidR="00A7521D" w:rsidRPr="00995C3D" w:rsidRDefault="00A7521D" w:rsidP="00A7521D">
            <w:pPr>
              <w:spacing w:after="0" w:line="240" w:lineRule="auto"/>
              <w:jc w:val="center"/>
              <w:rPr>
                <w:rFonts w:cs="Calibri"/>
                <w:color w:val="000000"/>
              </w:rPr>
            </w:pPr>
            <w:r w:rsidRPr="00995C3D">
              <w:rPr>
                <w:rFonts w:cs="Calibri"/>
                <w:color w:val="000000"/>
              </w:rPr>
              <w:t>73</w:t>
            </w:r>
          </w:p>
        </w:tc>
        <w:tc>
          <w:tcPr>
            <w:tcW w:w="1014" w:type="dxa"/>
          </w:tcPr>
          <w:p w14:paraId="507BA0B8" w14:textId="77777777" w:rsidR="00A7521D" w:rsidRPr="00995C3D" w:rsidRDefault="00A7521D" w:rsidP="00A7521D">
            <w:pPr>
              <w:spacing w:after="0" w:line="240" w:lineRule="auto"/>
              <w:jc w:val="center"/>
              <w:rPr>
                <w:rFonts w:cs="Calibri"/>
                <w:color w:val="000000"/>
              </w:rPr>
            </w:pPr>
            <w:r w:rsidRPr="00995C3D">
              <w:rPr>
                <w:rFonts w:cs="Calibri"/>
                <w:color w:val="000000"/>
              </w:rPr>
              <w:t>20</w:t>
            </w:r>
          </w:p>
        </w:tc>
        <w:tc>
          <w:tcPr>
            <w:tcW w:w="844" w:type="dxa"/>
          </w:tcPr>
          <w:p w14:paraId="31D18F15" w14:textId="77777777" w:rsidR="00A7521D" w:rsidRPr="00995C3D" w:rsidRDefault="00A7521D" w:rsidP="00A7521D">
            <w:pPr>
              <w:spacing w:after="0" w:line="240" w:lineRule="auto"/>
              <w:jc w:val="center"/>
              <w:rPr>
                <w:rFonts w:cs="Calibri"/>
                <w:color w:val="000000"/>
              </w:rPr>
            </w:pPr>
            <w:r w:rsidRPr="00995C3D">
              <w:rPr>
                <w:rFonts w:cs="Calibri"/>
                <w:color w:val="000000"/>
              </w:rPr>
              <w:t>34</w:t>
            </w:r>
          </w:p>
        </w:tc>
      </w:tr>
      <w:tr w:rsidR="00A7521D" w:rsidRPr="00995C3D" w14:paraId="5C7CE73A" w14:textId="77777777" w:rsidTr="00A7521D">
        <w:trPr>
          <w:jc w:val="center"/>
        </w:trPr>
        <w:tc>
          <w:tcPr>
            <w:tcW w:w="2511" w:type="dxa"/>
          </w:tcPr>
          <w:p w14:paraId="529771C7" w14:textId="77777777" w:rsidR="00A7521D" w:rsidRPr="00995C3D" w:rsidRDefault="00A7521D" w:rsidP="00A7521D">
            <w:pPr>
              <w:spacing w:after="0" w:line="240" w:lineRule="auto"/>
              <w:jc w:val="center"/>
              <w:rPr>
                <w:rFonts w:cs="Calibri"/>
                <w:color w:val="000000"/>
              </w:rPr>
            </w:pPr>
            <w:r w:rsidRPr="00995C3D">
              <w:rPr>
                <w:rFonts w:cs="Calibri"/>
                <w:color w:val="000000"/>
              </w:rPr>
              <w:t>Agricultural business centre</w:t>
            </w:r>
          </w:p>
        </w:tc>
        <w:tc>
          <w:tcPr>
            <w:tcW w:w="1322" w:type="dxa"/>
          </w:tcPr>
          <w:p w14:paraId="16F4B982" w14:textId="77777777" w:rsidR="00A7521D" w:rsidRPr="00995C3D" w:rsidRDefault="00A7521D" w:rsidP="00A7521D">
            <w:pPr>
              <w:spacing w:after="0" w:line="240" w:lineRule="auto"/>
              <w:jc w:val="center"/>
            </w:pPr>
            <w:r w:rsidRPr="00995C3D">
              <w:t>DE45 1AH</w:t>
            </w:r>
          </w:p>
        </w:tc>
        <w:tc>
          <w:tcPr>
            <w:tcW w:w="1065" w:type="dxa"/>
          </w:tcPr>
          <w:p w14:paraId="457D7E60" w14:textId="77777777" w:rsidR="00A7521D" w:rsidRPr="00995C3D" w:rsidRDefault="00A7521D" w:rsidP="00A7521D">
            <w:pPr>
              <w:spacing w:after="0" w:line="240" w:lineRule="auto"/>
              <w:jc w:val="center"/>
              <w:rPr>
                <w:rFonts w:cs="Calibri"/>
                <w:color w:val="000000"/>
              </w:rPr>
            </w:pPr>
            <w:r w:rsidRPr="00995C3D">
              <w:rPr>
                <w:rFonts w:cs="Calibri"/>
                <w:color w:val="000000"/>
              </w:rPr>
              <w:t>27</w:t>
            </w:r>
          </w:p>
        </w:tc>
        <w:tc>
          <w:tcPr>
            <w:tcW w:w="1196" w:type="dxa"/>
          </w:tcPr>
          <w:p w14:paraId="7A661405" w14:textId="77777777" w:rsidR="00A7521D" w:rsidRPr="00995C3D" w:rsidRDefault="00A7521D" w:rsidP="00A7521D">
            <w:pPr>
              <w:spacing w:after="0" w:line="240" w:lineRule="auto"/>
              <w:jc w:val="center"/>
              <w:rPr>
                <w:rFonts w:cs="Calibri"/>
                <w:color w:val="000000"/>
              </w:rPr>
            </w:pPr>
            <w:r w:rsidRPr="00995C3D">
              <w:rPr>
                <w:rFonts w:cs="Calibri"/>
                <w:color w:val="000000"/>
              </w:rPr>
              <w:t>1</w:t>
            </w:r>
            <w:r>
              <w:rPr>
                <w:rFonts w:cs="Calibri"/>
                <w:color w:val="000000"/>
              </w:rPr>
              <w:t>,</w:t>
            </w:r>
            <w:r w:rsidRPr="00995C3D">
              <w:rPr>
                <w:rFonts w:cs="Calibri"/>
                <w:color w:val="000000"/>
              </w:rPr>
              <w:t>308</w:t>
            </w:r>
          </w:p>
        </w:tc>
        <w:tc>
          <w:tcPr>
            <w:tcW w:w="1841" w:type="dxa"/>
          </w:tcPr>
          <w:p w14:paraId="391AFA47" w14:textId="77777777" w:rsidR="00A7521D" w:rsidRPr="00995C3D" w:rsidRDefault="00A7521D" w:rsidP="00A7521D">
            <w:pPr>
              <w:spacing w:after="0" w:line="240" w:lineRule="auto"/>
              <w:jc w:val="center"/>
              <w:rPr>
                <w:rFonts w:cs="Calibri"/>
                <w:color w:val="000000"/>
              </w:rPr>
            </w:pPr>
            <w:r w:rsidRPr="00995C3D">
              <w:rPr>
                <w:rFonts w:cs="Calibri"/>
                <w:color w:val="000000"/>
              </w:rPr>
              <w:t>202</w:t>
            </w:r>
          </w:p>
        </w:tc>
        <w:tc>
          <w:tcPr>
            <w:tcW w:w="1014" w:type="dxa"/>
          </w:tcPr>
          <w:p w14:paraId="5B005660" w14:textId="77777777" w:rsidR="00A7521D" w:rsidRPr="00995C3D" w:rsidRDefault="00A7521D" w:rsidP="00A7521D">
            <w:pPr>
              <w:spacing w:after="0" w:line="240" w:lineRule="auto"/>
              <w:jc w:val="center"/>
              <w:rPr>
                <w:rFonts w:cs="Calibri"/>
                <w:color w:val="000000"/>
              </w:rPr>
            </w:pPr>
            <w:r w:rsidRPr="00995C3D">
              <w:rPr>
                <w:rFonts w:cs="Calibri"/>
                <w:color w:val="000000"/>
              </w:rPr>
              <w:t>79</w:t>
            </w:r>
          </w:p>
        </w:tc>
        <w:tc>
          <w:tcPr>
            <w:tcW w:w="844" w:type="dxa"/>
          </w:tcPr>
          <w:p w14:paraId="36FE7FE3" w14:textId="77777777" w:rsidR="00A7521D" w:rsidRPr="00995C3D" w:rsidRDefault="00A7521D" w:rsidP="00A7521D">
            <w:pPr>
              <w:spacing w:after="0" w:line="240" w:lineRule="auto"/>
              <w:jc w:val="center"/>
              <w:rPr>
                <w:rFonts w:cs="Calibri"/>
                <w:color w:val="000000"/>
              </w:rPr>
            </w:pPr>
            <w:r w:rsidRPr="00995C3D">
              <w:rPr>
                <w:rFonts w:cs="Calibri"/>
                <w:color w:val="000000"/>
              </w:rPr>
              <w:t>211</w:t>
            </w:r>
          </w:p>
        </w:tc>
      </w:tr>
      <w:tr w:rsidR="00A7521D" w:rsidRPr="00995C3D" w14:paraId="599804D5" w14:textId="77777777" w:rsidTr="00A7521D">
        <w:trPr>
          <w:jc w:val="center"/>
        </w:trPr>
        <w:tc>
          <w:tcPr>
            <w:tcW w:w="2511" w:type="dxa"/>
          </w:tcPr>
          <w:p w14:paraId="3EBF8C03" w14:textId="77777777" w:rsidR="00A7521D" w:rsidRPr="00995C3D" w:rsidRDefault="00A7521D" w:rsidP="00A7521D">
            <w:pPr>
              <w:spacing w:after="0" w:line="240" w:lineRule="auto"/>
              <w:jc w:val="center"/>
              <w:rPr>
                <w:rFonts w:cs="Calibri"/>
                <w:color w:val="000000"/>
              </w:rPr>
            </w:pPr>
            <w:r w:rsidRPr="00995C3D">
              <w:rPr>
                <w:rFonts w:cs="Calibri"/>
                <w:color w:val="000000"/>
              </w:rPr>
              <w:t>Pointing dog and duck</w:t>
            </w:r>
          </w:p>
        </w:tc>
        <w:tc>
          <w:tcPr>
            <w:tcW w:w="1322" w:type="dxa"/>
          </w:tcPr>
          <w:p w14:paraId="556B372A" w14:textId="77777777" w:rsidR="00A7521D" w:rsidRPr="00995C3D" w:rsidRDefault="00A7521D" w:rsidP="00A7521D">
            <w:pPr>
              <w:spacing w:after="0" w:line="240" w:lineRule="auto"/>
              <w:jc w:val="center"/>
            </w:pPr>
            <w:r w:rsidRPr="00995C3D">
              <w:t>DE45 1AQ</w:t>
            </w:r>
          </w:p>
        </w:tc>
        <w:tc>
          <w:tcPr>
            <w:tcW w:w="1065" w:type="dxa"/>
          </w:tcPr>
          <w:p w14:paraId="0D302B90" w14:textId="77777777" w:rsidR="00A7521D" w:rsidRPr="00995C3D" w:rsidRDefault="00A7521D" w:rsidP="00A7521D">
            <w:pPr>
              <w:spacing w:after="0" w:line="240" w:lineRule="auto"/>
              <w:jc w:val="center"/>
              <w:rPr>
                <w:rFonts w:cs="Calibri"/>
                <w:color w:val="000000"/>
              </w:rPr>
            </w:pPr>
            <w:r w:rsidRPr="00995C3D">
              <w:rPr>
                <w:rFonts w:cs="Calibri"/>
                <w:color w:val="000000"/>
              </w:rPr>
              <w:t>8</w:t>
            </w:r>
          </w:p>
        </w:tc>
        <w:tc>
          <w:tcPr>
            <w:tcW w:w="1196" w:type="dxa"/>
          </w:tcPr>
          <w:p w14:paraId="0C03FCF8" w14:textId="77777777" w:rsidR="00A7521D" w:rsidRPr="00995C3D" w:rsidRDefault="00A7521D" w:rsidP="00A7521D">
            <w:pPr>
              <w:spacing w:after="0" w:line="240" w:lineRule="auto"/>
              <w:jc w:val="center"/>
              <w:rPr>
                <w:rFonts w:cs="Calibri"/>
                <w:color w:val="000000"/>
              </w:rPr>
            </w:pPr>
            <w:r w:rsidRPr="00995C3D">
              <w:rPr>
                <w:rFonts w:cs="Calibri"/>
                <w:color w:val="000000"/>
              </w:rPr>
              <w:t>202</w:t>
            </w:r>
          </w:p>
        </w:tc>
        <w:tc>
          <w:tcPr>
            <w:tcW w:w="1841" w:type="dxa"/>
          </w:tcPr>
          <w:p w14:paraId="100C7EC7" w14:textId="77777777" w:rsidR="00A7521D" w:rsidRPr="00995C3D" w:rsidRDefault="00A7521D" w:rsidP="00A7521D">
            <w:pPr>
              <w:spacing w:after="0" w:line="240" w:lineRule="auto"/>
              <w:jc w:val="center"/>
              <w:rPr>
                <w:rFonts w:cs="Calibri"/>
                <w:color w:val="000000"/>
              </w:rPr>
            </w:pPr>
            <w:r w:rsidRPr="00995C3D">
              <w:rPr>
                <w:rFonts w:cs="Calibri"/>
                <w:color w:val="000000"/>
              </w:rPr>
              <w:t>24</w:t>
            </w:r>
          </w:p>
        </w:tc>
        <w:tc>
          <w:tcPr>
            <w:tcW w:w="1014" w:type="dxa"/>
          </w:tcPr>
          <w:p w14:paraId="4A68531D" w14:textId="77777777" w:rsidR="00A7521D" w:rsidRPr="00995C3D" w:rsidRDefault="00A7521D" w:rsidP="00A7521D">
            <w:pPr>
              <w:spacing w:after="0" w:line="240" w:lineRule="auto"/>
              <w:jc w:val="center"/>
              <w:rPr>
                <w:rFonts w:cs="Calibri"/>
                <w:color w:val="000000"/>
              </w:rPr>
            </w:pPr>
            <w:r w:rsidRPr="00995C3D">
              <w:rPr>
                <w:rFonts w:cs="Calibri"/>
                <w:color w:val="000000"/>
              </w:rPr>
              <w:t>10</w:t>
            </w:r>
          </w:p>
        </w:tc>
        <w:tc>
          <w:tcPr>
            <w:tcW w:w="844" w:type="dxa"/>
          </w:tcPr>
          <w:p w14:paraId="1F494991" w14:textId="77777777" w:rsidR="00A7521D" w:rsidRPr="00995C3D" w:rsidRDefault="00A7521D" w:rsidP="00A7521D">
            <w:pPr>
              <w:spacing w:after="0" w:line="240" w:lineRule="auto"/>
              <w:jc w:val="center"/>
              <w:rPr>
                <w:rFonts w:cs="Calibri"/>
                <w:color w:val="000000"/>
              </w:rPr>
            </w:pPr>
            <w:r w:rsidRPr="00995C3D">
              <w:rPr>
                <w:rFonts w:cs="Calibri"/>
                <w:color w:val="000000"/>
              </w:rPr>
              <w:t>14</w:t>
            </w:r>
          </w:p>
        </w:tc>
      </w:tr>
      <w:tr w:rsidR="00A7521D" w:rsidRPr="00995C3D" w14:paraId="32F6703E" w14:textId="77777777" w:rsidTr="00A7521D">
        <w:trPr>
          <w:jc w:val="center"/>
        </w:trPr>
        <w:tc>
          <w:tcPr>
            <w:tcW w:w="2511" w:type="dxa"/>
          </w:tcPr>
          <w:p w14:paraId="37FE5252" w14:textId="77777777" w:rsidR="00A7521D" w:rsidRPr="00995C3D" w:rsidRDefault="00A7521D" w:rsidP="00A7521D">
            <w:pPr>
              <w:spacing w:after="0" w:line="240" w:lineRule="auto"/>
              <w:jc w:val="center"/>
              <w:rPr>
                <w:rFonts w:cs="Calibri"/>
                <w:color w:val="000000"/>
              </w:rPr>
            </w:pPr>
            <w:proofErr w:type="spellStart"/>
            <w:r w:rsidRPr="00995C3D">
              <w:rPr>
                <w:rFonts w:cs="Calibri"/>
                <w:color w:val="000000"/>
              </w:rPr>
              <w:t>Mellors</w:t>
            </w:r>
            <w:proofErr w:type="spellEnd"/>
            <w:r w:rsidRPr="00995C3D">
              <w:rPr>
                <w:rFonts w:cs="Calibri"/>
                <w:color w:val="000000"/>
              </w:rPr>
              <w:t xml:space="preserve"> Elliot</w:t>
            </w:r>
          </w:p>
        </w:tc>
        <w:tc>
          <w:tcPr>
            <w:tcW w:w="1322" w:type="dxa"/>
          </w:tcPr>
          <w:p w14:paraId="32A8DFB1" w14:textId="77777777" w:rsidR="00A7521D" w:rsidRPr="00995C3D" w:rsidRDefault="00A7521D" w:rsidP="00A7521D">
            <w:pPr>
              <w:spacing w:after="0" w:line="240" w:lineRule="auto"/>
              <w:jc w:val="center"/>
            </w:pPr>
            <w:r w:rsidRPr="00995C3D">
              <w:t>DE45 1DX</w:t>
            </w:r>
          </w:p>
        </w:tc>
        <w:tc>
          <w:tcPr>
            <w:tcW w:w="1065" w:type="dxa"/>
          </w:tcPr>
          <w:p w14:paraId="139A6338" w14:textId="77777777" w:rsidR="00A7521D" w:rsidRPr="00995C3D" w:rsidRDefault="00A7521D" w:rsidP="00A7521D">
            <w:pPr>
              <w:spacing w:after="0" w:line="240" w:lineRule="auto"/>
              <w:jc w:val="center"/>
              <w:rPr>
                <w:rFonts w:cs="Calibri"/>
                <w:color w:val="000000"/>
              </w:rPr>
            </w:pPr>
            <w:r w:rsidRPr="00995C3D">
              <w:rPr>
                <w:rFonts w:cs="Calibri"/>
                <w:color w:val="000000"/>
              </w:rPr>
              <w:t>27</w:t>
            </w:r>
          </w:p>
        </w:tc>
        <w:tc>
          <w:tcPr>
            <w:tcW w:w="1196" w:type="dxa"/>
          </w:tcPr>
          <w:p w14:paraId="24DD0D9F" w14:textId="77777777" w:rsidR="00A7521D" w:rsidRPr="00995C3D" w:rsidRDefault="00A7521D" w:rsidP="00A7521D">
            <w:pPr>
              <w:spacing w:after="0" w:line="240" w:lineRule="auto"/>
              <w:jc w:val="center"/>
              <w:rPr>
                <w:rFonts w:cs="Calibri"/>
                <w:color w:val="000000"/>
              </w:rPr>
            </w:pPr>
            <w:r w:rsidRPr="00995C3D">
              <w:rPr>
                <w:rFonts w:cs="Calibri"/>
                <w:color w:val="000000"/>
              </w:rPr>
              <w:t>78</w:t>
            </w:r>
          </w:p>
        </w:tc>
        <w:tc>
          <w:tcPr>
            <w:tcW w:w="1841" w:type="dxa"/>
          </w:tcPr>
          <w:p w14:paraId="4F606208" w14:textId="77777777" w:rsidR="00A7521D" w:rsidRPr="00995C3D" w:rsidRDefault="00A7521D" w:rsidP="00A7521D">
            <w:pPr>
              <w:spacing w:after="0" w:line="240" w:lineRule="auto"/>
              <w:jc w:val="center"/>
              <w:rPr>
                <w:rFonts w:cs="Calibri"/>
                <w:color w:val="000000"/>
              </w:rPr>
            </w:pPr>
            <w:r w:rsidRPr="00995C3D">
              <w:rPr>
                <w:rFonts w:cs="Calibri"/>
                <w:color w:val="000000"/>
              </w:rPr>
              <w:t>12</w:t>
            </w:r>
          </w:p>
        </w:tc>
        <w:tc>
          <w:tcPr>
            <w:tcW w:w="1014" w:type="dxa"/>
          </w:tcPr>
          <w:p w14:paraId="3F9D9B82" w14:textId="77777777" w:rsidR="00A7521D" w:rsidRPr="00995C3D" w:rsidRDefault="00A7521D" w:rsidP="00A7521D">
            <w:pPr>
              <w:spacing w:after="0" w:line="240" w:lineRule="auto"/>
              <w:jc w:val="center"/>
              <w:rPr>
                <w:rFonts w:cs="Calibri"/>
                <w:color w:val="000000"/>
              </w:rPr>
            </w:pPr>
            <w:r w:rsidRPr="00995C3D">
              <w:rPr>
                <w:rFonts w:cs="Calibri"/>
                <w:color w:val="000000"/>
              </w:rPr>
              <w:t>5</w:t>
            </w:r>
          </w:p>
        </w:tc>
        <w:tc>
          <w:tcPr>
            <w:tcW w:w="844" w:type="dxa"/>
          </w:tcPr>
          <w:p w14:paraId="1C639276" w14:textId="77777777" w:rsidR="00A7521D" w:rsidRPr="00995C3D" w:rsidRDefault="00A7521D" w:rsidP="00A7521D">
            <w:pPr>
              <w:spacing w:after="0" w:line="240" w:lineRule="auto"/>
              <w:jc w:val="center"/>
              <w:rPr>
                <w:rFonts w:cs="Calibri"/>
                <w:color w:val="000000"/>
              </w:rPr>
            </w:pPr>
            <w:r w:rsidRPr="00995C3D">
              <w:rPr>
                <w:rFonts w:cs="Calibri"/>
                <w:color w:val="000000"/>
              </w:rPr>
              <w:t>13</w:t>
            </w:r>
          </w:p>
        </w:tc>
      </w:tr>
      <w:tr w:rsidR="00A7521D" w:rsidRPr="00995C3D" w14:paraId="2F322576" w14:textId="77777777" w:rsidTr="00A7521D">
        <w:trPr>
          <w:jc w:val="center"/>
        </w:trPr>
        <w:tc>
          <w:tcPr>
            <w:tcW w:w="2511" w:type="dxa"/>
          </w:tcPr>
          <w:p w14:paraId="333CB6EB" w14:textId="77777777" w:rsidR="00A7521D" w:rsidRPr="00995C3D" w:rsidRDefault="00A7521D" w:rsidP="00A7521D">
            <w:pPr>
              <w:spacing w:after="0" w:line="240" w:lineRule="auto"/>
              <w:jc w:val="center"/>
              <w:rPr>
                <w:rFonts w:cs="Calibri"/>
                <w:color w:val="000000"/>
              </w:rPr>
            </w:pPr>
            <w:r w:rsidRPr="00995C3D">
              <w:rPr>
                <w:rFonts w:cs="Calibri"/>
                <w:color w:val="000000"/>
              </w:rPr>
              <w:t xml:space="preserve">St </w:t>
            </w:r>
            <w:proofErr w:type="spellStart"/>
            <w:r w:rsidRPr="00995C3D">
              <w:rPr>
                <w:rFonts w:cs="Calibri"/>
                <w:color w:val="000000"/>
              </w:rPr>
              <w:t>Anselms</w:t>
            </w:r>
            <w:proofErr w:type="spellEnd"/>
            <w:r w:rsidRPr="00995C3D">
              <w:rPr>
                <w:rFonts w:cs="Calibri"/>
                <w:color w:val="000000"/>
              </w:rPr>
              <w:t xml:space="preserve"> prep school</w:t>
            </w:r>
          </w:p>
        </w:tc>
        <w:tc>
          <w:tcPr>
            <w:tcW w:w="1322" w:type="dxa"/>
          </w:tcPr>
          <w:p w14:paraId="3B421848" w14:textId="77777777" w:rsidR="00A7521D" w:rsidRPr="00995C3D" w:rsidRDefault="00A7521D" w:rsidP="00A7521D">
            <w:pPr>
              <w:spacing w:after="0" w:line="240" w:lineRule="auto"/>
              <w:jc w:val="center"/>
            </w:pPr>
            <w:r w:rsidRPr="00995C3D">
              <w:t>DE45 1DP</w:t>
            </w:r>
          </w:p>
        </w:tc>
        <w:tc>
          <w:tcPr>
            <w:tcW w:w="1065" w:type="dxa"/>
          </w:tcPr>
          <w:p w14:paraId="71AA63DC" w14:textId="77777777" w:rsidR="00A7521D" w:rsidRPr="00995C3D" w:rsidRDefault="00A7521D" w:rsidP="00A7521D">
            <w:pPr>
              <w:spacing w:after="0" w:line="240" w:lineRule="auto"/>
              <w:jc w:val="center"/>
              <w:rPr>
                <w:rFonts w:cs="Calibri"/>
                <w:color w:val="000000"/>
              </w:rPr>
            </w:pPr>
            <w:r w:rsidRPr="00995C3D">
              <w:rPr>
                <w:rFonts w:cs="Calibri"/>
                <w:color w:val="000000"/>
              </w:rPr>
              <w:t>17</w:t>
            </w:r>
          </w:p>
        </w:tc>
        <w:tc>
          <w:tcPr>
            <w:tcW w:w="1196" w:type="dxa"/>
          </w:tcPr>
          <w:p w14:paraId="30C5E9BB" w14:textId="77777777" w:rsidR="00A7521D" w:rsidRPr="00995C3D" w:rsidRDefault="00A7521D" w:rsidP="00A7521D">
            <w:pPr>
              <w:spacing w:after="0" w:line="240" w:lineRule="auto"/>
              <w:jc w:val="center"/>
              <w:rPr>
                <w:rFonts w:cs="Calibri"/>
                <w:color w:val="000000"/>
              </w:rPr>
            </w:pPr>
            <w:r w:rsidRPr="00995C3D">
              <w:rPr>
                <w:rFonts w:cs="Calibri"/>
                <w:color w:val="000000"/>
              </w:rPr>
              <w:t>1</w:t>
            </w:r>
            <w:r>
              <w:rPr>
                <w:rFonts w:cs="Calibri"/>
                <w:color w:val="000000"/>
              </w:rPr>
              <w:t>,</w:t>
            </w:r>
            <w:r w:rsidRPr="00995C3D">
              <w:rPr>
                <w:rFonts w:cs="Calibri"/>
                <w:color w:val="000000"/>
              </w:rPr>
              <w:t>551</w:t>
            </w:r>
          </w:p>
        </w:tc>
        <w:tc>
          <w:tcPr>
            <w:tcW w:w="1841" w:type="dxa"/>
          </w:tcPr>
          <w:p w14:paraId="33A479AF" w14:textId="77777777" w:rsidR="00A7521D" w:rsidRPr="00995C3D" w:rsidRDefault="00A7521D" w:rsidP="00A7521D">
            <w:pPr>
              <w:spacing w:after="0" w:line="240" w:lineRule="auto"/>
              <w:jc w:val="center"/>
              <w:rPr>
                <w:rFonts w:cs="Calibri"/>
                <w:color w:val="000000"/>
              </w:rPr>
            </w:pPr>
            <w:r w:rsidRPr="00995C3D">
              <w:rPr>
                <w:rFonts w:cs="Calibri"/>
                <w:color w:val="000000"/>
              </w:rPr>
              <w:t>214</w:t>
            </w:r>
          </w:p>
        </w:tc>
        <w:tc>
          <w:tcPr>
            <w:tcW w:w="1014" w:type="dxa"/>
          </w:tcPr>
          <w:p w14:paraId="47DD04BE" w14:textId="77777777" w:rsidR="00A7521D" w:rsidRPr="00995C3D" w:rsidRDefault="00A7521D" w:rsidP="00A7521D">
            <w:pPr>
              <w:spacing w:after="0" w:line="240" w:lineRule="auto"/>
              <w:jc w:val="center"/>
              <w:rPr>
                <w:rFonts w:cs="Calibri"/>
                <w:color w:val="000000"/>
              </w:rPr>
            </w:pPr>
            <w:r w:rsidRPr="00995C3D">
              <w:rPr>
                <w:rFonts w:cs="Calibri"/>
                <w:color w:val="000000"/>
              </w:rPr>
              <w:t>116</w:t>
            </w:r>
          </w:p>
        </w:tc>
        <w:tc>
          <w:tcPr>
            <w:tcW w:w="844" w:type="dxa"/>
          </w:tcPr>
          <w:p w14:paraId="050BC285" w14:textId="77777777" w:rsidR="00A7521D" w:rsidRPr="00995C3D" w:rsidRDefault="00A7521D" w:rsidP="00A7521D">
            <w:pPr>
              <w:spacing w:after="0" w:line="240" w:lineRule="auto"/>
              <w:jc w:val="center"/>
              <w:rPr>
                <w:rFonts w:cs="Calibri"/>
                <w:color w:val="000000"/>
              </w:rPr>
            </w:pPr>
            <w:r w:rsidRPr="00995C3D">
              <w:rPr>
                <w:rFonts w:cs="Calibri"/>
                <w:color w:val="000000"/>
              </w:rPr>
              <w:t>647</w:t>
            </w:r>
          </w:p>
        </w:tc>
      </w:tr>
      <w:tr w:rsidR="00A7521D" w:rsidRPr="00995C3D" w14:paraId="69645303" w14:textId="77777777" w:rsidTr="00A7521D">
        <w:trPr>
          <w:jc w:val="center"/>
        </w:trPr>
        <w:tc>
          <w:tcPr>
            <w:tcW w:w="2511" w:type="dxa"/>
          </w:tcPr>
          <w:p w14:paraId="31D3DBBC" w14:textId="77777777" w:rsidR="00A7521D" w:rsidRPr="00995C3D" w:rsidRDefault="00A7521D" w:rsidP="00A7521D">
            <w:pPr>
              <w:spacing w:after="0" w:line="240" w:lineRule="auto"/>
              <w:jc w:val="center"/>
              <w:rPr>
                <w:rFonts w:cs="Calibri"/>
                <w:color w:val="000000"/>
              </w:rPr>
            </w:pPr>
            <w:r w:rsidRPr="00995C3D">
              <w:rPr>
                <w:rFonts w:cs="Calibri"/>
                <w:color w:val="000000"/>
              </w:rPr>
              <w:t>Lady manners school</w:t>
            </w:r>
          </w:p>
        </w:tc>
        <w:tc>
          <w:tcPr>
            <w:tcW w:w="1322" w:type="dxa"/>
          </w:tcPr>
          <w:p w14:paraId="27A19A28" w14:textId="77777777" w:rsidR="00A7521D" w:rsidRPr="00995C3D" w:rsidRDefault="00A7521D" w:rsidP="00A7521D">
            <w:pPr>
              <w:spacing w:after="0" w:line="240" w:lineRule="auto"/>
              <w:jc w:val="center"/>
            </w:pPr>
            <w:r w:rsidRPr="00995C3D">
              <w:t>DE45 1JA</w:t>
            </w:r>
          </w:p>
        </w:tc>
        <w:tc>
          <w:tcPr>
            <w:tcW w:w="1065" w:type="dxa"/>
          </w:tcPr>
          <w:p w14:paraId="7DA3C8B8" w14:textId="77777777" w:rsidR="00A7521D" w:rsidRPr="00995C3D" w:rsidRDefault="00A7521D" w:rsidP="00A7521D">
            <w:pPr>
              <w:spacing w:after="0" w:line="240" w:lineRule="auto"/>
              <w:jc w:val="center"/>
              <w:rPr>
                <w:rFonts w:cs="Calibri"/>
                <w:color w:val="000000"/>
              </w:rPr>
            </w:pPr>
            <w:r w:rsidRPr="00995C3D">
              <w:rPr>
                <w:rFonts w:cs="Calibri"/>
                <w:color w:val="000000"/>
              </w:rPr>
              <w:t>17</w:t>
            </w:r>
          </w:p>
        </w:tc>
        <w:tc>
          <w:tcPr>
            <w:tcW w:w="1196" w:type="dxa"/>
          </w:tcPr>
          <w:p w14:paraId="0F583308" w14:textId="77777777" w:rsidR="00A7521D" w:rsidRPr="00995C3D" w:rsidRDefault="00A7521D" w:rsidP="00A7521D">
            <w:pPr>
              <w:spacing w:after="0" w:line="240" w:lineRule="auto"/>
              <w:jc w:val="center"/>
              <w:rPr>
                <w:rFonts w:cs="Calibri"/>
                <w:color w:val="000000"/>
              </w:rPr>
            </w:pPr>
            <w:r w:rsidRPr="00995C3D">
              <w:rPr>
                <w:rFonts w:cs="Calibri"/>
                <w:color w:val="000000"/>
              </w:rPr>
              <w:t>166</w:t>
            </w:r>
          </w:p>
        </w:tc>
        <w:tc>
          <w:tcPr>
            <w:tcW w:w="1841" w:type="dxa"/>
          </w:tcPr>
          <w:p w14:paraId="45AA7ADE" w14:textId="77777777" w:rsidR="00A7521D" w:rsidRPr="00995C3D" w:rsidRDefault="00A7521D" w:rsidP="00A7521D">
            <w:pPr>
              <w:spacing w:after="0" w:line="240" w:lineRule="auto"/>
              <w:jc w:val="center"/>
              <w:rPr>
                <w:rFonts w:cs="Calibri"/>
                <w:color w:val="000000"/>
              </w:rPr>
            </w:pPr>
            <w:r w:rsidRPr="00995C3D">
              <w:rPr>
                <w:rFonts w:cs="Calibri"/>
                <w:color w:val="000000"/>
              </w:rPr>
              <w:t>23</w:t>
            </w:r>
          </w:p>
        </w:tc>
        <w:tc>
          <w:tcPr>
            <w:tcW w:w="1014" w:type="dxa"/>
          </w:tcPr>
          <w:p w14:paraId="383882FF" w14:textId="77777777" w:rsidR="00A7521D" w:rsidRPr="00995C3D" w:rsidRDefault="00A7521D" w:rsidP="00A7521D">
            <w:pPr>
              <w:spacing w:after="0" w:line="240" w:lineRule="auto"/>
              <w:jc w:val="center"/>
              <w:rPr>
                <w:rFonts w:cs="Calibri"/>
                <w:color w:val="000000"/>
              </w:rPr>
            </w:pPr>
            <w:r w:rsidRPr="00995C3D">
              <w:rPr>
                <w:rFonts w:cs="Calibri"/>
                <w:color w:val="000000"/>
              </w:rPr>
              <w:t>12</w:t>
            </w:r>
          </w:p>
        </w:tc>
        <w:tc>
          <w:tcPr>
            <w:tcW w:w="844" w:type="dxa"/>
          </w:tcPr>
          <w:p w14:paraId="6B063D23" w14:textId="77777777" w:rsidR="00A7521D" w:rsidRPr="00995C3D" w:rsidRDefault="00A7521D" w:rsidP="00A7521D">
            <w:pPr>
              <w:spacing w:after="0" w:line="240" w:lineRule="auto"/>
              <w:jc w:val="center"/>
              <w:rPr>
                <w:rFonts w:cs="Calibri"/>
                <w:color w:val="000000"/>
              </w:rPr>
            </w:pPr>
            <w:r w:rsidRPr="00995C3D">
              <w:rPr>
                <w:rFonts w:cs="Calibri"/>
                <w:color w:val="000000"/>
              </w:rPr>
              <w:t>69</w:t>
            </w:r>
          </w:p>
        </w:tc>
      </w:tr>
      <w:tr w:rsidR="00A7521D" w:rsidRPr="00995C3D" w14:paraId="7652F59F" w14:textId="77777777" w:rsidTr="00A7521D">
        <w:trPr>
          <w:jc w:val="center"/>
        </w:trPr>
        <w:tc>
          <w:tcPr>
            <w:tcW w:w="2511" w:type="dxa"/>
          </w:tcPr>
          <w:p w14:paraId="48D17820" w14:textId="77777777" w:rsidR="00A7521D" w:rsidRPr="00995C3D" w:rsidRDefault="00A7521D" w:rsidP="00A7521D">
            <w:pPr>
              <w:spacing w:after="0" w:line="240" w:lineRule="auto"/>
              <w:jc w:val="center"/>
              <w:rPr>
                <w:rFonts w:cs="Calibri"/>
                <w:color w:val="000000"/>
              </w:rPr>
            </w:pPr>
            <w:r w:rsidRPr="00995C3D">
              <w:rPr>
                <w:rFonts w:cs="Calibri"/>
                <w:color w:val="000000"/>
              </w:rPr>
              <w:t>The old vicarage</w:t>
            </w:r>
          </w:p>
        </w:tc>
        <w:tc>
          <w:tcPr>
            <w:tcW w:w="1322" w:type="dxa"/>
          </w:tcPr>
          <w:p w14:paraId="26FA3BE4" w14:textId="77777777" w:rsidR="00A7521D" w:rsidRPr="00995C3D" w:rsidRDefault="00A7521D" w:rsidP="00A7521D">
            <w:pPr>
              <w:spacing w:after="0" w:line="240" w:lineRule="auto"/>
              <w:jc w:val="center"/>
            </w:pPr>
            <w:r w:rsidRPr="00995C3D">
              <w:t>DE45 1FJ</w:t>
            </w:r>
          </w:p>
        </w:tc>
        <w:tc>
          <w:tcPr>
            <w:tcW w:w="1065" w:type="dxa"/>
          </w:tcPr>
          <w:p w14:paraId="68D8729E" w14:textId="77777777" w:rsidR="00A7521D" w:rsidRPr="00995C3D" w:rsidRDefault="00A7521D" w:rsidP="00A7521D">
            <w:pPr>
              <w:spacing w:after="0" w:line="240" w:lineRule="auto"/>
              <w:jc w:val="center"/>
              <w:rPr>
                <w:rFonts w:cs="Calibri"/>
                <w:color w:val="000000"/>
              </w:rPr>
            </w:pPr>
            <w:r w:rsidRPr="00995C3D">
              <w:rPr>
                <w:rFonts w:cs="Calibri"/>
                <w:color w:val="000000"/>
              </w:rPr>
              <w:t>21</w:t>
            </w:r>
          </w:p>
        </w:tc>
        <w:tc>
          <w:tcPr>
            <w:tcW w:w="1196" w:type="dxa"/>
          </w:tcPr>
          <w:p w14:paraId="52B1FA9A" w14:textId="77777777" w:rsidR="00A7521D" w:rsidRPr="00995C3D" w:rsidRDefault="00A7521D" w:rsidP="00A7521D">
            <w:pPr>
              <w:spacing w:after="0" w:line="240" w:lineRule="auto"/>
              <w:jc w:val="center"/>
              <w:rPr>
                <w:rFonts w:cs="Calibri"/>
                <w:color w:val="000000"/>
              </w:rPr>
            </w:pPr>
            <w:r w:rsidRPr="00995C3D">
              <w:rPr>
                <w:rFonts w:cs="Calibri"/>
                <w:color w:val="000000"/>
              </w:rPr>
              <w:t>111</w:t>
            </w:r>
          </w:p>
        </w:tc>
        <w:tc>
          <w:tcPr>
            <w:tcW w:w="1841" w:type="dxa"/>
          </w:tcPr>
          <w:p w14:paraId="10E7D2AB" w14:textId="77777777" w:rsidR="00A7521D" w:rsidRPr="00995C3D" w:rsidRDefault="00A7521D" w:rsidP="00A7521D">
            <w:pPr>
              <w:spacing w:after="0" w:line="240" w:lineRule="auto"/>
              <w:jc w:val="center"/>
              <w:rPr>
                <w:rFonts w:cs="Calibri"/>
                <w:color w:val="000000"/>
              </w:rPr>
            </w:pPr>
            <w:r w:rsidRPr="00995C3D">
              <w:rPr>
                <w:rFonts w:cs="Calibri"/>
                <w:color w:val="000000"/>
              </w:rPr>
              <w:t>34</w:t>
            </w:r>
          </w:p>
        </w:tc>
        <w:tc>
          <w:tcPr>
            <w:tcW w:w="1014" w:type="dxa"/>
          </w:tcPr>
          <w:p w14:paraId="2889B31A" w14:textId="77777777" w:rsidR="00A7521D" w:rsidRPr="00995C3D" w:rsidRDefault="00A7521D" w:rsidP="00A7521D">
            <w:pPr>
              <w:spacing w:after="0" w:line="240" w:lineRule="auto"/>
              <w:jc w:val="center"/>
              <w:rPr>
                <w:rFonts w:cs="Calibri"/>
                <w:color w:val="000000"/>
              </w:rPr>
            </w:pPr>
            <w:r w:rsidRPr="00995C3D">
              <w:rPr>
                <w:rFonts w:cs="Calibri"/>
                <w:color w:val="000000"/>
              </w:rPr>
              <w:t>13</w:t>
            </w:r>
          </w:p>
        </w:tc>
        <w:tc>
          <w:tcPr>
            <w:tcW w:w="844" w:type="dxa"/>
          </w:tcPr>
          <w:p w14:paraId="45A8C323" w14:textId="77777777" w:rsidR="00A7521D" w:rsidRPr="00995C3D" w:rsidRDefault="00A7521D" w:rsidP="00A7521D">
            <w:pPr>
              <w:spacing w:after="0" w:line="240" w:lineRule="auto"/>
              <w:jc w:val="center"/>
              <w:rPr>
                <w:rFonts w:cs="Calibri"/>
                <w:color w:val="000000"/>
              </w:rPr>
            </w:pPr>
            <w:r w:rsidRPr="00995C3D">
              <w:rPr>
                <w:rFonts w:cs="Calibri"/>
                <w:color w:val="000000"/>
              </w:rPr>
              <w:t>35</w:t>
            </w:r>
          </w:p>
        </w:tc>
      </w:tr>
      <w:tr w:rsidR="00A7521D" w:rsidRPr="00995C3D" w14:paraId="7D2AB281" w14:textId="77777777" w:rsidTr="00A7521D">
        <w:trPr>
          <w:jc w:val="center"/>
        </w:trPr>
        <w:tc>
          <w:tcPr>
            <w:tcW w:w="2511" w:type="dxa"/>
          </w:tcPr>
          <w:p w14:paraId="67A5C1C8" w14:textId="77777777" w:rsidR="00A7521D" w:rsidRPr="00995C3D" w:rsidRDefault="00A7521D" w:rsidP="00A7521D">
            <w:pPr>
              <w:spacing w:after="0" w:line="240" w:lineRule="auto"/>
              <w:jc w:val="center"/>
              <w:rPr>
                <w:rFonts w:cs="Calibri"/>
                <w:color w:val="000000"/>
              </w:rPr>
            </w:pPr>
            <w:r w:rsidRPr="00995C3D">
              <w:rPr>
                <w:rFonts w:cs="Calibri"/>
                <w:color w:val="000000"/>
              </w:rPr>
              <w:t>Ashford arms</w:t>
            </w:r>
          </w:p>
        </w:tc>
        <w:tc>
          <w:tcPr>
            <w:tcW w:w="1322" w:type="dxa"/>
          </w:tcPr>
          <w:p w14:paraId="5D07FA95" w14:textId="77777777" w:rsidR="00A7521D" w:rsidRPr="00995C3D" w:rsidRDefault="00A7521D" w:rsidP="00A7521D">
            <w:pPr>
              <w:spacing w:after="0" w:line="240" w:lineRule="auto"/>
              <w:jc w:val="center"/>
            </w:pPr>
            <w:r w:rsidRPr="00995C3D">
              <w:t>DE45 1QB</w:t>
            </w:r>
          </w:p>
        </w:tc>
        <w:tc>
          <w:tcPr>
            <w:tcW w:w="1065" w:type="dxa"/>
          </w:tcPr>
          <w:p w14:paraId="162519AC" w14:textId="77777777" w:rsidR="00A7521D" w:rsidRPr="00995C3D" w:rsidRDefault="00A7521D" w:rsidP="00A7521D">
            <w:pPr>
              <w:spacing w:after="0" w:line="240" w:lineRule="auto"/>
              <w:jc w:val="center"/>
              <w:rPr>
                <w:rFonts w:cs="Calibri"/>
                <w:color w:val="000000"/>
              </w:rPr>
            </w:pPr>
            <w:r w:rsidRPr="00995C3D">
              <w:rPr>
                <w:rFonts w:cs="Calibri"/>
                <w:color w:val="000000"/>
              </w:rPr>
              <w:t>8</w:t>
            </w:r>
          </w:p>
        </w:tc>
        <w:tc>
          <w:tcPr>
            <w:tcW w:w="1196" w:type="dxa"/>
          </w:tcPr>
          <w:p w14:paraId="28569269" w14:textId="77777777" w:rsidR="00A7521D" w:rsidRPr="00995C3D" w:rsidRDefault="00A7521D" w:rsidP="00A7521D">
            <w:pPr>
              <w:spacing w:after="0" w:line="240" w:lineRule="auto"/>
              <w:jc w:val="center"/>
              <w:rPr>
                <w:rFonts w:cs="Calibri"/>
                <w:color w:val="000000"/>
              </w:rPr>
            </w:pPr>
            <w:r w:rsidRPr="00995C3D">
              <w:rPr>
                <w:rFonts w:cs="Calibri"/>
                <w:color w:val="000000"/>
              </w:rPr>
              <w:t>111</w:t>
            </w:r>
          </w:p>
        </w:tc>
        <w:tc>
          <w:tcPr>
            <w:tcW w:w="1841" w:type="dxa"/>
          </w:tcPr>
          <w:p w14:paraId="1C3B7F18" w14:textId="77777777" w:rsidR="00A7521D" w:rsidRPr="00995C3D" w:rsidRDefault="00A7521D" w:rsidP="00A7521D">
            <w:pPr>
              <w:spacing w:after="0" w:line="240" w:lineRule="auto"/>
              <w:jc w:val="center"/>
              <w:rPr>
                <w:rFonts w:cs="Calibri"/>
                <w:color w:val="000000"/>
              </w:rPr>
            </w:pPr>
            <w:r w:rsidRPr="00995C3D">
              <w:rPr>
                <w:rFonts w:cs="Calibri"/>
                <w:color w:val="000000"/>
              </w:rPr>
              <w:t>13</w:t>
            </w:r>
          </w:p>
        </w:tc>
        <w:tc>
          <w:tcPr>
            <w:tcW w:w="1014" w:type="dxa"/>
          </w:tcPr>
          <w:p w14:paraId="318770FE" w14:textId="77777777" w:rsidR="00A7521D" w:rsidRPr="00995C3D" w:rsidRDefault="00A7521D" w:rsidP="00A7521D">
            <w:pPr>
              <w:spacing w:after="0" w:line="240" w:lineRule="auto"/>
              <w:jc w:val="center"/>
              <w:rPr>
                <w:rFonts w:cs="Calibri"/>
                <w:color w:val="000000"/>
              </w:rPr>
            </w:pPr>
            <w:r w:rsidRPr="00995C3D">
              <w:rPr>
                <w:rFonts w:cs="Calibri"/>
                <w:color w:val="000000"/>
              </w:rPr>
              <w:t>5</w:t>
            </w:r>
          </w:p>
        </w:tc>
        <w:tc>
          <w:tcPr>
            <w:tcW w:w="844" w:type="dxa"/>
          </w:tcPr>
          <w:p w14:paraId="34069FBC" w14:textId="77777777" w:rsidR="00A7521D" w:rsidRPr="00995C3D" w:rsidRDefault="00A7521D" w:rsidP="00A7521D">
            <w:pPr>
              <w:spacing w:after="0" w:line="240" w:lineRule="auto"/>
              <w:jc w:val="center"/>
              <w:rPr>
                <w:rFonts w:cs="Calibri"/>
                <w:color w:val="000000"/>
              </w:rPr>
            </w:pPr>
            <w:r w:rsidRPr="00995C3D">
              <w:rPr>
                <w:rFonts w:cs="Calibri"/>
                <w:color w:val="000000"/>
              </w:rPr>
              <w:t>8</w:t>
            </w:r>
          </w:p>
        </w:tc>
      </w:tr>
      <w:tr w:rsidR="00A7521D" w:rsidRPr="00995C3D" w14:paraId="2C3CB47E" w14:textId="77777777" w:rsidTr="00A7521D">
        <w:trPr>
          <w:jc w:val="center"/>
        </w:trPr>
        <w:tc>
          <w:tcPr>
            <w:tcW w:w="2511" w:type="dxa"/>
          </w:tcPr>
          <w:p w14:paraId="6A0EFC71" w14:textId="77777777" w:rsidR="00A7521D" w:rsidRPr="00995C3D" w:rsidRDefault="00A7521D" w:rsidP="00A7521D">
            <w:pPr>
              <w:spacing w:after="0" w:line="240" w:lineRule="auto"/>
              <w:jc w:val="center"/>
              <w:rPr>
                <w:rFonts w:cs="Calibri"/>
                <w:color w:val="000000"/>
              </w:rPr>
            </w:pPr>
            <w:proofErr w:type="spellStart"/>
            <w:r w:rsidRPr="00995C3D">
              <w:rPr>
                <w:rFonts w:cs="Calibri"/>
                <w:color w:val="000000"/>
              </w:rPr>
              <w:t>Bullshead</w:t>
            </w:r>
            <w:proofErr w:type="spellEnd"/>
          </w:p>
        </w:tc>
        <w:tc>
          <w:tcPr>
            <w:tcW w:w="1322" w:type="dxa"/>
          </w:tcPr>
          <w:p w14:paraId="5BF7655F" w14:textId="77777777" w:rsidR="00A7521D" w:rsidRPr="00995C3D" w:rsidRDefault="00A7521D" w:rsidP="00A7521D">
            <w:pPr>
              <w:spacing w:after="0" w:line="240" w:lineRule="auto"/>
              <w:jc w:val="center"/>
            </w:pPr>
            <w:r w:rsidRPr="00995C3D">
              <w:t>DE45 1QB</w:t>
            </w:r>
          </w:p>
        </w:tc>
        <w:tc>
          <w:tcPr>
            <w:tcW w:w="1065" w:type="dxa"/>
          </w:tcPr>
          <w:p w14:paraId="3CF8E40C" w14:textId="77777777" w:rsidR="00A7521D" w:rsidRPr="00995C3D" w:rsidRDefault="00A7521D" w:rsidP="00A7521D">
            <w:pPr>
              <w:spacing w:after="0" w:line="240" w:lineRule="auto"/>
              <w:jc w:val="center"/>
              <w:rPr>
                <w:rFonts w:cs="Calibri"/>
                <w:color w:val="000000"/>
              </w:rPr>
            </w:pPr>
            <w:r w:rsidRPr="00995C3D">
              <w:rPr>
                <w:rFonts w:cs="Calibri"/>
                <w:color w:val="000000"/>
              </w:rPr>
              <w:t>8</w:t>
            </w:r>
          </w:p>
        </w:tc>
        <w:tc>
          <w:tcPr>
            <w:tcW w:w="1196" w:type="dxa"/>
          </w:tcPr>
          <w:p w14:paraId="335187D6" w14:textId="77777777" w:rsidR="00A7521D" w:rsidRPr="00995C3D" w:rsidRDefault="00A7521D" w:rsidP="00A7521D">
            <w:pPr>
              <w:spacing w:after="0" w:line="240" w:lineRule="auto"/>
              <w:jc w:val="center"/>
              <w:rPr>
                <w:rFonts w:cs="Calibri"/>
                <w:color w:val="000000"/>
              </w:rPr>
            </w:pPr>
            <w:r w:rsidRPr="00995C3D">
              <w:rPr>
                <w:rFonts w:cs="Calibri"/>
                <w:color w:val="000000"/>
              </w:rPr>
              <w:t>111</w:t>
            </w:r>
          </w:p>
        </w:tc>
        <w:tc>
          <w:tcPr>
            <w:tcW w:w="1841" w:type="dxa"/>
          </w:tcPr>
          <w:p w14:paraId="59D4F0A9" w14:textId="77777777" w:rsidR="00A7521D" w:rsidRPr="00995C3D" w:rsidRDefault="00A7521D" w:rsidP="00A7521D">
            <w:pPr>
              <w:spacing w:after="0" w:line="240" w:lineRule="auto"/>
              <w:jc w:val="center"/>
              <w:rPr>
                <w:rFonts w:cs="Calibri"/>
                <w:color w:val="000000"/>
              </w:rPr>
            </w:pPr>
            <w:r w:rsidRPr="00995C3D">
              <w:rPr>
                <w:rFonts w:cs="Calibri"/>
                <w:color w:val="000000"/>
              </w:rPr>
              <w:t>13</w:t>
            </w:r>
          </w:p>
        </w:tc>
        <w:tc>
          <w:tcPr>
            <w:tcW w:w="1014" w:type="dxa"/>
          </w:tcPr>
          <w:p w14:paraId="59216E04" w14:textId="77777777" w:rsidR="00A7521D" w:rsidRPr="00995C3D" w:rsidRDefault="00A7521D" w:rsidP="00A7521D">
            <w:pPr>
              <w:spacing w:after="0" w:line="240" w:lineRule="auto"/>
              <w:jc w:val="center"/>
              <w:rPr>
                <w:rFonts w:cs="Calibri"/>
                <w:color w:val="000000"/>
              </w:rPr>
            </w:pPr>
            <w:r w:rsidRPr="00995C3D">
              <w:rPr>
                <w:rFonts w:cs="Calibri"/>
                <w:color w:val="000000"/>
              </w:rPr>
              <w:t>5</w:t>
            </w:r>
          </w:p>
        </w:tc>
        <w:tc>
          <w:tcPr>
            <w:tcW w:w="844" w:type="dxa"/>
          </w:tcPr>
          <w:p w14:paraId="72867B7F" w14:textId="77777777" w:rsidR="00A7521D" w:rsidRPr="00995C3D" w:rsidRDefault="00A7521D" w:rsidP="00A7521D">
            <w:pPr>
              <w:spacing w:after="0" w:line="240" w:lineRule="auto"/>
              <w:jc w:val="center"/>
              <w:rPr>
                <w:rFonts w:cs="Calibri"/>
                <w:color w:val="000000"/>
              </w:rPr>
            </w:pPr>
            <w:r w:rsidRPr="00995C3D">
              <w:rPr>
                <w:rFonts w:cs="Calibri"/>
                <w:color w:val="000000"/>
              </w:rPr>
              <w:t>8</w:t>
            </w:r>
          </w:p>
        </w:tc>
      </w:tr>
      <w:tr w:rsidR="00A7521D" w:rsidRPr="00995C3D" w14:paraId="62F43924" w14:textId="77777777" w:rsidTr="00A7521D">
        <w:trPr>
          <w:jc w:val="center"/>
        </w:trPr>
        <w:tc>
          <w:tcPr>
            <w:tcW w:w="2511" w:type="dxa"/>
          </w:tcPr>
          <w:p w14:paraId="2FE51B45" w14:textId="77777777" w:rsidR="00A7521D" w:rsidRPr="00995C3D" w:rsidRDefault="00A7521D" w:rsidP="00A7521D">
            <w:pPr>
              <w:spacing w:after="0" w:line="240" w:lineRule="auto"/>
              <w:jc w:val="center"/>
              <w:rPr>
                <w:rFonts w:cs="Calibri"/>
                <w:color w:val="000000"/>
              </w:rPr>
            </w:pPr>
            <w:r w:rsidRPr="00995C3D">
              <w:rPr>
                <w:rFonts w:cs="Calibri"/>
                <w:color w:val="000000"/>
              </w:rPr>
              <w:t>Riverside house</w:t>
            </w:r>
          </w:p>
        </w:tc>
        <w:tc>
          <w:tcPr>
            <w:tcW w:w="1322" w:type="dxa"/>
          </w:tcPr>
          <w:p w14:paraId="0353E336" w14:textId="77777777" w:rsidR="00A7521D" w:rsidRPr="00995C3D" w:rsidRDefault="00A7521D" w:rsidP="00A7521D">
            <w:pPr>
              <w:spacing w:after="0" w:line="240" w:lineRule="auto"/>
              <w:jc w:val="center"/>
            </w:pPr>
            <w:r w:rsidRPr="00995C3D">
              <w:t>DE45 1QF</w:t>
            </w:r>
          </w:p>
        </w:tc>
        <w:tc>
          <w:tcPr>
            <w:tcW w:w="1065" w:type="dxa"/>
          </w:tcPr>
          <w:p w14:paraId="44404A7C" w14:textId="77777777" w:rsidR="00A7521D" w:rsidRPr="00995C3D" w:rsidRDefault="00A7521D" w:rsidP="00A7521D">
            <w:pPr>
              <w:spacing w:after="0" w:line="240" w:lineRule="auto"/>
              <w:jc w:val="center"/>
              <w:rPr>
                <w:rFonts w:cs="Calibri"/>
                <w:color w:val="000000"/>
              </w:rPr>
            </w:pPr>
            <w:r w:rsidRPr="00995C3D">
              <w:rPr>
                <w:rFonts w:cs="Calibri"/>
                <w:color w:val="000000"/>
              </w:rPr>
              <w:t>9</w:t>
            </w:r>
          </w:p>
        </w:tc>
        <w:tc>
          <w:tcPr>
            <w:tcW w:w="1196" w:type="dxa"/>
          </w:tcPr>
          <w:p w14:paraId="717655E8" w14:textId="77777777" w:rsidR="00A7521D" w:rsidRPr="00995C3D" w:rsidRDefault="00A7521D" w:rsidP="00A7521D">
            <w:pPr>
              <w:spacing w:after="0" w:line="240" w:lineRule="auto"/>
              <w:jc w:val="center"/>
              <w:rPr>
                <w:rFonts w:cs="Calibri"/>
                <w:color w:val="000000"/>
              </w:rPr>
            </w:pPr>
            <w:r w:rsidRPr="00995C3D">
              <w:rPr>
                <w:rFonts w:cs="Calibri"/>
                <w:color w:val="000000"/>
              </w:rPr>
              <w:t>111</w:t>
            </w:r>
          </w:p>
        </w:tc>
        <w:tc>
          <w:tcPr>
            <w:tcW w:w="1841" w:type="dxa"/>
          </w:tcPr>
          <w:p w14:paraId="63CA9479" w14:textId="77777777" w:rsidR="00A7521D" w:rsidRPr="00995C3D" w:rsidRDefault="00A7521D" w:rsidP="00A7521D">
            <w:pPr>
              <w:spacing w:after="0" w:line="240" w:lineRule="auto"/>
              <w:jc w:val="center"/>
              <w:rPr>
                <w:rFonts w:cs="Calibri"/>
                <w:color w:val="000000"/>
              </w:rPr>
            </w:pPr>
            <w:r w:rsidRPr="00995C3D">
              <w:rPr>
                <w:rFonts w:cs="Calibri"/>
                <w:color w:val="000000"/>
              </w:rPr>
              <w:t>27</w:t>
            </w:r>
          </w:p>
        </w:tc>
        <w:tc>
          <w:tcPr>
            <w:tcW w:w="1014" w:type="dxa"/>
          </w:tcPr>
          <w:p w14:paraId="6DAED513" w14:textId="77777777" w:rsidR="00A7521D" w:rsidRPr="00995C3D" w:rsidRDefault="00A7521D" w:rsidP="00A7521D">
            <w:pPr>
              <w:spacing w:after="0" w:line="240" w:lineRule="auto"/>
              <w:jc w:val="center"/>
              <w:rPr>
                <w:rFonts w:cs="Calibri"/>
                <w:color w:val="000000"/>
              </w:rPr>
            </w:pPr>
            <w:r w:rsidRPr="00995C3D">
              <w:rPr>
                <w:rFonts w:cs="Calibri"/>
                <w:color w:val="000000"/>
              </w:rPr>
              <w:t>7</w:t>
            </w:r>
          </w:p>
        </w:tc>
        <w:tc>
          <w:tcPr>
            <w:tcW w:w="844" w:type="dxa"/>
          </w:tcPr>
          <w:p w14:paraId="6731220D" w14:textId="77777777" w:rsidR="00A7521D" w:rsidRPr="00995C3D" w:rsidRDefault="00A7521D" w:rsidP="00A7521D">
            <w:pPr>
              <w:spacing w:after="0" w:line="240" w:lineRule="auto"/>
              <w:jc w:val="center"/>
              <w:rPr>
                <w:rFonts w:cs="Calibri"/>
                <w:color w:val="000000"/>
              </w:rPr>
            </w:pPr>
            <w:r w:rsidRPr="00995C3D">
              <w:rPr>
                <w:rFonts w:cs="Calibri"/>
                <w:color w:val="000000"/>
              </w:rPr>
              <w:t>12</w:t>
            </w:r>
          </w:p>
        </w:tc>
      </w:tr>
      <w:tr w:rsidR="00A7521D" w:rsidRPr="00995C3D" w14:paraId="1C2F22DA" w14:textId="77777777" w:rsidTr="00A7521D">
        <w:trPr>
          <w:jc w:val="center"/>
        </w:trPr>
        <w:tc>
          <w:tcPr>
            <w:tcW w:w="2511" w:type="dxa"/>
          </w:tcPr>
          <w:p w14:paraId="4E4113E9" w14:textId="77777777" w:rsidR="00A7521D" w:rsidRPr="00995C3D" w:rsidRDefault="00A7521D" w:rsidP="00A7521D">
            <w:pPr>
              <w:spacing w:after="0" w:line="240" w:lineRule="auto"/>
              <w:jc w:val="center"/>
              <w:rPr>
                <w:rFonts w:cs="Calibri"/>
                <w:color w:val="000000"/>
              </w:rPr>
            </w:pPr>
            <w:r w:rsidRPr="00995C3D">
              <w:rPr>
                <w:rFonts w:cs="Calibri"/>
                <w:color w:val="000000"/>
              </w:rPr>
              <w:t>Bakewell visitor centre</w:t>
            </w:r>
          </w:p>
        </w:tc>
        <w:tc>
          <w:tcPr>
            <w:tcW w:w="1322" w:type="dxa"/>
          </w:tcPr>
          <w:p w14:paraId="31A5B8D2" w14:textId="77777777" w:rsidR="00A7521D" w:rsidRPr="00995C3D" w:rsidRDefault="00A7521D" w:rsidP="00A7521D">
            <w:pPr>
              <w:spacing w:after="0" w:line="240" w:lineRule="auto"/>
              <w:jc w:val="center"/>
            </w:pPr>
            <w:r w:rsidRPr="00995C3D">
              <w:t>DE45 1DS</w:t>
            </w:r>
          </w:p>
        </w:tc>
        <w:tc>
          <w:tcPr>
            <w:tcW w:w="1065" w:type="dxa"/>
          </w:tcPr>
          <w:p w14:paraId="3DB02EB3" w14:textId="77777777" w:rsidR="00A7521D" w:rsidRPr="00995C3D" w:rsidRDefault="00A7521D" w:rsidP="00A7521D">
            <w:pPr>
              <w:spacing w:after="0" w:line="240" w:lineRule="auto"/>
              <w:jc w:val="center"/>
              <w:rPr>
                <w:rFonts w:cs="Calibri"/>
                <w:color w:val="000000"/>
              </w:rPr>
            </w:pPr>
            <w:r w:rsidRPr="00995C3D">
              <w:rPr>
                <w:rFonts w:cs="Calibri"/>
                <w:color w:val="000000"/>
              </w:rPr>
              <w:t>25</w:t>
            </w:r>
          </w:p>
        </w:tc>
        <w:tc>
          <w:tcPr>
            <w:tcW w:w="1196" w:type="dxa"/>
          </w:tcPr>
          <w:p w14:paraId="2AFC5DC6" w14:textId="77777777" w:rsidR="00A7521D" w:rsidRPr="00995C3D" w:rsidRDefault="00A7521D" w:rsidP="00A7521D">
            <w:pPr>
              <w:spacing w:after="0" w:line="240" w:lineRule="auto"/>
              <w:jc w:val="center"/>
              <w:rPr>
                <w:rFonts w:cs="Calibri"/>
                <w:color w:val="000000"/>
              </w:rPr>
            </w:pPr>
            <w:r w:rsidRPr="00995C3D">
              <w:rPr>
                <w:rFonts w:cs="Calibri"/>
                <w:color w:val="000000"/>
              </w:rPr>
              <w:t>5</w:t>
            </w:r>
            <w:r>
              <w:rPr>
                <w:rFonts w:cs="Calibri"/>
                <w:color w:val="000000"/>
              </w:rPr>
              <w:t>,</w:t>
            </w:r>
            <w:r w:rsidRPr="00995C3D">
              <w:rPr>
                <w:rFonts w:cs="Calibri"/>
                <w:color w:val="000000"/>
              </w:rPr>
              <w:t>429</w:t>
            </w:r>
          </w:p>
        </w:tc>
        <w:tc>
          <w:tcPr>
            <w:tcW w:w="1841" w:type="dxa"/>
          </w:tcPr>
          <w:p w14:paraId="2EA6391E" w14:textId="77777777" w:rsidR="00A7521D" w:rsidRPr="00995C3D" w:rsidRDefault="00A7521D" w:rsidP="00A7521D">
            <w:pPr>
              <w:spacing w:after="0" w:line="240" w:lineRule="auto"/>
              <w:jc w:val="center"/>
              <w:rPr>
                <w:rFonts w:cs="Calibri"/>
                <w:color w:val="000000"/>
              </w:rPr>
            </w:pPr>
            <w:r w:rsidRPr="00995C3D">
              <w:rPr>
                <w:rFonts w:cs="Calibri"/>
                <w:color w:val="000000"/>
              </w:rPr>
              <w:t>459</w:t>
            </w:r>
          </w:p>
        </w:tc>
        <w:tc>
          <w:tcPr>
            <w:tcW w:w="1014" w:type="dxa"/>
          </w:tcPr>
          <w:p w14:paraId="39E9F29D" w14:textId="77777777" w:rsidR="00A7521D" w:rsidRPr="00995C3D" w:rsidRDefault="00A7521D" w:rsidP="00A7521D">
            <w:pPr>
              <w:spacing w:after="0" w:line="240" w:lineRule="auto"/>
              <w:jc w:val="center"/>
              <w:rPr>
                <w:rFonts w:cs="Calibri"/>
                <w:color w:val="000000"/>
              </w:rPr>
            </w:pPr>
            <w:r w:rsidRPr="00995C3D">
              <w:rPr>
                <w:rFonts w:cs="Calibri"/>
                <w:color w:val="000000"/>
              </w:rPr>
              <w:t>180</w:t>
            </w:r>
          </w:p>
        </w:tc>
        <w:tc>
          <w:tcPr>
            <w:tcW w:w="844" w:type="dxa"/>
          </w:tcPr>
          <w:p w14:paraId="5F0D4C25" w14:textId="77777777" w:rsidR="00A7521D" w:rsidRPr="00995C3D" w:rsidRDefault="00A7521D" w:rsidP="00A7521D">
            <w:pPr>
              <w:spacing w:after="0" w:line="240" w:lineRule="auto"/>
              <w:jc w:val="center"/>
              <w:rPr>
                <w:rFonts w:cs="Calibri"/>
                <w:color w:val="000000"/>
              </w:rPr>
            </w:pPr>
            <w:r w:rsidRPr="00995C3D">
              <w:rPr>
                <w:rFonts w:cs="Calibri"/>
                <w:color w:val="000000"/>
              </w:rPr>
              <w:t>479</w:t>
            </w:r>
          </w:p>
        </w:tc>
      </w:tr>
      <w:tr w:rsidR="00A7521D" w:rsidRPr="00995C3D" w14:paraId="11CDA663" w14:textId="77777777" w:rsidTr="00A7521D">
        <w:trPr>
          <w:jc w:val="center"/>
        </w:trPr>
        <w:tc>
          <w:tcPr>
            <w:tcW w:w="2511" w:type="dxa"/>
          </w:tcPr>
          <w:p w14:paraId="5758BEE4" w14:textId="77777777" w:rsidR="00A7521D" w:rsidRPr="00995C3D" w:rsidRDefault="00A7521D" w:rsidP="00A7521D">
            <w:pPr>
              <w:spacing w:after="0" w:line="240" w:lineRule="auto"/>
              <w:jc w:val="center"/>
              <w:rPr>
                <w:rFonts w:cs="Calibri"/>
                <w:color w:val="000000"/>
              </w:rPr>
            </w:pPr>
            <w:r w:rsidRPr="00995C3D">
              <w:rPr>
                <w:rFonts w:cs="Calibri"/>
                <w:color w:val="000000"/>
              </w:rPr>
              <w:t>T.C. Harrison group ltd</w:t>
            </w:r>
          </w:p>
        </w:tc>
        <w:tc>
          <w:tcPr>
            <w:tcW w:w="1322" w:type="dxa"/>
          </w:tcPr>
          <w:p w14:paraId="02A0056D" w14:textId="77777777" w:rsidR="00A7521D" w:rsidRPr="00995C3D" w:rsidRDefault="00A7521D" w:rsidP="00A7521D">
            <w:pPr>
              <w:spacing w:after="0" w:line="240" w:lineRule="auto"/>
              <w:jc w:val="center"/>
            </w:pPr>
            <w:r w:rsidRPr="00995C3D">
              <w:t>DE45 1HH</w:t>
            </w:r>
          </w:p>
        </w:tc>
        <w:tc>
          <w:tcPr>
            <w:tcW w:w="1065" w:type="dxa"/>
          </w:tcPr>
          <w:p w14:paraId="4FFCDCD8" w14:textId="77777777" w:rsidR="00A7521D" w:rsidRPr="00995C3D" w:rsidRDefault="00A7521D" w:rsidP="00A7521D">
            <w:pPr>
              <w:spacing w:after="0" w:line="240" w:lineRule="auto"/>
              <w:jc w:val="center"/>
              <w:rPr>
                <w:rFonts w:cs="Calibri"/>
                <w:color w:val="000000"/>
              </w:rPr>
            </w:pPr>
            <w:r w:rsidRPr="00995C3D">
              <w:rPr>
                <w:rFonts w:cs="Calibri"/>
                <w:color w:val="000000"/>
              </w:rPr>
              <w:t>4</w:t>
            </w:r>
          </w:p>
        </w:tc>
        <w:tc>
          <w:tcPr>
            <w:tcW w:w="1196" w:type="dxa"/>
          </w:tcPr>
          <w:p w14:paraId="32B137CB" w14:textId="77777777" w:rsidR="00A7521D" w:rsidRPr="00995C3D" w:rsidRDefault="00A7521D" w:rsidP="00A7521D">
            <w:pPr>
              <w:spacing w:after="0" w:line="240" w:lineRule="auto"/>
              <w:jc w:val="center"/>
              <w:rPr>
                <w:rFonts w:cs="Calibri"/>
                <w:color w:val="000000"/>
              </w:rPr>
            </w:pPr>
            <w:r w:rsidRPr="00995C3D">
              <w:rPr>
                <w:rFonts w:cs="Calibri"/>
                <w:color w:val="000000"/>
              </w:rPr>
              <w:t>139</w:t>
            </w:r>
          </w:p>
        </w:tc>
        <w:tc>
          <w:tcPr>
            <w:tcW w:w="1841" w:type="dxa"/>
          </w:tcPr>
          <w:p w14:paraId="53B631C0" w14:textId="77777777" w:rsidR="00A7521D" w:rsidRPr="00995C3D" w:rsidRDefault="00A7521D" w:rsidP="00A7521D">
            <w:pPr>
              <w:spacing w:after="0" w:line="240" w:lineRule="auto"/>
              <w:jc w:val="center"/>
              <w:rPr>
                <w:rFonts w:cs="Calibri"/>
                <w:color w:val="000000"/>
              </w:rPr>
            </w:pPr>
            <w:r w:rsidRPr="00995C3D">
              <w:rPr>
                <w:rFonts w:cs="Calibri"/>
                <w:color w:val="000000"/>
              </w:rPr>
              <w:t>22</w:t>
            </w:r>
          </w:p>
        </w:tc>
        <w:tc>
          <w:tcPr>
            <w:tcW w:w="1014" w:type="dxa"/>
          </w:tcPr>
          <w:p w14:paraId="0F9F65C6" w14:textId="77777777" w:rsidR="00A7521D" w:rsidRPr="00995C3D" w:rsidRDefault="00A7521D" w:rsidP="00A7521D">
            <w:pPr>
              <w:spacing w:after="0" w:line="240" w:lineRule="auto"/>
              <w:jc w:val="center"/>
              <w:rPr>
                <w:rFonts w:cs="Calibri"/>
                <w:color w:val="000000"/>
              </w:rPr>
            </w:pPr>
            <w:r w:rsidRPr="00995C3D">
              <w:rPr>
                <w:rFonts w:cs="Calibri"/>
                <w:color w:val="000000"/>
              </w:rPr>
              <w:t>6</w:t>
            </w:r>
          </w:p>
        </w:tc>
        <w:tc>
          <w:tcPr>
            <w:tcW w:w="844" w:type="dxa"/>
          </w:tcPr>
          <w:p w14:paraId="71101A4B" w14:textId="77777777" w:rsidR="00A7521D" w:rsidRPr="00995C3D" w:rsidRDefault="00A7521D" w:rsidP="00A7521D">
            <w:pPr>
              <w:spacing w:after="0" w:line="240" w:lineRule="auto"/>
              <w:jc w:val="center"/>
              <w:rPr>
                <w:rFonts w:cs="Calibri"/>
                <w:color w:val="000000"/>
              </w:rPr>
            </w:pPr>
            <w:r w:rsidRPr="00995C3D">
              <w:rPr>
                <w:rFonts w:cs="Calibri"/>
                <w:color w:val="000000"/>
              </w:rPr>
              <w:t>12</w:t>
            </w:r>
          </w:p>
        </w:tc>
      </w:tr>
      <w:tr w:rsidR="00A7521D" w:rsidRPr="00995C3D" w14:paraId="2AA0E00F" w14:textId="77777777" w:rsidTr="00A7521D">
        <w:trPr>
          <w:jc w:val="center"/>
        </w:trPr>
        <w:tc>
          <w:tcPr>
            <w:tcW w:w="2511" w:type="dxa"/>
          </w:tcPr>
          <w:p w14:paraId="1974D040" w14:textId="77777777" w:rsidR="00A7521D" w:rsidRPr="00995C3D" w:rsidRDefault="00A7521D" w:rsidP="00A7521D">
            <w:pPr>
              <w:spacing w:after="0" w:line="240" w:lineRule="auto"/>
              <w:jc w:val="center"/>
              <w:rPr>
                <w:rFonts w:cs="Calibri"/>
                <w:color w:val="000000"/>
              </w:rPr>
            </w:pPr>
            <w:r w:rsidRPr="00995C3D">
              <w:rPr>
                <w:rFonts w:cs="Calibri"/>
                <w:color w:val="000000"/>
              </w:rPr>
              <w:t>Bakewell medical centre</w:t>
            </w:r>
          </w:p>
        </w:tc>
        <w:tc>
          <w:tcPr>
            <w:tcW w:w="1322" w:type="dxa"/>
          </w:tcPr>
          <w:p w14:paraId="3165E824" w14:textId="77777777" w:rsidR="00A7521D" w:rsidRPr="00995C3D" w:rsidRDefault="00A7521D" w:rsidP="00A7521D">
            <w:pPr>
              <w:spacing w:after="0" w:line="240" w:lineRule="auto"/>
              <w:jc w:val="center"/>
            </w:pPr>
            <w:r w:rsidRPr="00995C3D">
              <w:t>DE45 1ED</w:t>
            </w:r>
          </w:p>
        </w:tc>
        <w:tc>
          <w:tcPr>
            <w:tcW w:w="1065" w:type="dxa"/>
          </w:tcPr>
          <w:p w14:paraId="2D876C18" w14:textId="77777777" w:rsidR="00A7521D" w:rsidRPr="00995C3D" w:rsidRDefault="00A7521D" w:rsidP="00A7521D">
            <w:pPr>
              <w:spacing w:after="0" w:line="240" w:lineRule="auto"/>
              <w:jc w:val="center"/>
              <w:rPr>
                <w:rFonts w:cs="Calibri"/>
                <w:color w:val="000000"/>
              </w:rPr>
            </w:pPr>
            <w:r w:rsidRPr="00995C3D">
              <w:rPr>
                <w:rFonts w:cs="Calibri"/>
                <w:color w:val="000000"/>
              </w:rPr>
              <w:t>19</w:t>
            </w:r>
          </w:p>
        </w:tc>
        <w:tc>
          <w:tcPr>
            <w:tcW w:w="1196" w:type="dxa"/>
          </w:tcPr>
          <w:p w14:paraId="3F4AA558" w14:textId="77777777" w:rsidR="00A7521D" w:rsidRPr="00995C3D" w:rsidRDefault="00A7521D" w:rsidP="00A7521D">
            <w:pPr>
              <w:spacing w:after="0" w:line="240" w:lineRule="auto"/>
              <w:jc w:val="center"/>
              <w:rPr>
                <w:rFonts w:cs="Calibri"/>
                <w:color w:val="000000"/>
              </w:rPr>
            </w:pPr>
            <w:r w:rsidRPr="00995C3D">
              <w:rPr>
                <w:rFonts w:cs="Calibri"/>
                <w:color w:val="000000"/>
              </w:rPr>
              <w:t>566</w:t>
            </w:r>
          </w:p>
        </w:tc>
        <w:tc>
          <w:tcPr>
            <w:tcW w:w="1841" w:type="dxa"/>
          </w:tcPr>
          <w:p w14:paraId="2DB5E588" w14:textId="77777777" w:rsidR="00A7521D" w:rsidRPr="00995C3D" w:rsidRDefault="00A7521D" w:rsidP="00A7521D">
            <w:pPr>
              <w:spacing w:after="0" w:line="240" w:lineRule="auto"/>
              <w:jc w:val="center"/>
              <w:rPr>
                <w:rFonts w:cs="Calibri"/>
                <w:color w:val="000000"/>
              </w:rPr>
            </w:pPr>
            <w:r w:rsidRPr="00995C3D">
              <w:rPr>
                <w:rFonts w:cs="Calibri"/>
                <w:color w:val="000000"/>
              </w:rPr>
              <w:t>107</w:t>
            </w:r>
          </w:p>
        </w:tc>
        <w:tc>
          <w:tcPr>
            <w:tcW w:w="1014" w:type="dxa"/>
          </w:tcPr>
          <w:p w14:paraId="36334D9A" w14:textId="77777777" w:rsidR="00A7521D" w:rsidRPr="00995C3D" w:rsidRDefault="00A7521D" w:rsidP="00A7521D">
            <w:pPr>
              <w:spacing w:after="0" w:line="240" w:lineRule="auto"/>
              <w:jc w:val="center"/>
              <w:rPr>
                <w:rFonts w:cs="Calibri"/>
                <w:color w:val="000000"/>
              </w:rPr>
            </w:pPr>
            <w:r w:rsidRPr="00995C3D">
              <w:rPr>
                <w:rFonts w:cs="Calibri"/>
                <w:color w:val="000000"/>
              </w:rPr>
              <w:t>16</w:t>
            </w:r>
          </w:p>
        </w:tc>
        <w:tc>
          <w:tcPr>
            <w:tcW w:w="844" w:type="dxa"/>
          </w:tcPr>
          <w:p w14:paraId="6934D373" w14:textId="77777777" w:rsidR="00A7521D" w:rsidRPr="00995C3D" w:rsidRDefault="00A7521D" w:rsidP="00A7521D">
            <w:pPr>
              <w:spacing w:after="0" w:line="240" w:lineRule="auto"/>
              <w:jc w:val="center"/>
              <w:rPr>
                <w:rFonts w:cs="Calibri"/>
                <w:color w:val="000000"/>
              </w:rPr>
            </w:pPr>
            <w:r w:rsidRPr="00995C3D">
              <w:rPr>
                <w:rFonts w:cs="Calibri"/>
                <w:color w:val="000000"/>
              </w:rPr>
              <w:t>29</w:t>
            </w:r>
          </w:p>
        </w:tc>
      </w:tr>
      <w:tr w:rsidR="00A7521D" w:rsidRPr="00995C3D" w14:paraId="25A5CFFB" w14:textId="77777777" w:rsidTr="00A7521D">
        <w:trPr>
          <w:jc w:val="center"/>
        </w:trPr>
        <w:tc>
          <w:tcPr>
            <w:tcW w:w="2511" w:type="dxa"/>
            <w:tcBorders>
              <w:bottom w:val="single" w:sz="4" w:space="0" w:color="auto"/>
            </w:tcBorders>
          </w:tcPr>
          <w:p w14:paraId="78C06DE5" w14:textId="77777777" w:rsidR="00A7521D" w:rsidRPr="00995C3D" w:rsidRDefault="00A7521D" w:rsidP="00A7521D">
            <w:pPr>
              <w:spacing w:after="0" w:line="240" w:lineRule="auto"/>
              <w:jc w:val="center"/>
              <w:rPr>
                <w:rFonts w:cs="Calibri"/>
                <w:color w:val="000000"/>
              </w:rPr>
            </w:pPr>
            <w:r w:rsidRPr="00995C3D">
              <w:rPr>
                <w:rFonts w:cs="Calibri"/>
                <w:color w:val="000000"/>
              </w:rPr>
              <w:t>Bakewell swimming pool</w:t>
            </w:r>
          </w:p>
        </w:tc>
        <w:tc>
          <w:tcPr>
            <w:tcW w:w="1322" w:type="dxa"/>
            <w:tcBorders>
              <w:bottom w:val="single" w:sz="4" w:space="0" w:color="auto"/>
            </w:tcBorders>
          </w:tcPr>
          <w:p w14:paraId="0944F137" w14:textId="77777777" w:rsidR="00A7521D" w:rsidRPr="00995C3D" w:rsidRDefault="00A7521D" w:rsidP="00A7521D">
            <w:pPr>
              <w:spacing w:after="0" w:line="240" w:lineRule="auto"/>
              <w:jc w:val="center"/>
            </w:pPr>
            <w:r w:rsidRPr="00995C3D">
              <w:t>DE45 1ES</w:t>
            </w:r>
          </w:p>
        </w:tc>
        <w:tc>
          <w:tcPr>
            <w:tcW w:w="1065" w:type="dxa"/>
            <w:tcBorders>
              <w:bottom w:val="single" w:sz="4" w:space="0" w:color="auto"/>
            </w:tcBorders>
          </w:tcPr>
          <w:p w14:paraId="34E68ABF" w14:textId="77777777" w:rsidR="00A7521D" w:rsidRPr="00995C3D" w:rsidRDefault="00A7521D" w:rsidP="00A7521D">
            <w:pPr>
              <w:spacing w:after="0" w:line="240" w:lineRule="auto"/>
              <w:jc w:val="center"/>
              <w:rPr>
                <w:rFonts w:cs="Calibri"/>
                <w:color w:val="000000"/>
              </w:rPr>
            </w:pPr>
            <w:r w:rsidRPr="00995C3D">
              <w:rPr>
                <w:rFonts w:cs="Calibri"/>
                <w:color w:val="000000"/>
              </w:rPr>
              <w:t>12</w:t>
            </w:r>
          </w:p>
        </w:tc>
        <w:tc>
          <w:tcPr>
            <w:tcW w:w="1196" w:type="dxa"/>
            <w:tcBorders>
              <w:bottom w:val="single" w:sz="4" w:space="0" w:color="auto"/>
            </w:tcBorders>
          </w:tcPr>
          <w:p w14:paraId="0B658AF8" w14:textId="77777777" w:rsidR="00A7521D" w:rsidRPr="00995C3D" w:rsidRDefault="00A7521D" w:rsidP="00A7521D">
            <w:pPr>
              <w:spacing w:after="0" w:line="240" w:lineRule="auto"/>
              <w:jc w:val="center"/>
              <w:rPr>
                <w:rFonts w:cs="Calibri"/>
                <w:color w:val="000000"/>
              </w:rPr>
            </w:pPr>
            <w:r w:rsidRPr="00995C3D">
              <w:rPr>
                <w:rFonts w:cs="Calibri"/>
                <w:color w:val="000000"/>
              </w:rPr>
              <w:t>1</w:t>
            </w:r>
            <w:r>
              <w:rPr>
                <w:rFonts w:cs="Calibri"/>
                <w:color w:val="000000"/>
              </w:rPr>
              <w:t>,</w:t>
            </w:r>
            <w:r w:rsidRPr="00995C3D">
              <w:rPr>
                <w:rFonts w:cs="Calibri"/>
                <w:color w:val="000000"/>
              </w:rPr>
              <w:t>338</w:t>
            </w:r>
          </w:p>
        </w:tc>
        <w:tc>
          <w:tcPr>
            <w:tcW w:w="1841" w:type="dxa"/>
            <w:tcBorders>
              <w:bottom w:val="single" w:sz="4" w:space="0" w:color="auto"/>
            </w:tcBorders>
          </w:tcPr>
          <w:p w14:paraId="51910DCE" w14:textId="77777777" w:rsidR="00A7521D" w:rsidRPr="00995C3D" w:rsidRDefault="00A7521D" w:rsidP="00A7521D">
            <w:pPr>
              <w:spacing w:after="0" w:line="240" w:lineRule="auto"/>
              <w:jc w:val="center"/>
              <w:rPr>
                <w:rFonts w:cs="Calibri"/>
                <w:color w:val="000000"/>
              </w:rPr>
            </w:pPr>
            <w:r w:rsidRPr="00995C3D">
              <w:rPr>
                <w:rFonts w:cs="Calibri"/>
                <w:color w:val="000000"/>
              </w:rPr>
              <w:t>1399</w:t>
            </w:r>
          </w:p>
        </w:tc>
        <w:tc>
          <w:tcPr>
            <w:tcW w:w="1014" w:type="dxa"/>
            <w:tcBorders>
              <w:bottom w:val="single" w:sz="4" w:space="0" w:color="auto"/>
            </w:tcBorders>
          </w:tcPr>
          <w:p w14:paraId="44CB7D24" w14:textId="77777777" w:rsidR="00A7521D" w:rsidRPr="00995C3D" w:rsidRDefault="00A7521D" w:rsidP="00A7521D">
            <w:pPr>
              <w:spacing w:after="0" w:line="240" w:lineRule="auto"/>
              <w:jc w:val="center"/>
              <w:rPr>
                <w:rFonts w:cs="Calibri"/>
                <w:color w:val="000000"/>
              </w:rPr>
            </w:pPr>
            <w:r w:rsidRPr="00995C3D">
              <w:rPr>
                <w:rFonts w:cs="Calibri"/>
                <w:color w:val="000000"/>
              </w:rPr>
              <w:t>238</w:t>
            </w:r>
          </w:p>
        </w:tc>
        <w:tc>
          <w:tcPr>
            <w:tcW w:w="844" w:type="dxa"/>
            <w:tcBorders>
              <w:bottom w:val="single" w:sz="4" w:space="0" w:color="auto"/>
            </w:tcBorders>
          </w:tcPr>
          <w:p w14:paraId="4D8C97BB" w14:textId="77777777" w:rsidR="00A7521D" w:rsidRPr="00995C3D" w:rsidRDefault="00A7521D" w:rsidP="00A7521D">
            <w:pPr>
              <w:spacing w:after="0" w:line="240" w:lineRule="auto"/>
              <w:jc w:val="center"/>
              <w:rPr>
                <w:rFonts w:cs="Calibri"/>
                <w:color w:val="000000"/>
              </w:rPr>
            </w:pPr>
            <w:r w:rsidRPr="00995C3D">
              <w:rPr>
                <w:rFonts w:cs="Calibri"/>
                <w:color w:val="000000"/>
              </w:rPr>
              <w:t>423</w:t>
            </w:r>
          </w:p>
        </w:tc>
      </w:tr>
    </w:tbl>
    <w:p w14:paraId="65288B00" w14:textId="77777777" w:rsidR="00A7521D" w:rsidRDefault="00A7521D" w:rsidP="00A7521D">
      <w:pPr>
        <w:pStyle w:val="Caption"/>
        <w:keepNext/>
      </w:pPr>
      <w:bookmarkStart w:id="987" w:name="_Toc468265832"/>
      <w:bookmarkStart w:id="988" w:name="_Toc525230156"/>
    </w:p>
    <w:p w14:paraId="5F696F64" w14:textId="64BAF268" w:rsidR="00A7521D" w:rsidRDefault="00A7521D" w:rsidP="00A7521D">
      <w:pPr>
        <w:pStyle w:val="Caption"/>
        <w:keepNext/>
      </w:pPr>
      <w:bookmarkStart w:id="989" w:name="_Toc7187722"/>
      <w:r>
        <w:t xml:space="preserve">Table </w:t>
      </w:r>
      <w:fldSimple w:instr=" STYLEREF 1 \s ">
        <w:r w:rsidR="00CB7456">
          <w:rPr>
            <w:noProof/>
          </w:rPr>
          <w:t>13</w:t>
        </w:r>
      </w:fldSimple>
      <w:r w:rsidR="009E1A67">
        <w:t>.</w:t>
      </w:r>
      <w:fldSimple w:instr=" SEQ Table \* ARABIC \s 1 ">
        <w:r w:rsidR="00CB7456">
          <w:rPr>
            <w:noProof/>
          </w:rPr>
          <w:t>5</w:t>
        </w:r>
      </w:fldSimple>
      <w:r>
        <w:rPr>
          <w:noProof/>
        </w:rPr>
        <w:t>:</w:t>
      </w:r>
      <w:r>
        <w:t xml:space="preserve"> Large heat users in </w:t>
      </w:r>
      <w:proofErr w:type="spellStart"/>
      <w:r>
        <w:t>Youlgreave</w:t>
      </w:r>
      <w:bookmarkEnd w:id="987"/>
      <w:bookmarkEnd w:id="988"/>
      <w:proofErr w:type="spellEnd"/>
      <w:r>
        <w:t>.</w:t>
      </w:r>
      <w:bookmarkEnd w:id="989"/>
    </w:p>
    <w:tbl>
      <w:tblPr>
        <w:tblW w:w="9733" w:type="dxa"/>
        <w:jc w:val="center"/>
        <w:tblBorders>
          <w:top w:val="single" w:sz="4" w:space="0" w:color="auto"/>
          <w:bottom w:val="single" w:sz="4" w:space="0" w:color="auto"/>
        </w:tblBorders>
        <w:tblLook w:val="00A0" w:firstRow="1" w:lastRow="0" w:firstColumn="1" w:lastColumn="0" w:noHBand="0" w:noVBand="0"/>
      </w:tblPr>
      <w:tblGrid>
        <w:gridCol w:w="2374"/>
        <w:gridCol w:w="1388"/>
        <w:gridCol w:w="1065"/>
        <w:gridCol w:w="1196"/>
        <w:gridCol w:w="1852"/>
        <w:gridCol w:w="1014"/>
        <w:gridCol w:w="844"/>
      </w:tblGrid>
      <w:tr w:rsidR="00A7521D" w:rsidRPr="00995C3D" w14:paraId="7406C298" w14:textId="77777777" w:rsidTr="00A7521D">
        <w:trPr>
          <w:jc w:val="center"/>
        </w:trPr>
        <w:tc>
          <w:tcPr>
            <w:tcW w:w="2374" w:type="dxa"/>
            <w:tcBorders>
              <w:top w:val="single" w:sz="4" w:space="0" w:color="auto"/>
              <w:bottom w:val="single" w:sz="4" w:space="0" w:color="auto"/>
            </w:tcBorders>
          </w:tcPr>
          <w:p w14:paraId="6AE33AD9" w14:textId="77777777" w:rsidR="00A7521D" w:rsidRPr="00995C3D" w:rsidRDefault="00A7521D" w:rsidP="00A7521D">
            <w:pPr>
              <w:spacing w:after="0" w:line="240" w:lineRule="auto"/>
              <w:jc w:val="center"/>
            </w:pPr>
            <w:r w:rsidRPr="00995C3D">
              <w:t>Building name</w:t>
            </w:r>
          </w:p>
        </w:tc>
        <w:tc>
          <w:tcPr>
            <w:tcW w:w="1388" w:type="dxa"/>
            <w:tcBorders>
              <w:top w:val="single" w:sz="4" w:space="0" w:color="auto"/>
              <w:bottom w:val="single" w:sz="4" w:space="0" w:color="auto"/>
            </w:tcBorders>
          </w:tcPr>
          <w:p w14:paraId="2A5589C6" w14:textId="77777777" w:rsidR="00A7521D" w:rsidRPr="00995C3D" w:rsidRDefault="00A7521D" w:rsidP="00A7521D">
            <w:pPr>
              <w:spacing w:after="0" w:line="240" w:lineRule="auto"/>
              <w:jc w:val="center"/>
            </w:pPr>
            <w:r w:rsidRPr="00995C3D">
              <w:t>Postcode</w:t>
            </w:r>
          </w:p>
        </w:tc>
        <w:tc>
          <w:tcPr>
            <w:tcW w:w="1065" w:type="dxa"/>
            <w:tcBorders>
              <w:top w:val="single" w:sz="4" w:space="0" w:color="auto"/>
              <w:bottom w:val="single" w:sz="4" w:space="0" w:color="auto"/>
            </w:tcBorders>
          </w:tcPr>
          <w:p w14:paraId="2E933CFC" w14:textId="77777777" w:rsidR="00A7521D" w:rsidRPr="00995C3D" w:rsidRDefault="00A7521D" w:rsidP="00A7521D">
            <w:pPr>
              <w:spacing w:after="0" w:line="240" w:lineRule="auto"/>
              <w:jc w:val="center"/>
            </w:pPr>
            <w:r w:rsidRPr="00995C3D">
              <w:t>CIBSE category</w:t>
            </w:r>
          </w:p>
        </w:tc>
        <w:tc>
          <w:tcPr>
            <w:tcW w:w="1196" w:type="dxa"/>
            <w:tcBorders>
              <w:top w:val="single" w:sz="4" w:space="0" w:color="auto"/>
              <w:bottom w:val="single" w:sz="4" w:space="0" w:color="auto"/>
            </w:tcBorders>
          </w:tcPr>
          <w:p w14:paraId="61975108" w14:textId="77777777" w:rsidR="00A7521D" w:rsidRPr="00995C3D" w:rsidRDefault="00A7521D" w:rsidP="00A7521D">
            <w:pPr>
              <w:spacing w:after="0" w:line="240" w:lineRule="auto"/>
              <w:jc w:val="center"/>
            </w:pPr>
            <w:r w:rsidRPr="00995C3D">
              <w:t>Estimated floor area (m</w:t>
            </w:r>
            <w:r w:rsidRPr="00995C3D">
              <w:rPr>
                <w:vertAlign w:val="superscript"/>
              </w:rPr>
              <w:t>2</w:t>
            </w:r>
            <w:r w:rsidRPr="00995C3D">
              <w:t>)</w:t>
            </w:r>
          </w:p>
        </w:tc>
        <w:tc>
          <w:tcPr>
            <w:tcW w:w="1852" w:type="dxa"/>
            <w:tcBorders>
              <w:top w:val="single" w:sz="4" w:space="0" w:color="auto"/>
              <w:bottom w:val="single" w:sz="4" w:space="0" w:color="auto"/>
            </w:tcBorders>
          </w:tcPr>
          <w:p w14:paraId="050C96AC" w14:textId="77777777" w:rsidR="00A7521D" w:rsidRPr="00995C3D" w:rsidRDefault="00A7521D" w:rsidP="00A7521D">
            <w:pPr>
              <w:spacing w:after="0" w:line="240" w:lineRule="auto"/>
              <w:jc w:val="center"/>
            </w:pPr>
            <w:r w:rsidRPr="00995C3D">
              <w:t>Yearly energy use for heating (MWh)</w:t>
            </w:r>
          </w:p>
        </w:tc>
        <w:tc>
          <w:tcPr>
            <w:tcW w:w="1014" w:type="dxa"/>
            <w:tcBorders>
              <w:top w:val="single" w:sz="4" w:space="0" w:color="auto"/>
              <w:bottom w:val="single" w:sz="4" w:space="0" w:color="auto"/>
            </w:tcBorders>
          </w:tcPr>
          <w:p w14:paraId="4EFCF423" w14:textId="77777777" w:rsidR="00A7521D" w:rsidRPr="00995C3D" w:rsidRDefault="00A7521D" w:rsidP="00A7521D">
            <w:pPr>
              <w:spacing w:after="0" w:line="240" w:lineRule="auto"/>
              <w:jc w:val="center"/>
            </w:pPr>
            <w:r w:rsidRPr="00995C3D">
              <w:t>Average power (kW)</w:t>
            </w:r>
          </w:p>
        </w:tc>
        <w:tc>
          <w:tcPr>
            <w:tcW w:w="844" w:type="dxa"/>
            <w:tcBorders>
              <w:top w:val="single" w:sz="4" w:space="0" w:color="auto"/>
              <w:bottom w:val="single" w:sz="4" w:space="0" w:color="auto"/>
            </w:tcBorders>
          </w:tcPr>
          <w:p w14:paraId="592ED0A2" w14:textId="77777777" w:rsidR="00A7521D" w:rsidRPr="00995C3D" w:rsidRDefault="00A7521D" w:rsidP="00A7521D">
            <w:pPr>
              <w:spacing w:after="0" w:line="240" w:lineRule="auto"/>
              <w:jc w:val="center"/>
            </w:pPr>
            <w:r w:rsidRPr="00995C3D">
              <w:t>Peak power (kW)</w:t>
            </w:r>
          </w:p>
        </w:tc>
      </w:tr>
      <w:tr w:rsidR="00A7521D" w:rsidRPr="00995C3D" w14:paraId="21AD8594" w14:textId="77777777" w:rsidTr="00A7521D">
        <w:trPr>
          <w:jc w:val="center"/>
        </w:trPr>
        <w:tc>
          <w:tcPr>
            <w:tcW w:w="2374" w:type="dxa"/>
            <w:tcBorders>
              <w:top w:val="single" w:sz="4" w:space="0" w:color="auto"/>
              <w:bottom w:val="nil"/>
            </w:tcBorders>
          </w:tcPr>
          <w:p w14:paraId="42644910" w14:textId="77777777" w:rsidR="00A7521D" w:rsidRPr="00995C3D" w:rsidRDefault="00A7521D" w:rsidP="00A7521D">
            <w:pPr>
              <w:spacing w:after="0" w:line="240" w:lineRule="auto"/>
              <w:jc w:val="center"/>
              <w:rPr>
                <w:rFonts w:cs="Calibri"/>
                <w:color w:val="000000"/>
              </w:rPr>
            </w:pPr>
            <w:r w:rsidRPr="00995C3D">
              <w:rPr>
                <w:rFonts w:cs="Calibri"/>
                <w:color w:val="000000"/>
              </w:rPr>
              <w:t>All saints c of e school</w:t>
            </w:r>
          </w:p>
        </w:tc>
        <w:tc>
          <w:tcPr>
            <w:tcW w:w="1388" w:type="dxa"/>
            <w:tcBorders>
              <w:top w:val="single" w:sz="4" w:space="0" w:color="auto"/>
              <w:bottom w:val="nil"/>
            </w:tcBorders>
          </w:tcPr>
          <w:p w14:paraId="1C53D0CB" w14:textId="77777777" w:rsidR="00A7521D" w:rsidRPr="00995C3D" w:rsidRDefault="00A7521D" w:rsidP="00A7521D">
            <w:pPr>
              <w:spacing w:after="0" w:line="240" w:lineRule="auto"/>
              <w:jc w:val="center"/>
            </w:pPr>
            <w:r w:rsidRPr="00995C3D">
              <w:t>N/a</w:t>
            </w:r>
          </w:p>
        </w:tc>
        <w:tc>
          <w:tcPr>
            <w:tcW w:w="1065" w:type="dxa"/>
            <w:tcBorders>
              <w:top w:val="single" w:sz="4" w:space="0" w:color="auto"/>
              <w:bottom w:val="nil"/>
            </w:tcBorders>
          </w:tcPr>
          <w:p w14:paraId="567DB763" w14:textId="77777777" w:rsidR="00A7521D" w:rsidRPr="00995C3D" w:rsidRDefault="00A7521D" w:rsidP="00A7521D">
            <w:pPr>
              <w:spacing w:after="0" w:line="240" w:lineRule="auto"/>
              <w:jc w:val="center"/>
              <w:rPr>
                <w:rFonts w:cs="Calibri"/>
                <w:color w:val="000000"/>
              </w:rPr>
            </w:pPr>
            <w:r w:rsidRPr="00995C3D">
              <w:rPr>
                <w:rFonts w:cs="Calibri"/>
                <w:color w:val="000000"/>
              </w:rPr>
              <w:t>17</w:t>
            </w:r>
          </w:p>
        </w:tc>
        <w:tc>
          <w:tcPr>
            <w:tcW w:w="1196" w:type="dxa"/>
            <w:tcBorders>
              <w:top w:val="single" w:sz="4" w:space="0" w:color="auto"/>
              <w:bottom w:val="nil"/>
            </w:tcBorders>
          </w:tcPr>
          <w:p w14:paraId="2FF14149" w14:textId="77777777" w:rsidR="00A7521D" w:rsidRPr="00995C3D" w:rsidRDefault="00A7521D" w:rsidP="00A7521D">
            <w:pPr>
              <w:spacing w:after="0" w:line="240" w:lineRule="auto"/>
              <w:jc w:val="center"/>
              <w:rPr>
                <w:rFonts w:cs="Calibri"/>
                <w:color w:val="000000"/>
              </w:rPr>
            </w:pPr>
            <w:r w:rsidRPr="00995C3D">
              <w:rPr>
                <w:rFonts w:cs="Calibri"/>
                <w:color w:val="000000"/>
              </w:rPr>
              <w:t>718</w:t>
            </w:r>
          </w:p>
        </w:tc>
        <w:tc>
          <w:tcPr>
            <w:tcW w:w="1852" w:type="dxa"/>
            <w:tcBorders>
              <w:top w:val="single" w:sz="4" w:space="0" w:color="auto"/>
              <w:bottom w:val="nil"/>
            </w:tcBorders>
          </w:tcPr>
          <w:p w14:paraId="55624BB6" w14:textId="77777777" w:rsidR="00A7521D" w:rsidRPr="00995C3D" w:rsidRDefault="00A7521D" w:rsidP="00A7521D">
            <w:pPr>
              <w:spacing w:after="0" w:line="240" w:lineRule="auto"/>
              <w:jc w:val="center"/>
              <w:rPr>
                <w:rFonts w:cs="Calibri"/>
                <w:color w:val="000000"/>
              </w:rPr>
            </w:pPr>
            <w:r w:rsidRPr="00995C3D">
              <w:rPr>
                <w:rFonts w:cs="Calibri"/>
                <w:color w:val="000000"/>
              </w:rPr>
              <w:t>99</w:t>
            </w:r>
          </w:p>
        </w:tc>
        <w:tc>
          <w:tcPr>
            <w:tcW w:w="1014" w:type="dxa"/>
            <w:tcBorders>
              <w:top w:val="single" w:sz="4" w:space="0" w:color="auto"/>
              <w:bottom w:val="nil"/>
            </w:tcBorders>
          </w:tcPr>
          <w:p w14:paraId="36FF55D1" w14:textId="77777777" w:rsidR="00A7521D" w:rsidRPr="00995C3D" w:rsidRDefault="00A7521D" w:rsidP="00A7521D">
            <w:pPr>
              <w:spacing w:after="0" w:line="240" w:lineRule="auto"/>
              <w:jc w:val="center"/>
              <w:rPr>
                <w:rFonts w:cs="Calibri"/>
                <w:color w:val="000000"/>
              </w:rPr>
            </w:pPr>
            <w:r w:rsidRPr="00995C3D">
              <w:rPr>
                <w:rFonts w:cs="Calibri"/>
                <w:color w:val="000000"/>
              </w:rPr>
              <w:t>54</w:t>
            </w:r>
          </w:p>
        </w:tc>
        <w:tc>
          <w:tcPr>
            <w:tcW w:w="844" w:type="dxa"/>
            <w:tcBorders>
              <w:top w:val="single" w:sz="4" w:space="0" w:color="auto"/>
              <w:bottom w:val="nil"/>
            </w:tcBorders>
          </w:tcPr>
          <w:p w14:paraId="7C8BFE73" w14:textId="77777777" w:rsidR="00A7521D" w:rsidRPr="00995C3D" w:rsidRDefault="00A7521D" w:rsidP="00A7521D">
            <w:pPr>
              <w:spacing w:after="0" w:line="240" w:lineRule="auto"/>
              <w:jc w:val="center"/>
              <w:rPr>
                <w:rFonts w:cs="Calibri"/>
                <w:color w:val="000000"/>
              </w:rPr>
            </w:pPr>
            <w:r w:rsidRPr="00995C3D">
              <w:rPr>
                <w:rFonts w:cs="Calibri"/>
                <w:color w:val="000000"/>
              </w:rPr>
              <w:t>299</w:t>
            </w:r>
          </w:p>
        </w:tc>
      </w:tr>
      <w:tr w:rsidR="00A7521D" w:rsidRPr="00995C3D" w14:paraId="6BC69FF5" w14:textId="77777777" w:rsidTr="00A7521D">
        <w:trPr>
          <w:jc w:val="center"/>
        </w:trPr>
        <w:tc>
          <w:tcPr>
            <w:tcW w:w="2374" w:type="dxa"/>
            <w:tcBorders>
              <w:top w:val="nil"/>
            </w:tcBorders>
          </w:tcPr>
          <w:p w14:paraId="18EA45BA" w14:textId="77777777" w:rsidR="00A7521D" w:rsidRPr="00995C3D" w:rsidRDefault="00A7521D" w:rsidP="00A7521D">
            <w:pPr>
              <w:spacing w:after="0" w:line="240" w:lineRule="auto"/>
              <w:jc w:val="center"/>
              <w:rPr>
                <w:rFonts w:cs="Calibri"/>
                <w:color w:val="000000"/>
              </w:rPr>
            </w:pPr>
            <w:r w:rsidRPr="00995C3D">
              <w:rPr>
                <w:rFonts w:cs="Calibri"/>
                <w:color w:val="000000"/>
              </w:rPr>
              <w:t>George hotel</w:t>
            </w:r>
          </w:p>
        </w:tc>
        <w:tc>
          <w:tcPr>
            <w:tcW w:w="1388" w:type="dxa"/>
            <w:tcBorders>
              <w:top w:val="nil"/>
            </w:tcBorders>
          </w:tcPr>
          <w:p w14:paraId="6E81A491" w14:textId="77777777" w:rsidR="00A7521D" w:rsidRPr="00995C3D" w:rsidRDefault="00A7521D" w:rsidP="00A7521D">
            <w:pPr>
              <w:spacing w:after="0" w:line="240" w:lineRule="auto"/>
              <w:jc w:val="center"/>
            </w:pPr>
            <w:r w:rsidRPr="00995C3D">
              <w:t>DE45 1UW</w:t>
            </w:r>
          </w:p>
        </w:tc>
        <w:tc>
          <w:tcPr>
            <w:tcW w:w="1065" w:type="dxa"/>
            <w:tcBorders>
              <w:top w:val="nil"/>
            </w:tcBorders>
          </w:tcPr>
          <w:p w14:paraId="7E93511F" w14:textId="77777777" w:rsidR="00A7521D" w:rsidRPr="00995C3D" w:rsidRDefault="00A7521D" w:rsidP="00A7521D">
            <w:pPr>
              <w:spacing w:after="0" w:line="240" w:lineRule="auto"/>
              <w:jc w:val="center"/>
              <w:rPr>
                <w:rFonts w:cs="Calibri"/>
                <w:color w:val="000000"/>
              </w:rPr>
            </w:pPr>
            <w:r w:rsidRPr="00995C3D">
              <w:rPr>
                <w:rFonts w:cs="Calibri"/>
                <w:color w:val="000000"/>
              </w:rPr>
              <w:t>8</w:t>
            </w:r>
          </w:p>
        </w:tc>
        <w:tc>
          <w:tcPr>
            <w:tcW w:w="1196" w:type="dxa"/>
            <w:tcBorders>
              <w:top w:val="nil"/>
            </w:tcBorders>
          </w:tcPr>
          <w:p w14:paraId="749C1B9A" w14:textId="77777777" w:rsidR="00A7521D" w:rsidRPr="00995C3D" w:rsidRDefault="00A7521D" w:rsidP="00A7521D">
            <w:pPr>
              <w:spacing w:after="0" w:line="240" w:lineRule="auto"/>
              <w:jc w:val="center"/>
              <w:rPr>
                <w:rFonts w:cs="Calibri"/>
                <w:color w:val="000000"/>
              </w:rPr>
            </w:pPr>
            <w:r w:rsidRPr="00995C3D">
              <w:rPr>
                <w:rFonts w:cs="Calibri"/>
                <w:color w:val="000000"/>
              </w:rPr>
              <w:t>499</w:t>
            </w:r>
          </w:p>
        </w:tc>
        <w:tc>
          <w:tcPr>
            <w:tcW w:w="1852" w:type="dxa"/>
            <w:tcBorders>
              <w:top w:val="nil"/>
            </w:tcBorders>
          </w:tcPr>
          <w:p w14:paraId="23DBE134" w14:textId="77777777" w:rsidR="00A7521D" w:rsidRPr="00995C3D" w:rsidRDefault="00A7521D" w:rsidP="00A7521D">
            <w:pPr>
              <w:spacing w:after="0" w:line="240" w:lineRule="auto"/>
              <w:jc w:val="center"/>
              <w:rPr>
                <w:rFonts w:cs="Calibri"/>
                <w:color w:val="000000"/>
              </w:rPr>
            </w:pPr>
            <w:r w:rsidRPr="00995C3D">
              <w:rPr>
                <w:rFonts w:cs="Calibri"/>
                <w:color w:val="000000"/>
              </w:rPr>
              <w:t>60</w:t>
            </w:r>
          </w:p>
        </w:tc>
        <w:tc>
          <w:tcPr>
            <w:tcW w:w="1014" w:type="dxa"/>
            <w:tcBorders>
              <w:top w:val="nil"/>
            </w:tcBorders>
          </w:tcPr>
          <w:p w14:paraId="455B3DEA" w14:textId="77777777" w:rsidR="00A7521D" w:rsidRPr="00995C3D" w:rsidRDefault="00A7521D" w:rsidP="00A7521D">
            <w:pPr>
              <w:spacing w:after="0" w:line="240" w:lineRule="auto"/>
              <w:jc w:val="center"/>
              <w:rPr>
                <w:rFonts w:cs="Calibri"/>
                <w:color w:val="000000"/>
              </w:rPr>
            </w:pPr>
            <w:r w:rsidRPr="00995C3D">
              <w:rPr>
                <w:rFonts w:cs="Calibri"/>
                <w:color w:val="000000"/>
              </w:rPr>
              <w:t>24</w:t>
            </w:r>
          </w:p>
        </w:tc>
        <w:tc>
          <w:tcPr>
            <w:tcW w:w="844" w:type="dxa"/>
            <w:tcBorders>
              <w:top w:val="nil"/>
            </w:tcBorders>
          </w:tcPr>
          <w:p w14:paraId="5863126C" w14:textId="77777777" w:rsidR="00A7521D" w:rsidRPr="00995C3D" w:rsidRDefault="00A7521D" w:rsidP="00A7521D">
            <w:pPr>
              <w:spacing w:after="0" w:line="240" w:lineRule="auto"/>
              <w:jc w:val="center"/>
              <w:rPr>
                <w:rFonts w:cs="Calibri"/>
                <w:color w:val="000000"/>
              </w:rPr>
            </w:pPr>
            <w:r w:rsidRPr="00995C3D">
              <w:rPr>
                <w:rFonts w:cs="Calibri"/>
                <w:color w:val="000000"/>
              </w:rPr>
              <w:t>34</w:t>
            </w:r>
          </w:p>
        </w:tc>
      </w:tr>
      <w:tr w:rsidR="00A7521D" w:rsidRPr="00995C3D" w14:paraId="053710C9" w14:textId="77777777" w:rsidTr="00A7521D">
        <w:trPr>
          <w:jc w:val="center"/>
        </w:trPr>
        <w:tc>
          <w:tcPr>
            <w:tcW w:w="2374" w:type="dxa"/>
          </w:tcPr>
          <w:p w14:paraId="3DF37B55" w14:textId="77777777" w:rsidR="00A7521D" w:rsidRPr="00995C3D" w:rsidRDefault="00A7521D" w:rsidP="00A7521D">
            <w:pPr>
              <w:spacing w:after="0" w:line="240" w:lineRule="auto"/>
              <w:jc w:val="center"/>
              <w:rPr>
                <w:rFonts w:cs="Calibri"/>
                <w:color w:val="000000"/>
              </w:rPr>
            </w:pPr>
            <w:r w:rsidRPr="00995C3D">
              <w:rPr>
                <w:rFonts w:cs="Calibri"/>
                <w:color w:val="000000"/>
              </w:rPr>
              <w:t>Bulls head hotel</w:t>
            </w:r>
          </w:p>
        </w:tc>
        <w:tc>
          <w:tcPr>
            <w:tcW w:w="1388" w:type="dxa"/>
          </w:tcPr>
          <w:p w14:paraId="40CF3323" w14:textId="77777777" w:rsidR="00A7521D" w:rsidRPr="00995C3D" w:rsidRDefault="00A7521D" w:rsidP="00A7521D">
            <w:pPr>
              <w:spacing w:after="0" w:line="240" w:lineRule="auto"/>
              <w:jc w:val="center"/>
            </w:pPr>
            <w:r w:rsidRPr="00995C3D">
              <w:t>DE45 1UR</w:t>
            </w:r>
          </w:p>
        </w:tc>
        <w:tc>
          <w:tcPr>
            <w:tcW w:w="1065" w:type="dxa"/>
          </w:tcPr>
          <w:p w14:paraId="67E99596" w14:textId="77777777" w:rsidR="00A7521D" w:rsidRPr="00995C3D" w:rsidRDefault="00A7521D" w:rsidP="00A7521D">
            <w:pPr>
              <w:spacing w:after="0" w:line="240" w:lineRule="auto"/>
              <w:jc w:val="center"/>
              <w:rPr>
                <w:rFonts w:cs="Calibri"/>
                <w:color w:val="000000"/>
              </w:rPr>
            </w:pPr>
            <w:r w:rsidRPr="00995C3D">
              <w:rPr>
                <w:rFonts w:cs="Calibri"/>
                <w:color w:val="000000"/>
              </w:rPr>
              <w:t>8</w:t>
            </w:r>
          </w:p>
        </w:tc>
        <w:tc>
          <w:tcPr>
            <w:tcW w:w="1196" w:type="dxa"/>
          </w:tcPr>
          <w:p w14:paraId="071C8D76" w14:textId="77777777" w:rsidR="00A7521D" w:rsidRPr="00995C3D" w:rsidRDefault="00A7521D" w:rsidP="00A7521D">
            <w:pPr>
              <w:spacing w:after="0" w:line="240" w:lineRule="auto"/>
              <w:jc w:val="center"/>
              <w:rPr>
                <w:rFonts w:cs="Calibri"/>
                <w:color w:val="000000"/>
              </w:rPr>
            </w:pPr>
            <w:r w:rsidRPr="00995C3D">
              <w:rPr>
                <w:rFonts w:cs="Calibri"/>
                <w:color w:val="000000"/>
              </w:rPr>
              <w:t>111</w:t>
            </w:r>
          </w:p>
        </w:tc>
        <w:tc>
          <w:tcPr>
            <w:tcW w:w="1852" w:type="dxa"/>
          </w:tcPr>
          <w:p w14:paraId="6D6BA5E8" w14:textId="77777777" w:rsidR="00A7521D" w:rsidRPr="00995C3D" w:rsidRDefault="00A7521D" w:rsidP="00A7521D">
            <w:pPr>
              <w:spacing w:after="0" w:line="240" w:lineRule="auto"/>
              <w:jc w:val="center"/>
              <w:rPr>
                <w:rFonts w:cs="Calibri"/>
                <w:color w:val="000000"/>
              </w:rPr>
            </w:pPr>
            <w:r w:rsidRPr="00995C3D">
              <w:rPr>
                <w:rFonts w:cs="Calibri"/>
                <w:color w:val="000000"/>
              </w:rPr>
              <w:t>13</w:t>
            </w:r>
          </w:p>
        </w:tc>
        <w:tc>
          <w:tcPr>
            <w:tcW w:w="1014" w:type="dxa"/>
          </w:tcPr>
          <w:p w14:paraId="55C89E68" w14:textId="77777777" w:rsidR="00A7521D" w:rsidRPr="00995C3D" w:rsidRDefault="00A7521D" w:rsidP="00A7521D">
            <w:pPr>
              <w:spacing w:after="0" w:line="240" w:lineRule="auto"/>
              <w:jc w:val="center"/>
              <w:rPr>
                <w:rFonts w:cs="Calibri"/>
                <w:color w:val="000000"/>
              </w:rPr>
            </w:pPr>
            <w:r w:rsidRPr="00995C3D">
              <w:rPr>
                <w:rFonts w:cs="Calibri"/>
                <w:color w:val="000000"/>
              </w:rPr>
              <w:t>5</w:t>
            </w:r>
          </w:p>
        </w:tc>
        <w:tc>
          <w:tcPr>
            <w:tcW w:w="844" w:type="dxa"/>
          </w:tcPr>
          <w:p w14:paraId="0C71CFA1" w14:textId="77777777" w:rsidR="00A7521D" w:rsidRPr="00995C3D" w:rsidRDefault="00A7521D" w:rsidP="00A7521D">
            <w:pPr>
              <w:spacing w:after="0" w:line="240" w:lineRule="auto"/>
              <w:jc w:val="center"/>
              <w:rPr>
                <w:rFonts w:cs="Calibri"/>
                <w:color w:val="000000"/>
              </w:rPr>
            </w:pPr>
            <w:r w:rsidRPr="00995C3D">
              <w:rPr>
                <w:rFonts w:cs="Calibri"/>
                <w:color w:val="000000"/>
              </w:rPr>
              <w:t>8</w:t>
            </w:r>
          </w:p>
        </w:tc>
      </w:tr>
      <w:tr w:rsidR="00A7521D" w:rsidRPr="00995C3D" w14:paraId="5A1DCE65" w14:textId="77777777" w:rsidTr="00A7521D">
        <w:trPr>
          <w:jc w:val="center"/>
        </w:trPr>
        <w:tc>
          <w:tcPr>
            <w:tcW w:w="2374" w:type="dxa"/>
          </w:tcPr>
          <w:p w14:paraId="2C8B9276" w14:textId="77777777" w:rsidR="00A7521D" w:rsidRPr="00995C3D" w:rsidRDefault="00A7521D" w:rsidP="00A7521D">
            <w:pPr>
              <w:spacing w:after="0" w:line="240" w:lineRule="auto"/>
              <w:jc w:val="center"/>
              <w:rPr>
                <w:rFonts w:cs="Calibri"/>
                <w:color w:val="000000"/>
              </w:rPr>
            </w:pPr>
            <w:r w:rsidRPr="00995C3D">
              <w:rPr>
                <w:rFonts w:cs="Calibri"/>
                <w:color w:val="000000"/>
              </w:rPr>
              <w:t>YHA</w:t>
            </w:r>
          </w:p>
        </w:tc>
        <w:tc>
          <w:tcPr>
            <w:tcW w:w="1388" w:type="dxa"/>
          </w:tcPr>
          <w:p w14:paraId="017E8F7D" w14:textId="77777777" w:rsidR="00A7521D" w:rsidRPr="00995C3D" w:rsidRDefault="00A7521D" w:rsidP="00A7521D">
            <w:pPr>
              <w:spacing w:after="0" w:line="240" w:lineRule="auto"/>
              <w:jc w:val="center"/>
            </w:pPr>
            <w:r w:rsidRPr="00995C3D">
              <w:t>DE45 1UR</w:t>
            </w:r>
          </w:p>
        </w:tc>
        <w:tc>
          <w:tcPr>
            <w:tcW w:w="1065" w:type="dxa"/>
          </w:tcPr>
          <w:p w14:paraId="6F5360FC" w14:textId="77777777" w:rsidR="00A7521D" w:rsidRPr="00995C3D" w:rsidRDefault="00A7521D" w:rsidP="00A7521D">
            <w:pPr>
              <w:spacing w:after="0" w:line="240" w:lineRule="auto"/>
              <w:jc w:val="center"/>
              <w:rPr>
                <w:rFonts w:cs="Calibri"/>
                <w:color w:val="000000"/>
              </w:rPr>
            </w:pPr>
            <w:r w:rsidRPr="00995C3D">
              <w:rPr>
                <w:rFonts w:cs="Calibri"/>
                <w:color w:val="000000"/>
              </w:rPr>
              <w:t>9</w:t>
            </w:r>
          </w:p>
        </w:tc>
        <w:tc>
          <w:tcPr>
            <w:tcW w:w="1196" w:type="dxa"/>
          </w:tcPr>
          <w:p w14:paraId="6CBC94B0" w14:textId="77777777" w:rsidR="00A7521D" w:rsidRPr="00995C3D" w:rsidRDefault="00A7521D" w:rsidP="00A7521D">
            <w:pPr>
              <w:spacing w:after="0" w:line="240" w:lineRule="auto"/>
              <w:jc w:val="center"/>
              <w:rPr>
                <w:rFonts w:cs="Calibri"/>
                <w:color w:val="000000"/>
              </w:rPr>
            </w:pPr>
            <w:r w:rsidRPr="00995C3D">
              <w:rPr>
                <w:rFonts w:cs="Calibri"/>
                <w:color w:val="000000"/>
              </w:rPr>
              <w:t>166</w:t>
            </w:r>
          </w:p>
        </w:tc>
        <w:tc>
          <w:tcPr>
            <w:tcW w:w="1852" w:type="dxa"/>
          </w:tcPr>
          <w:p w14:paraId="19A113F5" w14:textId="77777777" w:rsidR="00A7521D" w:rsidRPr="00995C3D" w:rsidRDefault="00A7521D" w:rsidP="00A7521D">
            <w:pPr>
              <w:spacing w:after="0" w:line="240" w:lineRule="auto"/>
              <w:jc w:val="center"/>
              <w:rPr>
                <w:rFonts w:cs="Calibri"/>
                <w:color w:val="000000"/>
              </w:rPr>
            </w:pPr>
            <w:r w:rsidRPr="00995C3D">
              <w:rPr>
                <w:rFonts w:cs="Calibri"/>
                <w:color w:val="000000"/>
              </w:rPr>
              <w:t>40</w:t>
            </w:r>
          </w:p>
        </w:tc>
        <w:tc>
          <w:tcPr>
            <w:tcW w:w="1014" w:type="dxa"/>
          </w:tcPr>
          <w:p w14:paraId="538766C2" w14:textId="77777777" w:rsidR="00A7521D" w:rsidRPr="00995C3D" w:rsidRDefault="00A7521D" w:rsidP="00A7521D">
            <w:pPr>
              <w:spacing w:after="0" w:line="240" w:lineRule="auto"/>
              <w:jc w:val="center"/>
              <w:rPr>
                <w:rFonts w:cs="Calibri"/>
                <w:color w:val="000000"/>
              </w:rPr>
            </w:pPr>
            <w:r w:rsidRPr="00995C3D">
              <w:rPr>
                <w:rFonts w:cs="Calibri"/>
                <w:color w:val="000000"/>
              </w:rPr>
              <w:t>11</w:t>
            </w:r>
          </w:p>
        </w:tc>
        <w:tc>
          <w:tcPr>
            <w:tcW w:w="844" w:type="dxa"/>
          </w:tcPr>
          <w:p w14:paraId="0C7E08A1" w14:textId="77777777" w:rsidR="00A7521D" w:rsidRPr="00995C3D" w:rsidRDefault="00A7521D" w:rsidP="00A7521D">
            <w:pPr>
              <w:spacing w:after="0" w:line="240" w:lineRule="auto"/>
              <w:jc w:val="center"/>
              <w:rPr>
                <w:rFonts w:cs="Calibri"/>
                <w:color w:val="000000"/>
              </w:rPr>
            </w:pPr>
            <w:r w:rsidRPr="00995C3D">
              <w:rPr>
                <w:rFonts w:cs="Calibri"/>
                <w:color w:val="000000"/>
              </w:rPr>
              <w:t>19</w:t>
            </w:r>
          </w:p>
        </w:tc>
      </w:tr>
      <w:tr w:rsidR="00A7521D" w:rsidRPr="00995C3D" w14:paraId="5FC6853B" w14:textId="77777777" w:rsidTr="00A7521D">
        <w:trPr>
          <w:jc w:val="center"/>
        </w:trPr>
        <w:tc>
          <w:tcPr>
            <w:tcW w:w="2374" w:type="dxa"/>
            <w:tcBorders>
              <w:bottom w:val="single" w:sz="4" w:space="0" w:color="auto"/>
            </w:tcBorders>
          </w:tcPr>
          <w:p w14:paraId="4483E497" w14:textId="77777777" w:rsidR="00A7521D" w:rsidRPr="00995C3D" w:rsidRDefault="00A7521D" w:rsidP="00A7521D">
            <w:pPr>
              <w:spacing w:after="0" w:line="240" w:lineRule="auto"/>
              <w:jc w:val="center"/>
              <w:rPr>
                <w:rFonts w:cs="Calibri"/>
                <w:color w:val="000000"/>
              </w:rPr>
            </w:pPr>
            <w:r w:rsidRPr="00995C3D">
              <w:rPr>
                <w:rFonts w:cs="Calibri"/>
                <w:color w:val="000000"/>
              </w:rPr>
              <w:t>Farmyard Inn</w:t>
            </w:r>
          </w:p>
        </w:tc>
        <w:tc>
          <w:tcPr>
            <w:tcW w:w="1388" w:type="dxa"/>
            <w:tcBorders>
              <w:bottom w:val="single" w:sz="4" w:space="0" w:color="auto"/>
            </w:tcBorders>
          </w:tcPr>
          <w:p w14:paraId="12E53DEA" w14:textId="77777777" w:rsidR="00A7521D" w:rsidRPr="00995C3D" w:rsidRDefault="00A7521D" w:rsidP="00A7521D">
            <w:pPr>
              <w:spacing w:after="0" w:line="240" w:lineRule="auto"/>
              <w:jc w:val="center"/>
            </w:pPr>
            <w:r w:rsidRPr="00995C3D">
              <w:t>DE45 1UW</w:t>
            </w:r>
          </w:p>
        </w:tc>
        <w:tc>
          <w:tcPr>
            <w:tcW w:w="1065" w:type="dxa"/>
            <w:tcBorders>
              <w:bottom w:val="single" w:sz="4" w:space="0" w:color="auto"/>
            </w:tcBorders>
          </w:tcPr>
          <w:p w14:paraId="7F84F14D" w14:textId="77777777" w:rsidR="00A7521D" w:rsidRPr="00995C3D" w:rsidRDefault="00A7521D" w:rsidP="00A7521D">
            <w:pPr>
              <w:spacing w:after="0" w:line="240" w:lineRule="auto"/>
              <w:jc w:val="center"/>
              <w:rPr>
                <w:rFonts w:cs="Calibri"/>
                <w:color w:val="000000"/>
              </w:rPr>
            </w:pPr>
            <w:r w:rsidRPr="00995C3D">
              <w:rPr>
                <w:rFonts w:cs="Calibri"/>
                <w:color w:val="000000"/>
              </w:rPr>
              <w:t>8</w:t>
            </w:r>
          </w:p>
        </w:tc>
        <w:tc>
          <w:tcPr>
            <w:tcW w:w="1196" w:type="dxa"/>
            <w:tcBorders>
              <w:bottom w:val="single" w:sz="4" w:space="0" w:color="auto"/>
            </w:tcBorders>
          </w:tcPr>
          <w:p w14:paraId="2A2A1920" w14:textId="77777777" w:rsidR="00A7521D" w:rsidRPr="00995C3D" w:rsidRDefault="00A7521D" w:rsidP="00A7521D">
            <w:pPr>
              <w:spacing w:after="0" w:line="240" w:lineRule="auto"/>
              <w:jc w:val="center"/>
              <w:rPr>
                <w:rFonts w:cs="Calibri"/>
                <w:color w:val="000000"/>
              </w:rPr>
            </w:pPr>
            <w:r w:rsidRPr="00995C3D">
              <w:rPr>
                <w:rFonts w:cs="Calibri"/>
                <w:color w:val="000000"/>
              </w:rPr>
              <w:t>222</w:t>
            </w:r>
          </w:p>
        </w:tc>
        <w:tc>
          <w:tcPr>
            <w:tcW w:w="1852" w:type="dxa"/>
            <w:tcBorders>
              <w:bottom w:val="single" w:sz="4" w:space="0" w:color="auto"/>
            </w:tcBorders>
          </w:tcPr>
          <w:p w14:paraId="2C12A7BC" w14:textId="77777777" w:rsidR="00A7521D" w:rsidRPr="00995C3D" w:rsidRDefault="00A7521D" w:rsidP="00A7521D">
            <w:pPr>
              <w:spacing w:after="0" w:line="240" w:lineRule="auto"/>
              <w:jc w:val="center"/>
              <w:rPr>
                <w:rFonts w:cs="Calibri"/>
                <w:color w:val="000000"/>
              </w:rPr>
            </w:pPr>
            <w:r w:rsidRPr="00995C3D">
              <w:rPr>
                <w:rFonts w:cs="Calibri"/>
                <w:color w:val="000000"/>
              </w:rPr>
              <w:t>26</w:t>
            </w:r>
          </w:p>
        </w:tc>
        <w:tc>
          <w:tcPr>
            <w:tcW w:w="1014" w:type="dxa"/>
            <w:tcBorders>
              <w:bottom w:val="single" w:sz="4" w:space="0" w:color="auto"/>
            </w:tcBorders>
          </w:tcPr>
          <w:p w14:paraId="62B9993B" w14:textId="77777777" w:rsidR="00A7521D" w:rsidRPr="00995C3D" w:rsidRDefault="00A7521D" w:rsidP="00A7521D">
            <w:pPr>
              <w:spacing w:after="0" w:line="240" w:lineRule="auto"/>
              <w:jc w:val="center"/>
              <w:rPr>
                <w:rFonts w:cs="Calibri"/>
                <w:color w:val="000000"/>
              </w:rPr>
            </w:pPr>
            <w:r w:rsidRPr="00995C3D">
              <w:rPr>
                <w:rFonts w:cs="Calibri"/>
                <w:color w:val="000000"/>
              </w:rPr>
              <w:t>11</w:t>
            </w:r>
          </w:p>
        </w:tc>
        <w:tc>
          <w:tcPr>
            <w:tcW w:w="844" w:type="dxa"/>
            <w:tcBorders>
              <w:bottom w:val="single" w:sz="4" w:space="0" w:color="auto"/>
            </w:tcBorders>
          </w:tcPr>
          <w:p w14:paraId="053866A5" w14:textId="77777777" w:rsidR="00A7521D" w:rsidRPr="00995C3D" w:rsidRDefault="00A7521D" w:rsidP="00A7521D">
            <w:pPr>
              <w:spacing w:after="0" w:line="240" w:lineRule="auto"/>
              <w:jc w:val="center"/>
              <w:rPr>
                <w:rFonts w:cs="Calibri"/>
                <w:color w:val="000000"/>
              </w:rPr>
            </w:pPr>
            <w:r w:rsidRPr="00995C3D">
              <w:rPr>
                <w:rFonts w:cs="Calibri"/>
                <w:color w:val="000000"/>
              </w:rPr>
              <w:t>15</w:t>
            </w:r>
          </w:p>
        </w:tc>
      </w:tr>
    </w:tbl>
    <w:p w14:paraId="5DF2189A" w14:textId="77777777" w:rsidR="00A7521D" w:rsidRDefault="00A7521D" w:rsidP="00A7521D"/>
    <w:p w14:paraId="2BA6A290" w14:textId="39120857" w:rsidR="00A7521D" w:rsidRDefault="00A7521D" w:rsidP="00A7521D">
      <w:pPr>
        <w:pStyle w:val="Caption"/>
        <w:keepNext/>
      </w:pPr>
      <w:bookmarkStart w:id="990" w:name="_Toc468265833"/>
      <w:bookmarkStart w:id="991" w:name="_Toc525230157"/>
      <w:bookmarkStart w:id="992" w:name="_Toc7187723"/>
      <w:r>
        <w:lastRenderedPageBreak/>
        <w:t xml:space="preserve">Table </w:t>
      </w:r>
      <w:fldSimple w:instr=" STYLEREF 1 \s ">
        <w:r w:rsidR="00CB7456">
          <w:rPr>
            <w:noProof/>
          </w:rPr>
          <w:t>13</w:t>
        </w:r>
      </w:fldSimple>
      <w:r w:rsidR="009E1A67">
        <w:t>.</w:t>
      </w:r>
      <w:fldSimple w:instr=" SEQ Table \* ARABIC \s 1 ">
        <w:r w:rsidR="00CB7456">
          <w:rPr>
            <w:noProof/>
          </w:rPr>
          <w:t>6</w:t>
        </w:r>
      </w:fldSimple>
      <w:r>
        <w:t>: Large heat users in Matlock Bath</w:t>
      </w:r>
      <w:bookmarkEnd w:id="990"/>
      <w:bookmarkEnd w:id="991"/>
      <w:r>
        <w:t>.</w:t>
      </w:r>
      <w:bookmarkEnd w:id="992"/>
    </w:p>
    <w:tbl>
      <w:tblPr>
        <w:tblW w:w="9837" w:type="dxa"/>
        <w:jc w:val="center"/>
        <w:tblBorders>
          <w:top w:val="single" w:sz="4" w:space="0" w:color="auto"/>
          <w:bottom w:val="single" w:sz="4" w:space="0" w:color="auto"/>
        </w:tblBorders>
        <w:tblLook w:val="00A0" w:firstRow="1" w:lastRow="0" w:firstColumn="1" w:lastColumn="0" w:noHBand="0" w:noVBand="0"/>
      </w:tblPr>
      <w:tblGrid>
        <w:gridCol w:w="2622"/>
        <w:gridCol w:w="1254"/>
        <w:gridCol w:w="1065"/>
        <w:gridCol w:w="1196"/>
        <w:gridCol w:w="1842"/>
        <w:gridCol w:w="1014"/>
        <w:gridCol w:w="844"/>
      </w:tblGrid>
      <w:tr w:rsidR="00A7521D" w:rsidRPr="00995C3D" w14:paraId="6001069A" w14:textId="77777777" w:rsidTr="00A7521D">
        <w:trPr>
          <w:jc w:val="center"/>
        </w:trPr>
        <w:tc>
          <w:tcPr>
            <w:tcW w:w="2622" w:type="dxa"/>
            <w:tcBorders>
              <w:top w:val="single" w:sz="4" w:space="0" w:color="auto"/>
              <w:bottom w:val="single" w:sz="4" w:space="0" w:color="auto"/>
            </w:tcBorders>
          </w:tcPr>
          <w:p w14:paraId="32B74741" w14:textId="77777777" w:rsidR="00A7521D" w:rsidRPr="00995C3D" w:rsidRDefault="00A7521D" w:rsidP="00A7521D">
            <w:pPr>
              <w:spacing w:after="0" w:line="240" w:lineRule="auto"/>
              <w:jc w:val="center"/>
            </w:pPr>
            <w:r w:rsidRPr="00995C3D">
              <w:t>Building name</w:t>
            </w:r>
          </w:p>
        </w:tc>
        <w:tc>
          <w:tcPr>
            <w:tcW w:w="1254" w:type="dxa"/>
            <w:tcBorders>
              <w:top w:val="single" w:sz="4" w:space="0" w:color="auto"/>
              <w:bottom w:val="single" w:sz="4" w:space="0" w:color="auto"/>
            </w:tcBorders>
          </w:tcPr>
          <w:p w14:paraId="3C355364" w14:textId="77777777" w:rsidR="00A7521D" w:rsidRPr="00995C3D" w:rsidRDefault="00A7521D" w:rsidP="00A7521D">
            <w:pPr>
              <w:spacing w:after="0" w:line="240" w:lineRule="auto"/>
              <w:jc w:val="center"/>
            </w:pPr>
            <w:r w:rsidRPr="00995C3D">
              <w:t>Postcode</w:t>
            </w:r>
          </w:p>
        </w:tc>
        <w:tc>
          <w:tcPr>
            <w:tcW w:w="1065" w:type="dxa"/>
            <w:tcBorders>
              <w:top w:val="single" w:sz="4" w:space="0" w:color="auto"/>
              <w:bottom w:val="single" w:sz="4" w:space="0" w:color="auto"/>
            </w:tcBorders>
          </w:tcPr>
          <w:p w14:paraId="64CD07CE" w14:textId="77777777" w:rsidR="00A7521D" w:rsidRPr="00995C3D" w:rsidRDefault="00A7521D" w:rsidP="00A7521D">
            <w:pPr>
              <w:spacing w:after="0" w:line="240" w:lineRule="auto"/>
              <w:jc w:val="center"/>
            </w:pPr>
            <w:r w:rsidRPr="00995C3D">
              <w:t>CIBSE category</w:t>
            </w:r>
          </w:p>
        </w:tc>
        <w:tc>
          <w:tcPr>
            <w:tcW w:w="1196" w:type="dxa"/>
            <w:tcBorders>
              <w:top w:val="single" w:sz="4" w:space="0" w:color="auto"/>
              <w:bottom w:val="single" w:sz="4" w:space="0" w:color="auto"/>
            </w:tcBorders>
          </w:tcPr>
          <w:p w14:paraId="28B159EE" w14:textId="77777777" w:rsidR="00A7521D" w:rsidRPr="00995C3D" w:rsidRDefault="00A7521D" w:rsidP="00A7521D">
            <w:pPr>
              <w:spacing w:after="0" w:line="240" w:lineRule="auto"/>
              <w:jc w:val="center"/>
            </w:pPr>
            <w:r w:rsidRPr="00995C3D">
              <w:t>Estimated floor area (m</w:t>
            </w:r>
            <w:r w:rsidRPr="00995C3D">
              <w:rPr>
                <w:vertAlign w:val="superscript"/>
              </w:rPr>
              <w:t>2</w:t>
            </w:r>
            <w:r w:rsidRPr="00995C3D">
              <w:t>)</w:t>
            </w:r>
          </w:p>
        </w:tc>
        <w:tc>
          <w:tcPr>
            <w:tcW w:w="1842" w:type="dxa"/>
            <w:tcBorders>
              <w:top w:val="single" w:sz="4" w:space="0" w:color="auto"/>
              <w:bottom w:val="single" w:sz="4" w:space="0" w:color="auto"/>
            </w:tcBorders>
          </w:tcPr>
          <w:p w14:paraId="36D3CF1C" w14:textId="77777777" w:rsidR="00A7521D" w:rsidRPr="00995C3D" w:rsidRDefault="00A7521D" w:rsidP="00A7521D">
            <w:pPr>
              <w:spacing w:after="0" w:line="240" w:lineRule="auto"/>
              <w:jc w:val="center"/>
            </w:pPr>
            <w:r w:rsidRPr="00995C3D">
              <w:t>Yearly energy use for heating (MWh)</w:t>
            </w:r>
          </w:p>
        </w:tc>
        <w:tc>
          <w:tcPr>
            <w:tcW w:w="1014" w:type="dxa"/>
            <w:tcBorders>
              <w:top w:val="single" w:sz="4" w:space="0" w:color="auto"/>
              <w:bottom w:val="single" w:sz="4" w:space="0" w:color="auto"/>
            </w:tcBorders>
          </w:tcPr>
          <w:p w14:paraId="76BD423B" w14:textId="77777777" w:rsidR="00A7521D" w:rsidRPr="00995C3D" w:rsidRDefault="00A7521D" w:rsidP="00A7521D">
            <w:pPr>
              <w:spacing w:after="0" w:line="240" w:lineRule="auto"/>
              <w:jc w:val="center"/>
            </w:pPr>
            <w:r w:rsidRPr="00995C3D">
              <w:t>Average power (kW)</w:t>
            </w:r>
          </w:p>
        </w:tc>
        <w:tc>
          <w:tcPr>
            <w:tcW w:w="844" w:type="dxa"/>
            <w:tcBorders>
              <w:top w:val="single" w:sz="4" w:space="0" w:color="auto"/>
              <w:bottom w:val="single" w:sz="4" w:space="0" w:color="auto"/>
            </w:tcBorders>
          </w:tcPr>
          <w:p w14:paraId="55A2C233" w14:textId="77777777" w:rsidR="00A7521D" w:rsidRPr="00995C3D" w:rsidRDefault="00A7521D" w:rsidP="00A7521D">
            <w:pPr>
              <w:spacing w:after="0" w:line="240" w:lineRule="auto"/>
              <w:jc w:val="center"/>
            </w:pPr>
            <w:r w:rsidRPr="00995C3D">
              <w:t>Peak power (kW)</w:t>
            </w:r>
          </w:p>
        </w:tc>
      </w:tr>
      <w:tr w:rsidR="00A7521D" w:rsidRPr="00995C3D" w14:paraId="6FD6D520" w14:textId="77777777" w:rsidTr="00A7521D">
        <w:trPr>
          <w:jc w:val="center"/>
        </w:trPr>
        <w:tc>
          <w:tcPr>
            <w:tcW w:w="2622" w:type="dxa"/>
            <w:tcBorders>
              <w:top w:val="single" w:sz="4" w:space="0" w:color="auto"/>
              <w:bottom w:val="nil"/>
            </w:tcBorders>
          </w:tcPr>
          <w:p w14:paraId="22672740" w14:textId="77777777" w:rsidR="00A7521D" w:rsidRPr="00995C3D" w:rsidRDefault="00A7521D" w:rsidP="00A7521D">
            <w:pPr>
              <w:spacing w:after="0" w:line="240" w:lineRule="auto"/>
              <w:jc w:val="center"/>
              <w:rPr>
                <w:rFonts w:cs="Calibri"/>
                <w:color w:val="000000"/>
              </w:rPr>
            </w:pPr>
            <w:r w:rsidRPr="00995C3D">
              <w:rPr>
                <w:rFonts w:cs="Calibri"/>
                <w:color w:val="000000"/>
              </w:rPr>
              <w:t>Matlock bath train station</w:t>
            </w:r>
          </w:p>
        </w:tc>
        <w:tc>
          <w:tcPr>
            <w:tcW w:w="1254" w:type="dxa"/>
            <w:tcBorders>
              <w:top w:val="single" w:sz="4" w:space="0" w:color="auto"/>
              <w:bottom w:val="nil"/>
            </w:tcBorders>
          </w:tcPr>
          <w:p w14:paraId="6A598BE7" w14:textId="77777777" w:rsidR="00A7521D" w:rsidRPr="00995C3D" w:rsidRDefault="00A7521D" w:rsidP="00A7521D">
            <w:pPr>
              <w:spacing w:after="0" w:line="240" w:lineRule="auto"/>
              <w:jc w:val="center"/>
            </w:pPr>
            <w:r w:rsidRPr="00995C3D">
              <w:t>DE4 5JA</w:t>
            </w:r>
          </w:p>
        </w:tc>
        <w:tc>
          <w:tcPr>
            <w:tcW w:w="1065" w:type="dxa"/>
            <w:tcBorders>
              <w:top w:val="single" w:sz="4" w:space="0" w:color="auto"/>
              <w:bottom w:val="nil"/>
            </w:tcBorders>
          </w:tcPr>
          <w:p w14:paraId="08590BF7" w14:textId="77777777" w:rsidR="00A7521D" w:rsidRPr="00995C3D" w:rsidRDefault="00A7521D" w:rsidP="00A7521D">
            <w:pPr>
              <w:spacing w:after="0" w:line="240" w:lineRule="auto"/>
              <w:jc w:val="center"/>
              <w:rPr>
                <w:rFonts w:cs="Calibri"/>
                <w:color w:val="000000"/>
              </w:rPr>
            </w:pPr>
            <w:r w:rsidRPr="00995C3D">
              <w:rPr>
                <w:rFonts w:cs="Calibri"/>
                <w:color w:val="000000"/>
              </w:rPr>
              <w:t>25</w:t>
            </w:r>
          </w:p>
        </w:tc>
        <w:tc>
          <w:tcPr>
            <w:tcW w:w="1196" w:type="dxa"/>
            <w:tcBorders>
              <w:top w:val="single" w:sz="4" w:space="0" w:color="auto"/>
              <w:bottom w:val="nil"/>
            </w:tcBorders>
          </w:tcPr>
          <w:p w14:paraId="5B2CBD8C" w14:textId="77777777" w:rsidR="00A7521D" w:rsidRPr="00995C3D" w:rsidRDefault="00A7521D" w:rsidP="00A7521D">
            <w:pPr>
              <w:spacing w:after="0" w:line="240" w:lineRule="auto"/>
              <w:jc w:val="center"/>
              <w:rPr>
                <w:rFonts w:cs="Calibri"/>
                <w:color w:val="000000"/>
              </w:rPr>
            </w:pPr>
            <w:r w:rsidRPr="00995C3D">
              <w:rPr>
                <w:rFonts w:cs="Calibri"/>
                <w:color w:val="000000"/>
              </w:rPr>
              <w:t>55</w:t>
            </w:r>
          </w:p>
        </w:tc>
        <w:tc>
          <w:tcPr>
            <w:tcW w:w="1842" w:type="dxa"/>
            <w:tcBorders>
              <w:top w:val="single" w:sz="4" w:space="0" w:color="auto"/>
              <w:bottom w:val="nil"/>
            </w:tcBorders>
          </w:tcPr>
          <w:p w14:paraId="5E709440" w14:textId="77777777" w:rsidR="00A7521D" w:rsidRPr="00995C3D" w:rsidRDefault="00A7521D" w:rsidP="00A7521D">
            <w:pPr>
              <w:spacing w:after="0" w:line="240" w:lineRule="auto"/>
              <w:jc w:val="center"/>
              <w:rPr>
                <w:rFonts w:cs="Calibri"/>
                <w:color w:val="000000"/>
              </w:rPr>
            </w:pPr>
            <w:r w:rsidRPr="00995C3D">
              <w:rPr>
                <w:rFonts w:cs="Calibri"/>
                <w:color w:val="000000"/>
              </w:rPr>
              <w:t>5</w:t>
            </w:r>
          </w:p>
        </w:tc>
        <w:tc>
          <w:tcPr>
            <w:tcW w:w="1014" w:type="dxa"/>
            <w:tcBorders>
              <w:top w:val="single" w:sz="4" w:space="0" w:color="auto"/>
              <w:bottom w:val="nil"/>
            </w:tcBorders>
          </w:tcPr>
          <w:p w14:paraId="1FF446C6" w14:textId="77777777" w:rsidR="00A7521D" w:rsidRPr="00995C3D" w:rsidRDefault="00A7521D" w:rsidP="00A7521D">
            <w:pPr>
              <w:spacing w:after="0" w:line="240" w:lineRule="auto"/>
              <w:jc w:val="center"/>
              <w:rPr>
                <w:rFonts w:cs="Calibri"/>
                <w:color w:val="000000"/>
              </w:rPr>
            </w:pPr>
            <w:r w:rsidRPr="00995C3D">
              <w:rPr>
                <w:rFonts w:cs="Calibri"/>
                <w:color w:val="000000"/>
              </w:rPr>
              <w:t>2</w:t>
            </w:r>
          </w:p>
        </w:tc>
        <w:tc>
          <w:tcPr>
            <w:tcW w:w="844" w:type="dxa"/>
            <w:tcBorders>
              <w:top w:val="single" w:sz="4" w:space="0" w:color="auto"/>
              <w:bottom w:val="nil"/>
            </w:tcBorders>
          </w:tcPr>
          <w:p w14:paraId="794BE681" w14:textId="77777777" w:rsidR="00A7521D" w:rsidRPr="00995C3D" w:rsidRDefault="00A7521D" w:rsidP="00A7521D">
            <w:pPr>
              <w:spacing w:after="0" w:line="240" w:lineRule="auto"/>
              <w:jc w:val="center"/>
              <w:rPr>
                <w:rFonts w:cs="Calibri"/>
                <w:color w:val="000000"/>
              </w:rPr>
            </w:pPr>
            <w:r w:rsidRPr="00995C3D">
              <w:rPr>
                <w:rFonts w:cs="Calibri"/>
                <w:color w:val="000000"/>
              </w:rPr>
              <w:t>5</w:t>
            </w:r>
          </w:p>
        </w:tc>
      </w:tr>
      <w:tr w:rsidR="00A7521D" w:rsidRPr="00995C3D" w14:paraId="265460CD" w14:textId="77777777" w:rsidTr="00A7521D">
        <w:trPr>
          <w:jc w:val="center"/>
        </w:trPr>
        <w:tc>
          <w:tcPr>
            <w:tcW w:w="2622" w:type="dxa"/>
            <w:tcBorders>
              <w:top w:val="nil"/>
            </w:tcBorders>
          </w:tcPr>
          <w:p w14:paraId="1FBB2CFB" w14:textId="77777777" w:rsidR="00A7521D" w:rsidRPr="00995C3D" w:rsidRDefault="00A7521D" w:rsidP="00A7521D">
            <w:pPr>
              <w:spacing w:after="0" w:line="240" w:lineRule="auto"/>
              <w:jc w:val="center"/>
              <w:rPr>
                <w:rFonts w:cs="Calibri"/>
                <w:color w:val="000000"/>
              </w:rPr>
            </w:pPr>
            <w:r w:rsidRPr="00995C3D">
              <w:rPr>
                <w:rFonts w:cs="Calibri"/>
                <w:color w:val="000000"/>
              </w:rPr>
              <w:t>Cromford train station</w:t>
            </w:r>
          </w:p>
        </w:tc>
        <w:tc>
          <w:tcPr>
            <w:tcW w:w="1254" w:type="dxa"/>
            <w:tcBorders>
              <w:top w:val="nil"/>
            </w:tcBorders>
          </w:tcPr>
          <w:p w14:paraId="6AB95280" w14:textId="77777777" w:rsidR="00A7521D" w:rsidRPr="00995C3D" w:rsidRDefault="00A7521D" w:rsidP="00A7521D">
            <w:pPr>
              <w:spacing w:after="0" w:line="240" w:lineRule="auto"/>
              <w:jc w:val="center"/>
            </w:pPr>
            <w:r w:rsidRPr="00995C3D">
              <w:t>DE4 5JJ</w:t>
            </w:r>
          </w:p>
        </w:tc>
        <w:tc>
          <w:tcPr>
            <w:tcW w:w="1065" w:type="dxa"/>
            <w:tcBorders>
              <w:top w:val="nil"/>
            </w:tcBorders>
          </w:tcPr>
          <w:p w14:paraId="629EF6FA" w14:textId="77777777" w:rsidR="00A7521D" w:rsidRPr="00995C3D" w:rsidRDefault="00A7521D" w:rsidP="00A7521D">
            <w:pPr>
              <w:spacing w:after="0" w:line="240" w:lineRule="auto"/>
              <w:jc w:val="center"/>
              <w:rPr>
                <w:rFonts w:cs="Calibri"/>
                <w:color w:val="000000"/>
              </w:rPr>
            </w:pPr>
            <w:r w:rsidRPr="00995C3D">
              <w:rPr>
                <w:rFonts w:cs="Calibri"/>
                <w:color w:val="000000"/>
              </w:rPr>
              <w:t>25</w:t>
            </w:r>
          </w:p>
        </w:tc>
        <w:tc>
          <w:tcPr>
            <w:tcW w:w="1196" w:type="dxa"/>
            <w:tcBorders>
              <w:top w:val="nil"/>
            </w:tcBorders>
          </w:tcPr>
          <w:p w14:paraId="0775C60A" w14:textId="77777777" w:rsidR="00A7521D" w:rsidRPr="00995C3D" w:rsidRDefault="00A7521D" w:rsidP="00A7521D">
            <w:pPr>
              <w:spacing w:after="0" w:line="240" w:lineRule="auto"/>
              <w:jc w:val="center"/>
              <w:rPr>
                <w:rFonts w:cs="Calibri"/>
                <w:color w:val="000000"/>
              </w:rPr>
            </w:pPr>
            <w:r w:rsidRPr="00995C3D">
              <w:rPr>
                <w:rFonts w:cs="Calibri"/>
                <w:color w:val="000000"/>
              </w:rPr>
              <w:t>55</w:t>
            </w:r>
          </w:p>
        </w:tc>
        <w:tc>
          <w:tcPr>
            <w:tcW w:w="1842" w:type="dxa"/>
            <w:tcBorders>
              <w:top w:val="nil"/>
            </w:tcBorders>
          </w:tcPr>
          <w:p w14:paraId="4C3B32B7" w14:textId="77777777" w:rsidR="00A7521D" w:rsidRPr="00995C3D" w:rsidRDefault="00A7521D" w:rsidP="00A7521D">
            <w:pPr>
              <w:spacing w:after="0" w:line="240" w:lineRule="auto"/>
              <w:jc w:val="center"/>
              <w:rPr>
                <w:rFonts w:cs="Calibri"/>
                <w:color w:val="000000"/>
              </w:rPr>
            </w:pPr>
            <w:r w:rsidRPr="00995C3D">
              <w:rPr>
                <w:rFonts w:cs="Calibri"/>
                <w:color w:val="000000"/>
              </w:rPr>
              <w:t>5</w:t>
            </w:r>
          </w:p>
        </w:tc>
        <w:tc>
          <w:tcPr>
            <w:tcW w:w="1014" w:type="dxa"/>
            <w:tcBorders>
              <w:top w:val="nil"/>
            </w:tcBorders>
          </w:tcPr>
          <w:p w14:paraId="16158274" w14:textId="77777777" w:rsidR="00A7521D" w:rsidRPr="00995C3D" w:rsidRDefault="00A7521D" w:rsidP="00A7521D">
            <w:pPr>
              <w:spacing w:after="0" w:line="240" w:lineRule="auto"/>
              <w:jc w:val="center"/>
              <w:rPr>
                <w:rFonts w:cs="Calibri"/>
                <w:color w:val="000000"/>
              </w:rPr>
            </w:pPr>
            <w:r w:rsidRPr="00995C3D">
              <w:rPr>
                <w:rFonts w:cs="Calibri"/>
                <w:color w:val="000000"/>
              </w:rPr>
              <w:t>2</w:t>
            </w:r>
          </w:p>
        </w:tc>
        <w:tc>
          <w:tcPr>
            <w:tcW w:w="844" w:type="dxa"/>
            <w:tcBorders>
              <w:top w:val="nil"/>
            </w:tcBorders>
          </w:tcPr>
          <w:p w14:paraId="523A6C2A" w14:textId="77777777" w:rsidR="00A7521D" w:rsidRPr="00995C3D" w:rsidRDefault="00A7521D" w:rsidP="00A7521D">
            <w:pPr>
              <w:spacing w:after="0" w:line="240" w:lineRule="auto"/>
              <w:jc w:val="center"/>
              <w:rPr>
                <w:rFonts w:cs="Calibri"/>
                <w:color w:val="000000"/>
              </w:rPr>
            </w:pPr>
            <w:r w:rsidRPr="00995C3D">
              <w:rPr>
                <w:rFonts w:cs="Calibri"/>
                <w:color w:val="000000"/>
              </w:rPr>
              <w:t>5</w:t>
            </w:r>
          </w:p>
        </w:tc>
      </w:tr>
      <w:tr w:rsidR="00A7521D" w:rsidRPr="00995C3D" w14:paraId="224655F5" w14:textId="77777777" w:rsidTr="00A7521D">
        <w:trPr>
          <w:jc w:val="center"/>
        </w:trPr>
        <w:tc>
          <w:tcPr>
            <w:tcW w:w="2622" w:type="dxa"/>
          </w:tcPr>
          <w:p w14:paraId="0E124E46" w14:textId="77777777" w:rsidR="00A7521D" w:rsidRPr="00995C3D" w:rsidRDefault="00A7521D" w:rsidP="00A7521D">
            <w:pPr>
              <w:spacing w:after="0" w:line="240" w:lineRule="auto"/>
              <w:jc w:val="center"/>
              <w:rPr>
                <w:rFonts w:cs="Calibri"/>
                <w:color w:val="000000"/>
              </w:rPr>
            </w:pPr>
            <w:r w:rsidRPr="00995C3D">
              <w:rPr>
                <w:rFonts w:cs="Calibri"/>
                <w:color w:val="000000"/>
              </w:rPr>
              <w:t>The heights of Abraham</w:t>
            </w:r>
          </w:p>
        </w:tc>
        <w:tc>
          <w:tcPr>
            <w:tcW w:w="1254" w:type="dxa"/>
          </w:tcPr>
          <w:p w14:paraId="6F5196F0" w14:textId="77777777" w:rsidR="00A7521D" w:rsidRPr="00995C3D" w:rsidRDefault="00A7521D" w:rsidP="00A7521D">
            <w:pPr>
              <w:spacing w:after="0" w:line="240" w:lineRule="auto"/>
              <w:jc w:val="center"/>
            </w:pPr>
            <w:r w:rsidRPr="00995C3D">
              <w:t>DE4 3NT</w:t>
            </w:r>
          </w:p>
        </w:tc>
        <w:tc>
          <w:tcPr>
            <w:tcW w:w="1065" w:type="dxa"/>
          </w:tcPr>
          <w:p w14:paraId="28186847" w14:textId="77777777" w:rsidR="00A7521D" w:rsidRPr="00995C3D" w:rsidRDefault="00A7521D" w:rsidP="00A7521D">
            <w:pPr>
              <w:spacing w:after="0" w:line="240" w:lineRule="auto"/>
              <w:jc w:val="center"/>
              <w:rPr>
                <w:rFonts w:cs="Calibri"/>
                <w:color w:val="000000"/>
              </w:rPr>
            </w:pPr>
            <w:r w:rsidRPr="00995C3D">
              <w:rPr>
                <w:rFonts w:cs="Calibri"/>
                <w:color w:val="000000"/>
              </w:rPr>
              <w:t>10</w:t>
            </w:r>
          </w:p>
        </w:tc>
        <w:tc>
          <w:tcPr>
            <w:tcW w:w="1196" w:type="dxa"/>
          </w:tcPr>
          <w:p w14:paraId="4B6545A2" w14:textId="77777777" w:rsidR="00A7521D" w:rsidRPr="00995C3D" w:rsidRDefault="00A7521D" w:rsidP="00A7521D">
            <w:pPr>
              <w:spacing w:after="0" w:line="240" w:lineRule="auto"/>
              <w:jc w:val="center"/>
              <w:rPr>
                <w:rFonts w:cs="Calibri"/>
                <w:color w:val="000000"/>
              </w:rPr>
            </w:pPr>
            <w:r w:rsidRPr="00995C3D">
              <w:rPr>
                <w:rFonts w:cs="Calibri"/>
                <w:color w:val="000000"/>
              </w:rPr>
              <w:t>166</w:t>
            </w:r>
          </w:p>
        </w:tc>
        <w:tc>
          <w:tcPr>
            <w:tcW w:w="1842" w:type="dxa"/>
          </w:tcPr>
          <w:p w14:paraId="072D2987" w14:textId="77777777" w:rsidR="00A7521D" w:rsidRPr="00995C3D" w:rsidRDefault="00A7521D" w:rsidP="00A7521D">
            <w:pPr>
              <w:spacing w:after="0" w:line="240" w:lineRule="auto"/>
              <w:jc w:val="center"/>
              <w:rPr>
                <w:rFonts w:cs="Calibri"/>
                <w:color w:val="000000"/>
              </w:rPr>
            </w:pPr>
            <w:r w:rsidRPr="00995C3D">
              <w:rPr>
                <w:rFonts w:cs="Calibri"/>
                <w:color w:val="000000"/>
              </w:rPr>
              <w:t>31</w:t>
            </w:r>
          </w:p>
        </w:tc>
        <w:tc>
          <w:tcPr>
            <w:tcW w:w="1014" w:type="dxa"/>
          </w:tcPr>
          <w:p w14:paraId="6A9ED311" w14:textId="77777777" w:rsidR="00A7521D" w:rsidRPr="00995C3D" w:rsidRDefault="00A7521D" w:rsidP="00A7521D">
            <w:pPr>
              <w:spacing w:after="0" w:line="240" w:lineRule="auto"/>
              <w:jc w:val="center"/>
              <w:rPr>
                <w:rFonts w:cs="Calibri"/>
                <w:color w:val="000000"/>
              </w:rPr>
            </w:pPr>
            <w:r w:rsidRPr="00995C3D">
              <w:rPr>
                <w:rFonts w:cs="Calibri"/>
                <w:color w:val="000000"/>
              </w:rPr>
              <w:t>12</w:t>
            </w:r>
          </w:p>
        </w:tc>
        <w:tc>
          <w:tcPr>
            <w:tcW w:w="844" w:type="dxa"/>
          </w:tcPr>
          <w:p w14:paraId="6A1427C3" w14:textId="77777777" w:rsidR="00A7521D" w:rsidRPr="00995C3D" w:rsidRDefault="00A7521D" w:rsidP="00A7521D">
            <w:pPr>
              <w:spacing w:after="0" w:line="240" w:lineRule="auto"/>
              <w:jc w:val="center"/>
              <w:rPr>
                <w:rFonts w:cs="Calibri"/>
                <w:color w:val="000000"/>
              </w:rPr>
            </w:pPr>
            <w:r w:rsidRPr="00995C3D">
              <w:rPr>
                <w:rFonts w:cs="Calibri"/>
                <w:color w:val="000000"/>
              </w:rPr>
              <w:t>32</w:t>
            </w:r>
          </w:p>
        </w:tc>
      </w:tr>
      <w:tr w:rsidR="00A7521D" w:rsidRPr="00995C3D" w14:paraId="61B97841" w14:textId="77777777" w:rsidTr="00A7521D">
        <w:trPr>
          <w:jc w:val="center"/>
        </w:trPr>
        <w:tc>
          <w:tcPr>
            <w:tcW w:w="2622" w:type="dxa"/>
          </w:tcPr>
          <w:p w14:paraId="7F5C63FA" w14:textId="062F98A1" w:rsidR="00A7521D" w:rsidRPr="00995C3D" w:rsidRDefault="00A7521D" w:rsidP="00A7521D">
            <w:pPr>
              <w:spacing w:after="0" w:line="240" w:lineRule="auto"/>
              <w:jc w:val="center"/>
              <w:rPr>
                <w:rFonts w:cs="Calibri"/>
                <w:color w:val="000000"/>
              </w:rPr>
            </w:pPr>
            <w:r w:rsidRPr="00995C3D">
              <w:rPr>
                <w:rFonts w:cs="Calibri"/>
                <w:color w:val="000000"/>
              </w:rPr>
              <w:t xml:space="preserve">The </w:t>
            </w:r>
            <w:r w:rsidR="00D82F1A">
              <w:rPr>
                <w:rFonts w:cs="Calibri"/>
                <w:color w:val="000000"/>
              </w:rPr>
              <w:t>B</w:t>
            </w:r>
            <w:r w:rsidRPr="00995C3D">
              <w:rPr>
                <w:rFonts w:cs="Calibri"/>
                <w:color w:val="000000"/>
              </w:rPr>
              <w:t>alti</w:t>
            </w:r>
          </w:p>
        </w:tc>
        <w:tc>
          <w:tcPr>
            <w:tcW w:w="1254" w:type="dxa"/>
          </w:tcPr>
          <w:p w14:paraId="16747512" w14:textId="77777777" w:rsidR="00A7521D" w:rsidRPr="00995C3D" w:rsidRDefault="00A7521D" w:rsidP="00A7521D">
            <w:pPr>
              <w:spacing w:after="0" w:line="240" w:lineRule="auto"/>
              <w:jc w:val="center"/>
            </w:pPr>
            <w:r w:rsidRPr="00995C3D">
              <w:t>DE4 3NT</w:t>
            </w:r>
          </w:p>
        </w:tc>
        <w:tc>
          <w:tcPr>
            <w:tcW w:w="1065" w:type="dxa"/>
          </w:tcPr>
          <w:p w14:paraId="0CBBE1C6" w14:textId="77777777" w:rsidR="00A7521D" w:rsidRPr="00995C3D" w:rsidRDefault="00A7521D" w:rsidP="00A7521D">
            <w:pPr>
              <w:spacing w:after="0" w:line="240" w:lineRule="auto"/>
              <w:jc w:val="center"/>
              <w:rPr>
                <w:rFonts w:cs="Calibri"/>
                <w:color w:val="000000"/>
              </w:rPr>
            </w:pPr>
            <w:r w:rsidRPr="00995C3D">
              <w:rPr>
                <w:rFonts w:cs="Calibri"/>
                <w:color w:val="000000"/>
              </w:rPr>
              <w:t>7</w:t>
            </w:r>
          </w:p>
        </w:tc>
        <w:tc>
          <w:tcPr>
            <w:tcW w:w="1196" w:type="dxa"/>
          </w:tcPr>
          <w:p w14:paraId="1ED11F2E" w14:textId="77777777" w:rsidR="00A7521D" w:rsidRPr="00995C3D" w:rsidRDefault="00A7521D" w:rsidP="00A7521D">
            <w:pPr>
              <w:spacing w:after="0" w:line="240" w:lineRule="auto"/>
              <w:jc w:val="center"/>
              <w:rPr>
                <w:rFonts w:cs="Calibri"/>
                <w:color w:val="000000"/>
              </w:rPr>
            </w:pPr>
            <w:r w:rsidRPr="00995C3D">
              <w:rPr>
                <w:rFonts w:cs="Calibri"/>
                <w:color w:val="000000"/>
              </w:rPr>
              <w:t>222</w:t>
            </w:r>
          </w:p>
        </w:tc>
        <w:tc>
          <w:tcPr>
            <w:tcW w:w="1842" w:type="dxa"/>
          </w:tcPr>
          <w:p w14:paraId="57A5EEAB" w14:textId="77777777" w:rsidR="00A7521D" w:rsidRPr="00995C3D" w:rsidRDefault="00A7521D" w:rsidP="00A7521D">
            <w:pPr>
              <w:spacing w:after="0" w:line="240" w:lineRule="auto"/>
              <w:jc w:val="center"/>
              <w:rPr>
                <w:rFonts w:cs="Calibri"/>
                <w:color w:val="000000"/>
              </w:rPr>
            </w:pPr>
            <w:r w:rsidRPr="00995C3D">
              <w:rPr>
                <w:rFonts w:cs="Calibri"/>
                <w:color w:val="000000"/>
              </w:rPr>
              <w:t>28</w:t>
            </w:r>
          </w:p>
        </w:tc>
        <w:tc>
          <w:tcPr>
            <w:tcW w:w="1014" w:type="dxa"/>
          </w:tcPr>
          <w:p w14:paraId="13C1F07D" w14:textId="77777777" w:rsidR="00A7521D" w:rsidRPr="00995C3D" w:rsidRDefault="00A7521D" w:rsidP="00A7521D">
            <w:pPr>
              <w:spacing w:after="0" w:line="240" w:lineRule="auto"/>
              <w:jc w:val="center"/>
              <w:rPr>
                <w:rFonts w:cs="Calibri"/>
                <w:color w:val="000000"/>
              </w:rPr>
            </w:pPr>
            <w:r w:rsidRPr="00995C3D">
              <w:rPr>
                <w:rFonts w:cs="Calibri"/>
                <w:color w:val="000000"/>
              </w:rPr>
              <w:t>13</w:t>
            </w:r>
          </w:p>
        </w:tc>
        <w:tc>
          <w:tcPr>
            <w:tcW w:w="844" w:type="dxa"/>
          </w:tcPr>
          <w:p w14:paraId="1233A123" w14:textId="77777777" w:rsidR="00A7521D" w:rsidRPr="00995C3D" w:rsidRDefault="00A7521D" w:rsidP="00A7521D">
            <w:pPr>
              <w:spacing w:after="0" w:line="240" w:lineRule="auto"/>
              <w:jc w:val="center"/>
              <w:rPr>
                <w:rFonts w:cs="Calibri"/>
                <w:color w:val="000000"/>
              </w:rPr>
            </w:pPr>
            <w:r w:rsidRPr="00995C3D">
              <w:rPr>
                <w:rFonts w:cs="Calibri"/>
                <w:color w:val="000000"/>
              </w:rPr>
              <w:t>33</w:t>
            </w:r>
          </w:p>
        </w:tc>
      </w:tr>
      <w:tr w:rsidR="00A7521D" w:rsidRPr="00995C3D" w14:paraId="65D1F3D9" w14:textId="77777777" w:rsidTr="00A7521D">
        <w:trPr>
          <w:jc w:val="center"/>
        </w:trPr>
        <w:tc>
          <w:tcPr>
            <w:tcW w:w="2622" w:type="dxa"/>
          </w:tcPr>
          <w:p w14:paraId="23474CD4" w14:textId="53BD4872" w:rsidR="00A7521D" w:rsidRPr="00995C3D" w:rsidRDefault="00A7521D" w:rsidP="00A7521D">
            <w:pPr>
              <w:spacing w:after="0" w:line="240" w:lineRule="auto"/>
              <w:jc w:val="center"/>
              <w:rPr>
                <w:rFonts w:cs="Calibri"/>
                <w:color w:val="000000"/>
              </w:rPr>
            </w:pPr>
            <w:r w:rsidRPr="00995C3D">
              <w:rPr>
                <w:rFonts w:cs="Calibri"/>
                <w:color w:val="000000"/>
              </w:rPr>
              <w:t xml:space="preserve">The </w:t>
            </w:r>
            <w:r w:rsidR="00D82F1A">
              <w:rPr>
                <w:rFonts w:cs="Calibri"/>
                <w:color w:val="000000"/>
              </w:rPr>
              <w:t>M</w:t>
            </w:r>
            <w:r w:rsidRPr="00995C3D">
              <w:rPr>
                <w:rFonts w:cs="Calibri"/>
                <w:color w:val="000000"/>
              </w:rPr>
              <w:t>idland</w:t>
            </w:r>
          </w:p>
        </w:tc>
        <w:tc>
          <w:tcPr>
            <w:tcW w:w="1254" w:type="dxa"/>
          </w:tcPr>
          <w:p w14:paraId="015B141F" w14:textId="77777777" w:rsidR="00A7521D" w:rsidRPr="00995C3D" w:rsidRDefault="00A7521D" w:rsidP="00A7521D">
            <w:pPr>
              <w:spacing w:after="0" w:line="240" w:lineRule="auto"/>
              <w:jc w:val="center"/>
            </w:pPr>
            <w:r w:rsidRPr="00995C3D">
              <w:t>DE4 3NS</w:t>
            </w:r>
          </w:p>
        </w:tc>
        <w:tc>
          <w:tcPr>
            <w:tcW w:w="1065" w:type="dxa"/>
          </w:tcPr>
          <w:p w14:paraId="1E1F9818" w14:textId="77777777" w:rsidR="00A7521D" w:rsidRPr="00995C3D" w:rsidRDefault="00A7521D" w:rsidP="00A7521D">
            <w:pPr>
              <w:spacing w:after="0" w:line="240" w:lineRule="auto"/>
              <w:jc w:val="center"/>
              <w:rPr>
                <w:rFonts w:cs="Calibri"/>
                <w:color w:val="000000"/>
              </w:rPr>
            </w:pPr>
            <w:r w:rsidRPr="00995C3D">
              <w:rPr>
                <w:rFonts w:cs="Calibri"/>
                <w:color w:val="000000"/>
              </w:rPr>
              <w:t>8</w:t>
            </w:r>
          </w:p>
        </w:tc>
        <w:tc>
          <w:tcPr>
            <w:tcW w:w="1196" w:type="dxa"/>
          </w:tcPr>
          <w:p w14:paraId="3D1A985A" w14:textId="77777777" w:rsidR="00A7521D" w:rsidRPr="00995C3D" w:rsidRDefault="00A7521D" w:rsidP="00A7521D">
            <w:pPr>
              <w:spacing w:after="0" w:line="240" w:lineRule="auto"/>
              <w:jc w:val="center"/>
              <w:rPr>
                <w:rFonts w:cs="Calibri"/>
                <w:color w:val="000000"/>
              </w:rPr>
            </w:pPr>
            <w:r w:rsidRPr="00995C3D">
              <w:rPr>
                <w:rFonts w:cs="Calibri"/>
                <w:color w:val="000000"/>
              </w:rPr>
              <w:t>55</w:t>
            </w:r>
          </w:p>
        </w:tc>
        <w:tc>
          <w:tcPr>
            <w:tcW w:w="1842" w:type="dxa"/>
          </w:tcPr>
          <w:p w14:paraId="40538C8D" w14:textId="77777777" w:rsidR="00A7521D" w:rsidRPr="00995C3D" w:rsidRDefault="00A7521D" w:rsidP="00A7521D">
            <w:pPr>
              <w:spacing w:after="0" w:line="240" w:lineRule="auto"/>
              <w:jc w:val="center"/>
              <w:rPr>
                <w:rFonts w:cs="Calibri"/>
                <w:color w:val="000000"/>
              </w:rPr>
            </w:pPr>
            <w:r w:rsidRPr="00995C3D">
              <w:rPr>
                <w:rFonts w:cs="Calibri"/>
                <w:color w:val="000000"/>
              </w:rPr>
              <w:t>7</w:t>
            </w:r>
          </w:p>
        </w:tc>
        <w:tc>
          <w:tcPr>
            <w:tcW w:w="1014" w:type="dxa"/>
          </w:tcPr>
          <w:p w14:paraId="6043C2E8" w14:textId="77777777" w:rsidR="00A7521D" w:rsidRPr="00995C3D" w:rsidRDefault="00A7521D" w:rsidP="00A7521D">
            <w:pPr>
              <w:spacing w:after="0" w:line="240" w:lineRule="auto"/>
              <w:jc w:val="center"/>
              <w:rPr>
                <w:rFonts w:cs="Calibri"/>
                <w:color w:val="000000"/>
              </w:rPr>
            </w:pPr>
            <w:r w:rsidRPr="00995C3D">
              <w:rPr>
                <w:rFonts w:cs="Calibri"/>
                <w:color w:val="000000"/>
              </w:rPr>
              <w:t>3</w:t>
            </w:r>
          </w:p>
        </w:tc>
        <w:tc>
          <w:tcPr>
            <w:tcW w:w="844" w:type="dxa"/>
          </w:tcPr>
          <w:p w14:paraId="22991546" w14:textId="77777777" w:rsidR="00A7521D" w:rsidRPr="00995C3D" w:rsidRDefault="00A7521D" w:rsidP="00A7521D">
            <w:pPr>
              <w:spacing w:after="0" w:line="240" w:lineRule="auto"/>
              <w:jc w:val="center"/>
              <w:rPr>
                <w:rFonts w:cs="Calibri"/>
                <w:color w:val="000000"/>
              </w:rPr>
            </w:pPr>
            <w:r w:rsidRPr="00995C3D">
              <w:rPr>
                <w:rFonts w:cs="Calibri"/>
                <w:color w:val="000000"/>
              </w:rPr>
              <w:t>4</w:t>
            </w:r>
          </w:p>
        </w:tc>
      </w:tr>
      <w:tr w:rsidR="00A7521D" w:rsidRPr="00995C3D" w14:paraId="38135152" w14:textId="77777777" w:rsidTr="00A7521D">
        <w:trPr>
          <w:jc w:val="center"/>
        </w:trPr>
        <w:tc>
          <w:tcPr>
            <w:tcW w:w="2622" w:type="dxa"/>
          </w:tcPr>
          <w:p w14:paraId="4284A85E" w14:textId="77777777" w:rsidR="00A7521D" w:rsidRPr="00995C3D" w:rsidRDefault="00A7521D" w:rsidP="00A7521D">
            <w:pPr>
              <w:spacing w:after="0" w:line="240" w:lineRule="auto"/>
              <w:jc w:val="center"/>
              <w:rPr>
                <w:rFonts w:cs="Calibri"/>
                <w:color w:val="000000"/>
              </w:rPr>
            </w:pPr>
            <w:r w:rsidRPr="00995C3D">
              <w:rPr>
                <w:rFonts w:cs="Calibri"/>
                <w:color w:val="000000"/>
              </w:rPr>
              <w:t>Derwent amusement centre</w:t>
            </w:r>
          </w:p>
        </w:tc>
        <w:tc>
          <w:tcPr>
            <w:tcW w:w="1254" w:type="dxa"/>
          </w:tcPr>
          <w:p w14:paraId="763C047F" w14:textId="77777777" w:rsidR="00A7521D" w:rsidRPr="00995C3D" w:rsidRDefault="00A7521D" w:rsidP="00A7521D">
            <w:pPr>
              <w:spacing w:after="0" w:line="240" w:lineRule="auto"/>
              <w:jc w:val="center"/>
            </w:pPr>
            <w:r w:rsidRPr="00995C3D">
              <w:t>DE4 3NS</w:t>
            </w:r>
          </w:p>
        </w:tc>
        <w:tc>
          <w:tcPr>
            <w:tcW w:w="1065" w:type="dxa"/>
          </w:tcPr>
          <w:p w14:paraId="778580FB" w14:textId="77777777" w:rsidR="00A7521D" w:rsidRPr="00995C3D" w:rsidRDefault="00A7521D" w:rsidP="00A7521D">
            <w:pPr>
              <w:spacing w:after="0" w:line="240" w:lineRule="auto"/>
              <w:jc w:val="center"/>
              <w:rPr>
                <w:rFonts w:cs="Calibri"/>
                <w:color w:val="000000"/>
              </w:rPr>
            </w:pPr>
            <w:r w:rsidRPr="00995C3D">
              <w:rPr>
                <w:rFonts w:cs="Calibri"/>
                <w:color w:val="000000"/>
              </w:rPr>
              <w:t>3</w:t>
            </w:r>
          </w:p>
        </w:tc>
        <w:tc>
          <w:tcPr>
            <w:tcW w:w="1196" w:type="dxa"/>
          </w:tcPr>
          <w:p w14:paraId="57B21F55" w14:textId="77777777" w:rsidR="00A7521D" w:rsidRPr="00995C3D" w:rsidRDefault="00A7521D" w:rsidP="00A7521D">
            <w:pPr>
              <w:spacing w:after="0" w:line="240" w:lineRule="auto"/>
              <w:jc w:val="center"/>
              <w:rPr>
                <w:rFonts w:cs="Calibri"/>
                <w:color w:val="000000"/>
              </w:rPr>
            </w:pPr>
            <w:r w:rsidRPr="00995C3D">
              <w:rPr>
                <w:rFonts w:cs="Calibri"/>
                <w:color w:val="000000"/>
              </w:rPr>
              <w:t>111</w:t>
            </w:r>
          </w:p>
        </w:tc>
        <w:tc>
          <w:tcPr>
            <w:tcW w:w="1842" w:type="dxa"/>
          </w:tcPr>
          <w:p w14:paraId="6768ED59" w14:textId="3B875BB0" w:rsidR="00A7521D" w:rsidRPr="00995C3D" w:rsidRDefault="006C2BA2" w:rsidP="00A7521D">
            <w:pPr>
              <w:spacing w:after="0" w:line="240" w:lineRule="auto"/>
              <w:jc w:val="center"/>
              <w:rPr>
                <w:rFonts w:cs="Calibri"/>
                <w:color w:val="000000"/>
              </w:rPr>
            </w:pPr>
            <w:r>
              <w:rPr>
                <w:rFonts w:cs="Calibri"/>
                <w:color w:val="000000"/>
              </w:rPr>
              <w:t>-</w:t>
            </w:r>
          </w:p>
        </w:tc>
        <w:tc>
          <w:tcPr>
            <w:tcW w:w="1014" w:type="dxa"/>
          </w:tcPr>
          <w:p w14:paraId="3F6657A2" w14:textId="52D54375" w:rsidR="00A7521D" w:rsidRPr="00995C3D" w:rsidRDefault="006C2BA2" w:rsidP="00A7521D">
            <w:pPr>
              <w:spacing w:after="0" w:line="240" w:lineRule="auto"/>
              <w:jc w:val="center"/>
              <w:rPr>
                <w:rFonts w:cs="Calibri"/>
                <w:color w:val="000000"/>
              </w:rPr>
            </w:pPr>
            <w:r>
              <w:rPr>
                <w:rFonts w:cs="Calibri"/>
                <w:color w:val="000000"/>
              </w:rPr>
              <w:t>-</w:t>
            </w:r>
          </w:p>
        </w:tc>
        <w:tc>
          <w:tcPr>
            <w:tcW w:w="844" w:type="dxa"/>
          </w:tcPr>
          <w:p w14:paraId="543CB5B2" w14:textId="5A89B525" w:rsidR="00A7521D" w:rsidRPr="00995C3D" w:rsidRDefault="006C2BA2" w:rsidP="00A7521D">
            <w:pPr>
              <w:spacing w:after="0" w:line="240" w:lineRule="auto"/>
              <w:jc w:val="center"/>
              <w:rPr>
                <w:rFonts w:cs="Calibri"/>
                <w:color w:val="000000"/>
              </w:rPr>
            </w:pPr>
            <w:r>
              <w:rPr>
                <w:rFonts w:cs="Calibri"/>
                <w:color w:val="000000"/>
              </w:rPr>
              <w:t>-</w:t>
            </w:r>
          </w:p>
        </w:tc>
      </w:tr>
      <w:tr w:rsidR="00A7521D" w:rsidRPr="00995C3D" w14:paraId="68E22C11" w14:textId="77777777" w:rsidTr="00A7521D">
        <w:trPr>
          <w:jc w:val="center"/>
        </w:trPr>
        <w:tc>
          <w:tcPr>
            <w:tcW w:w="2622" w:type="dxa"/>
          </w:tcPr>
          <w:p w14:paraId="58238098" w14:textId="77777777" w:rsidR="00A7521D" w:rsidRPr="00995C3D" w:rsidRDefault="00A7521D" w:rsidP="00A7521D">
            <w:pPr>
              <w:spacing w:after="0" w:line="240" w:lineRule="auto"/>
              <w:jc w:val="center"/>
              <w:rPr>
                <w:rFonts w:cs="Calibri"/>
                <w:color w:val="000000"/>
              </w:rPr>
            </w:pPr>
            <w:r w:rsidRPr="00995C3D">
              <w:rPr>
                <w:rFonts w:cs="Calibri"/>
                <w:color w:val="000000"/>
              </w:rPr>
              <w:t>Aquarium amusement</w:t>
            </w:r>
          </w:p>
        </w:tc>
        <w:tc>
          <w:tcPr>
            <w:tcW w:w="1254" w:type="dxa"/>
          </w:tcPr>
          <w:p w14:paraId="65091DD5" w14:textId="77777777" w:rsidR="00A7521D" w:rsidRPr="00995C3D" w:rsidRDefault="00A7521D" w:rsidP="00A7521D">
            <w:pPr>
              <w:spacing w:after="0" w:line="240" w:lineRule="auto"/>
              <w:jc w:val="center"/>
            </w:pPr>
            <w:r w:rsidRPr="00995C3D">
              <w:t>DE4 3NS</w:t>
            </w:r>
          </w:p>
        </w:tc>
        <w:tc>
          <w:tcPr>
            <w:tcW w:w="1065" w:type="dxa"/>
          </w:tcPr>
          <w:p w14:paraId="29CA73AF" w14:textId="77777777" w:rsidR="00A7521D" w:rsidRPr="00995C3D" w:rsidRDefault="00A7521D" w:rsidP="00A7521D">
            <w:pPr>
              <w:spacing w:after="0" w:line="240" w:lineRule="auto"/>
              <w:jc w:val="center"/>
              <w:rPr>
                <w:rFonts w:cs="Calibri"/>
                <w:color w:val="000000"/>
              </w:rPr>
            </w:pPr>
            <w:r w:rsidRPr="00995C3D">
              <w:rPr>
                <w:rFonts w:cs="Calibri"/>
                <w:color w:val="000000"/>
              </w:rPr>
              <w:t>3</w:t>
            </w:r>
          </w:p>
        </w:tc>
        <w:tc>
          <w:tcPr>
            <w:tcW w:w="1196" w:type="dxa"/>
          </w:tcPr>
          <w:p w14:paraId="56C4CB5A" w14:textId="77777777" w:rsidR="00A7521D" w:rsidRPr="00995C3D" w:rsidRDefault="00A7521D" w:rsidP="00A7521D">
            <w:pPr>
              <w:spacing w:after="0" w:line="240" w:lineRule="auto"/>
              <w:jc w:val="center"/>
              <w:rPr>
                <w:rFonts w:cs="Calibri"/>
                <w:color w:val="000000"/>
              </w:rPr>
            </w:pPr>
            <w:r w:rsidRPr="00995C3D">
              <w:rPr>
                <w:rFonts w:cs="Calibri"/>
                <w:color w:val="000000"/>
              </w:rPr>
              <w:t>111</w:t>
            </w:r>
          </w:p>
        </w:tc>
        <w:tc>
          <w:tcPr>
            <w:tcW w:w="1842" w:type="dxa"/>
          </w:tcPr>
          <w:p w14:paraId="56BA202C" w14:textId="182ACAD3" w:rsidR="00A7521D" w:rsidRPr="00995C3D" w:rsidRDefault="006C2BA2" w:rsidP="00A7521D">
            <w:pPr>
              <w:spacing w:after="0" w:line="240" w:lineRule="auto"/>
              <w:jc w:val="center"/>
              <w:rPr>
                <w:rFonts w:cs="Calibri"/>
                <w:color w:val="000000"/>
              </w:rPr>
            </w:pPr>
            <w:r>
              <w:rPr>
                <w:rFonts w:cs="Calibri"/>
                <w:color w:val="000000"/>
              </w:rPr>
              <w:t>-</w:t>
            </w:r>
          </w:p>
        </w:tc>
        <w:tc>
          <w:tcPr>
            <w:tcW w:w="1014" w:type="dxa"/>
          </w:tcPr>
          <w:p w14:paraId="3D712814" w14:textId="3CB3D279" w:rsidR="00A7521D" w:rsidRPr="00995C3D" w:rsidRDefault="006C2BA2" w:rsidP="00A7521D">
            <w:pPr>
              <w:spacing w:after="0" w:line="240" w:lineRule="auto"/>
              <w:jc w:val="center"/>
              <w:rPr>
                <w:rFonts w:cs="Calibri"/>
                <w:color w:val="000000"/>
              </w:rPr>
            </w:pPr>
            <w:r>
              <w:rPr>
                <w:rFonts w:cs="Calibri"/>
                <w:color w:val="000000"/>
              </w:rPr>
              <w:t>-</w:t>
            </w:r>
          </w:p>
        </w:tc>
        <w:tc>
          <w:tcPr>
            <w:tcW w:w="844" w:type="dxa"/>
          </w:tcPr>
          <w:p w14:paraId="391B56EA" w14:textId="599E5348" w:rsidR="00A7521D" w:rsidRPr="00995C3D" w:rsidRDefault="006C2BA2" w:rsidP="00A7521D">
            <w:pPr>
              <w:spacing w:after="0" w:line="240" w:lineRule="auto"/>
              <w:jc w:val="center"/>
              <w:rPr>
                <w:rFonts w:cs="Calibri"/>
                <w:color w:val="000000"/>
              </w:rPr>
            </w:pPr>
            <w:r>
              <w:rPr>
                <w:rFonts w:cs="Calibri"/>
                <w:color w:val="000000"/>
              </w:rPr>
              <w:t>-</w:t>
            </w:r>
          </w:p>
        </w:tc>
      </w:tr>
      <w:tr w:rsidR="00A7521D" w:rsidRPr="00995C3D" w14:paraId="4F61C6AF" w14:textId="77777777" w:rsidTr="00A7521D">
        <w:trPr>
          <w:jc w:val="center"/>
        </w:trPr>
        <w:tc>
          <w:tcPr>
            <w:tcW w:w="2622" w:type="dxa"/>
          </w:tcPr>
          <w:p w14:paraId="47C178F1" w14:textId="77777777" w:rsidR="00A7521D" w:rsidRPr="00995C3D" w:rsidRDefault="00A7521D" w:rsidP="00A7521D">
            <w:pPr>
              <w:spacing w:after="0" w:line="240" w:lineRule="auto"/>
              <w:jc w:val="center"/>
              <w:rPr>
                <w:rFonts w:cs="Calibri"/>
                <w:color w:val="000000"/>
              </w:rPr>
            </w:pPr>
            <w:r w:rsidRPr="00995C3D">
              <w:rPr>
                <w:rFonts w:cs="Calibri"/>
                <w:color w:val="000000"/>
              </w:rPr>
              <w:t>The fishpond</w:t>
            </w:r>
          </w:p>
        </w:tc>
        <w:tc>
          <w:tcPr>
            <w:tcW w:w="1254" w:type="dxa"/>
          </w:tcPr>
          <w:p w14:paraId="64499D8D" w14:textId="77777777" w:rsidR="00A7521D" w:rsidRPr="00995C3D" w:rsidRDefault="00A7521D" w:rsidP="00A7521D">
            <w:pPr>
              <w:spacing w:after="0" w:line="240" w:lineRule="auto"/>
              <w:jc w:val="center"/>
            </w:pPr>
            <w:r w:rsidRPr="00995C3D">
              <w:t>DE4 3NR</w:t>
            </w:r>
          </w:p>
        </w:tc>
        <w:tc>
          <w:tcPr>
            <w:tcW w:w="1065" w:type="dxa"/>
          </w:tcPr>
          <w:p w14:paraId="772E088E" w14:textId="77777777" w:rsidR="00A7521D" w:rsidRPr="00995C3D" w:rsidRDefault="00A7521D" w:rsidP="00A7521D">
            <w:pPr>
              <w:spacing w:after="0" w:line="240" w:lineRule="auto"/>
              <w:jc w:val="center"/>
              <w:rPr>
                <w:rFonts w:cs="Calibri"/>
                <w:color w:val="000000"/>
              </w:rPr>
            </w:pPr>
            <w:r w:rsidRPr="00995C3D">
              <w:rPr>
                <w:rFonts w:cs="Calibri"/>
                <w:color w:val="000000"/>
              </w:rPr>
              <w:t>8</w:t>
            </w:r>
          </w:p>
        </w:tc>
        <w:tc>
          <w:tcPr>
            <w:tcW w:w="1196" w:type="dxa"/>
          </w:tcPr>
          <w:p w14:paraId="3C0B23BA" w14:textId="77777777" w:rsidR="00A7521D" w:rsidRPr="00995C3D" w:rsidRDefault="00A7521D" w:rsidP="00A7521D">
            <w:pPr>
              <w:spacing w:after="0" w:line="240" w:lineRule="auto"/>
              <w:jc w:val="center"/>
              <w:rPr>
                <w:rFonts w:cs="Calibri"/>
                <w:color w:val="000000"/>
              </w:rPr>
            </w:pPr>
            <w:r w:rsidRPr="00995C3D">
              <w:rPr>
                <w:rFonts w:cs="Calibri"/>
                <w:color w:val="000000"/>
              </w:rPr>
              <w:t>28</w:t>
            </w:r>
          </w:p>
        </w:tc>
        <w:tc>
          <w:tcPr>
            <w:tcW w:w="1842" w:type="dxa"/>
          </w:tcPr>
          <w:p w14:paraId="12665F07" w14:textId="77777777" w:rsidR="00A7521D" w:rsidRPr="00995C3D" w:rsidRDefault="00A7521D" w:rsidP="00A7521D">
            <w:pPr>
              <w:spacing w:after="0" w:line="240" w:lineRule="auto"/>
              <w:jc w:val="center"/>
              <w:rPr>
                <w:rFonts w:cs="Calibri"/>
                <w:color w:val="000000"/>
              </w:rPr>
            </w:pPr>
            <w:r w:rsidRPr="00995C3D">
              <w:rPr>
                <w:rFonts w:cs="Calibri"/>
                <w:color w:val="000000"/>
              </w:rPr>
              <w:t>3</w:t>
            </w:r>
          </w:p>
        </w:tc>
        <w:tc>
          <w:tcPr>
            <w:tcW w:w="1014" w:type="dxa"/>
          </w:tcPr>
          <w:p w14:paraId="7C585BD1" w14:textId="77777777" w:rsidR="00A7521D" w:rsidRPr="00995C3D" w:rsidRDefault="00A7521D" w:rsidP="00A7521D">
            <w:pPr>
              <w:spacing w:after="0" w:line="240" w:lineRule="auto"/>
              <w:jc w:val="center"/>
              <w:rPr>
                <w:rFonts w:cs="Calibri"/>
                <w:color w:val="000000"/>
              </w:rPr>
            </w:pPr>
            <w:r w:rsidRPr="00995C3D">
              <w:rPr>
                <w:rFonts w:cs="Calibri"/>
                <w:color w:val="000000"/>
              </w:rPr>
              <w:t>1</w:t>
            </w:r>
          </w:p>
        </w:tc>
        <w:tc>
          <w:tcPr>
            <w:tcW w:w="844" w:type="dxa"/>
          </w:tcPr>
          <w:p w14:paraId="64C75DAE" w14:textId="77777777" w:rsidR="00A7521D" w:rsidRPr="00995C3D" w:rsidRDefault="00A7521D" w:rsidP="00A7521D">
            <w:pPr>
              <w:spacing w:after="0" w:line="240" w:lineRule="auto"/>
              <w:jc w:val="center"/>
              <w:rPr>
                <w:rFonts w:cs="Calibri"/>
                <w:color w:val="000000"/>
              </w:rPr>
            </w:pPr>
            <w:r w:rsidRPr="00995C3D">
              <w:rPr>
                <w:rFonts w:cs="Calibri"/>
                <w:color w:val="000000"/>
              </w:rPr>
              <w:t>2</w:t>
            </w:r>
          </w:p>
        </w:tc>
      </w:tr>
      <w:tr w:rsidR="00A7521D" w:rsidRPr="00995C3D" w14:paraId="0717F2E1" w14:textId="77777777" w:rsidTr="00A7521D">
        <w:trPr>
          <w:jc w:val="center"/>
        </w:trPr>
        <w:tc>
          <w:tcPr>
            <w:tcW w:w="2622" w:type="dxa"/>
          </w:tcPr>
          <w:p w14:paraId="751005AE" w14:textId="77777777" w:rsidR="00A7521D" w:rsidRPr="00995C3D" w:rsidRDefault="00A7521D" w:rsidP="00A7521D">
            <w:pPr>
              <w:spacing w:after="0" w:line="240" w:lineRule="auto"/>
              <w:jc w:val="center"/>
              <w:rPr>
                <w:rFonts w:cs="Calibri"/>
                <w:color w:val="000000"/>
              </w:rPr>
            </w:pPr>
            <w:r w:rsidRPr="00995C3D">
              <w:rPr>
                <w:rFonts w:cs="Calibri"/>
                <w:color w:val="000000"/>
              </w:rPr>
              <w:t>Peak district lead mining museum</w:t>
            </w:r>
          </w:p>
        </w:tc>
        <w:tc>
          <w:tcPr>
            <w:tcW w:w="1254" w:type="dxa"/>
          </w:tcPr>
          <w:p w14:paraId="02B6E9D0" w14:textId="77777777" w:rsidR="00A7521D" w:rsidRPr="00995C3D" w:rsidRDefault="00A7521D" w:rsidP="00A7521D">
            <w:pPr>
              <w:spacing w:after="0" w:line="240" w:lineRule="auto"/>
              <w:jc w:val="center"/>
            </w:pPr>
            <w:r w:rsidRPr="00995C3D">
              <w:t>DE4 3NR</w:t>
            </w:r>
          </w:p>
        </w:tc>
        <w:tc>
          <w:tcPr>
            <w:tcW w:w="1065" w:type="dxa"/>
          </w:tcPr>
          <w:p w14:paraId="3E347EF2" w14:textId="77777777" w:rsidR="00A7521D" w:rsidRPr="00995C3D" w:rsidRDefault="00A7521D" w:rsidP="00A7521D">
            <w:pPr>
              <w:spacing w:after="0" w:line="240" w:lineRule="auto"/>
              <w:jc w:val="center"/>
              <w:rPr>
                <w:rFonts w:cs="Calibri"/>
                <w:color w:val="000000"/>
              </w:rPr>
            </w:pPr>
            <w:r w:rsidRPr="00995C3D">
              <w:rPr>
                <w:rFonts w:cs="Calibri"/>
                <w:color w:val="000000"/>
              </w:rPr>
              <w:t>10</w:t>
            </w:r>
          </w:p>
        </w:tc>
        <w:tc>
          <w:tcPr>
            <w:tcW w:w="1196" w:type="dxa"/>
          </w:tcPr>
          <w:p w14:paraId="7EF6CE19" w14:textId="77777777" w:rsidR="00A7521D" w:rsidRPr="00995C3D" w:rsidRDefault="00A7521D" w:rsidP="00A7521D">
            <w:pPr>
              <w:spacing w:after="0" w:line="240" w:lineRule="auto"/>
              <w:jc w:val="center"/>
              <w:rPr>
                <w:rFonts w:cs="Calibri"/>
                <w:color w:val="000000"/>
              </w:rPr>
            </w:pPr>
            <w:r w:rsidRPr="00995C3D">
              <w:rPr>
                <w:rFonts w:cs="Calibri"/>
                <w:color w:val="000000"/>
              </w:rPr>
              <w:t>776</w:t>
            </w:r>
          </w:p>
        </w:tc>
        <w:tc>
          <w:tcPr>
            <w:tcW w:w="1842" w:type="dxa"/>
          </w:tcPr>
          <w:p w14:paraId="5D4D9129" w14:textId="77777777" w:rsidR="00A7521D" w:rsidRPr="00995C3D" w:rsidRDefault="00A7521D" w:rsidP="00A7521D">
            <w:pPr>
              <w:spacing w:after="0" w:line="240" w:lineRule="auto"/>
              <w:jc w:val="center"/>
              <w:rPr>
                <w:rFonts w:cs="Calibri"/>
                <w:color w:val="000000"/>
              </w:rPr>
            </w:pPr>
            <w:r w:rsidRPr="00995C3D">
              <w:rPr>
                <w:rFonts w:cs="Calibri"/>
                <w:color w:val="000000"/>
              </w:rPr>
              <w:t>144</w:t>
            </w:r>
          </w:p>
        </w:tc>
        <w:tc>
          <w:tcPr>
            <w:tcW w:w="1014" w:type="dxa"/>
          </w:tcPr>
          <w:p w14:paraId="03C6CA4F" w14:textId="77777777" w:rsidR="00A7521D" w:rsidRPr="00995C3D" w:rsidRDefault="00A7521D" w:rsidP="00A7521D">
            <w:pPr>
              <w:spacing w:after="0" w:line="240" w:lineRule="auto"/>
              <w:jc w:val="center"/>
              <w:rPr>
                <w:rFonts w:cs="Calibri"/>
                <w:color w:val="000000"/>
              </w:rPr>
            </w:pPr>
            <w:r w:rsidRPr="00995C3D">
              <w:rPr>
                <w:rFonts w:cs="Calibri"/>
                <w:color w:val="000000"/>
              </w:rPr>
              <w:t>57</w:t>
            </w:r>
          </w:p>
        </w:tc>
        <w:tc>
          <w:tcPr>
            <w:tcW w:w="844" w:type="dxa"/>
          </w:tcPr>
          <w:p w14:paraId="7C4BE833" w14:textId="77777777" w:rsidR="00A7521D" w:rsidRPr="00995C3D" w:rsidRDefault="00A7521D" w:rsidP="00A7521D">
            <w:pPr>
              <w:spacing w:after="0" w:line="240" w:lineRule="auto"/>
              <w:jc w:val="center"/>
              <w:rPr>
                <w:rFonts w:cs="Calibri"/>
                <w:color w:val="000000"/>
              </w:rPr>
            </w:pPr>
            <w:r w:rsidRPr="00995C3D">
              <w:rPr>
                <w:rFonts w:cs="Calibri"/>
                <w:color w:val="000000"/>
              </w:rPr>
              <w:t>150</w:t>
            </w:r>
          </w:p>
        </w:tc>
      </w:tr>
      <w:tr w:rsidR="00A7521D" w:rsidRPr="00995C3D" w14:paraId="1EA8B661" w14:textId="77777777" w:rsidTr="00A7521D">
        <w:trPr>
          <w:jc w:val="center"/>
        </w:trPr>
        <w:tc>
          <w:tcPr>
            <w:tcW w:w="2622" w:type="dxa"/>
          </w:tcPr>
          <w:p w14:paraId="3CCD4913" w14:textId="77777777" w:rsidR="00A7521D" w:rsidRPr="00995C3D" w:rsidRDefault="00A7521D" w:rsidP="00A7521D">
            <w:pPr>
              <w:spacing w:after="0" w:line="240" w:lineRule="auto"/>
              <w:jc w:val="center"/>
              <w:rPr>
                <w:rFonts w:cs="Calibri"/>
                <w:color w:val="000000"/>
              </w:rPr>
            </w:pPr>
            <w:r w:rsidRPr="00995C3D">
              <w:rPr>
                <w:rFonts w:cs="Calibri"/>
                <w:color w:val="000000"/>
              </w:rPr>
              <w:t xml:space="preserve">The </w:t>
            </w:r>
            <w:proofErr w:type="spellStart"/>
            <w:r w:rsidRPr="00995C3D">
              <w:rPr>
                <w:rFonts w:cs="Calibri"/>
                <w:color w:val="000000"/>
              </w:rPr>
              <w:t>Newbath</w:t>
            </w:r>
            <w:proofErr w:type="spellEnd"/>
            <w:r w:rsidRPr="00995C3D">
              <w:rPr>
                <w:rFonts w:cs="Calibri"/>
                <w:color w:val="000000"/>
              </w:rPr>
              <w:t xml:space="preserve"> hotel</w:t>
            </w:r>
          </w:p>
        </w:tc>
        <w:tc>
          <w:tcPr>
            <w:tcW w:w="1254" w:type="dxa"/>
          </w:tcPr>
          <w:p w14:paraId="2A79459B" w14:textId="77777777" w:rsidR="00A7521D" w:rsidRPr="00995C3D" w:rsidRDefault="00A7521D" w:rsidP="00A7521D">
            <w:pPr>
              <w:spacing w:after="0" w:line="240" w:lineRule="auto"/>
              <w:jc w:val="center"/>
            </w:pPr>
            <w:r w:rsidRPr="00995C3D">
              <w:t>DE4 3PX</w:t>
            </w:r>
          </w:p>
        </w:tc>
        <w:tc>
          <w:tcPr>
            <w:tcW w:w="1065" w:type="dxa"/>
          </w:tcPr>
          <w:p w14:paraId="09700DC6" w14:textId="77777777" w:rsidR="00A7521D" w:rsidRPr="00995C3D" w:rsidRDefault="00A7521D" w:rsidP="00A7521D">
            <w:pPr>
              <w:spacing w:after="0" w:line="240" w:lineRule="auto"/>
              <w:jc w:val="center"/>
              <w:rPr>
                <w:rFonts w:cs="Calibri"/>
                <w:color w:val="000000"/>
              </w:rPr>
            </w:pPr>
            <w:r w:rsidRPr="00995C3D">
              <w:rPr>
                <w:rFonts w:cs="Calibri"/>
                <w:color w:val="000000"/>
              </w:rPr>
              <w:t>9</w:t>
            </w:r>
          </w:p>
        </w:tc>
        <w:tc>
          <w:tcPr>
            <w:tcW w:w="1196" w:type="dxa"/>
          </w:tcPr>
          <w:p w14:paraId="2ACD1CD4" w14:textId="77777777" w:rsidR="00A7521D" w:rsidRPr="00995C3D" w:rsidRDefault="00A7521D" w:rsidP="00A7521D">
            <w:pPr>
              <w:spacing w:after="0" w:line="240" w:lineRule="auto"/>
              <w:jc w:val="center"/>
              <w:rPr>
                <w:rFonts w:cs="Calibri"/>
                <w:color w:val="000000"/>
              </w:rPr>
            </w:pPr>
            <w:r w:rsidRPr="00995C3D">
              <w:rPr>
                <w:rFonts w:cs="Calibri"/>
                <w:color w:val="000000"/>
              </w:rPr>
              <w:t>831</w:t>
            </w:r>
          </w:p>
        </w:tc>
        <w:tc>
          <w:tcPr>
            <w:tcW w:w="1842" w:type="dxa"/>
          </w:tcPr>
          <w:p w14:paraId="19D7B7D3" w14:textId="77777777" w:rsidR="00A7521D" w:rsidRPr="00995C3D" w:rsidRDefault="00A7521D" w:rsidP="00A7521D">
            <w:pPr>
              <w:spacing w:after="0" w:line="240" w:lineRule="auto"/>
              <w:jc w:val="center"/>
              <w:rPr>
                <w:rFonts w:cs="Calibri"/>
                <w:color w:val="000000"/>
              </w:rPr>
            </w:pPr>
            <w:r w:rsidRPr="00995C3D">
              <w:rPr>
                <w:rFonts w:cs="Calibri"/>
                <w:color w:val="000000"/>
              </w:rPr>
              <w:t>200</w:t>
            </w:r>
          </w:p>
        </w:tc>
        <w:tc>
          <w:tcPr>
            <w:tcW w:w="1014" w:type="dxa"/>
          </w:tcPr>
          <w:p w14:paraId="03B3E615" w14:textId="77777777" w:rsidR="00A7521D" w:rsidRPr="00995C3D" w:rsidRDefault="00A7521D" w:rsidP="00A7521D">
            <w:pPr>
              <w:spacing w:after="0" w:line="240" w:lineRule="auto"/>
              <w:jc w:val="center"/>
              <w:rPr>
                <w:rFonts w:cs="Calibri"/>
                <w:color w:val="000000"/>
              </w:rPr>
            </w:pPr>
            <w:r w:rsidRPr="00995C3D">
              <w:rPr>
                <w:rFonts w:cs="Calibri"/>
                <w:color w:val="000000"/>
              </w:rPr>
              <w:t>55</w:t>
            </w:r>
          </w:p>
        </w:tc>
        <w:tc>
          <w:tcPr>
            <w:tcW w:w="844" w:type="dxa"/>
          </w:tcPr>
          <w:p w14:paraId="278E7199" w14:textId="77777777" w:rsidR="00A7521D" w:rsidRPr="00995C3D" w:rsidRDefault="00A7521D" w:rsidP="00A7521D">
            <w:pPr>
              <w:spacing w:after="0" w:line="240" w:lineRule="auto"/>
              <w:jc w:val="center"/>
              <w:rPr>
                <w:rFonts w:cs="Calibri"/>
                <w:color w:val="000000"/>
              </w:rPr>
            </w:pPr>
            <w:r w:rsidRPr="00995C3D">
              <w:rPr>
                <w:rFonts w:cs="Calibri"/>
                <w:color w:val="000000"/>
              </w:rPr>
              <w:t>93</w:t>
            </w:r>
          </w:p>
        </w:tc>
      </w:tr>
      <w:tr w:rsidR="00A7521D" w:rsidRPr="00995C3D" w14:paraId="6D7B877D" w14:textId="77777777" w:rsidTr="00A7521D">
        <w:trPr>
          <w:jc w:val="center"/>
        </w:trPr>
        <w:tc>
          <w:tcPr>
            <w:tcW w:w="2622" w:type="dxa"/>
          </w:tcPr>
          <w:p w14:paraId="496958C4" w14:textId="77777777" w:rsidR="00A7521D" w:rsidRPr="00995C3D" w:rsidRDefault="00A7521D" w:rsidP="00A7521D">
            <w:pPr>
              <w:spacing w:after="0" w:line="240" w:lineRule="auto"/>
              <w:jc w:val="center"/>
              <w:rPr>
                <w:rFonts w:cs="Calibri"/>
                <w:color w:val="000000"/>
              </w:rPr>
            </w:pPr>
            <w:r w:rsidRPr="00995C3D">
              <w:rPr>
                <w:rFonts w:cs="Calibri"/>
                <w:color w:val="000000"/>
              </w:rPr>
              <w:t>Masson mills</w:t>
            </w:r>
          </w:p>
        </w:tc>
        <w:tc>
          <w:tcPr>
            <w:tcW w:w="1254" w:type="dxa"/>
          </w:tcPr>
          <w:p w14:paraId="697F3383" w14:textId="77777777" w:rsidR="00A7521D" w:rsidRPr="00995C3D" w:rsidRDefault="00A7521D" w:rsidP="00A7521D">
            <w:pPr>
              <w:spacing w:after="0" w:line="240" w:lineRule="auto"/>
              <w:jc w:val="center"/>
            </w:pPr>
            <w:r w:rsidRPr="00995C3D">
              <w:t>DE4 3PY</w:t>
            </w:r>
          </w:p>
        </w:tc>
        <w:tc>
          <w:tcPr>
            <w:tcW w:w="1065" w:type="dxa"/>
          </w:tcPr>
          <w:p w14:paraId="4FE82066" w14:textId="77777777" w:rsidR="00A7521D" w:rsidRPr="00995C3D" w:rsidRDefault="00A7521D" w:rsidP="00A7521D">
            <w:pPr>
              <w:spacing w:after="0" w:line="240" w:lineRule="auto"/>
              <w:jc w:val="center"/>
              <w:rPr>
                <w:rFonts w:cs="Calibri"/>
                <w:color w:val="000000"/>
              </w:rPr>
            </w:pPr>
            <w:r w:rsidRPr="00995C3D">
              <w:rPr>
                <w:rFonts w:cs="Calibri"/>
                <w:color w:val="000000"/>
              </w:rPr>
              <w:t>25</w:t>
            </w:r>
          </w:p>
        </w:tc>
        <w:tc>
          <w:tcPr>
            <w:tcW w:w="1196" w:type="dxa"/>
          </w:tcPr>
          <w:p w14:paraId="172FD3E8" w14:textId="77777777" w:rsidR="00A7521D" w:rsidRPr="00995C3D" w:rsidRDefault="00A7521D" w:rsidP="00A7521D">
            <w:pPr>
              <w:spacing w:after="0" w:line="240" w:lineRule="auto"/>
              <w:jc w:val="center"/>
              <w:rPr>
                <w:rFonts w:cs="Calibri"/>
                <w:color w:val="000000"/>
              </w:rPr>
            </w:pPr>
            <w:r w:rsidRPr="00995C3D">
              <w:rPr>
                <w:rFonts w:cs="Calibri"/>
                <w:color w:val="000000"/>
              </w:rPr>
              <w:t>4</w:t>
            </w:r>
            <w:r>
              <w:rPr>
                <w:rFonts w:cs="Calibri"/>
                <w:color w:val="000000"/>
              </w:rPr>
              <w:t>,</w:t>
            </w:r>
            <w:r w:rsidRPr="00995C3D">
              <w:rPr>
                <w:rFonts w:cs="Calibri"/>
                <w:color w:val="000000"/>
              </w:rPr>
              <w:t>787</w:t>
            </w:r>
          </w:p>
        </w:tc>
        <w:tc>
          <w:tcPr>
            <w:tcW w:w="1842" w:type="dxa"/>
          </w:tcPr>
          <w:p w14:paraId="20E11F82" w14:textId="77777777" w:rsidR="00A7521D" w:rsidRPr="00995C3D" w:rsidRDefault="00A7521D" w:rsidP="00A7521D">
            <w:pPr>
              <w:spacing w:after="0" w:line="240" w:lineRule="auto"/>
              <w:jc w:val="center"/>
              <w:rPr>
                <w:rFonts w:cs="Calibri"/>
                <w:color w:val="000000"/>
              </w:rPr>
            </w:pPr>
            <w:r w:rsidRPr="00995C3D">
              <w:rPr>
                <w:rFonts w:cs="Calibri"/>
                <w:color w:val="000000"/>
              </w:rPr>
              <w:t>405</w:t>
            </w:r>
          </w:p>
        </w:tc>
        <w:tc>
          <w:tcPr>
            <w:tcW w:w="1014" w:type="dxa"/>
          </w:tcPr>
          <w:p w14:paraId="778288DA" w14:textId="77777777" w:rsidR="00A7521D" w:rsidRPr="00995C3D" w:rsidRDefault="00A7521D" w:rsidP="00A7521D">
            <w:pPr>
              <w:spacing w:after="0" w:line="240" w:lineRule="auto"/>
              <w:jc w:val="center"/>
              <w:rPr>
                <w:rFonts w:cs="Calibri"/>
                <w:color w:val="000000"/>
              </w:rPr>
            </w:pPr>
            <w:r w:rsidRPr="00995C3D">
              <w:rPr>
                <w:rFonts w:cs="Calibri"/>
                <w:color w:val="000000"/>
              </w:rPr>
              <w:t>159</w:t>
            </w:r>
          </w:p>
        </w:tc>
        <w:tc>
          <w:tcPr>
            <w:tcW w:w="844" w:type="dxa"/>
          </w:tcPr>
          <w:p w14:paraId="65C91019" w14:textId="77777777" w:rsidR="00A7521D" w:rsidRPr="00995C3D" w:rsidRDefault="00A7521D" w:rsidP="00A7521D">
            <w:pPr>
              <w:spacing w:after="0" w:line="240" w:lineRule="auto"/>
              <w:jc w:val="center"/>
              <w:rPr>
                <w:rFonts w:cs="Calibri"/>
                <w:color w:val="000000"/>
              </w:rPr>
            </w:pPr>
            <w:r w:rsidRPr="00995C3D">
              <w:rPr>
                <w:rFonts w:cs="Calibri"/>
                <w:color w:val="000000"/>
              </w:rPr>
              <w:t>422</w:t>
            </w:r>
          </w:p>
        </w:tc>
      </w:tr>
      <w:tr w:rsidR="00A7521D" w:rsidRPr="00995C3D" w14:paraId="41757E9D" w14:textId="77777777" w:rsidTr="00A7521D">
        <w:trPr>
          <w:jc w:val="center"/>
        </w:trPr>
        <w:tc>
          <w:tcPr>
            <w:tcW w:w="2622" w:type="dxa"/>
          </w:tcPr>
          <w:p w14:paraId="3709C2A4" w14:textId="77777777" w:rsidR="00A7521D" w:rsidRPr="00995C3D" w:rsidRDefault="00A7521D" w:rsidP="00A7521D">
            <w:pPr>
              <w:spacing w:after="0" w:line="240" w:lineRule="auto"/>
              <w:jc w:val="center"/>
              <w:rPr>
                <w:rFonts w:cs="Calibri"/>
                <w:color w:val="000000"/>
              </w:rPr>
            </w:pPr>
            <w:r w:rsidRPr="00995C3D">
              <w:rPr>
                <w:rFonts w:cs="Calibri"/>
                <w:color w:val="000000"/>
              </w:rPr>
              <w:t>The Greyhound</w:t>
            </w:r>
          </w:p>
        </w:tc>
        <w:tc>
          <w:tcPr>
            <w:tcW w:w="1254" w:type="dxa"/>
          </w:tcPr>
          <w:p w14:paraId="0C7CEDB7" w14:textId="77777777" w:rsidR="00A7521D" w:rsidRPr="00995C3D" w:rsidRDefault="00A7521D" w:rsidP="00A7521D">
            <w:pPr>
              <w:spacing w:after="0" w:line="240" w:lineRule="auto"/>
              <w:jc w:val="center"/>
            </w:pPr>
            <w:r w:rsidRPr="00995C3D">
              <w:t>DE4 3QE</w:t>
            </w:r>
          </w:p>
        </w:tc>
        <w:tc>
          <w:tcPr>
            <w:tcW w:w="1065" w:type="dxa"/>
          </w:tcPr>
          <w:p w14:paraId="2FB83AAE" w14:textId="77777777" w:rsidR="00A7521D" w:rsidRPr="00995C3D" w:rsidRDefault="00A7521D" w:rsidP="00A7521D">
            <w:pPr>
              <w:spacing w:after="0" w:line="240" w:lineRule="auto"/>
              <w:jc w:val="center"/>
              <w:rPr>
                <w:rFonts w:cs="Calibri"/>
                <w:color w:val="000000"/>
              </w:rPr>
            </w:pPr>
            <w:r w:rsidRPr="00995C3D">
              <w:rPr>
                <w:rFonts w:cs="Calibri"/>
                <w:color w:val="000000"/>
              </w:rPr>
              <w:t>9</w:t>
            </w:r>
          </w:p>
        </w:tc>
        <w:tc>
          <w:tcPr>
            <w:tcW w:w="1196" w:type="dxa"/>
          </w:tcPr>
          <w:p w14:paraId="49AFFDB3" w14:textId="77777777" w:rsidR="00A7521D" w:rsidRPr="00995C3D" w:rsidRDefault="00A7521D" w:rsidP="00A7521D">
            <w:pPr>
              <w:spacing w:after="0" w:line="240" w:lineRule="auto"/>
              <w:jc w:val="center"/>
              <w:rPr>
                <w:rFonts w:cs="Calibri"/>
                <w:color w:val="000000"/>
              </w:rPr>
            </w:pPr>
            <w:r w:rsidRPr="00995C3D">
              <w:rPr>
                <w:rFonts w:cs="Calibri"/>
                <w:color w:val="000000"/>
              </w:rPr>
              <w:t>222</w:t>
            </w:r>
          </w:p>
        </w:tc>
        <w:tc>
          <w:tcPr>
            <w:tcW w:w="1842" w:type="dxa"/>
          </w:tcPr>
          <w:p w14:paraId="7FA4A9B8" w14:textId="77777777" w:rsidR="00A7521D" w:rsidRPr="00995C3D" w:rsidRDefault="00A7521D" w:rsidP="00A7521D">
            <w:pPr>
              <w:spacing w:after="0" w:line="240" w:lineRule="auto"/>
              <w:jc w:val="center"/>
              <w:rPr>
                <w:rFonts w:cs="Calibri"/>
                <w:color w:val="000000"/>
              </w:rPr>
            </w:pPr>
            <w:r w:rsidRPr="00995C3D">
              <w:rPr>
                <w:rFonts w:cs="Calibri"/>
                <w:color w:val="000000"/>
              </w:rPr>
              <w:t>53</w:t>
            </w:r>
          </w:p>
        </w:tc>
        <w:tc>
          <w:tcPr>
            <w:tcW w:w="1014" w:type="dxa"/>
          </w:tcPr>
          <w:p w14:paraId="6B0FF50C" w14:textId="77777777" w:rsidR="00A7521D" w:rsidRPr="00995C3D" w:rsidRDefault="00A7521D" w:rsidP="00A7521D">
            <w:pPr>
              <w:spacing w:after="0" w:line="240" w:lineRule="auto"/>
              <w:jc w:val="center"/>
              <w:rPr>
                <w:rFonts w:cs="Calibri"/>
                <w:color w:val="000000"/>
              </w:rPr>
            </w:pPr>
            <w:r w:rsidRPr="00995C3D">
              <w:rPr>
                <w:rFonts w:cs="Calibri"/>
                <w:color w:val="000000"/>
              </w:rPr>
              <w:t>15</w:t>
            </w:r>
          </w:p>
        </w:tc>
        <w:tc>
          <w:tcPr>
            <w:tcW w:w="844" w:type="dxa"/>
          </w:tcPr>
          <w:p w14:paraId="5E38BB47" w14:textId="77777777" w:rsidR="00A7521D" w:rsidRPr="00995C3D" w:rsidRDefault="00A7521D" w:rsidP="00A7521D">
            <w:pPr>
              <w:spacing w:after="0" w:line="240" w:lineRule="auto"/>
              <w:jc w:val="center"/>
              <w:rPr>
                <w:rFonts w:cs="Calibri"/>
                <w:color w:val="000000"/>
              </w:rPr>
            </w:pPr>
            <w:r w:rsidRPr="00995C3D">
              <w:rPr>
                <w:rFonts w:cs="Calibri"/>
                <w:color w:val="000000"/>
              </w:rPr>
              <w:t>25</w:t>
            </w:r>
          </w:p>
        </w:tc>
      </w:tr>
      <w:tr w:rsidR="00A7521D" w:rsidRPr="00995C3D" w14:paraId="65F635C9" w14:textId="77777777" w:rsidTr="00A7521D">
        <w:trPr>
          <w:jc w:val="center"/>
        </w:trPr>
        <w:tc>
          <w:tcPr>
            <w:tcW w:w="2622" w:type="dxa"/>
          </w:tcPr>
          <w:p w14:paraId="5387357C" w14:textId="77777777" w:rsidR="00A7521D" w:rsidRPr="00995C3D" w:rsidRDefault="00A7521D" w:rsidP="00A7521D">
            <w:pPr>
              <w:spacing w:after="0" w:line="240" w:lineRule="auto"/>
              <w:jc w:val="center"/>
              <w:rPr>
                <w:rFonts w:cs="Calibri"/>
                <w:color w:val="000000"/>
              </w:rPr>
            </w:pPr>
            <w:r w:rsidRPr="00995C3D">
              <w:rPr>
                <w:rFonts w:cs="Calibri"/>
                <w:color w:val="000000"/>
              </w:rPr>
              <w:t>Bell Inn</w:t>
            </w:r>
          </w:p>
        </w:tc>
        <w:tc>
          <w:tcPr>
            <w:tcW w:w="1254" w:type="dxa"/>
          </w:tcPr>
          <w:p w14:paraId="051BB7D5" w14:textId="77777777" w:rsidR="00A7521D" w:rsidRPr="00995C3D" w:rsidRDefault="00A7521D" w:rsidP="00A7521D">
            <w:pPr>
              <w:spacing w:after="0" w:line="240" w:lineRule="auto"/>
              <w:jc w:val="center"/>
            </w:pPr>
            <w:r w:rsidRPr="00995C3D">
              <w:t>DE4 3RF</w:t>
            </w:r>
          </w:p>
        </w:tc>
        <w:tc>
          <w:tcPr>
            <w:tcW w:w="1065" w:type="dxa"/>
          </w:tcPr>
          <w:p w14:paraId="13681B6E" w14:textId="77777777" w:rsidR="00A7521D" w:rsidRPr="00995C3D" w:rsidRDefault="00A7521D" w:rsidP="00A7521D">
            <w:pPr>
              <w:spacing w:after="0" w:line="240" w:lineRule="auto"/>
              <w:jc w:val="center"/>
              <w:rPr>
                <w:rFonts w:cs="Calibri"/>
                <w:color w:val="000000"/>
              </w:rPr>
            </w:pPr>
            <w:r w:rsidRPr="00995C3D">
              <w:rPr>
                <w:rFonts w:cs="Calibri"/>
                <w:color w:val="000000"/>
              </w:rPr>
              <w:t>8</w:t>
            </w:r>
          </w:p>
        </w:tc>
        <w:tc>
          <w:tcPr>
            <w:tcW w:w="1196" w:type="dxa"/>
          </w:tcPr>
          <w:p w14:paraId="1BF11584" w14:textId="77777777" w:rsidR="00A7521D" w:rsidRPr="00995C3D" w:rsidRDefault="00A7521D" w:rsidP="00A7521D">
            <w:pPr>
              <w:spacing w:after="0" w:line="240" w:lineRule="auto"/>
              <w:jc w:val="center"/>
              <w:rPr>
                <w:rFonts w:cs="Calibri"/>
                <w:color w:val="000000"/>
              </w:rPr>
            </w:pPr>
            <w:r w:rsidRPr="00995C3D">
              <w:rPr>
                <w:rFonts w:cs="Calibri"/>
                <w:color w:val="000000"/>
              </w:rPr>
              <w:t>111</w:t>
            </w:r>
          </w:p>
        </w:tc>
        <w:tc>
          <w:tcPr>
            <w:tcW w:w="1842" w:type="dxa"/>
          </w:tcPr>
          <w:p w14:paraId="0AD33888" w14:textId="77777777" w:rsidR="00A7521D" w:rsidRPr="00995C3D" w:rsidRDefault="00A7521D" w:rsidP="00A7521D">
            <w:pPr>
              <w:spacing w:after="0" w:line="240" w:lineRule="auto"/>
              <w:jc w:val="center"/>
              <w:rPr>
                <w:rFonts w:cs="Calibri"/>
                <w:color w:val="000000"/>
              </w:rPr>
            </w:pPr>
            <w:r w:rsidRPr="00995C3D">
              <w:rPr>
                <w:rFonts w:cs="Calibri"/>
                <w:color w:val="000000"/>
              </w:rPr>
              <w:t>13</w:t>
            </w:r>
          </w:p>
        </w:tc>
        <w:tc>
          <w:tcPr>
            <w:tcW w:w="1014" w:type="dxa"/>
          </w:tcPr>
          <w:p w14:paraId="642C6922" w14:textId="77777777" w:rsidR="00A7521D" w:rsidRPr="00995C3D" w:rsidRDefault="00A7521D" w:rsidP="00A7521D">
            <w:pPr>
              <w:spacing w:after="0" w:line="240" w:lineRule="auto"/>
              <w:jc w:val="center"/>
              <w:rPr>
                <w:rFonts w:cs="Calibri"/>
                <w:color w:val="000000"/>
              </w:rPr>
            </w:pPr>
            <w:r w:rsidRPr="00995C3D">
              <w:rPr>
                <w:rFonts w:cs="Calibri"/>
                <w:color w:val="000000"/>
              </w:rPr>
              <w:t>5</w:t>
            </w:r>
          </w:p>
        </w:tc>
        <w:tc>
          <w:tcPr>
            <w:tcW w:w="844" w:type="dxa"/>
          </w:tcPr>
          <w:p w14:paraId="16CA323E" w14:textId="77777777" w:rsidR="00A7521D" w:rsidRPr="00995C3D" w:rsidRDefault="00A7521D" w:rsidP="00A7521D">
            <w:pPr>
              <w:spacing w:after="0" w:line="240" w:lineRule="auto"/>
              <w:jc w:val="center"/>
              <w:rPr>
                <w:rFonts w:cs="Calibri"/>
                <w:color w:val="000000"/>
              </w:rPr>
            </w:pPr>
            <w:r w:rsidRPr="00995C3D">
              <w:rPr>
                <w:rFonts w:cs="Calibri"/>
                <w:color w:val="000000"/>
              </w:rPr>
              <w:t>8</w:t>
            </w:r>
          </w:p>
        </w:tc>
      </w:tr>
      <w:tr w:rsidR="00A7521D" w:rsidRPr="00995C3D" w14:paraId="2DAB676E" w14:textId="77777777" w:rsidTr="00A7521D">
        <w:trPr>
          <w:jc w:val="center"/>
        </w:trPr>
        <w:tc>
          <w:tcPr>
            <w:tcW w:w="2622" w:type="dxa"/>
          </w:tcPr>
          <w:p w14:paraId="317A41E1" w14:textId="77777777" w:rsidR="00A7521D" w:rsidRPr="00995C3D" w:rsidRDefault="00A7521D" w:rsidP="00A7521D">
            <w:pPr>
              <w:spacing w:after="0" w:line="240" w:lineRule="auto"/>
              <w:jc w:val="center"/>
              <w:rPr>
                <w:rFonts w:cs="Calibri"/>
                <w:color w:val="000000"/>
              </w:rPr>
            </w:pPr>
            <w:r w:rsidRPr="00995C3D">
              <w:rPr>
                <w:rFonts w:cs="Calibri"/>
                <w:color w:val="000000"/>
              </w:rPr>
              <w:t>Cromford c of e primary</w:t>
            </w:r>
          </w:p>
        </w:tc>
        <w:tc>
          <w:tcPr>
            <w:tcW w:w="1254" w:type="dxa"/>
          </w:tcPr>
          <w:p w14:paraId="3A3E10C2" w14:textId="77777777" w:rsidR="00A7521D" w:rsidRPr="00995C3D" w:rsidRDefault="00A7521D" w:rsidP="00A7521D">
            <w:pPr>
              <w:spacing w:after="0" w:line="240" w:lineRule="auto"/>
              <w:jc w:val="center"/>
            </w:pPr>
            <w:r w:rsidRPr="00995C3D">
              <w:t>DE4 3RG</w:t>
            </w:r>
          </w:p>
        </w:tc>
        <w:tc>
          <w:tcPr>
            <w:tcW w:w="1065" w:type="dxa"/>
          </w:tcPr>
          <w:p w14:paraId="7A15A8E8" w14:textId="77777777" w:rsidR="00A7521D" w:rsidRPr="00995C3D" w:rsidRDefault="00A7521D" w:rsidP="00A7521D">
            <w:pPr>
              <w:spacing w:after="0" w:line="240" w:lineRule="auto"/>
              <w:jc w:val="center"/>
              <w:rPr>
                <w:rFonts w:cs="Calibri"/>
                <w:color w:val="000000"/>
              </w:rPr>
            </w:pPr>
            <w:r w:rsidRPr="00995C3D">
              <w:rPr>
                <w:rFonts w:cs="Calibri"/>
                <w:color w:val="000000"/>
              </w:rPr>
              <w:t>17</w:t>
            </w:r>
          </w:p>
        </w:tc>
        <w:tc>
          <w:tcPr>
            <w:tcW w:w="1196" w:type="dxa"/>
          </w:tcPr>
          <w:p w14:paraId="2BFDC298" w14:textId="77777777" w:rsidR="00A7521D" w:rsidRPr="00995C3D" w:rsidRDefault="00A7521D" w:rsidP="00A7521D">
            <w:pPr>
              <w:spacing w:after="0" w:line="240" w:lineRule="auto"/>
              <w:jc w:val="center"/>
              <w:rPr>
                <w:rFonts w:cs="Calibri"/>
                <w:color w:val="000000"/>
              </w:rPr>
            </w:pPr>
            <w:r w:rsidRPr="00995C3D">
              <w:rPr>
                <w:rFonts w:cs="Calibri"/>
                <w:color w:val="000000"/>
              </w:rPr>
              <w:t>111</w:t>
            </w:r>
          </w:p>
        </w:tc>
        <w:tc>
          <w:tcPr>
            <w:tcW w:w="1842" w:type="dxa"/>
          </w:tcPr>
          <w:p w14:paraId="411F13DD" w14:textId="77777777" w:rsidR="00A7521D" w:rsidRPr="00995C3D" w:rsidRDefault="00A7521D" w:rsidP="00A7521D">
            <w:pPr>
              <w:spacing w:after="0" w:line="240" w:lineRule="auto"/>
              <w:jc w:val="center"/>
              <w:rPr>
                <w:rFonts w:cs="Calibri"/>
                <w:color w:val="000000"/>
              </w:rPr>
            </w:pPr>
            <w:r w:rsidRPr="00995C3D">
              <w:rPr>
                <w:rFonts w:cs="Calibri"/>
                <w:color w:val="000000"/>
              </w:rPr>
              <w:t>15</w:t>
            </w:r>
          </w:p>
        </w:tc>
        <w:tc>
          <w:tcPr>
            <w:tcW w:w="1014" w:type="dxa"/>
          </w:tcPr>
          <w:p w14:paraId="6049EC89" w14:textId="77777777" w:rsidR="00A7521D" w:rsidRPr="00995C3D" w:rsidRDefault="00A7521D" w:rsidP="00A7521D">
            <w:pPr>
              <w:spacing w:after="0" w:line="240" w:lineRule="auto"/>
              <w:jc w:val="center"/>
              <w:rPr>
                <w:rFonts w:cs="Calibri"/>
                <w:color w:val="000000"/>
              </w:rPr>
            </w:pPr>
            <w:r w:rsidRPr="00995C3D">
              <w:rPr>
                <w:rFonts w:cs="Calibri"/>
                <w:color w:val="000000"/>
              </w:rPr>
              <w:t>8</w:t>
            </w:r>
          </w:p>
        </w:tc>
        <w:tc>
          <w:tcPr>
            <w:tcW w:w="844" w:type="dxa"/>
          </w:tcPr>
          <w:p w14:paraId="0F042927" w14:textId="77777777" w:rsidR="00A7521D" w:rsidRPr="00995C3D" w:rsidRDefault="00A7521D" w:rsidP="00A7521D">
            <w:pPr>
              <w:spacing w:after="0" w:line="240" w:lineRule="auto"/>
              <w:jc w:val="center"/>
              <w:rPr>
                <w:rFonts w:cs="Calibri"/>
                <w:color w:val="000000"/>
              </w:rPr>
            </w:pPr>
            <w:r w:rsidRPr="00995C3D">
              <w:rPr>
                <w:rFonts w:cs="Calibri"/>
                <w:color w:val="000000"/>
              </w:rPr>
              <w:t>46</w:t>
            </w:r>
          </w:p>
        </w:tc>
      </w:tr>
      <w:tr w:rsidR="00A7521D" w:rsidRPr="00995C3D" w14:paraId="3DA26B10" w14:textId="77777777" w:rsidTr="00A7521D">
        <w:trPr>
          <w:jc w:val="center"/>
        </w:trPr>
        <w:tc>
          <w:tcPr>
            <w:tcW w:w="2622" w:type="dxa"/>
          </w:tcPr>
          <w:p w14:paraId="23ABAB86" w14:textId="77777777" w:rsidR="00A7521D" w:rsidRPr="00995C3D" w:rsidRDefault="00A7521D" w:rsidP="00A7521D">
            <w:pPr>
              <w:spacing w:after="0" w:line="240" w:lineRule="auto"/>
              <w:jc w:val="center"/>
              <w:rPr>
                <w:rFonts w:cs="Calibri"/>
                <w:color w:val="000000"/>
              </w:rPr>
            </w:pPr>
            <w:r w:rsidRPr="00995C3D">
              <w:rPr>
                <w:rFonts w:cs="Calibri"/>
                <w:color w:val="000000"/>
              </w:rPr>
              <w:t>John Smedley</w:t>
            </w:r>
          </w:p>
        </w:tc>
        <w:tc>
          <w:tcPr>
            <w:tcW w:w="1254" w:type="dxa"/>
          </w:tcPr>
          <w:p w14:paraId="0BDFEEE0" w14:textId="77777777" w:rsidR="00A7521D" w:rsidRPr="00995C3D" w:rsidRDefault="00A7521D" w:rsidP="00A7521D">
            <w:pPr>
              <w:spacing w:after="0" w:line="240" w:lineRule="auto"/>
              <w:jc w:val="center"/>
            </w:pPr>
            <w:r w:rsidRPr="00995C3D">
              <w:t>DE4 5AG</w:t>
            </w:r>
          </w:p>
        </w:tc>
        <w:tc>
          <w:tcPr>
            <w:tcW w:w="1065" w:type="dxa"/>
          </w:tcPr>
          <w:p w14:paraId="28DBCDE2" w14:textId="77777777" w:rsidR="00A7521D" w:rsidRPr="00995C3D" w:rsidRDefault="00A7521D" w:rsidP="00A7521D">
            <w:pPr>
              <w:spacing w:after="0" w:line="240" w:lineRule="auto"/>
              <w:jc w:val="center"/>
              <w:rPr>
                <w:rFonts w:cs="Calibri"/>
                <w:color w:val="000000"/>
              </w:rPr>
            </w:pPr>
            <w:r w:rsidRPr="00995C3D">
              <w:rPr>
                <w:rFonts w:cs="Calibri"/>
                <w:color w:val="000000"/>
              </w:rPr>
              <w:t>4</w:t>
            </w:r>
          </w:p>
        </w:tc>
        <w:tc>
          <w:tcPr>
            <w:tcW w:w="1196" w:type="dxa"/>
          </w:tcPr>
          <w:p w14:paraId="13762E05" w14:textId="77777777" w:rsidR="00A7521D" w:rsidRPr="00995C3D" w:rsidRDefault="00A7521D" w:rsidP="00A7521D">
            <w:pPr>
              <w:spacing w:after="0" w:line="240" w:lineRule="auto"/>
              <w:jc w:val="center"/>
              <w:rPr>
                <w:rFonts w:cs="Calibri"/>
                <w:color w:val="000000"/>
              </w:rPr>
            </w:pPr>
            <w:r w:rsidRPr="00995C3D">
              <w:rPr>
                <w:rFonts w:cs="Calibri"/>
                <w:color w:val="000000"/>
              </w:rPr>
              <w:t>6</w:t>
            </w:r>
            <w:r>
              <w:rPr>
                <w:rFonts w:cs="Calibri"/>
                <w:color w:val="000000"/>
              </w:rPr>
              <w:t>,</w:t>
            </w:r>
            <w:r w:rsidRPr="00995C3D">
              <w:rPr>
                <w:rFonts w:cs="Calibri"/>
                <w:color w:val="000000"/>
              </w:rPr>
              <w:t>821</w:t>
            </w:r>
          </w:p>
        </w:tc>
        <w:tc>
          <w:tcPr>
            <w:tcW w:w="1842" w:type="dxa"/>
          </w:tcPr>
          <w:p w14:paraId="37D04444" w14:textId="77777777" w:rsidR="00A7521D" w:rsidRPr="00995C3D" w:rsidRDefault="00A7521D" w:rsidP="00A7521D">
            <w:pPr>
              <w:spacing w:after="0" w:line="240" w:lineRule="auto"/>
              <w:jc w:val="center"/>
              <w:rPr>
                <w:rFonts w:cs="Calibri"/>
                <w:color w:val="000000"/>
              </w:rPr>
            </w:pPr>
            <w:r w:rsidRPr="00995C3D">
              <w:rPr>
                <w:rFonts w:cs="Calibri"/>
                <w:color w:val="000000"/>
              </w:rPr>
              <w:t>1060</w:t>
            </w:r>
          </w:p>
        </w:tc>
        <w:tc>
          <w:tcPr>
            <w:tcW w:w="1014" w:type="dxa"/>
          </w:tcPr>
          <w:p w14:paraId="4BD7C55C" w14:textId="77777777" w:rsidR="00A7521D" w:rsidRPr="00995C3D" w:rsidRDefault="00A7521D" w:rsidP="00A7521D">
            <w:pPr>
              <w:spacing w:after="0" w:line="240" w:lineRule="auto"/>
              <w:jc w:val="center"/>
              <w:rPr>
                <w:rFonts w:cs="Calibri"/>
                <w:color w:val="000000"/>
              </w:rPr>
            </w:pPr>
            <w:r w:rsidRPr="00995C3D">
              <w:rPr>
                <w:rFonts w:cs="Calibri"/>
                <w:color w:val="000000"/>
              </w:rPr>
              <w:t>313</w:t>
            </w:r>
          </w:p>
        </w:tc>
        <w:tc>
          <w:tcPr>
            <w:tcW w:w="844" w:type="dxa"/>
          </w:tcPr>
          <w:p w14:paraId="2FBB4067" w14:textId="77777777" w:rsidR="00A7521D" w:rsidRPr="00995C3D" w:rsidRDefault="00A7521D" w:rsidP="00A7521D">
            <w:pPr>
              <w:spacing w:after="0" w:line="240" w:lineRule="auto"/>
              <w:jc w:val="center"/>
              <w:rPr>
                <w:rFonts w:cs="Calibri"/>
                <w:color w:val="000000"/>
              </w:rPr>
            </w:pPr>
            <w:r w:rsidRPr="00995C3D">
              <w:rPr>
                <w:rFonts w:cs="Calibri"/>
                <w:color w:val="000000"/>
              </w:rPr>
              <w:t>610</w:t>
            </w:r>
          </w:p>
        </w:tc>
      </w:tr>
      <w:tr w:rsidR="00A7521D" w:rsidRPr="00995C3D" w14:paraId="30C70669" w14:textId="77777777" w:rsidTr="00A7521D">
        <w:trPr>
          <w:jc w:val="center"/>
        </w:trPr>
        <w:tc>
          <w:tcPr>
            <w:tcW w:w="2622" w:type="dxa"/>
          </w:tcPr>
          <w:p w14:paraId="1AF20EC5" w14:textId="77777777" w:rsidR="00A7521D" w:rsidRPr="00995C3D" w:rsidRDefault="00A7521D" w:rsidP="00A7521D">
            <w:pPr>
              <w:spacing w:after="0" w:line="240" w:lineRule="auto"/>
              <w:jc w:val="center"/>
              <w:rPr>
                <w:rFonts w:cs="Calibri"/>
                <w:color w:val="000000"/>
              </w:rPr>
            </w:pPr>
            <w:r w:rsidRPr="00995C3D">
              <w:rPr>
                <w:rFonts w:cs="Calibri"/>
                <w:color w:val="000000"/>
              </w:rPr>
              <w:t>Highfields school</w:t>
            </w:r>
          </w:p>
        </w:tc>
        <w:tc>
          <w:tcPr>
            <w:tcW w:w="1254" w:type="dxa"/>
          </w:tcPr>
          <w:p w14:paraId="532D59C2" w14:textId="77777777" w:rsidR="00A7521D" w:rsidRPr="00995C3D" w:rsidRDefault="00A7521D" w:rsidP="00A7521D">
            <w:pPr>
              <w:tabs>
                <w:tab w:val="left" w:pos="720"/>
              </w:tabs>
              <w:spacing w:after="0" w:line="240" w:lineRule="auto"/>
              <w:jc w:val="center"/>
            </w:pPr>
            <w:r w:rsidRPr="00995C3D">
              <w:t>DE4 5NA</w:t>
            </w:r>
          </w:p>
        </w:tc>
        <w:tc>
          <w:tcPr>
            <w:tcW w:w="1065" w:type="dxa"/>
          </w:tcPr>
          <w:p w14:paraId="0DD9382D" w14:textId="77777777" w:rsidR="00A7521D" w:rsidRPr="00995C3D" w:rsidRDefault="00A7521D" w:rsidP="00A7521D">
            <w:pPr>
              <w:spacing w:after="0" w:line="240" w:lineRule="auto"/>
              <w:jc w:val="center"/>
              <w:rPr>
                <w:rFonts w:cs="Calibri"/>
                <w:color w:val="000000"/>
              </w:rPr>
            </w:pPr>
            <w:r w:rsidRPr="00995C3D">
              <w:rPr>
                <w:rFonts w:cs="Calibri"/>
                <w:color w:val="000000"/>
              </w:rPr>
              <w:t>17</w:t>
            </w:r>
          </w:p>
        </w:tc>
        <w:tc>
          <w:tcPr>
            <w:tcW w:w="1196" w:type="dxa"/>
          </w:tcPr>
          <w:p w14:paraId="614CE1E0" w14:textId="77777777" w:rsidR="00A7521D" w:rsidRPr="00995C3D" w:rsidRDefault="00A7521D" w:rsidP="00A7521D">
            <w:pPr>
              <w:spacing w:after="0" w:line="240" w:lineRule="auto"/>
              <w:jc w:val="center"/>
              <w:rPr>
                <w:rFonts w:cs="Calibri"/>
                <w:color w:val="000000"/>
              </w:rPr>
            </w:pPr>
            <w:r w:rsidRPr="00995C3D">
              <w:rPr>
                <w:rFonts w:cs="Calibri"/>
                <w:color w:val="000000"/>
              </w:rPr>
              <w:t>4</w:t>
            </w:r>
            <w:r>
              <w:rPr>
                <w:rFonts w:cs="Calibri"/>
                <w:color w:val="000000"/>
              </w:rPr>
              <w:t>,</w:t>
            </w:r>
            <w:r w:rsidRPr="00995C3D">
              <w:rPr>
                <w:rFonts w:cs="Calibri"/>
                <w:color w:val="000000"/>
              </w:rPr>
              <w:t>087</w:t>
            </w:r>
          </w:p>
        </w:tc>
        <w:tc>
          <w:tcPr>
            <w:tcW w:w="1842" w:type="dxa"/>
          </w:tcPr>
          <w:p w14:paraId="5D822BCF" w14:textId="77777777" w:rsidR="00A7521D" w:rsidRPr="00995C3D" w:rsidRDefault="00A7521D" w:rsidP="00A7521D">
            <w:pPr>
              <w:spacing w:after="0" w:line="240" w:lineRule="auto"/>
              <w:jc w:val="center"/>
              <w:rPr>
                <w:rFonts w:cs="Calibri"/>
                <w:color w:val="000000"/>
              </w:rPr>
            </w:pPr>
            <w:r w:rsidRPr="00995C3D">
              <w:rPr>
                <w:rFonts w:cs="Calibri"/>
                <w:color w:val="000000"/>
              </w:rPr>
              <w:t>565</w:t>
            </w:r>
          </w:p>
        </w:tc>
        <w:tc>
          <w:tcPr>
            <w:tcW w:w="1014" w:type="dxa"/>
          </w:tcPr>
          <w:p w14:paraId="65D79171" w14:textId="77777777" w:rsidR="00A7521D" w:rsidRPr="00995C3D" w:rsidRDefault="00A7521D" w:rsidP="00A7521D">
            <w:pPr>
              <w:spacing w:after="0" w:line="240" w:lineRule="auto"/>
              <w:jc w:val="center"/>
              <w:rPr>
                <w:rFonts w:cs="Calibri"/>
                <w:color w:val="000000"/>
              </w:rPr>
            </w:pPr>
            <w:r w:rsidRPr="00995C3D">
              <w:rPr>
                <w:rFonts w:cs="Calibri"/>
                <w:color w:val="000000"/>
              </w:rPr>
              <w:t>305</w:t>
            </w:r>
          </w:p>
        </w:tc>
        <w:tc>
          <w:tcPr>
            <w:tcW w:w="844" w:type="dxa"/>
          </w:tcPr>
          <w:p w14:paraId="19F395D0" w14:textId="77777777" w:rsidR="00A7521D" w:rsidRPr="00995C3D" w:rsidRDefault="00A7521D" w:rsidP="00A7521D">
            <w:pPr>
              <w:spacing w:after="0" w:line="240" w:lineRule="auto"/>
              <w:jc w:val="center"/>
              <w:rPr>
                <w:rFonts w:cs="Calibri"/>
                <w:color w:val="000000"/>
              </w:rPr>
            </w:pPr>
            <w:r w:rsidRPr="00995C3D">
              <w:rPr>
                <w:rFonts w:cs="Calibri"/>
                <w:color w:val="000000"/>
              </w:rPr>
              <w:t>1703</w:t>
            </w:r>
          </w:p>
        </w:tc>
      </w:tr>
      <w:tr w:rsidR="00A7521D" w:rsidRPr="00995C3D" w14:paraId="538C879A" w14:textId="77777777" w:rsidTr="00A7521D">
        <w:trPr>
          <w:jc w:val="center"/>
        </w:trPr>
        <w:tc>
          <w:tcPr>
            <w:tcW w:w="2622" w:type="dxa"/>
          </w:tcPr>
          <w:p w14:paraId="5E4DA64F" w14:textId="77777777" w:rsidR="00A7521D" w:rsidRPr="00995C3D" w:rsidRDefault="00A7521D" w:rsidP="00A7521D">
            <w:pPr>
              <w:spacing w:after="0" w:line="240" w:lineRule="auto"/>
              <w:jc w:val="center"/>
              <w:rPr>
                <w:rFonts w:cs="Calibri"/>
                <w:color w:val="000000"/>
              </w:rPr>
            </w:pPr>
            <w:proofErr w:type="spellStart"/>
            <w:r w:rsidRPr="00995C3D">
              <w:rPr>
                <w:rFonts w:cs="Calibri"/>
                <w:color w:val="000000"/>
              </w:rPr>
              <w:t>Willersley</w:t>
            </w:r>
            <w:proofErr w:type="spellEnd"/>
            <w:r w:rsidRPr="00995C3D">
              <w:rPr>
                <w:rFonts w:cs="Calibri"/>
                <w:color w:val="000000"/>
              </w:rPr>
              <w:t xml:space="preserve"> castle hotel</w:t>
            </w:r>
          </w:p>
        </w:tc>
        <w:tc>
          <w:tcPr>
            <w:tcW w:w="1254" w:type="dxa"/>
          </w:tcPr>
          <w:p w14:paraId="63F21F6E" w14:textId="77777777" w:rsidR="00A7521D" w:rsidRPr="00995C3D" w:rsidRDefault="00A7521D" w:rsidP="00A7521D">
            <w:pPr>
              <w:spacing w:after="0" w:line="240" w:lineRule="auto"/>
              <w:jc w:val="center"/>
            </w:pPr>
            <w:r w:rsidRPr="00995C3D">
              <w:t>DE4 5JG</w:t>
            </w:r>
          </w:p>
        </w:tc>
        <w:tc>
          <w:tcPr>
            <w:tcW w:w="1065" w:type="dxa"/>
          </w:tcPr>
          <w:p w14:paraId="5AACAD07" w14:textId="77777777" w:rsidR="00A7521D" w:rsidRPr="00995C3D" w:rsidRDefault="00A7521D" w:rsidP="00A7521D">
            <w:pPr>
              <w:spacing w:after="0" w:line="240" w:lineRule="auto"/>
              <w:jc w:val="center"/>
              <w:rPr>
                <w:rFonts w:cs="Calibri"/>
                <w:color w:val="000000"/>
              </w:rPr>
            </w:pPr>
            <w:r w:rsidRPr="00995C3D">
              <w:rPr>
                <w:rFonts w:cs="Calibri"/>
                <w:color w:val="000000"/>
              </w:rPr>
              <w:t>9</w:t>
            </w:r>
          </w:p>
        </w:tc>
        <w:tc>
          <w:tcPr>
            <w:tcW w:w="1196" w:type="dxa"/>
          </w:tcPr>
          <w:p w14:paraId="2D76DF3A" w14:textId="77777777" w:rsidR="00A7521D" w:rsidRPr="00995C3D" w:rsidRDefault="00A7521D" w:rsidP="00A7521D">
            <w:pPr>
              <w:spacing w:after="0" w:line="240" w:lineRule="auto"/>
              <w:jc w:val="center"/>
              <w:rPr>
                <w:rFonts w:cs="Calibri"/>
                <w:color w:val="000000"/>
              </w:rPr>
            </w:pPr>
            <w:r w:rsidRPr="00995C3D">
              <w:rPr>
                <w:rFonts w:cs="Calibri"/>
                <w:color w:val="000000"/>
              </w:rPr>
              <w:t>931</w:t>
            </w:r>
          </w:p>
        </w:tc>
        <w:tc>
          <w:tcPr>
            <w:tcW w:w="1842" w:type="dxa"/>
          </w:tcPr>
          <w:p w14:paraId="445E8D4F" w14:textId="77777777" w:rsidR="00A7521D" w:rsidRPr="00995C3D" w:rsidRDefault="00A7521D" w:rsidP="00A7521D">
            <w:pPr>
              <w:spacing w:after="0" w:line="240" w:lineRule="auto"/>
              <w:jc w:val="center"/>
              <w:rPr>
                <w:rFonts w:cs="Calibri"/>
                <w:color w:val="000000"/>
              </w:rPr>
            </w:pPr>
            <w:r w:rsidRPr="00995C3D">
              <w:rPr>
                <w:rFonts w:cs="Calibri"/>
                <w:color w:val="000000"/>
              </w:rPr>
              <w:t>225</w:t>
            </w:r>
          </w:p>
        </w:tc>
        <w:tc>
          <w:tcPr>
            <w:tcW w:w="1014" w:type="dxa"/>
          </w:tcPr>
          <w:p w14:paraId="7A5FF659" w14:textId="77777777" w:rsidR="00A7521D" w:rsidRPr="00995C3D" w:rsidRDefault="00A7521D" w:rsidP="00A7521D">
            <w:pPr>
              <w:spacing w:after="0" w:line="240" w:lineRule="auto"/>
              <w:jc w:val="center"/>
              <w:rPr>
                <w:rFonts w:cs="Calibri"/>
                <w:color w:val="000000"/>
              </w:rPr>
            </w:pPr>
            <w:r w:rsidRPr="00995C3D">
              <w:rPr>
                <w:rFonts w:cs="Calibri"/>
                <w:color w:val="000000"/>
              </w:rPr>
              <w:t>62</w:t>
            </w:r>
          </w:p>
        </w:tc>
        <w:tc>
          <w:tcPr>
            <w:tcW w:w="844" w:type="dxa"/>
          </w:tcPr>
          <w:p w14:paraId="4E7AAEB0" w14:textId="77777777" w:rsidR="00A7521D" w:rsidRPr="00995C3D" w:rsidRDefault="00A7521D" w:rsidP="00A7521D">
            <w:pPr>
              <w:spacing w:after="0" w:line="240" w:lineRule="auto"/>
              <w:jc w:val="center"/>
              <w:rPr>
                <w:rFonts w:cs="Calibri"/>
                <w:color w:val="000000"/>
              </w:rPr>
            </w:pPr>
            <w:r w:rsidRPr="00995C3D">
              <w:rPr>
                <w:rFonts w:cs="Calibri"/>
                <w:color w:val="000000"/>
              </w:rPr>
              <w:t>104</w:t>
            </w:r>
          </w:p>
        </w:tc>
      </w:tr>
      <w:tr w:rsidR="00A7521D" w:rsidRPr="00995C3D" w14:paraId="30416C70" w14:textId="77777777" w:rsidTr="00A7521D">
        <w:trPr>
          <w:jc w:val="center"/>
        </w:trPr>
        <w:tc>
          <w:tcPr>
            <w:tcW w:w="2622" w:type="dxa"/>
            <w:tcBorders>
              <w:bottom w:val="single" w:sz="4" w:space="0" w:color="auto"/>
            </w:tcBorders>
          </w:tcPr>
          <w:p w14:paraId="513B0DD7" w14:textId="77777777" w:rsidR="00A7521D" w:rsidRPr="00995C3D" w:rsidRDefault="00A7521D" w:rsidP="00A7521D">
            <w:pPr>
              <w:spacing w:after="0" w:line="240" w:lineRule="auto"/>
              <w:jc w:val="center"/>
              <w:rPr>
                <w:rFonts w:cs="Calibri"/>
                <w:color w:val="000000"/>
              </w:rPr>
            </w:pPr>
            <w:r w:rsidRPr="00995C3D">
              <w:rPr>
                <w:rFonts w:cs="Calibri"/>
                <w:color w:val="000000"/>
              </w:rPr>
              <w:t>New bath hotel</w:t>
            </w:r>
          </w:p>
        </w:tc>
        <w:tc>
          <w:tcPr>
            <w:tcW w:w="1254" w:type="dxa"/>
            <w:tcBorders>
              <w:bottom w:val="single" w:sz="4" w:space="0" w:color="auto"/>
            </w:tcBorders>
          </w:tcPr>
          <w:p w14:paraId="618EC459" w14:textId="77777777" w:rsidR="00A7521D" w:rsidRPr="00995C3D" w:rsidRDefault="00A7521D" w:rsidP="00A7521D">
            <w:pPr>
              <w:spacing w:after="0" w:line="240" w:lineRule="auto"/>
              <w:jc w:val="center"/>
            </w:pPr>
            <w:r w:rsidRPr="00995C3D">
              <w:t>DE4 3PX</w:t>
            </w:r>
          </w:p>
        </w:tc>
        <w:tc>
          <w:tcPr>
            <w:tcW w:w="1065" w:type="dxa"/>
            <w:tcBorders>
              <w:bottom w:val="single" w:sz="4" w:space="0" w:color="auto"/>
            </w:tcBorders>
          </w:tcPr>
          <w:p w14:paraId="3D0F82F8" w14:textId="77777777" w:rsidR="00A7521D" w:rsidRPr="00995C3D" w:rsidRDefault="00A7521D" w:rsidP="00A7521D">
            <w:pPr>
              <w:spacing w:after="0" w:line="240" w:lineRule="auto"/>
              <w:jc w:val="center"/>
              <w:rPr>
                <w:rFonts w:cs="Calibri"/>
                <w:color w:val="000000"/>
              </w:rPr>
            </w:pPr>
            <w:r w:rsidRPr="00995C3D">
              <w:rPr>
                <w:rFonts w:cs="Calibri"/>
                <w:color w:val="000000"/>
              </w:rPr>
              <w:t>9</w:t>
            </w:r>
          </w:p>
        </w:tc>
        <w:tc>
          <w:tcPr>
            <w:tcW w:w="1196" w:type="dxa"/>
            <w:tcBorders>
              <w:bottom w:val="single" w:sz="4" w:space="0" w:color="auto"/>
            </w:tcBorders>
          </w:tcPr>
          <w:p w14:paraId="17202882" w14:textId="77777777" w:rsidR="00A7521D" w:rsidRPr="00995C3D" w:rsidRDefault="00A7521D" w:rsidP="00A7521D">
            <w:pPr>
              <w:spacing w:after="0" w:line="240" w:lineRule="auto"/>
              <w:jc w:val="center"/>
              <w:rPr>
                <w:rFonts w:cs="Calibri"/>
                <w:color w:val="000000"/>
              </w:rPr>
            </w:pPr>
            <w:r w:rsidRPr="00995C3D">
              <w:rPr>
                <w:rFonts w:cs="Calibri"/>
                <w:color w:val="000000"/>
              </w:rPr>
              <w:t>1</w:t>
            </w:r>
            <w:r>
              <w:rPr>
                <w:rFonts w:cs="Calibri"/>
                <w:color w:val="000000"/>
              </w:rPr>
              <w:t>,</w:t>
            </w:r>
            <w:r w:rsidRPr="00995C3D">
              <w:rPr>
                <w:rFonts w:cs="Calibri"/>
                <w:color w:val="000000"/>
              </w:rPr>
              <w:t>861</w:t>
            </w:r>
          </w:p>
        </w:tc>
        <w:tc>
          <w:tcPr>
            <w:tcW w:w="1842" w:type="dxa"/>
            <w:tcBorders>
              <w:bottom w:val="single" w:sz="4" w:space="0" w:color="auto"/>
            </w:tcBorders>
          </w:tcPr>
          <w:p w14:paraId="47BEB07C" w14:textId="77777777" w:rsidR="00A7521D" w:rsidRPr="00995C3D" w:rsidRDefault="00A7521D" w:rsidP="00A7521D">
            <w:pPr>
              <w:spacing w:after="0" w:line="240" w:lineRule="auto"/>
              <w:jc w:val="center"/>
              <w:rPr>
                <w:rFonts w:cs="Calibri"/>
                <w:color w:val="000000"/>
              </w:rPr>
            </w:pPr>
            <w:r w:rsidRPr="00995C3D">
              <w:rPr>
                <w:rFonts w:cs="Calibri"/>
                <w:color w:val="000000"/>
              </w:rPr>
              <w:t>449</w:t>
            </w:r>
          </w:p>
        </w:tc>
        <w:tc>
          <w:tcPr>
            <w:tcW w:w="1014" w:type="dxa"/>
            <w:tcBorders>
              <w:bottom w:val="single" w:sz="4" w:space="0" w:color="auto"/>
            </w:tcBorders>
          </w:tcPr>
          <w:p w14:paraId="798553CB" w14:textId="77777777" w:rsidR="00A7521D" w:rsidRPr="00995C3D" w:rsidRDefault="00A7521D" w:rsidP="00A7521D">
            <w:pPr>
              <w:spacing w:after="0" w:line="240" w:lineRule="auto"/>
              <w:jc w:val="center"/>
              <w:rPr>
                <w:rFonts w:cs="Calibri"/>
                <w:color w:val="000000"/>
              </w:rPr>
            </w:pPr>
            <w:r w:rsidRPr="00995C3D">
              <w:rPr>
                <w:rFonts w:cs="Calibri"/>
                <w:color w:val="000000"/>
              </w:rPr>
              <w:t>123</w:t>
            </w:r>
          </w:p>
        </w:tc>
        <w:tc>
          <w:tcPr>
            <w:tcW w:w="844" w:type="dxa"/>
            <w:tcBorders>
              <w:bottom w:val="single" w:sz="4" w:space="0" w:color="auto"/>
            </w:tcBorders>
          </w:tcPr>
          <w:p w14:paraId="0AEC8F48" w14:textId="77777777" w:rsidR="00A7521D" w:rsidRPr="00995C3D" w:rsidRDefault="00A7521D" w:rsidP="00A7521D">
            <w:pPr>
              <w:spacing w:after="0" w:line="240" w:lineRule="auto"/>
              <w:jc w:val="center"/>
              <w:rPr>
                <w:rFonts w:cs="Calibri"/>
                <w:color w:val="000000"/>
              </w:rPr>
            </w:pPr>
            <w:r w:rsidRPr="00995C3D">
              <w:rPr>
                <w:rFonts w:cs="Calibri"/>
                <w:color w:val="000000"/>
              </w:rPr>
              <w:t>208</w:t>
            </w:r>
          </w:p>
        </w:tc>
      </w:tr>
    </w:tbl>
    <w:p w14:paraId="58E9CFC4" w14:textId="77777777" w:rsidR="00A7521D" w:rsidRDefault="00A7521D" w:rsidP="00A7521D">
      <w:pPr>
        <w:pStyle w:val="Caption"/>
        <w:keepNext/>
      </w:pPr>
    </w:p>
    <w:p w14:paraId="1CD46C32" w14:textId="77777777" w:rsidR="00A7521D" w:rsidRDefault="00A7521D" w:rsidP="00A7521D">
      <w:pPr>
        <w:spacing w:line="259" w:lineRule="auto"/>
        <w:jc w:val="left"/>
        <w:rPr>
          <w:rFonts w:ascii="Calibri" w:eastAsia="SimSun" w:hAnsi="Calibri" w:cs="Arial"/>
          <w:b/>
          <w:bCs/>
          <w:sz w:val="18"/>
          <w:szCs w:val="18"/>
        </w:rPr>
      </w:pPr>
      <w:bookmarkStart w:id="993" w:name="_Toc468265834"/>
      <w:r>
        <w:br w:type="page"/>
      </w:r>
    </w:p>
    <w:p w14:paraId="1C477369" w14:textId="69280C81" w:rsidR="00A7521D" w:rsidRDefault="00A7521D" w:rsidP="00A7521D">
      <w:pPr>
        <w:pStyle w:val="Caption"/>
        <w:keepNext/>
      </w:pPr>
      <w:bookmarkStart w:id="994" w:name="_Toc525230158"/>
      <w:bookmarkStart w:id="995" w:name="_Toc7187724"/>
      <w:r>
        <w:lastRenderedPageBreak/>
        <w:t xml:space="preserve">Table </w:t>
      </w:r>
      <w:fldSimple w:instr=" STYLEREF 1 \s ">
        <w:r w:rsidR="00CB7456">
          <w:rPr>
            <w:noProof/>
          </w:rPr>
          <w:t>13</w:t>
        </w:r>
      </w:fldSimple>
      <w:r w:rsidR="009E1A67">
        <w:t>.</w:t>
      </w:r>
      <w:fldSimple w:instr=" SEQ Table \* ARABIC \s 1 ">
        <w:r w:rsidR="00CB7456">
          <w:rPr>
            <w:noProof/>
          </w:rPr>
          <w:t>7</w:t>
        </w:r>
      </w:fldSimple>
      <w:r>
        <w:t>: HJE as a heat user</w:t>
      </w:r>
      <w:bookmarkEnd w:id="993"/>
      <w:bookmarkEnd w:id="994"/>
      <w:r>
        <w:t>.</w:t>
      </w:r>
      <w:bookmarkEnd w:id="995"/>
    </w:p>
    <w:tbl>
      <w:tblPr>
        <w:tblW w:w="8741" w:type="dxa"/>
        <w:jc w:val="center"/>
        <w:tblBorders>
          <w:top w:val="single" w:sz="4" w:space="0" w:color="auto"/>
          <w:bottom w:val="single" w:sz="4" w:space="0" w:color="auto"/>
        </w:tblBorders>
        <w:tblLayout w:type="fixed"/>
        <w:tblLook w:val="00A0" w:firstRow="1" w:lastRow="0" w:firstColumn="1" w:lastColumn="0" w:noHBand="0" w:noVBand="0"/>
      </w:tblPr>
      <w:tblGrid>
        <w:gridCol w:w="2641"/>
        <w:gridCol w:w="1134"/>
        <w:gridCol w:w="1281"/>
        <w:gridCol w:w="1701"/>
        <w:gridCol w:w="1134"/>
        <w:gridCol w:w="850"/>
      </w:tblGrid>
      <w:tr w:rsidR="00A7521D" w:rsidRPr="00065C8D" w14:paraId="70E6C9E0" w14:textId="77777777" w:rsidTr="00A7521D">
        <w:trPr>
          <w:jc w:val="center"/>
        </w:trPr>
        <w:tc>
          <w:tcPr>
            <w:tcW w:w="2641" w:type="dxa"/>
            <w:tcBorders>
              <w:top w:val="single" w:sz="4" w:space="0" w:color="auto"/>
              <w:bottom w:val="single" w:sz="4" w:space="0" w:color="auto"/>
            </w:tcBorders>
          </w:tcPr>
          <w:p w14:paraId="7C23544A" w14:textId="77777777" w:rsidR="00A7521D" w:rsidRPr="00065C8D" w:rsidRDefault="00A7521D" w:rsidP="00A7521D">
            <w:pPr>
              <w:spacing w:after="0" w:line="240" w:lineRule="auto"/>
              <w:jc w:val="center"/>
              <w:rPr>
                <w:szCs w:val="24"/>
              </w:rPr>
            </w:pPr>
            <w:r w:rsidRPr="00065C8D">
              <w:rPr>
                <w:szCs w:val="24"/>
              </w:rPr>
              <w:t>Building name</w:t>
            </w:r>
          </w:p>
        </w:tc>
        <w:tc>
          <w:tcPr>
            <w:tcW w:w="1134" w:type="dxa"/>
            <w:tcBorders>
              <w:top w:val="single" w:sz="4" w:space="0" w:color="auto"/>
              <w:bottom w:val="single" w:sz="4" w:space="0" w:color="auto"/>
            </w:tcBorders>
          </w:tcPr>
          <w:p w14:paraId="72659038" w14:textId="77777777" w:rsidR="00A7521D" w:rsidRPr="00065C8D" w:rsidRDefault="00A7521D" w:rsidP="00A7521D">
            <w:pPr>
              <w:spacing w:after="0" w:line="240" w:lineRule="auto"/>
              <w:jc w:val="center"/>
              <w:rPr>
                <w:szCs w:val="24"/>
              </w:rPr>
            </w:pPr>
            <w:r w:rsidRPr="00065C8D">
              <w:rPr>
                <w:szCs w:val="24"/>
              </w:rPr>
              <w:t>CIBSE category</w:t>
            </w:r>
          </w:p>
        </w:tc>
        <w:tc>
          <w:tcPr>
            <w:tcW w:w="1281" w:type="dxa"/>
            <w:tcBorders>
              <w:top w:val="single" w:sz="4" w:space="0" w:color="auto"/>
              <w:bottom w:val="single" w:sz="4" w:space="0" w:color="auto"/>
            </w:tcBorders>
          </w:tcPr>
          <w:p w14:paraId="3D5A9F91" w14:textId="77777777" w:rsidR="00A7521D" w:rsidRPr="00065C8D" w:rsidRDefault="00A7521D" w:rsidP="00A7521D">
            <w:pPr>
              <w:spacing w:after="0" w:line="240" w:lineRule="auto"/>
              <w:jc w:val="center"/>
              <w:rPr>
                <w:szCs w:val="24"/>
              </w:rPr>
            </w:pPr>
            <w:r w:rsidRPr="00065C8D">
              <w:rPr>
                <w:szCs w:val="24"/>
              </w:rPr>
              <w:t>Estimated floor area (m</w:t>
            </w:r>
            <w:r w:rsidRPr="00065C8D">
              <w:rPr>
                <w:szCs w:val="24"/>
                <w:vertAlign w:val="superscript"/>
              </w:rPr>
              <w:t>2</w:t>
            </w:r>
            <w:r w:rsidRPr="00065C8D">
              <w:rPr>
                <w:szCs w:val="24"/>
              </w:rPr>
              <w:t>)</w:t>
            </w:r>
          </w:p>
        </w:tc>
        <w:tc>
          <w:tcPr>
            <w:tcW w:w="1701" w:type="dxa"/>
            <w:tcBorders>
              <w:top w:val="single" w:sz="4" w:space="0" w:color="auto"/>
              <w:bottom w:val="single" w:sz="4" w:space="0" w:color="auto"/>
            </w:tcBorders>
          </w:tcPr>
          <w:p w14:paraId="58A854D1" w14:textId="77777777" w:rsidR="00A7521D" w:rsidRPr="00065C8D" w:rsidRDefault="00A7521D" w:rsidP="00A7521D">
            <w:pPr>
              <w:spacing w:after="0" w:line="240" w:lineRule="auto"/>
              <w:jc w:val="center"/>
              <w:rPr>
                <w:szCs w:val="24"/>
              </w:rPr>
            </w:pPr>
            <w:r w:rsidRPr="00065C8D">
              <w:rPr>
                <w:szCs w:val="24"/>
              </w:rPr>
              <w:t>Yearly energy use for heating (MWh)</w:t>
            </w:r>
          </w:p>
        </w:tc>
        <w:tc>
          <w:tcPr>
            <w:tcW w:w="1134" w:type="dxa"/>
            <w:tcBorders>
              <w:top w:val="single" w:sz="4" w:space="0" w:color="auto"/>
              <w:bottom w:val="single" w:sz="4" w:space="0" w:color="auto"/>
            </w:tcBorders>
          </w:tcPr>
          <w:p w14:paraId="4CCAB948" w14:textId="77777777" w:rsidR="00A7521D" w:rsidRPr="00065C8D" w:rsidRDefault="00A7521D" w:rsidP="00A7521D">
            <w:pPr>
              <w:spacing w:after="0" w:line="240" w:lineRule="auto"/>
              <w:jc w:val="center"/>
              <w:rPr>
                <w:szCs w:val="24"/>
              </w:rPr>
            </w:pPr>
            <w:r w:rsidRPr="00065C8D">
              <w:rPr>
                <w:szCs w:val="24"/>
              </w:rPr>
              <w:t>Average power (kW)</w:t>
            </w:r>
          </w:p>
        </w:tc>
        <w:tc>
          <w:tcPr>
            <w:tcW w:w="850" w:type="dxa"/>
            <w:tcBorders>
              <w:top w:val="single" w:sz="4" w:space="0" w:color="auto"/>
              <w:bottom w:val="single" w:sz="4" w:space="0" w:color="auto"/>
            </w:tcBorders>
          </w:tcPr>
          <w:p w14:paraId="1832D374" w14:textId="77777777" w:rsidR="00A7521D" w:rsidRPr="00065C8D" w:rsidRDefault="00A7521D" w:rsidP="00A7521D">
            <w:pPr>
              <w:spacing w:after="0" w:line="240" w:lineRule="auto"/>
              <w:jc w:val="center"/>
              <w:rPr>
                <w:szCs w:val="24"/>
              </w:rPr>
            </w:pPr>
            <w:r w:rsidRPr="00065C8D">
              <w:rPr>
                <w:szCs w:val="24"/>
              </w:rPr>
              <w:t>Peak power (kW)</w:t>
            </w:r>
          </w:p>
        </w:tc>
      </w:tr>
      <w:tr w:rsidR="00A7521D" w:rsidRPr="00065C8D" w14:paraId="0A95A48F" w14:textId="77777777" w:rsidTr="00A7521D">
        <w:trPr>
          <w:jc w:val="center"/>
        </w:trPr>
        <w:tc>
          <w:tcPr>
            <w:tcW w:w="2641" w:type="dxa"/>
            <w:tcBorders>
              <w:top w:val="single" w:sz="4" w:space="0" w:color="auto"/>
              <w:bottom w:val="nil"/>
            </w:tcBorders>
          </w:tcPr>
          <w:p w14:paraId="60DB942E"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Weighbridge</w:t>
            </w:r>
          </w:p>
        </w:tc>
        <w:tc>
          <w:tcPr>
            <w:tcW w:w="1134" w:type="dxa"/>
            <w:tcBorders>
              <w:top w:val="single" w:sz="4" w:space="0" w:color="auto"/>
              <w:bottom w:val="nil"/>
            </w:tcBorders>
          </w:tcPr>
          <w:p w14:paraId="62D081A6"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1</w:t>
            </w:r>
          </w:p>
        </w:tc>
        <w:tc>
          <w:tcPr>
            <w:tcW w:w="1281" w:type="dxa"/>
            <w:tcBorders>
              <w:top w:val="single" w:sz="4" w:space="0" w:color="auto"/>
              <w:bottom w:val="nil"/>
            </w:tcBorders>
          </w:tcPr>
          <w:p w14:paraId="740AAE72" w14:textId="77777777" w:rsidR="00A7521D" w:rsidRPr="00065C8D" w:rsidRDefault="00A7521D" w:rsidP="00A7521D">
            <w:pPr>
              <w:spacing w:after="0" w:line="240" w:lineRule="auto"/>
              <w:jc w:val="center"/>
              <w:rPr>
                <w:szCs w:val="24"/>
              </w:rPr>
            </w:pPr>
            <w:r w:rsidRPr="00065C8D">
              <w:rPr>
                <w:szCs w:val="24"/>
              </w:rPr>
              <w:t>182</w:t>
            </w:r>
          </w:p>
        </w:tc>
        <w:tc>
          <w:tcPr>
            <w:tcW w:w="1701" w:type="dxa"/>
            <w:tcBorders>
              <w:top w:val="single" w:sz="4" w:space="0" w:color="auto"/>
              <w:bottom w:val="nil"/>
            </w:tcBorders>
          </w:tcPr>
          <w:p w14:paraId="58D32FE4"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20</w:t>
            </w:r>
          </w:p>
        </w:tc>
        <w:tc>
          <w:tcPr>
            <w:tcW w:w="1134" w:type="dxa"/>
            <w:tcBorders>
              <w:top w:val="single" w:sz="4" w:space="0" w:color="auto"/>
              <w:bottom w:val="nil"/>
            </w:tcBorders>
          </w:tcPr>
          <w:p w14:paraId="38E12DFF"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8</w:t>
            </w:r>
          </w:p>
        </w:tc>
        <w:tc>
          <w:tcPr>
            <w:tcW w:w="850" w:type="dxa"/>
            <w:tcBorders>
              <w:top w:val="single" w:sz="4" w:space="0" w:color="auto"/>
              <w:bottom w:val="nil"/>
            </w:tcBorders>
          </w:tcPr>
          <w:p w14:paraId="31AE6641"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34</w:t>
            </w:r>
          </w:p>
        </w:tc>
      </w:tr>
      <w:tr w:rsidR="00A7521D" w:rsidRPr="00065C8D" w14:paraId="2F8F3096" w14:textId="77777777" w:rsidTr="00A7521D">
        <w:trPr>
          <w:jc w:val="center"/>
        </w:trPr>
        <w:tc>
          <w:tcPr>
            <w:tcW w:w="2641" w:type="dxa"/>
            <w:tcBorders>
              <w:top w:val="nil"/>
            </w:tcBorders>
          </w:tcPr>
          <w:p w14:paraId="29D6A65E"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Battery storage</w:t>
            </w:r>
          </w:p>
        </w:tc>
        <w:tc>
          <w:tcPr>
            <w:tcW w:w="1134" w:type="dxa"/>
            <w:tcBorders>
              <w:top w:val="nil"/>
            </w:tcBorders>
          </w:tcPr>
          <w:p w14:paraId="2AB92244"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28</w:t>
            </w:r>
          </w:p>
        </w:tc>
        <w:tc>
          <w:tcPr>
            <w:tcW w:w="1281" w:type="dxa"/>
            <w:tcBorders>
              <w:top w:val="nil"/>
            </w:tcBorders>
          </w:tcPr>
          <w:p w14:paraId="1B64546F" w14:textId="77777777" w:rsidR="00A7521D" w:rsidRPr="00065C8D" w:rsidRDefault="00A7521D" w:rsidP="00A7521D">
            <w:pPr>
              <w:spacing w:after="0" w:line="240" w:lineRule="auto"/>
              <w:jc w:val="center"/>
              <w:rPr>
                <w:szCs w:val="24"/>
              </w:rPr>
            </w:pPr>
            <w:r w:rsidRPr="00065C8D">
              <w:rPr>
                <w:szCs w:val="24"/>
              </w:rPr>
              <w:t>1499</w:t>
            </w:r>
          </w:p>
        </w:tc>
        <w:tc>
          <w:tcPr>
            <w:tcW w:w="1701" w:type="dxa"/>
            <w:tcBorders>
              <w:top w:val="nil"/>
            </w:tcBorders>
          </w:tcPr>
          <w:p w14:paraId="7307F5F8"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206</w:t>
            </w:r>
          </w:p>
        </w:tc>
        <w:tc>
          <w:tcPr>
            <w:tcW w:w="1134" w:type="dxa"/>
            <w:tcBorders>
              <w:top w:val="nil"/>
            </w:tcBorders>
          </w:tcPr>
          <w:p w14:paraId="13742E85"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24</w:t>
            </w:r>
          </w:p>
        </w:tc>
        <w:tc>
          <w:tcPr>
            <w:tcW w:w="850" w:type="dxa"/>
            <w:tcBorders>
              <w:top w:val="nil"/>
            </w:tcBorders>
          </w:tcPr>
          <w:p w14:paraId="6B296EDE"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63</w:t>
            </w:r>
          </w:p>
        </w:tc>
      </w:tr>
      <w:tr w:rsidR="00A7521D" w:rsidRPr="00065C8D" w14:paraId="159F3D23" w14:textId="77777777" w:rsidTr="00A7521D">
        <w:trPr>
          <w:jc w:val="center"/>
        </w:trPr>
        <w:tc>
          <w:tcPr>
            <w:tcW w:w="2641" w:type="dxa"/>
          </w:tcPr>
          <w:p w14:paraId="2347C0BD"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MA and wash plant</w:t>
            </w:r>
          </w:p>
        </w:tc>
        <w:tc>
          <w:tcPr>
            <w:tcW w:w="1134" w:type="dxa"/>
          </w:tcPr>
          <w:p w14:paraId="12B9C8C3"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27</w:t>
            </w:r>
          </w:p>
        </w:tc>
        <w:tc>
          <w:tcPr>
            <w:tcW w:w="1281" w:type="dxa"/>
          </w:tcPr>
          <w:p w14:paraId="7C5799DB" w14:textId="77777777" w:rsidR="00A7521D" w:rsidRPr="00065C8D" w:rsidRDefault="00A7521D" w:rsidP="00A7521D">
            <w:pPr>
              <w:spacing w:after="0" w:line="240" w:lineRule="auto"/>
              <w:jc w:val="center"/>
              <w:rPr>
                <w:szCs w:val="24"/>
              </w:rPr>
            </w:pPr>
            <w:r w:rsidRPr="00065C8D">
              <w:rPr>
                <w:szCs w:val="24"/>
              </w:rPr>
              <w:t>991</w:t>
            </w:r>
          </w:p>
        </w:tc>
        <w:tc>
          <w:tcPr>
            <w:tcW w:w="1701" w:type="dxa"/>
          </w:tcPr>
          <w:p w14:paraId="47B66F87"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153</w:t>
            </w:r>
          </w:p>
        </w:tc>
        <w:tc>
          <w:tcPr>
            <w:tcW w:w="1134" w:type="dxa"/>
          </w:tcPr>
          <w:p w14:paraId="3CE16962"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17</w:t>
            </w:r>
          </w:p>
        </w:tc>
        <w:tc>
          <w:tcPr>
            <w:tcW w:w="850" w:type="dxa"/>
          </w:tcPr>
          <w:p w14:paraId="2E949830"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47</w:t>
            </w:r>
          </w:p>
        </w:tc>
      </w:tr>
      <w:tr w:rsidR="00A7521D" w:rsidRPr="00065C8D" w14:paraId="3D3E3789" w14:textId="77777777" w:rsidTr="00A7521D">
        <w:trPr>
          <w:jc w:val="center"/>
        </w:trPr>
        <w:tc>
          <w:tcPr>
            <w:tcW w:w="2641" w:type="dxa"/>
          </w:tcPr>
          <w:p w14:paraId="18F91712"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Dove copper</w:t>
            </w:r>
          </w:p>
        </w:tc>
        <w:tc>
          <w:tcPr>
            <w:tcW w:w="1134" w:type="dxa"/>
          </w:tcPr>
          <w:p w14:paraId="26F6DF96"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28</w:t>
            </w:r>
          </w:p>
        </w:tc>
        <w:tc>
          <w:tcPr>
            <w:tcW w:w="1281" w:type="dxa"/>
          </w:tcPr>
          <w:p w14:paraId="67EC535C" w14:textId="77777777" w:rsidR="00A7521D" w:rsidRPr="00065C8D" w:rsidRDefault="00A7521D" w:rsidP="00A7521D">
            <w:pPr>
              <w:spacing w:after="0" w:line="240" w:lineRule="auto"/>
              <w:jc w:val="center"/>
              <w:rPr>
                <w:szCs w:val="24"/>
              </w:rPr>
            </w:pPr>
            <w:r w:rsidRPr="00065C8D">
              <w:rPr>
                <w:szCs w:val="24"/>
              </w:rPr>
              <w:t>799</w:t>
            </w:r>
          </w:p>
        </w:tc>
        <w:tc>
          <w:tcPr>
            <w:tcW w:w="1701" w:type="dxa"/>
          </w:tcPr>
          <w:p w14:paraId="7046D067"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110</w:t>
            </w:r>
          </w:p>
        </w:tc>
        <w:tc>
          <w:tcPr>
            <w:tcW w:w="1134" w:type="dxa"/>
          </w:tcPr>
          <w:p w14:paraId="67B5F368"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13</w:t>
            </w:r>
          </w:p>
        </w:tc>
        <w:tc>
          <w:tcPr>
            <w:tcW w:w="850" w:type="dxa"/>
          </w:tcPr>
          <w:p w14:paraId="4A47BD83"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33</w:t>
            </w:r>
          </w:p>
        </w:tc>
      </w:tr>
      <w:tr w:rsidR="00A7521D" w:rsidRPr="00065C8D" w14:paraId="2A30AC07" w14:textId="77777777" w:rsidTr="00A7521D">
        <w:trPr>
          <w:jc w:val="center"/>
        </w:trPr>
        <w:tc>
          <w:tcPr>
            <w:tcW w:w="2641" w:type="dxa"/>
          </w:tcPr>
          <w:p w14:paraId="16E560A8"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Blast furnace</w:t>
            </w:r>
            <w:r>
              <w:rPr>
                <w:rFonts w:cs="Calibri"/>
                <w:color w:val="000000"/>
                <w:szCs w:val="24"/>
              </w:rPr>
              <w:t xml:space="preserve"> building</w:t>
            </w:r>
          </w:p>
        </w:tc>
        <w:tc>
          <w:tcPr>
            <w:tcW w:w="1134" w:type="dxa"/>
          </w:tcPr>
          <w:p w14:paraId="78B9D75B"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28</w:t>
            </w:r>
          </w:p>
        </w:tc>
        <w:tc>
          <w:tcPr>
            <w:tcW w:w="1281" w:type="dxa"/>
          </w:tcPr>
          <w:p w14:paraId="0C87C575" w14:textId="77777777" w:rsidR="00A7521D" w:rsidRPr="00065C8D" w:rsidRDefault="00A7521D" w:rsidP="00A7521D">
            <w:pPr>
              <w:spacing w:after="0" w:line="240" w:lineRule="auto"/>
              <w:jc w:val="center"/>
              <w:rPr>
                <w:szCs w:val="24"/>
              </w:rPr>
            </w:pPr>
            <w:r w:rsidRPr="00065C8D">
              <w:rPr>
                <w:szCs w:val="24"/>
              </w:rPr>
              <w:t>577</w:t>
            </w:r>
          </w:p>
        </w:tc>
        <w:tc>
          <w:tcPr>
            <w:tcW w:w="1701" w:type="dxa"/>
          </w:tcPr>
          <w:p w14:paraId="4FAED5AC"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79</w:t>
            </w:r>
          </w:p>
        </w:tc>
        <w:tc>
          <w:tcPr>
            <w:tcW w:w="1134" w:type="dxa"/>
          </w:tcPr>
          <w:p w14:paraId="0147FBDC"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9</w:t>
            </w:r>
          </w:p>
        </w:tc>
        <w:tc>
          <w:tcPr>
            <w:tcW w:w="850" w:type="dxa"/>
          </w:tcPr>
          <w:p w14:paraId="4195C844"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24</w:t>
            </w:r>
          </w:p>
        </w:tc>
      </w:tr>
      <w:tr w:rsidR="00A7521D" w:rsidRPr="00065C8D" w14:paraId="6C9AD6A1" w14:textId="77777777" w:rsidTr="00A7521D">
        <w:trPr>
          <w:jc w:val="center"/>
        </w:trPr>
        <w:tc>
          <w:tcPr>
            <w:tcW w:w="2641" w:type="dxa"/>
          </w:tcPr>
          <w:p w14:paraId="284446E3"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Strip plant</w:t>
            </w:r>
          </w:p>
        </w:tc>
        <w:tc>
          <w:tcPr>
            <w:tcW w:w="1134" w:type="dxa"/>
          </w:tcPr>
          <w:p w14:paraId="5E602ABC"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27</w:t>
            </w:r>
          </w:p>
        </w:tc>
        <w:tc>
          <w:tcPr>
            <w:tcW w:w="1281" w:type="dxa"/>
          </w:tcPr>
          <w:p w14:paraId="2A5457F3" w14:textId="77777777" w:rsidR="00A7521D" w:rsidRPr="00065C8D" w:rsidRDefault="00A7521D" w:rsidP="00A7521D">
            <w:pPr>
              <w:spacing w:after="0" w:line="240" w:lineRule="auto"/>
              <w:jc w:val="center"/>
              <w:rPr>
                <w:szCs w:val="24"/>
              </w:rPr>
            </w:pPr>
            <w:r w:rsidRPr="00065C8D">
              <w:rPr>
                <w:szCs w:val="24"/>
              </w:rPr>
              <w:t>968</w:t>
            </w:r>
          </w:p>
        </w:tc>
        <w:tc>
          <w:tcPr>
            <w:tcW w:w="1701" w:type="dxa"/>
          </w:tcPr>
          <w:p w14:paraId="00BEBD1A"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150</w:t>
            </w:r>
          </w:p>
        </w:tc>
        <w:tc>
          <w:tcPr>
            <w:tcW w:w="1134" w:type="dxa"/>
          </w:tcPr>
          <w:p w14:paraId="30694E49"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17</w:t>
            </w:r>
          </w:p>
        </w:tc>
        <w:tc>
          <w:tcPr>
            <w:tcW w:w="850" w:type="dxa"/>
          </w:tcPr>
          <w:p w14:paraId="52ED1711"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45</w:t>
            </w:r>
          </w:p>
        </w:tc>
      </w:tr>
      <w:tr w:rsidR="00A7521D" w:rsidRPr="00065C8D" w14:paraId="43D23EF9" w14:textId="77777777" w:rsidTr="00A7521D">
        <w:trPr>
          <w:jc w:val="center"/>
        </w:trPr>
        <w:tc>
          <w:tcPr>
            <w:tcW w:w="2641" w:type="dxa"/>
          </w:tcPr>
          <w:p w14:paraId="0B28D2C8"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Poly plant</w:t>
            </w:r>
          </w:p>
        </w:tc>
        <w:tc>
          <w:tcPr>
            <w:tcW w:w="1134" w:type="dxa"/>
          </w:tcPr>
          <w:p w14:paraId="382AF289"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27</w:t>
            </w:r>
          </w:p>
        </w:tc>
        <w:tc>
          <w:tcPr>
            <w:tcW w:w="1281" w:type="dxa"/>
          </w:tcPr>
          <w:p w14:paraId="62A74E3B" w14:textId="77777777" w:rsidR="00A7521D" w:rsidRPr="00065C8D" w:rsidRDefault="00A7521D" w:rsidP="00A7521D">
            <w:pPr>
              <w:spacing w:after="0" w:line="240" w:lineRule="auto"/>
              <w:jc w:val="center"/>
              <w:rPr>
                <w:szCs w:val="24"/>
              </w:rPr>
            </w:pPr>
            <w:r w:rsidRPr="00065C8D">
              <w:rPr>
                <w:szCs w:val="24"/>
              </w:rPr>
              <w:t>1246</w:t>
            </w:r>
          </w:p>
        </w:tc>
        <w:tc>
          <w:tcPr>
            <w:tcW w:w="1701" w:type="dxa"/>
          </w:tcPr>
          <w:p w14:paraId="47710CD1"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193</w:t>
            </w:r>
          </w:p>
        </w:tc>
        <w:tc>
          <w:tcPr>
            <w:tcW w:w="1134" w:type="dxa"/>
          </w:tcPr>
          <w:p w14:paraId="57059088"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22</w:t>
            </w:r>
          </w:p>
        </w:tc>
        <w:tc>
          <w:tcPr>
            <w:tcW w:w="850" w:type="dxa"/>
          </w:tcPr>
          <w:p w14:paraId="0B868CBF"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59</w:t>
            </w:r>
          </w:p>
        </w:tc>
      </w:tr>
      <w:tr w:rsidR="00A7521D" w:rsidRPr="00065C8D" w14:paraId="244E7301" w14:textId="77777777" w:rsidTr="00A7521D">
        <w:trPr>
          <w:jc w:val="center"/>
        </w:trPr>
        <w:tc>
          <w:tcPr>
            <w:tcW w:w="2641" w:type="dxa"/>
          </w:tcPr>
          <w:p w14:paraId="73C6AA26" w14:textId="77777777" w:rsidR="00A7521D" w:rsidRPr="00065C8D" w:rsidRDefault="00A7521D" w:rsidP="00A7521D">
            <w:pPr>
              <w:spacing w:after="0" w:line="240" w:lineRule="auto"/>
              <w:jc w:val="center"/>
              <w:rPr>
                <w:rFonts w:cs="Calibri"/>
                <w:color w:val="000000"/>
                <w:szCs w:val="24"/>
              </w:rPr>
            </w:pPr>
            <w:proofErr w:type="spellStart"/>
            <w:r w:rsidRPr="00065C8D">
              <w:rPr>
                <w:rFonts w:cs="Calibri"/>
                <w:color w:val="000000"/>
                <w:szCs w:val="24"/>
              </w:rPr>
              <w:t>Efluent</w:t>
            </w:r>
            <w:proofErr w:type="spellEnd"/>
            <w:r w:rsidRPr="00065C8D">
              <w:rPr>
                <w:rFonts w:cs="Calibri"/>
                <w:color w:val="000000"/>
                <w:szCs w:val="24"/>
              </w:rPr>
              <w:t xml:space="preserve"> treatment plant</w:t>
            </w:r>
          </w:p>
        </w:tc>
        <w:tc>
          <w:tcPr>
            <w:tcW w:w="1134" w:type="dxa"/>
          </w:tcPr>
          <w:p w14:paraId="277A6FE3"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28</w:t>
            </w:r>
          </w:p>
        </w:tc>
        <w:tc>
          <w:tcPr>
            <w:tcW w:w="1281" w:type="dxa"/>
          </w:tcPr>
          <w:p w14:paraId="1F232983"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443</w:t>
            </w:r>
          </w:p>
        </w:tc>
        <w:tc>
          <w:tcPr>
            <w:tcW w:w="1701" w:type="dxa"/>
          </w:tcPr>
          <w:p w14:paraId="22FC5C76"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61</w:t>
            </w:r>
          </w:p>
        </w:tc>
        <w:tc>
          <w:tcPr>
            <w:tcW w:w="1134" w:type="dxa"/>
          </w:tcPr>
          <w:p w14:paraId="4673D47D"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7</w:t>
            </w:r>
          </w:p>
        </w:tc>
        <w:tc>
          <w:tcPr>
            <w:tcW w:w="850" w:type="dxa"/>
          </w:tcPr>
          <w:p w14:paraId="64AB8D09"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19</w:t>
            </w:r>
          </w:p>
        </w:tc>
      </w:tr>
      <w:tr w:rsidR="00A7521D" w:rsidRPr="00065C8D" w14:paraId="11FEAC00" w14:textId="77777777" w:rsidTr="00A7521D">
        <w:trPr>
          <w:jc w:val="center"/>
        </w:trPr>
        <w:tc>
          <w:tcPr>
            <w:tcW w:w="2641" w:type="dxa"/>
          </w:tcPr>
          <w:p w14:paraId="709EB3F1"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Shot</w:t>
            </w:r>
          </w:p>
        </w:tc>
        <w:tc>
          <w:tcPr>
            <w:tcW w:w="1134" w:type="dxa"/>
          </w:tcPr>
          <w:p w14:paraId="136A28CD"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27</w:t>
            </w:r>
          </w:p>
        </w:tc>
        <w:tc>
          <w:tcPr>
            <w:tcW w:w="1281" w:type="dxa"/>
          </w:tcPr>
          <w:p w14:paraId="6AAC0AE0"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968</w:t>
            </w:r>
          </w:p>
        </w:tc>
        <w:tc>
          <w:tcPr>
            <w:tcW w:w="1701" w:type="dxa"/>
          </w:tcPr>
          <w:p w14:paraId="652A1B60"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150</w:t>
            </w:r>
          </w:p>
        </w:tc>
        <w:tc>
          <w:tcPr>
            <w:tcW w:w="1134" w:type="dxa"/>
          </w:tcPr>
          <w:p w14:paraId="1B691036"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17</w:t>
            </w:r>
          </w:p>
        </w:tc>
        <w:tc>
          <w:tcPr>
            <w:tcW w:w="850" w:type="dxa"/>
          </w:tcPr>
          <w:p w14:paraId="289FB565"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45</w:t>
            </w:r>
          </w:p>
        </w:tc>
      </w:tr>
      <w:tr w:rsidR="00A7521D" w:rsidRPr="00065C8D" w14:paraId="66A258CB" w14:textId="77777777" w:rsidTr="00A7521D">
        <w:trPr>
          <w:jc w:val="center"/>
        </w:trPr>
        <w:tc>
          <w:tcPr>
            <w:tcW w:w="2641" w:type="dxa"/>
          </w:tcPr>
          <w:p w14:paraId="72193A56" w14:textId="77777777" w:rsidR="00A7521D" w:rsidRPr="00065C8D" w:rsidRDefault="00A7521D" w:rsidP="00A7521D">
            <w:pPr>
              <w:spacing w:after="0" w:line="240" w:lineRule="auto"/>
              <w:jc w:val="center"/>
              <w:rPr>
                <w:rFonts w:cs="Calibri"/>
                <w:color w:val="000000"/>
                <w:szCs w:val="24"/>
              </w:rPr>
            </w:pPr>
            <w:proofErr w:type="spellStart"/>
            <w:r w:rsidRPr="00065C8D">
              <w:rPr>
                <w:rFonts w:cs="Calibri"/>
                <w:color w:val="000000"/>
                <w:szCs w:val="24"/>
              </w:rPr>
              <w:t>Cibel</w:t>
            </w:r>
            <w:proofErr w:type="spellEnd"/>
            <w:r w:rsidRPr="00065C8D">
              <w:rPr>
                <w:rFonts w:cs="Calibri"/>
                <w:color w:val="000000"/>
                <w:szCs w:val="24"/>
              </w:rPr>
              <w:t xml:space="preserve"> 1&amp;2</w:t>
            </w:r>
          </w:p>
        </w:tc>
        <w:tc>
          <w:tcPr>
            <w:tcW w:w="1134" w:type="dxa"/>
          </w:tcPr>
          <w:p w14:paraId="4CDFFA3D"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27</w:t>
            </w:r>
          </w:p>
        </w:tc>
        <w:tc>
          <w:tcPr>
            <w:tcW w:w="1281" w:type="dxa"/>
          </w:tcPr>
          <w:p w14:paraId="478FDFE2"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659</w:t>
            </w:r>
          </w:p>
        </w:tc>
        <w:tc>
          <w:tcPr>
            <w:tcW w:w="1701" w:type="dxa"/>
          </w:tcPr>
          <w:p w14:paraId="758CC640"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102</w:t>
            </w:r>
          </w:p>
        </w:tc>
        <w:tc>
          <w:tcPr>
            <w:tcW w:w="1134" w:type="dxa"/>
          </w:tcPr>
          <w:p w14:paraId="349E8DB2"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12</w:t>
            </w:r>
          </w:p>
        </w:tc>
        <w:tc>
          <w:tcPr>
            <w:tcW w:w="850" w:type="dxa"/>
          </w:tcPr>
          <w:p w14:paraId="41AEB6A9"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31</w:t>
            </w:r>
          </w:p>
        </w:tc>
      </w:tr>
      <w:tr w:rsidR="00A7521D" w:rsidRPr="00065C8D" w14:paraId="723FCBA7" w14:textId="77777777" w:rsidTr="00A7521D">
        <w:trPr>
          <w:jc w:val="center"/>
        </w:trPr>
        <w:tc>
          <w:tcPr>
            <w:tcW w:w="2641" w:type="dxa"/>
          </w:tcPr>
          <w:p w14:paraId="7D35570F" w14:textId="77777777" w:rsidR="00A7521D" w:rsidRPr="00065C8D" w:rsidRDefault="00A7521D" w:rsidP="00A7521D">
            <w:pPr>
              <w:spacing w:after="0" w:line="240" w:lineRule="auto"/>
              <w:jc w:val="center"/>
              <w:rPr>
                <w:rFonts w:cs="Calibri"/>
                <w:color w:val="000000"/>
                <w:szCs w:val="24"/>
              </w:rPr>
            </w:pPr>
            <w:proofErr w:type="spellStart"/>
            <w:r w:rsidRPr="00065C8D">
              <w:rPr>
                <w:rFonts w:cs="Calibri"/>
                <w:color w:val="000000"/>
                <w:szCs w:val="24"/>
              </w:rPr>
              <w:t>Cibel</w:t>
            </w:r>
            <w:proofErr w:type="spellEnd"/>
            <w:r w:rsidRPr="00065C8D">
              <w:rPr>
                <w:rFonts w:cs="Calibri"/>
                <w:color w:val="000000"/>
                <w:szCs w:val="24"/>
              </w:rPr>
              <w:t xml:space="preserve"> 5&amp;6</w:t>
            </w:r>
          </w:p>
        </w:tc>
        <w:tc>
          <w:tcPr>
            <w:tcW w:w="1134" w:type="dxa"/>
          </w:tcPr>
          <w:p w14:paraId="0259C933"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27</w:t>
            </w:r>
          </w:p>
        </w:tc>
        <w:tc>
          <w:tcPr>
            <w:tcW w:w="1281" w:type="dxa"/>
          </w:tcPr>
          <w:p w14:paraId="4988489F"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382</w:t>
            </w:r>
          </w:p>
        </w:tc>
        <w:tc>
          <w:tcPr>
            <w:tcW w:w="1701" w:type="dxa"/>
          </w:tcPr>
          <w:p w14:paraId="0C56E438"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59</w:t>
            </w:r>
          </w:p>
        </w:tc>
        <w:tc>
          <w:tcPr>
            <w:tcW w:w="1134" w:type="dxa"/>
          </w:tcPr>
          <w:p w14:paraId="7C7DE466"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7</w:t>
            </w:r>
          </w:p>
        </w:tc>
        <w:tc>
          <w:tcPr>
            <w:tcW w:w="850" w:type="dxa"/>
          </w:tcPr>
          <w:p w14:paraId="04B015C5"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18</w:t>
            </w:r>
          </w:p>
        </w:tc>
      </w:tr>
      <w:tr w:rsidR="00A7521D" w:rsidRPr="00065C8D" w14:paraId="7B0149E2" w14:textId="77777777" w:rsidTr="00A7521D">
        <w:trPr>
          <w:jc w:val="center"/>
        </w:trPr>
        <w:tc>
          <w:tcPr>
            <w:tcW w:w="2641" w:type="dxa"/>
          </w:tcPr>
          <w:p w14:paraId="1474C280"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1&amp;2 Rotary</w:t>
            </w:r>
          </w:p>
        </w:tc>
        <w:tc>
          <w:tcPr>
            <w:tcW w:w="1134" w:type="dxa"/>
          </w:tcPr>
          <w:p w14:paraId="5E5673A7"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27</w:t>
            </w:r>
          </w:p>
        </w:tc>
        <w:tc>
          <w:tcPr>
            <w:tcW w:w="1281" w:type="dxa"/>
          </w:tcPr>
          <w:p w14:paraId="359FAEA0"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1010</w:t>
            </w:r>
          </w:p>
        </w:tc>
        <w:tc>
          <w:tcPr>
            <w:tcW w:w="1701" w:type="dxa"/>
          </w:tcPr>
          <w:p w14:paraId="49FB0B9D"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156</w:t>
            </w:r>
          </w:p>
        </w:tc>
        <w:tc>
          <w:tcPr>
            <w:tcW w:w="1134" w:type="dxa"/>
          </w:tcPr>
          <w:p w14:paraId="3EF9578F"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18</w:t>
            </w:r>
          </w:p>
        </w:tc>
        <w:tc>
          <w:tcPr>
            <w:tcW w:w="850" w:type="dxa"/>
          </w:tcPr>
          <w:p w14:paraId="7EA0D466"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47</w:t>
            </w:r>
          </w:p>
        </w:tc>
      </w:tr>
      <w:tr w:rsidR="00A7521D" w:rsidRPr="00065C8D" w14:paraId="219E6712" w14:textId="77777777" w:rsidTr="00A7521D">
        <w:trPr>
          <w:jc w:val="center"/>
        </w:trPr>
        <w:tc>
          <w:tcPr>
            <w:tcW w:w="2641" w:type="dxa"/>
          </w:tcPr>
          <w:p w14:paraId="7B7C549D"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Refinery scrap dock</w:t>
            </w:r>
          </w:p>
        </w:tc>
        <w:tc>
          <w:tcPr>
            <w:tcW w:w="1134" w:type="dxa"/>
          </w:tcPr>
          <w:p w14:paraId="6BC7126E"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27</w:t>
            </w:r>
          </w:p>
        </w:tc>
        <w:tc>
          <w:tcPr>
            <w:tcW w:w="1281" w:type="dxa"/>
          </w:tcPr>
          <w:p w14:paraId="4F1AE87E"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1211</w:t>
            </w:r>
          </w:p>
        </w:tc>
        <w:tc>
          <w:tcPr>
            <w:tcW w:w="1701" w:type="dxa"/>
          </w:tcPr>
          <w:p w14:paraId="5655FE37"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187</w:t>
            </w:r>
          </w:p>
        </w:tc>
        <w:tc>
          <w:tcPr>
            <w:tcW w:w="1134" w:type="dxa"/>
          </w:tcPr>
          <w:p w14:paraId="3C067905"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21</w:t>
            </w:r>
          </w:p>
        </w:tc>
        <w:tc>
          <w:tcPr>
            <w:tcW w:w="850" w:type="dxa"/>
          </w:tcPr>
          <w:p w14:paraId="5F5D8404"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57</w:t>
            </w:r>
          </w:p>
        </w:tc>
      </w:tr>
      <w:tr w:rsidR="00A7521D" w:rsidRPr="00065C8D" w14:paraId="451FC4CA" w14:textId="77777777" w:rsidTr="00A7521D">
        <w:trPr>
          <w:jc w:val="center"/>
        </w:trPr>
        <w:tc>
          <w:tcPr>
            <w:tcW w:w="2641" w:type="dxa"/>
          </w:tcPr>
          <w:p w14:paraId="54E4DA4E"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4&amp;5 building</w:t>
            </w:r>
          </w:p>
        </w:tc>
        <w:tc>
          <w:tcPr>
            <w:tcW w:w="1134" w:type="dxa"/>
          </w:tcPr>
          <w:p w14:paraId="6A97C816"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28</w:t>
            </w:r>
          </w:p>
        </w:tc>
        <w:tc>
          <w:tcPr>
            <w:tcW w:w="1281" w:type="dxa"/>
          </w:tcPr>
          <w:p w14:paraId="5BE3E775"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1785</w:t>
            </w:r>
          </w:p>
        </w:tc>
        <w:tc>
          <w:tcPr>
            <w:tcW w:w="1701" w:type="dxa"/>
          </w:tcPr>
          <w:p w14:paraId="513349D2"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246</w:t>
            </w:r>
          </w:p>
        </w:tc>
        <w:tc>
          <w:tcPr>
            <w:tcW w:w="1134" w:type="dxa"/>
          </w:tcPr>
          <w:p w14:paraId="37A3E0B8"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28</w:t>
            </w:r>
          </w:p>
        </w:tc>
        <w:tc>
          <w:tcPr>
            <w:tcW w:w="850" w:type="dxa"/>
          </w:tcPr>
          <w:p w14:paraId="24F0CE1C"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75</w:t>
            </w:r>
          </w:p>
        </w:tc>
      </w:tr>
      <w:tr w:rsidR="00A7521D" w:rsidRPr="00065C8D" w14:paraId="6218DFCA" w14:textId="77777777" w:rsidTr="00A7521D">
        <w:trPr>
          <w:jc w:val="center"/>
        </w:trPr>
        <w:tc>
          <w:tcPr>
            <w:tcW w:w="2641" w:type="dxa"/>
          </w:tcPr>
          <w:p w14:paraId="6ECD5132"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Garage</w:t>
            </w:r>
          </w:p>
        </w:tc>
        <w:tc>
          <w:tcPr>
            <w:tcW w:w="1134" w:type="dxa"/>
          </w:tcPr>
          <w:p w14:paraId="55B0E6DF"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28</w:t>
            </w:r>
          </w:p>
        </w:tc>
        <w:tc>
          <w:tcPr>
            <w:tcW w:w="1281" w:type="dxa"/>
          </w:tcPr>
          <w:p w14:paraId="7E95CEA7"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319</w:t>
            </w:r>
          </w:p>
        </w:tc>
        <w:tc>
          <w:tcPr>
            <w:tcW w:w="1701" w:type="dxa"/>
          </w:tcPr>
          <w:p w14:paraId="5425CE1C"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44</w:t>
            </w:r>
          </w:p>
        </w:tc>
        <w:tc>
          <w:tcPr>
            <w:tcW w:w="1134" w:type="dxa"/>
          </w:tcPr>
          <w:p w14:paraId="4960E24F"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5</w:t>
            </w:r>
          </w:p>
        </w:tc>
        <w:tc>
          <w:tcPr>
            <w:tcW w:w="850" w:type="dxa"/>
          </w:tcPr>
          <w:p w14:paraId="24D6DE3F"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13</w:t>
            </w:r>
          </w:p>
        </w:tc>
      </w:tr>
      <w:tr w:rsidR="00A7521D" w:rsidRPr="00065C8D" w14:paraId="5E9C5531" w14:textId="77777777" w:rsidTr="00A7521D">
        <w:trPr>
          <w:jc w:val="center"/>
        </w:trPr>
        <w:tc>
          <w:tcPr>
            <w:tcW w:w="2641" w:type="dxa"/>
          </w:tcPr>
          <w:p w14:paraId="6F4E3E78"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Reverb</w:t>
            </w:r>
          </w:p>
        </w:tc>
        <w:tc>
          <w:tcPr>
            <w:tcW w:w="1134" w:type="dxa"/>
          </w:tcPr>
          <w:p w14:paraId="27BF65A0"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27</w:t>
            </w:r>
          </w:p>
        </w:tc>
        <w:tc>
          <w:tcPr>
            <w:tcW w:w="1281" w:type="dxa"/>
          </w:tcPr>
          <w:p w14:paraId="74AA717B"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904</w:t>
            </w:r>
          </w:p>
        </w:tc>
        <w:tc>
          <w:tcPr>
            <w:tcW w:w="1701" w:type="dxa"/>
          </w:tcPr>
          <w:p w14:paraId="49D06B07"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140</w:t>
            </w:r>
          </w:p>
        </w:tc>
        <w:tc>
          <w:tcPr>
            <w:tcW w:w="1134" w:type="dxa"/>
          </w:tcPr>
          <w:p w14:paraId="5BA6C262"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16</w:t>
            </w:r>
          </w:p>
        </w:tc>
        <w:tc>
          <w:tcPr>
            <w:tcW w:w="850" w:type="dxa"/>
          </w:tcPr>
          <w:p w14:paraId="277C1773"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42</w:t>
            </w:r>
          </w:p>
        </w:tc>
      </w:tr>
      <w:tr w:rsidR="00A7521D" w:rsidRPr="00065C8D" w14:paraId="301CF296" w14:textId="77777777" w:rsidTr="00A7521D">
        <w:trPr>
          <w:jc w:val="center"/>
        </w:trPr>
        <w:tc>
          <w:tcPr>
            <w:tcW w:w="2641" w:type="dxa"/>
          </w:tcPr>
          <w:p w14:paraId="2E7D1E68"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FGC</w:t>
            </w:r>
          </w:p>
        </w:tc>
        <w:tc>
          <w:tcPr>
            <w:tcW w:w="1134" w:type="dxa"/>
          </w:tcPr>
          <w:p w14:paraId="11043AF3"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27</w:t>
            </w:r>
          </w:p>
        </w:tc>
        <w:tc>
          <w:tcPr>
            <w:tcW w:w="1281" w:type="dxa"/>
          </w:tcPr>
          <w:p w14:paraId="6A563479"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164</w:t>
            </w:r>
          </w:p>
        </w:tc>
        <w:tc>
          <w:tcPr>
            <w:tcW w:w="1701" w:type="dxa"/>
          </w:tcPr>
          <w:p w14:paraId="0827E8A4"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25</w:t>
            </w:r>
          </w:p>
        </w:tc>
        <w:tc>
          <w:tcPr>
            <w:tcW w:w="1134" w:type="dxa"/>
          </w:tcPr>
          <w:p w14:paraId="7E149784"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3</w:t>
            </w:r>
          </w:p>
        </w:tc>
        <w:tc>
          <w:tcPr>
            <w:tcW w:w="850" w:type="dxa"/>
          </w:tcPr>
          <w:p w14:paraId="7705AF24"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8</w:t>
            </w:r>
          </w:p>
        </w:tc>
      </w:tr>
      <w:tr w:rsidR="00A7521D" w:rsidRPr="00065C8D" w14:paraId="1B5C2D50" w14:textId="77777777" w:rsidTr="00A7521D">
        <w:trPr>
          <w:jc w:val="center"/>
        </w:trPr>
        <w:tc>
          <w:tcPr>
            <w:tcW w:w="2641" w:type="dxa"/>
          </w:tcPr>
          <w:p w14:paraId="61933DBB"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FGD</w:t>
            </w:r>
          </w:p>
        </w:tc>
        <w:tc>
          <w:tcPr>
            <w:tcW w:w="1134" w:type="dxa"/>
          </w:tcPr>
          <w:p w14:paraId="68B41595"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27</w:t>
            </w:r>
          </w:p>
        </w:tc>
        <w:tc>
          <w:tcPr>
            <w:tcW w:w="1281" w:type="dxa"/>
          </w:tcPr>
          <w:p w14:paraId="5FACEF7C"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881</w:t>
            </w:r>
          </w:p>
        </w:tc>
        <w:tc>
          <w:tcPr>
            <w:tcW w:w="1701" w:type="dxa"/>
          </w:tcPr>
          <w:p w14:paraId="086C59A4"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136</w:t>
            </w:r>
          </w:p>
        </w:tc>
        <w:tc>
          <w:tcPr>
            <w:tcW w:w="1134" w:type="dxa"/>
          </w:tcPr>
          <w:p w14:paraId="3FB7AA24"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16</w:t>
            </w:r>
          </w:p>
        </w:tc>
        <w:tc>
          <w:tcPr>
            <w:tcW w:w="850" w:type="dxa"/>
          </w:tcPr>
          <w:p w14:paraId="0406FE73"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41</w:t>
            </w:r>
          </w:p>
        </w:tc>
      </w:tr>
      <w:tr w:rsidR="00A7521D" w:rsidRPr="00065C8D" w14:paraId="70386AC7" w14:textId="77777777" w:rsidTr="00A7521D">
        <w:trPr>
          <w:jc w:val="center"/>
        </w:trPr>
        <w:tc>
          <w:tcPr>
            <w:tcW w:w="2641" w:type="dxa"/>
          </w:tcPr>
          <w:p w14:paraId="3A431DFF"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Lithium-ion</w:t>
            </w:r>
          </w:p>
        </w:tc>
        <w:tc>
          <w:tcPr>
            <w:tcW w:w="1134" w:type="dxa"/>
          </w:tcPr>
          <w:p w14:paraId="3BE28180"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27</w:t>
            </w:r>
          </w:p>
        </w:tc>
        <w:tc>
          <w:tcPr>
            <w:tcW w:w="1281" w:type="dxa"/>
          </w:tcPr>
          <w:p w14:paraId="7B8ED860"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488</w:t>
            </w:r>
          </w:p>
        </w:tc>
        <w:tc>
          <w:tcPr>
            <w:tcW w:w="1701" w:type="dxa"/>
          </w:tcPr>
          <w:p w14:paraId="320FC2A7"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76</w:t>
            </w:r>
          </w:p>
        </w:tc>
        <w:tc>
          <w:tcPr>
            <w:tcW w:w="1134" w:type="dxa"/>
          </w:tcPr>
          <w:p w14:paraId="21AB4A2D"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9</w:t>
            </w:r>
          </w:p>
        </w:tc>
        <w:tc>
          <w:tcPr>
            <w:tcW w:w="850" w:type="dxa"/>
          </w:tcPr>
          <w:p w14:paraId="43495B17"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23</w:t>
            </w:r>
          </w:p>
        </w:tc>
      </w:tr>
      <w:tr w:rsidR="00A7521D" w:rsidRPr="00065C8D" w14:paraId="1B3D1C54" w14:textId="77777777" w:rsidTr="00A7521D">
        <w:trPr>
          <w:jc w:val="center"/>
        </w:trPr>
        <w:tc>
          <w:tcPr>
            <w:tcW w:w="2641" w:type="dxa"/>
          </w:tcPr>
          <w:p w14:paraId="3F6543F0"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Maintenance</w:t>
            </w:r>
          </w:p>
        </w:tc>
        <w:tc>
          <w:tcPr>
            <w:tcW w:w="1134" w:type="dxa"/>
          </w:tcPr>
          <w:p w14:paraId="2AEC1A8B"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28</w:t>
            </w:r>
          </w:p>
        </w:tc>
        <w:tc>
          <w:tcPr>
            <w:tcW w:w="1281" w:type="dxa"/>
          </w:tcPr>
          <w:p w14:paraId="3EC2FD7E"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423</w:t>
            </w:r>
          </w:p>
        </w:tc>
        <w:tc>
          <w:tcPr>
            <w:tcW w:w="1701" w:type="dxa"/>
          </w:tcPr>
          <w:p w14:paraId="5983B10D"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58</w:t>
            </w:r>
          </w:p>
        </w:tc>
        <w:tc>
          <w:tcPr>
            <w:tcW w:w="1134" w:type="dxa"/>
          </w:tcPr>
          <w:p w14:paraId="2C2C173E"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23</w:t>
            </w:r>
          </w:p>
        </w:tc>
        <w:tc>
          <w:tcPr>
            <w:tcW w:w="850" w:type="dxa"/>
          </w:tcPr>
          <w:p w14:paraId="32845EFF"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61</w:t>
            </w:r>
          </w:p>
        </w:tc>
      </w:tr>
      <w:tr w:rsidR="00A7521D" w:rsidRPr="00065C8D" w14:paraId="6C696D1E" w14:textId="77777777" w:rsidTr="00A7521D">
        <w:trPr>
          <w:jc w:val="center"/>
        </w:trPr>
        <w:tc>
          <w:tcPr>
            <w:tcW w:w="2641" w:type="dxa"/>
          </w:tcPr>
          <w:p w14:paraId="12748521"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Lab</w:t>
            </w:r>
          </w:p>
        </w:tc>
        <w:tc>
          <w:tcPr>
            <w:tcW w:w="1134" w:type="dxa"/>
          </w:tcPr>
          <w:p w14:paraId="1B2408D3"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24</w:t>
            </w:r>
          </w:p>
        </w:tc>
        <w:tc>
          <w:tcPr>
            <w:tcW w:w="1281" w:type="dxa"/>
          </w:tcPr>
          <w:p w14:paraId="50734537"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304</w:t>
            </w:r>
          </w:p>
        </w:tc>
        <w:tc>
          <w:tcPr>
            <w:tcW w:w="1701" w:type="dxa"/>
          </w:tcPr>
          <w:p w14:paraId="71334284"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35</w:t>
            </w:r>
          </w:p>
        </w:tc>
        <w:tc>
          <w:tcPr>
            <w:tcW w:w="1134" w:type="dxa"/>
          </w:tcPr>
          <w:p w14:paraId="568BC59A"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14</w:t>
            </w:r>
          </w:p>
        </w:tc>
        <w:tc>
          <w:tcPr>
            <w:tcW w:w="850" w:type="dxa"/>
          </w:tcPr>
          <w:p w14:paraId="4B288454"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36</w:t>
            </w:r>
          </w:p>
        </w:tc>
      </w:tr>
      <w:tr w:rsidR="00A7521D" w:rsidRPr="00065C8D" w14:paraId="1B9DC8C8" w14:textId="77777777" w:rsidTr="00A7521D">
        <w:trPr>
          <w:jc w:val="center"/>
        </w:trPr>
        <w:tc>
          <w:tcPr>
            <w:tcW w:w="2641" w:type="dxa"/>
          </w:tcPr>
          <w:p w14:paraId="238C199A"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Old warehouse</w:t>
            </w:r>
          </w:p>
        </w:tc>
        <w:tc>
          <w:tcPr>
            <w:tcW w:w="1134" w:type="dxa"/>
          </w:tcPr>
          <w:p w14:paraId="50BEEC9B"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28</w:t>
            </w:r>
          </w:p>
        </w:tc>
        <w:tc>
          <w:tcPr>
            <w:tcW w:w="1281" w:type="dxa"/>
          </w:tcPr>
          <w:p w14:paraId="4787D0F9"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561</w:t>
            </w:r>
          </w:p>
        </w:tc>
        <w:tc>
          <w:tcPr>
            <w:tcW w:w="1701" w:type="dxa"/>
          </w:tcPr>
          <w:p w14:paraId="4068B20E"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77</w:t>
            </w:r>
          </w:p>
        </w:tc>
        <w:tc>
          <w:tcPr>
            <w:tcW w:w="1134" w:type="dxa"/>
          </w:tcPr>
          <w:p w14:paraId="0B839583"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9</w:t>
            </w:r>
          </w:p>
        </w:tc>
        <w:tc>
          <w:tcPr>
            <w:tcW w:w="850" w:type="dxa"/>
          </w:tcPr>
          <w:p w14:paraId="520B6E92"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23</w:t>
            </w:r>
          </w:p>
        </w:tc>
      </w:tr>
      <w:tr w:rsidR="00A7521D" w:rsidRPr="00065C8D" w14:paraId="497D9955" w14:textId="77777777" w:rsidTr="00A7521D">
        <w:trPr>
          <w:jc w:val="center"/>
        </w:trPr>
        <w:tc>
          <w:tcPr>
            <w:tcW w:w="2641" w:type="dxa"/>
          </w:tcPr>
          <w:p w14:paraId="0F2C7029"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Reverse osmosis plant</w:t>
            </w:r>
          </w:p>
        </w:tc>
        <w:tc>
          <w:tcPr>
            <w:tcW w:w="1134" w:type="dxa"/>
          </w:tcPr>
          <w:p w14:paraId="36D77DA8"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27</w:t>
            </w:r>
          </w:p>
        </w:tc>
        <w:tc>
          <w:tcPr>
            <w:tcW w:w="1281" w:type="dxa"/>
          </w:tcPr>
          <w:p w14:paraId="03FC68AE"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165</w:t>
            </w:r>
          </w:p>
        </w:tc>
        <w:tc>
          <w:tcPr>
            <w:tcW w:w="1701" w:type="dxa"/>
          </w:tcPr>
          <w:p w14:paraId="05489C1A"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26</w:t>
            </w:r>
          </w:p>
        </w:tc>
        <w:tc>
          <w:tcPr>
            <w:tcW w:w="1134" w:type="dxa"/>
          </w:tcPr>
          <w:p w14:paraId="4D995076"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3</w:t>
            </w:r>
          </w:p>
        </w:tc>
        <w:tc>
          <w:tcPr>
            <w:tcW w:w="850" w:type="dxa"/>
          </w:tcPr>
          <w:p w14:paraId="0DB08F7E"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8</w:t>
            </w:r>
          </w:p>
        </w:tc>
      </w:tr>
      <w:tr w:rsidR="00A7521D" w:rsidRPr="00065C8D" w14:paraId="5EDEF47E" w14:textId="77777777" w:rsidTr="00A7521D">
        <w:trPr>
          <w:jc w:val="center"/>
        </w:trPr>
        <w:tc>
          <w:tcPr>
            <w:tcW w:w="2641" w:type="dxa"/>
          </w:tcPr>
          <w:p w14:paraId="7270336F"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 xml:space="preserve">A </w:t>
            </w:r>
            <w:proofErr w:type="gramStart"/>
            <w:r w:rsidRPr="00065C8D">
              <w:rPr>
                <w:rFonts w:cs="Calibri"/>
                <w:color w:val="000000"/>
                <w:szCs w:val="24"/>
              </w:rPr>
              <w:t>bays</w:t>
            </w:r>
            <w:proofErr w:type="gramEnd"/>
          </w:p>
        </w:tc>
        <w:tc>
          <w:tcPr>
            <w:tcW w:w="1134" w:type="dxa"/>
          </w:tcPr>
          <w:p w14:paraId="55721632"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28</w:t>
            </w:r>
          </w:p>
        </w:tc>
        <w:tc>
          <w:tcPr>
            <w:tcW w:w="1281" w:type="dxa"/>
          </w:tcPr>
          <w:p w14:paraId="14CA5329"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2381</w:t>
            </w:r>
          </w:p>
        </w:tc>
        <w:tc>
          <w:tcPr>
            <w:tcW w:w="1701" w:type="dxa"/>
          </w:tcPr>
          <w:p w14:paraId="30E4FAF3"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328</w:t>
            </w:r>
          </w:p>
        </w:tc>
        <w:tc>
          <w:tcPr>
            <w:tcW w:w="1134" w:type="dxa"/>
          </w:tcPr>
          <w:p w14:paraId="5B7C18D0"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37</w:t>
            </w:r>
          </w:p>
        </w:tc>
        <w:tc>
          <w:tcPr>
            <w:tcW w:w="850" w:type="dxa"/>
          </w:tcPr>
          <w:p w14:paraId="42D0C9EA"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99</w:t>
            </w:r>
          </w:p>
        </w:tc>
      </w:tr>
      <w:tr w:rsidR="00A7521D" w:rsidRPr="00065C8D" w14:paraId="4989B270" w14:textId="77777777" w:rsidTr="00A7521D">
        <w:trPr>
          <w:jc w:val="center"/>
        </w:trPr>
        <w:tc>
          <w:tcPr>
            <w:tcW w:w="2641" w:type="dxa"/>
          </w:tcPr>
          <w:p w14:paraId="2A56617D"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C bays</w:t>
            </w:r>
          </w:p>
        </w:tc>
        <w:tc>
          <w:tcPr>
            <w:tcW w:w="1134" w:type="dxa"/>
          </w:tcPr>
          <w:p w14:paraId="4EE6B879"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28</w:t>
            </w:r>
          </w:p>
        </w:tc>
        <w:tc>
          <w:tcPr>
            <w:tcW w:w="1281" w:type="dxa"/>
          </w:tcPr>
          <w:p w14:paraId="043FDF6A"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1028</w:t>
            </w:r>
          </w:p>
        </w:tc>
        <w:tc>
          <w:tcPr>
            <w:tcW w:w="1701" w:type="dxa"/>
          </w:tcPr>
          <w:p w14:paraId="216A96BD"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141</w:t>
            </w:r>
          </w:p>
        </w:tc>
        <w:tc>
          <w:tcPr>
            <w:tcW w:w="1134" w:type="dxa"/>
          </w:tcPr>
          <w:p w14:paraId="1125911A"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16</w:t>
            </w:r>
          </w:p>
        </w:tc>
        <w:tc>
          <w:tcPr>
            <w:tcW w:w="850" w:type="dxa"/>
          </w:tcPr>
          <w:p w14:paraId="693C4E03"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43</w:t>
            </w:r>
          </w:p>
        </w:tc>
      </w:tr>
      <w:tr w:rsidR="00A7521D" w:rsidRPr="00065C8D" w14:paraId="222ED004" w14:textId="77777777" w:rsidTr="00A7521D">
        <w:trPr>
          <w:jc w:val="center"/>
        </w:trPr>
        <w:tc>
          <w:tcPr>
            <w:tcW w:w="2641" w:type="dxa"/>
          </w:tcPr>
          <w:p w14:paraId="428F5B5D"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D bays</w:t>
            </w:r>
          </w:p>
        </w:tc>
        <w:tc>
          <w:tcPr>
            <w:tcW w:w="1134" w:type="dxa"/>
          </w:tcPr>
          <w:p w14:paraId="10B0CF1D"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28</w:t>
            </w:r>
          </w:p>
        </w:tc>
        <w:tc>
          <w:tcPr>
            <w:tcW w:w="1281" w:type="dxa"/>
          </w:tcPr>
          <w:p w14:paraId="6A063438"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1244</w:t>
            </w:r>
          </w:p>
        </w:tc>
        <w:tc>
          <w:tcPr>
            <w:tcW w:w="1701" w:type="dxa"/>
          </w:tcPr>
          <w:p w14:paraId="0B0E3A63"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171</w:t>
            </w:r>
          </w:p>
        </w:tc>
        <w:tc>
          <w:tcPr>
            <w:tcW w:w="1134" w:type="dxa"/>
          </w:tcPr>
          <w:p w14:paraId="3BE2ACF9"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20</w:t>
            </w:r>
          </w:p>
        </w:tc>
        <w:tc>
          <w:tcPr>
            <w:tcW w:w="850" w:type="dxa"/>
          </w:tcPr>
          <w:p w14:paraId="0212B177"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52</w:t>
            </w:r>
          </w:p>
        </w:tc>
      </w:tr>
      <w:tr w:rsidR="00A7521D" w:rsidRPr="00065C8D" w14:paraId="0081C695" w14:textId="77777777" w:rsidTr="00A7521D">
        <w:trPr>
          <w:jc w:val="center"/>
        </w:trPr>
        <w:tc>
          <w:tcPr>
            <w:tcW w:w="2641" w:type="dxa"/>
          </w:tcPr>
          <w:p w14:paraId="78EEDC41"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Slag cooling</w:t>
            </w:r>
          </w:p>
        </w:tc>
        <w:tc>
          <w:tcPr>
            <w:tcW w:w="1134" w:type="dxa"/>
          </w:tcPr>
          <w:p w14:paraId="7E84A04C"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28</w:t>
            </w:r>
          </w:p>
        </w:tc>
        <w:tc>
          <w:tcPr>
            <w:tcW w:w="1281" w:type="dxa"/>
          </w:tcPr>
          <w:p w14:paraId="41067906"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194</w:t>
            </w:r>
          </w:p>
        </w:tc>
        <w:tc>
          <w:tcPr>
            <w:tcW w:w="1701" w:type="dxa"/>
          </w:tcPr>
          <w:p w14:paraId="305DA6EF"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27</w:t>
            </w:r>
          </w:p>
        </w:tc>
        <w:tc>
          <w:tcPr>
            <w:tcW w:w="1134" w:type="dxa"/>
          </w:tcPr>
          <w:p w14:paraId="13D9EACE"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3</w:t>
            </w:r>
          </w:p>
        </w:tc>
        <w:tc>
          <w:tcPr>
            <w:tcW w:w="850" w:type="dxa"/>
          </w:tcPr>
          <w:p w14:paraId="2A119B5B"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8</w:t>
            </w:r>
          </w:p>
        </w:tc>
      </w:tr>
      <w:tr w:rsidR="00A7521D" w:rsidRPr="00065C8D" w14:paraId="639E5EAD" w14:textId="77777777" w:rsidTr="00A7521D">
        <w:trPr>
          <w:jc w:val="center"/>
        </w:trPr>
        <w:tc>
          <w:tcPr>
            <w:tcW w:w="2641" w:type="dxa"/>
          </w:tcPr>
          <w:p w14:paraId="0DABF169"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Warehouse</w:t>
            </w:r>
          </w:p>
        </w:tc>
        <w:tc>
          <w:tcPr>
            <w:tcW w:w="1134" w:type="dxa"/>
          </w:tcPr>
          <w:p w14:paraId="1859143A"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28</w:t>
            </w:r>
          </w:p>
        </w:tc>
        <w:tc>
          <w:tcPr>
            <w:tcW w:w="1281" w:type="dxa"/>
          </w:tcPr>
          <w:p w14:paraId="2C69B433"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817</w:t>
            </w:r>
          </w:p>
        </w:tc>
        <w:tc>
          <w:tcPr>
            <w:tcW w:w="1701" w:type="dxa"/>
          </w:tcPr>
          <w:p w14:paraId="6E32D06B"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112</w:t>
            </w:r>
          </w:p>
        </w:tc>
        <w:tc>
          <w:tcPr>
            <w:tcW w:w="1134" w:type="dxa"/>
          </w:tcPr>
          <w:p w14:paraId="2E7290CC"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13</w:t>
            </w:r>
          </w:p>
        </w:tc>
        <w:tc>
          <w:tcPr>
            <w:tcW w:w="850" w:type="dxa"/>
          </w:tcPr>
          <w:p w14:paraId="7C299DF9"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34</w:t>
            </w:r>
          </w:p>
        </w:tc>
      </w:tr>
      <w:tr w:rsidR="00A7521D" w:rsidRPr="00065C8D" w14:paraId="645C716D" w14:textId="77777777" w:rsidTr="00A7521D">
        <w:trPr>
          <w:jc w:val="center"/>
        </w:trPr>
        <w:tc>
          <w:tcPr>
            <w:tcW w:w="2641" w:type="dxa"/>
          </w:tcPr>
          <w:p w14:paraId="4DA3118D"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Ingot storage</w:t>
            </w:r>
          </w:p>
        </w:tc>
        <w:tc>
          <w:tcPr>
            <w:tcW w:w="1134" w:type="dxa"/>
          </w:tcPr>
          <w:p w14:paraId="03E52DFC"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28</w:t>
            </w:r>
          </w:p>
        </w:tc>
        <w:tc>
          <w:tcPr>
            <w:tcW w:w="1281" w:type="dxa"/>
          </w:tcPr>
          <w:p w14:paraId="0A21D545"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306</w:t>
            </w:r>
          </w:p>
        </w:tc>
        <w:tc>
          <w:tcPr>
            <w:tcW w:w="1701" w:type="dxa"/>
          </w:tcPr>
          <w:p w14:paraId="4EFF7ECC"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42</w:t>
            </w:r>
          </w:p>
        </w:tc>
        <w:tc>
          <w:tcPr>
            <w:tcW w:w="1134" w:type="dxa"/>
          </w:tcPr>
          <w:p w14:paraId="3AB043EF"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5</w:t>
            </w:r>
          </w:p>
        </w:tc>
        <w:tc>
          <w:tcPr>
            <w:tcW w:w="850" w:type="dxa"/>
          </w:tcPr>
          <w:p w14:paraId="172AE9EA"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13</w:t>
            </w:r>
          </w:p>
        </w:tc>
      </w:tr>
      <w:tr w:rsidR="00A7521D" w:rsidRPr="00065C8D" w14:paraId="488FB26D" w14:textId="77777777" w:rsidTr="00A7521D">
        <w:trPr>
          <w:jc w:val="center"/>
        </w:trPr>
        <w:tc>
          <w:tcPr>
            <w:tcW w:w="2641" w:type="dxa"/>
          </w:tcPr>
          <w:p w14:paraId="49783E03"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KB2 to KB8</w:t>
            </w:r>
          </w:p>
        </w:tc>
        <w:tc>
          <w:tcPr>
            <w:tcW w:w="1134" w:type="dxa"/>
          </w:tcPr>
          <w:p w14:paraId="24EFC3A5"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28</w:t>
            </w:r>
          </w:p>
        </w:tc>
        <w:tc>
          <w:tcPr>
            <w:tcW w:w="1281" w:type="dxa"/>
          </w:tcPr>
          <w:p w14:paraId="1D316085"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951</w:t>
            </w:r>
          </w:p>
        </w:tc>
        <w:tc>
          <w:tcPr>
            <w:tcW w:w="1701" w:type="dxa"/>
          </w:tcPr>
          <w:p w14:paraId="0A507E0D"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131</w:t>
            </w:r>
          </w:p>
        </w:tc>
        <w:tc>
          <w:tcPr>
            <w:tcW w:w="1134" w:type="dxa"/>
          </w:tcPr>
          <w:p w14:paraId="4D0060E2"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15</w:t>
            </w:r>
          </w:p>
        </w:tc>
        <w:tc>
          <w:tcPr>
            <w:tcW w:w="850" w:type="dxa"/>
          </w:tcPr>
          <w:p w14:paraId="2291A5BB"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40</w:t>
            </w:r>
          </w:p>
        </w:tc>
      </w:tr>
      <w:tr w:rsidR="00A7521D" w:rsidRPr="00065C8D" w14:paraId="085CD5CB" w14:textId="77777777" w:rsidTr="00A7521D">
        <w:trPr>
          <w:jc w:val="center"/>
        </w:trPr>
        <w:tc>
          <w:tcPr>
            <w:tcW w:w="2641" w:type="dxa"/>
          </w:tcPr>
          <w:p w14:paraId="4BBCE1FA"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Stores</w:t>
            </w:r>
          </w:p>
        </w:tc>
        <w:tc>
          <w:tcPr>
            <w:tcW w:w="1134" w:type="dxa"/>
          </w:tcPr>
          <w:p w14:paraId="2836209E"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28</w:t>
            </w:r>
          </w:p>
        </w:tc>
        <w:tc>
          <w:tcPr>
            <w:tcW w:w="1281" w:type="dxa"/>
          </w:tcPr>
          <w:p w14:paraId="3F8E1D59"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151</w:t>
            </w:r>
          </w:p>
        </w:tc>
        <w:tc>
          <w:tcPr>
            <w:tcW w:w="1701" w:type="dxa"/>
          </w:tcPr>
          <w:p w14:paraId="4A08B1E7"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21</w:t>
            </w:r>
          </w:p>
        </w:tc>
        <w:tc>
          <w:tcPr>
            <w:tcW w:w="1134" w:type="dxa"/>
          </w:tcPr>
          <w:p w14:paraId="4A9DCB33"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2</w:t>
            </w:r>
          </w:p>
        </w:tc>
        <w:tc>
          <w:tcPr>
            <w:tcW w:w="850" w:type="dxa"/>
          </w:tcPr>
          <w:p w14:paraId="22894D07"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6</w:t>
            </w:r>
          </w:p>
        </w:tc>
      </w:tr>
      <w:tr w:rsidR="00A7521D" w:rsidRPr="00065C8D" w14:paraId="14481FA9" w14:textId="77777777" w:rsidTr="00A7521D">
        <w:trPr>
          <w:jc w:val="center"/>
        </w:trPr>
        <w:tc>
          <w:tcPr>
            <w:tcW w:w="2641" w:type="dxa"/>
          </w:tcPr>
          <w:p w14:paraId="6C8294D3"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Medical block</w:t>
            </w:r>
          </w:p>
        </w:tc>
        <w:tc>
          <w:tcPr>
            <w:tcW w:w="1134" w:type="dxa"/>
          </w:tcPr>
          <w:p w14:paraId="689458D0"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19</w:t>
            </w:r>
          </w:p>
        </w:tc>
        <w:tc>
          <w:tcPr>
            <w:tcW w:w="1281" w:type="dxa"/>
          </w:tcPr>
          <w:p w14:paraId="1E200EA3"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141</w:t>
            </w:r>
          </w:p>
        </w:tc>
        <w:tc>
          <w:tcPr>
            <w:tcW w:w="1701" w:type="dxa"/>
          </w:tcPr>
          <w:p w14:paraId="4EDE4C58"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27</w:t>
            </w:r>
          </w:p>
        </w:tc>
        <w:tc>
          <w:tcPr>
            <w:tcW w:w="1134" w:type="dxa"/>
          </w:tcPr>
          <w:p w14:paraId="4123B099"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3</w:t>
            </w:r>
          </w:p>
        </w:tc>
        <w:tc>
          <w:tcPr>
            <w:tcW w:w="850" w:type="dxa"/>
          </w:tcPr>
          <w:p w14:paraId="113AB540"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5</w:t>
            </w:r>
          </w:p>
        </w:tc>
      </w:tr>
      <w:tr w:rsidR="00A7521D" w:rsidRPr="00065C8D" w14:paraId="64C13748" w14:textId="77777777" w:rsidTr="00A7521D">
        <w:trPr>
          <w:jc w:val="center"/>
        </w:trPr>
        <w:tc>
          <w:tcPr>
            <w:tcW w:w="2641" w:type="dxa"/>
          </w:tcPr>
          <w:p w14:paraId="2DF34DD8"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Welfare</w:t>
            </w:r>
          </w:p>
        </w:tc>
        <w:tc>
          <w:tcPr>
            <w:tcW w:w="1134" w:type="dxa"/>
          </w:tcPr>
          <w:p w14:paraId="69FE1AD4"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19</w:t>
            </w:r>
          </w:p>
        </w:tc>
        <w:tc>
          <w:tcPr>
            <w:tcW w:w="1281" w:type="dxa"/>
          </w:tcPr>
          <w:p w14:paraId="54581C2B"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146</w:t>
            </w:r>
          </w:p>
        </w:tc>
        <w:tc>
          <w:tcPr>
            <w:tcW w:w="1701" w:type="dxa"/>
          </w:tcPr>
          <w:p w14:paraId="533D7FB4"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27</w:t>
            </w:r>
          </w:p>
        </w:tc>
        <w:tc>
          <w:tcPr>
            <w:tcW w:w="1134" w:type="dxa"/>
          </w:tcPr>
          <w:p w14:paraId="7958ED4F"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3</w:t>
            </w:r>
          </w:p>
        </w:tc>
        <w:tc>
          <w:tcPr>
            <w:tcW w:w="850" w:type="dxa"/>
          </w:tcPr>
          <w:p w14:paraId="6394F67E"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6</w:t>
            </w:r>
          </w:p>
        </w:tc>
      </w:tr>
      <w:tr w:rsidR="00A7521D" w:rsidRPr="00065C8D" w14:paraId="446E37D5" w14:textId="77777777" w:rsidTr="00A7521D">
        <w:trPr>
          <w:jc w:val="center"/>
        </w:trPr>
        <w:tc>
          <w:tcPr>
            <w:tcW w:w="2641" w:type="dxa"/>
          </w:tcPr>
          <w:p w14:paraId="6372BA7E"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Canteen</w:t>
            </w:r>
          </w:p>
        </w:tc>
        <w:tc>
          <w:tcPr>
            <w:tcW w:w="1134" w:type="dxa"/>
          </w:tcPr>
          <w:p w14:paraId="43695ED9"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7</w:t>
            </w:r>
          </w:p>
        </w:tc>
        <w:tc>
          <w:tcPr>
            <w:tcW w:w="1281" w:type="dxa"/>
          </w:tcPr>
          <w:p w14:paraId="3C6873F6"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346</w:t>
            </w:r>
          </w:p>
        </w:tc>
        <w:tc>
          <w:tcPr>
            <w:tcW w:w="1701" w:type="dxa"/>
          </w:tcPr>
          <w:p w14:paraId="0E358900"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43</w:t>
            </w:r>
          </w:p>
        </w:tc>
        <w:tc>
          <w:tcPr>
            <w:tcW w:w="1134" w:type="dxa"/>
          </w:tcPr>
          <w:p w14:paraId="36D5764E"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17</w:t>
            </w:r>
          </w:p>
        </w:tc>
        <w:tc>
          <w:tcPr>
            <w:tcW w:w="850" w:type="dxa"/>
          </w:tcPr>
          <w:p w14:paraId="362855BE"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43</w:t>
            </w:r>
          </w:p>
        </w:tc>
      </w:tr>
      <w:tr w:rsidR="00A7521D" w:rsidRPr="00065C8D" w14:paraId="56BA6E9C" w14:textId="77777777" w:rsidTr="00A7521D">
        <w:trPr>
          <w:jc w:val="center"/>
        </w:trPr>
        <w:tc>
          <w:tcPr>
            <w:tcW w:w="2641" w:type="dxa"/>
          </w:tcPr>
          <w:p w14:paraId="5360D01A" w14:textId="77777777" w:rsidR="00A7521D" w:rsidRPr="00065C8D" w:rsidRDefault="00A7521D" w:rsidP="00A7521D">
            <w:pPr>
              <w:spacing w:after="0" w:line="240" w:lineRule="auto"/>
              <w:jc w:val="center"/>
              <w:rPr>
                <w:rFonts w:cs="Calibri"/>
                <w:color w:val="000000"/>
                <w:szCs w:val="24"/>
              </w:rPr>
            </w:pPr>
            <w:proofErr w:type="spellStart"/>
            <w:r w:rsidRPr="00065C8D">
              <w:rPr>
                <w:rFonts w:cs="Calibri"/>
                <w:color w:val="000000"/>
                <w:szCs w:val="24"/>
              </w:rPr>
              <w:t>Cowley</w:t>
            </w:r>
            <w:proofErr w:type="spellEnd"/>
            <w:r w:rsidRPr="00065C8D">
              <w:rPr>
                <w:rFonts w:cs="Calibri"/>
                <w:color w:val="000000"/>
                <w:szCs w:val="24"/>
              </w:rPr>
              <w:t xml:space="preserve"> hall</w:t>
            </w:r>
          </w:p>
        </w:tc>
        <w:tc>
          <w:tcPr>
            <w:tcW w:w="1134" w:type="dxa"/>
          </w:tcPr>
          <w:p w14:paraId="441C5A99"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1</w:t>
            </w:r>
          </w:p>
        </w:tc>
        <w:tc>
          <w:tcPr>
            <w:tcW w:w="1281" w:type="dxa"/>
          </w:tcPr>
          <w:p w14:paraId="0ECC81AB"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722</w:t>
            </w:r>
          </w:p>
        </w:tc>
        <w:tc>
          <w:tcPr>
            <w:tcW w:w="1701" w:type="dxa"/>
          </w:tcPr>
          <w:p w14:paraId="569727AE"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78</w:t>
            </w:r>
          </w:p>
        </w:tc>
        <w:tc>
          <w:tcPr>
            <w:tcW w:w="1134" w:type="dxa"/>
          </w:tcPr>
          <w:p w14:paraId="7FDA1EA4"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31</w:t>
            </w:r>
          </w:p>
        </w:tc>
        <w:tc>
          <w:tcPr>
            <w:tcW w:w="850" w:type="dxa"/>
          </w:tcPr>
          <w:p w14:paraId="6DD67103"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137</w:t>
            </w:r>
          </w:p>
        </w:tc>
      </w:tr>
      <w:tr w:rsidR="00A7521D" w:rsidRPr="00065C8D" w14:paraId="75F52EDB" w14:textId="77777777" w:rsidTr="00A7521D">
        <w:trPr>
          <w:jc w:val="center"/>
        </w:trPr>
        <w:tc>
          <w:tcPr>
            <w:tcW w:w="2641" w:type="dxa"/>
          </w:tcPr>
          <w:p w14:paraId="49322D83" w14:textId="77777777" w:rsidR="00A7521D" w:rsidRPr="00065C8D" w:rsidRDefault="00A7521D" w:rsidP="00A7521D">
            <w:pPr>
              <w:spacing w:after="0" w:line="240" w:lineRule="auto"/>
              <w:jc w:val="center"/>
              <w:rPr>
                <w:rFonts w:cs="Calibri"/>
                <w:color w:val="000000"/>
                <w:szCs w:val="24"/>
              </w:rPr>
            </w:pPr>
            <w:proofErr w:type="spellStart"/>
            <w:r w:rsidRPr="00065C8D">
              <w:rPr>
                <w:rFonts w:cs="Calibri"/>
                <w:color w:val="000000"/>
                <w:szCs w:val="24"/>
              </w:rPr>
              <w:t>Ecobat</w:t>
            </w:r>
            <w:proofErr w:type="spellEnd"/>
          </w:p>
        </w:tc>
        <w:tc>
          <w:tcPr>
            <w:tcW w:w="1134" w:type="dxa"/>
          </w:tcPr>
          <w:p w14:paraId="2508E870"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1</w:t>
            </w:r>
          </w:p>
        </w:tc>
        <w:tc>
          <w:tcPr>
            <w:tcW w:w="1281" w:type="dxa"/>
          </w:tcPr>
          <w:p w14:paraId="61C9CF1A"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441</w:t>
            </w:r>
          </w:p>
        </w:tc>
        <w:tc>
          <w:tcPr>
            <w:tcW w:w="1701" w:type="dxa"/>
          </w:tcPr>
          <w:p w14:paraId="161AFE0D"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48</w:t>
            </w:r>
          </w:p>
        </w:tc>
        <w:tc>
          <w:tcPr>
            <w:tcW w:w="1134" w:type="dxa"/>
          </w:tcPr>
          <w:p w14:paraId="2490F7E4"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19</w:t>
            </w:r>
          </w:p>
        </w:tc>
        <w:tc>
          <w:tcPr>
            <w:tcW w:w="850" w:type="dxa"/>
          </w:tcPr>
          <w:p w14:paraId="68829E06"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84</w:t>
            </w:r>
          </w:p>
        </w:tc>
      </w:tr>
      <w:tr w:rsidR="00A7521D" w:rsidRPr="00065C8D" w14:paraId="16818BBF" w14:textId="77777777" w:rsidTr="00A7521D">
        <w:trPr>
          <w:jc w:val="center"/>
        </w:trPr>
        <w:tc>
          <w:tcPr>
            <w:tcW w:w="2641" w:type="dxa"/>
          </w:tcPr>
          <w:p w14:paraId="5A13903A"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Stable block</w:t>
            </w:r>
          </w:p>
        </w:tc>
        <w:tc>
          <w:tcPr>
            <w:tcW w:w="1134" w:type="dxa"/>
          </w:tcPr>
          <w:p w14:paraId="3B90E6E6"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1</w:t>
            </w:r>
          </w:p>
        </w:tc>
        <w:tc>
          <w:tcPr>
            <w:tcW w:w="1281" w:type="dxa"/>
          </w:tcPr>
          <w:p w14:paraId="40F6D9A0"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686</w:t>
            </w:r>
          </w:p>
        </w:tc>
        <w:tc>
          <w:tcPr>
            <w:tcW w:w="1701" w:type="dxa"/>
          </w:tcPr>
          <w:p w14:paraId="5907A152"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74</w:t>
            </w:r>
          </w:p>
        </w:tc>
        <w:tc>
          <w:tcPr>
            <w:tcW w:w="1134" w:type="dxa"/>
          </w:tcPr>
          <w:p w14:paraId="14C4AA99"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29</w:t>
            </w:r>
          </w:p>
        </w:tc>
        <w:tc>
          <w:tcPr>
            <w:tcW w:w="850" w:type="dxa"/>
          </w:tcPr>
          <w:p w14:paraId="57D160F5"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130</w:t>
            </w:r>
          </w:p>
        </w:tc>
      </w:tr>
      <w:tr w:rsidR="00A7521D" w:rsidRPr="00065C8D" w14:paraId="5FE0C4C4" w14:textId="77777777" w:rsidTr="00A7521D">
        <w:trPr>
          <w:jc w:val="center"/>
        </w:trPr>
        <w:tc>
          <w:tcPr>
            <w:tcW w:w="2641" w:type="dxa"/>
            <w:tcBorders>
              <w:bottom w:val="single" w:sz="4" w:space="0" w:color="auto"/>
            </w:tcBorders>
          </w:tcPr>
          <w:p w14:paraId="02DAD1B7"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Brick stores</w:t>
            </w:r>
          </w:p>
        </w:tc>
        <w:tc>
          <w:tcPr>
            <w:tcW w:w="1134" w:type="dxa"/>
            <w:tcBorders>
              <w:bottom w:val="single" w:sz="4" w:space="0" w:color="auto"/>
            </w:tcBorders>
          </w:tcPr>
          <w:p w14:paraId="1FAC1D38"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28</w:t>
            </w:r>
          </w:p>
        </w:tc>
        <w:tc>
          <w:tcPr>
            <w:tcW w:w="1281" w:type="dxa"/>
            <w:tcBorders>
              <w:bottom w:val="single" w:sz="4" w:space="0" w:color="auto"/>
            </w:tcBorders>
          </w:tcPr>
          <w:p w14:paraId="28E9A89E"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240</w:t>
            </w:r>
          </w:p>
        </w:tc>
        <w:tc>
          <w:tcPr>
            <w:tcW w:w="1701" w:type="dxa"/>
            <w:tcBorders>
              <w:bottom w:val="single" w:sz="4" w:space="0" w:color="auto"/>
            </w:tcBorders>
          </w:tcPr>
          <w:p w14:paraId="26F67384"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33</w:t>
            </w:r>
          </w:p>
        </w:tc>
        <w:tc>
          <w:tcPr>
            <w:tcW w:w="1134" w:type="dxa"/>
            <w:tcBorders>
              <w:bottom w:val="single" w:sz="4" w:space="0" w:color="auto"/>
            </w:tcBorders>
          </w:tcPr>
          <w:p w14:paraId="57BA58AE"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4</w:t>
            </w:r>
          </w:p>
        </w:tc>
        <w:tc>
          <w:tcPr>
            <w:tcW w:w="850" w:type="dxa"/>
            <w:tcBorders>
              <w:bottom w:val="single" w:sz="4" w:space="0" w:color="auto"/>
            </w:tcBorders>
          </w:tcPr>
          <w:p w14:paraId="22E9013A" w14:textId="77777777" w:rsidR="00A7521D" w:rsidRPr="00065C8D" w:rsidRDefault="00A7521D" w:rsidP="00A7521D">
            <w:pPr>
              <w:spacing w:after="0" w:line="240" w:lineRule="auto"/>
              <w:jc w:val="center"/>
              <w:rPr>
                <w:rFonts w:cs="Calibri"/>
                <w:color w:val="000000"/>
                <w:szCs w:val="24"/>
              </w:rPr>
            </w:pPr>
            <w:r w:rsidRPr="00065C8D">
              <w:rPr>
                <w:rFonts w:cs="Calibri"/>
                <w:color w:val="000000"/>
                <w:szCs w:val="24"/>
              </w:rPr>
              <w:t>10</w:t>
            </w:r>
          </w:p>
        </w:tc>
      </w:tr>
    </w:tbl>
    <w:p w14:paraId="4CE983F8" w14:textId="77777777" w:rsidR="00A7521D" w:rsidRDefault="00A7521D" w:rsidP="00A7521D"/>
    <w:p w14:paraId="3578A918" w14:textId="77777777" w:rsidR="00A7521D" w:rsidRDefault="00A7521D" w:rsidP="00A7521D">
      <w:pPr>
        <w:pStyle w:val="Heading2"/>
      </w:pPr>
      <w:bookmarkStart w:id="996" w:name="_Toc525230054"/>
      <w:bookmarkStart w:id="997" w:name="_Ref531343911"/>
      <w:bookmarkStart w:id="998" w:name="_Ref531343941"/>
      <w:bookmarkStart w:id="999" w:name="_Toc7187602"/>
      <w:r>
        <w:t xml:space="preserve">Assumptions Made in the HJ </w:t>
      </w:r>
      <w:proofErr w:type="spellStart"/>
      <w:r>
        <w:t>Enthoven</w:t>
      </w:r>
      <w:proofErr w:type="spellEnd"/>
      <w:r>
        <w:t xml:space="preserve"> Energy Balance</w:t>
      </w:r>
      <w:bookmarkEnd w:id="996"/>
      <w:bookmarkEnd w:id="997"/>
      <w:bookmarkEnd w:id="998"/>
      <w:bookmarkEnd w:id="999"/>
    </w:p>
    <w:p w14:paraId="70FBDC0D" w14:textId="573570CC" w:rsidR="00A7521D" w:rsidRDefault="00A7521D" w:rsidP="00A7521D">
      <w:r>
        <w:t xml:space="preserve">A large number of assumptions were made during the HJE energy balancing work in section </w:t>
      </w:r>
      <w:r w:rsidR="00D82F1A">
        <w:fldChar w:fldCharType="begin"/>
      </w:r>
      <w:r w:rsidR="00D82F1A">
        <w:instrText xml:space="preserve"> REF _Ref531345326 \n \h </w:instrText>
      </w:r>
      <w:r w:rsidR="00D82F1A">
        <w:fldChar w:fldCharType="separate"/>
      </w:r>
      <w:r w:rsidR="00CB7456">
        <w:t>4.1.2</w:t>
      </w:r>
      <w:r w:rsidR="00D82F1A">
        <w:fldChar w:fldCharType="end"/>
      </w:r>
      <w:r>
        <w:t>. The assumptions that were made are shown below:</w:t>
      </w:r>
    </w:p>
    <w:p w14:paraId="0935D2DD" w14:textId="77777777" w:rsidR="00A7521D" w:rsidRDefault="00A7521D" w:rsidP="00A7521D">
      <w:pPr>
        <w:pStyle w:val="ListParagraph"/>
        <w:numPr>
          <w:ilvl w:val="0"/>
          <w:numId w:val="3"/>
        </w:numPr>
      </w:pPr>
      <w:r>
        <w:t>The compositions of all water and air streams could be assumed to be the same.</w:t>
      </w:r>
    </w:p>
    <w:p w14:paraId="70E730BD" w14:textId="77777777" w:rsidR="00A7521D" w:rsidRDefault="00A7521D" w:rsidP="00A7521D">
      <w:pPr>
        <w:pStyle w:val="ListParagraph"/>
        <w:numPr>
          <w:ilvl w:val="0"/>
          <w:numId w:val="3"/>
        </w:numPr>
      </w:pPr>
      <w:r>
        <w:lastRenderedPageBreak/>
        <w:t>The composition of each major stream in the flue gas treatment process could be assumed based on the knowledge of what occurs during the process.</w:t>
      </w:r>
    </w:p>
    <w:p w14:paraId="7045B54C" w14:textId="77777777" w:rsidR="00A7521D" w:rsidRDefault="00A7521D" w:rsidP="00A7521D">
      <w:pPr>
        <w:pStyle w:val="ListParagraph"/>
        <w:numPr>
          <w:ilvl w:val="0"/>
          <w:numId w:val="3"/>
        </w:numPr>
      </w:pPr>
      <w:r>
        <w:t>HJE kept accurate records of the changing temperatures of all streams entering the major processes.</w:t>
      </w:r>
    </w:p>
    <w:p w14:paraId="3D492184" w14:textId="77777777" w:rsidR="00A7521D" w:rsidRDefault="00A7521D" w:rsidP="00A7521D">
      <w:pPr>
        <w:pStyle w:val="ListParagraph"/>
        <w:numPr>
          <w:ilvl w:val="0"/>
          <w:numId w:val="3"/>
        </w:numPr>
      </w:pPr>
      <w:r>
        <w:t>Some of the process could be ignored and removed from the mass and energy balancing work, including:</w:t>
      </w:r>
    </w:p>
    <w:p w14:paraId="39979700" w14:textId="77777777" w:rsidR="00A7521D" w:rsidRDefault="00A7521D" w:rsidP="00A7521D">
      <w:pPr>
        <w:pStyle w:val="ListParagraph"/>
        <w:numPr>
          <w:ilvl w:val="1"/>
          <w:numId w:val="3"/>
        </w:numPr>
        <w:spacing w:after="160" w:line="259" w:lineRule="auto"/>
        <w:jc w:val="left"/>
      </w:pPr>
      <w:r>
        <w:t>The emergency water tanks.</w:t>
      </w:r>
    </w:p>
    <w:p w14:paraId="0788B0DF" w14:textId="77777777" w:rsidR="00A7521D" w:rsidRDefault="00A7521D" w:rsidP="00A7521D">
      <w:pPr>
        <w:pStyle w:val="ListParagraph"/>
        <w:numPr>
          <w:ilvl w:val="1"/>
          <w:numId w:val="3"/>
        </w:numPr>
        <w:spacing w:after="160" w:line="259" w:lineRule="auto"/>
        <w:jc w:val="left"/>
      </w:pPr>
      <w:r>
        <w:t>The water softener.</w:t>
      </w:r>
    </w:p>
    <w:p w14:paraId="21F614A2" w14:textId="77777777" w:rsidR="00A7521D" w:rsidRDefault="00A7521D" w:rsidP="00A7521D">
      <w:pPr>
        <w:pStyle w:val="ListParagraph"/>
        <w:numPr>
          <w:ilvl w:val="1"/>
          <w:numId w:val="3"/>
        </w:numPr>
        <w:spacing w:after="160" w:line="259" w:lineRule="auto"/>
        <w:jc w:val="left"/>
      </w:pPr>
      <w:r>
        <w:t>The drains.</w:t>
      </w:r>
    </w:p>
    <w:p w14:paraId="78825879" w14:textId="77777777" w:rsidR="00A7521D" w:rsidRDefault="00A7521D" w:rsidP="00A7521D">
      <w:pPr>
        <w:pStyle w:val="ListParagraph"/>
        <w:numPr>
          <w:ilvl w:val="0"/>
          <w:numId w:val="4"/>
        </w:numPr>
      </w:pPr>
      <w:r>
        <w:t>Some of the streams between processes could be ignored and removed from the mass and energy balancing work, including:</w:t>
      </w:r>
    </w:p>
    <w:p w14:paraId="3B89210E" w14:textId="77777777" w:rsidR="00A7521D" w:rsidRDefault="00A7521D" w:rsidP="00A7521D">
      <w:pPr>
        <w:pStyle w:val="ListParagraph"/>
        <w:numPr>
          <w:ilvl w:val="1"/>
          <w:numId w:val="4"/>
        </w:numPr>
        <w:spacing w:after="160" w:line="259" w:lineRule="auto"/>
        <w:jc w:val="left"/>
      </w:pPr>
      <w:r>
        <w:t xml:space="preserve">The streams from the reverberatory furnace to the hoods, the plenum, the lead tap hood, and the </w:t>
      </w:r>
      <w:proofErr w:type="spellStart"/>
      <w:r>
        <w:t>bagfilter</w:t>
      </w:r>
      <w:proofErr w:type="spellEnd"/>
      <w:r>
        <w:t>.</w:t>
      </w:r>
    </w:p>
    <w:p w14:paraId="16C5DCBF" w14:textId="77777777" w:rsidR="00A7521D" w:rsidRDefault="00A7521D" w:rsidP="00A7521D">
      <w:pPr>
        <w:pStyle w:val="ListParagraph"/>
        <w:numPr>
          <w:ilvl w:val="1"/>
          <w:numId w:val="4"/>
        </w:numPr>
        <w:spacing w:after="160" w:line="259" w:lineRule="auto"/>
        <w:jc w:val="left"/>
      </w:pPr>
      <w:r>
        <w:t>The stream from the PCC to the plenum.</w:t>
      </w:r>
    </w:p>
    <w:p w14:paraId="3FB249E1" w14:textId="77777777" w:rsidR="00A7521D" w:rsidRDefault="00A7521D" w:rsidP="00A7521D">
      <w:pPr>
        <w:pStyle w:val="ListParagraph"/>
        <w:numPr>
          <w:ilvl w:val="1"/>
          <w:numId w:val="4"/>
        </w:numPr>
        <w:spacing w:after="160" w:line="259" w:lineRule="auto"/>
        <w:jc w:val="left"/>
      </w:pPr>
      <w:r>
        <w:t>The streams from the furnace hoods and the air from buildings to the plenum.</w:t>
      </w:r>
    </w:p>
    <w:p w14:paraId="35C902F2" w14:textId="77777777" w:rsidR="00A7521D" w:rsidRDefault="00A7521D" w:rsidP="00A7521D">
      <w:pPr>
        <w:pStyle w:val="ListParagraph"/>
        <w:numPr>
          <w:ilvl w:val="1"/>
          <w:numId w:val="4"/>
        </w:numPr>
        <w:spacing w:after="160" w:line="259" w:lineRule="auto"/>
        <w:jc w:val="left"/>
      </w:pPr>
      <w:r>
        <w:t>The streams from the plenum to the fume conveyor and the reverberatory furnace.</w:t>
      </w:r>
    </w:p>
    <w:p w14:paraId="7B82DF51" w14:textId="77777777" w:rsidR="00A7521D" w:rsidRDefault="00A7521D" w:rsidP="00A7521D">
      <w:pPr>
        <w:pStyle w:val="ListParagraph"/>
        <w:numPr>
          <w:ilvl w:val="1"/>
          <w:numId w:val="4"/>
        </w:numPr>
        <w:spacing w:after="160" w:line="259" w:lineRule="auto"/>
        <w:jc w:val="left"/>
      </w:pPr>
      <w:r>
        <w:t>The stream from the pressure tank to the FF.</w:t>
      </w:r>
    </w:p>
    <w:p w14:paraId="66BE2BB9" w14:textId="77777777" w:rsidR="00A7521D" w:rsidRDefault="00A7521D" w:rsidP="00A7521D">
      <w:pPr>
        <w:pStyle w:val="ListParagraph"/>
        <w:numPr>
          <w:ilvl w:val="1"/>
          <w:numId w:val="4"/>
        </w:numPr>
        <w:spacing w:after="160" w:line="259" w:lineRule="auto"/>
        <w:jc w:val="left"/>
      </w:pPr>
      <w:r>
        <w:t xml:space="preserve">The stream from the </w:t>
      </w:r>
      <w:proofErr w:type="spellStart"/>
      <w:r>
        <w:t>flowpac</w:t>
      </w:r>
      <w:proofErr w:type="spellEnd"/>
      <w:r>
        <w:t xml:space="preserve"> to the belt filter.</w:t>
      </w:r>
    </w:p>
    <w:p w14:paraId="28A03771" w14:textId="77777777" w:rsidR="00A7521D" w:rsidRDefault="00A7521D" w:rsidP="00A7521D">
      <w:pPr>
        <w:pStyle w:val="ListParagraph"/>
        <w:numPr>
          <w:ilvl w:val="1"/>
          <w:numId w:val="4"/>
        </w:numPr>
        <w:spacing w:after="160" w:line="259" w:lineRule="auto"/>
        <w:jc w:val="left"/>
      </w:pPr>
      <w:r>
        <w:t>The stream from the cooling tower to the recirculation loops.</w:t>
      </w:r>
    </w:p>
    <w:p w14:paraId="257BBEB9" w14:textId="77777777" w:rsidR="00A7521D" w:rsidRDefault="00A7521D" w:rsidP="00A7521D">
      <w:pPr>
        <w:pStyle w:val="ListParagraph"/>
        <w:numPr>
          <w:ilvl w:val="1"/>
          <w:numId w:val="4"/>
        </w:numPr>
        <w:spacing w:after="160" w:line="259" w:lineRule="auto"/>
        <w:jc w:val="left"/>
      </w:pPr>
      <w:r>
        <w:t>The stream from the flue gas condenser to the cooling tower two.</w:t>
      </w:r>
    </w:p>
    <w:p w14:paraId="17507C6D" w14:textId="77777777" w:rsidR="00A7521D" w:rsidRDefault="00A7521D" w:rsidP="00A7521D">
      <w:pPr>
        <w:pStyle w:val="ListParagraph"/>
        <w:numPr>
          <w:ilvl w:val="1"/>
          <w:numId w:val="4"/>
        </w:numPr>
        <w:spacing w:after="160" w:line="259" w:lineRule="auto"/>
        <w:jc w:val="left"/>
      </w:pPr>
      <w:r>
        <w:t xml:space="preserve">The </w:t>
      </w:r>
      <w:proofErr w:type="spellStart"/>
      <w:r>
        <w:t>flowpac</w:t>
      </w:r>
      <w:proofErr w:type="spellEnd"/>
      <w:r>
        <w:t xml:space="preserve"> recirculation streams.</w:t>
      </w:r>
    </w:p>
    <w:p w14:paraId="05C22470" w14:textId="43CA0A62" w:rsidR="00A7521D" w:rsidRDefault="00A7521D" w:rsidP="00A7521D">
      <w:pPr>
        <w:pStyle w:val="ListParagraph"/>
        <w:numPr>
          <w:ilvl w:val="1"/>
          <w:numId w:val="4"/>
        </w:numPr>
        <w:spacing w:after="160" w:line="259" w:lineRule="auto"/>
        <w:jc w:val="left"/>
      </w:pPr>
      <w:r>
        <w:t xml:space="preserve">The air addition streams between the </w:t>
      </w:r>
      <w:r w:rsidR="00EF11BA">
        <w:t>CT</w:t>
      </w:r>
      <w:r>
        <w:t xml:space="preserve"> and lower plenum.</w:t>
      </w:r>
    </w:p>
    <w:p w14:paraId="03FC9111" w14:textId="77777777" w:rsidR="00A7521D" w:rsidRDefault="00A7521D" w:rsidP="00A7521D">
      <w:pPr>
        <w:pStyle w:val="ListParagraph"/>
        <w:numPr>
          <w:ilvl w:val="0"/>
          <w:numId w:val="4"/>
        </w:numPr>
      </w:pPr>
      <w:r>
        <w:t>The outputs of lead and sinter streams in the reverberatory furnace were proportional to the infeed of lead stream to the reverberatory furnace.</w:t>
      </w:r>
    </w:p>
    <w:p w14:paraId="0B55EB62" w14:textId="77777777" w:rsidR="00A7521D" w:rsidRDefault="00A7521D" w:rsidP="00A7521D">
      <w:pPr>
        <w:pStyle w:val="ListParagraph"/>
        <w:numPr>
          <w:ilvl w:val="0"/>
          <w:numId w:val="4"/>
        </w:numPr>
      </w:pPr>
      <w:r>
        <w:t>The mass flowrate streams into and out of the infeed process were equal.</w:t>
      </w:r>
    </w:p>
    <w:p w14:paraId="7A33B689" w14:textId="77777777" w:rsidR="00A7521D" w:rsidRDefault="00A7521D" w:rsidP="00A7521D">
      <w:pPr>
        <w:pStyle w:val="ListParagraph"/>
        <w:numPr>
          <w:ilvl w:val="0"/>
          <w:numId w:val="4"/>
        </w:numPr>
      </w:pPr>
      <w:r>
        <w:t>There were no leaks in any of the pipes in the HJE site.</w:t>
      </w:r>
    </w:p>
    <w:p w14:paraId="2CEE9EDB" w14:textId="77777777" w:rsidR="00A7521D" w:rsidRDefault="00A7521D" w:rsidP="00A7521D">
      <w:pPr>
        <w:pStyle w:val="ListParagraph"/>
        <w:numPr>
          <w:ilvl w:val="0"/>
          <w:numId w:val="4"/>
        </w:numPr>
      </w:pPr>
      <w:r>
        <w:t>There were no temperature, composition or flowrate changes in any of the pipes in the HJE site.</w:t>
      </w:r>
    </w:p>
    <w:p w14:paraId="5950FF6A" w14:textId="77777777" w:rsidR="00A7521D" w:rsidRDefault="00A7521D" w:rsidP="00A7521D">
      <w:pPr>
        <w:pStyle w:val="ListParagraph"/>
        <w:numPr>
          <w:ilvl w:val="0"/>
          <w:numId w:val="4"/>
        </w:numPr>
      </w:pPr>
      <w:r>
        <w:t>The following assumptions applied to the reverberatory furnace:</w:t>
      </w:r>
    </w:p>
    <w:p w14:paraId="136366C5" w14:textId="77777777" w:rsidR="00A7521D" w:rsidRDefault="00A7521D" w:rsidP="00A7521D">
      <w:pPr>
        <w:pStyle w:val="ListParagraph"/>
        <w:numPr>
          <w:ilvl w:val="1"/>
          <w:numId w:val="4"/>
        </w:numPr>
      </w:pPr>
      <w:r>
        <w:t>For the furnace feed stream:</w:t>
      </w:r>
    </w:p>
    <w:p w14:paraId="676A3E33" w14:textId="77777777" w:rsidR="00A7521D" w:rsidRDefault="00A7521D" w:rsidP="00A7521D">
      <w:pPr>
        <w:pStyle w:val="ListParagraph"/>
        <w:numPr>
          <w:ilvl w:val="2"/>
          <w:numId w:val="4"/>
        </w:numPr>
      </w:pPr>
      <w:r>
        <w:t>The temperature was 120 °C and the flowrate was 20 t/hr.</w:t>
      </w:r>
    </w:p>
    <w:p w14:paraId="71E111ED" w14:textId="77777777" w:rsidR="00A7521D" w:rsidRDefault="00A7521D" w:rsidP="00A7521D">
      <w:pPr>
        <w:pStyle w:val="ListParagraph"/>
        <w:numPr>
          <w:ilvl w:val="2"/>
          <w:numId w:val="4"/>
        </w:numPr>
      </w:pPr>
      <w:r>
        <w:t>All of the metallic elements in the stream were pure lead.</w:t>
      </w:r>
    </w:p>
    <w:p w14:paraId="6279A469" w14:textId="77777777" w:rsidR="00A7521D" w:rsidRDefault="00A7521D" w:rsidP="00A7521D">
      <w:pPr>
        <w:pStyle w:val="ListParagraph"/>
        <w:numPr>
          <w:ilvl w:val="1"/>
          <w:numId w:val="4"/>
        </w:numPr>
      </w:pPr>
      <w:r>
        <w:t>For the PCC output:</w:t>
      </w:r>
    </w:p>
    <w:p w14:paraId="6FA53EF6" w14:textId="77777777" w:rsidR="00A7521D" w:rsidRDefault="00A7521D" w:rsidP="00A7521D">
      <w:pPr>
        <w:pStyle w:val="ListParagraph"/>
        <w:numPr>
          <w:ilvl w:val="2"/>
          <w:numId w:val="4"/>
        </w:numPr>
      </w:pPr>
      <w:r>
        <w:t>The temperature was 1,100 °C.</w:t>
      </w:r>
    </w:p>
    <w:p w14:paraId="316D5602" w14:textId="77777777" w:rsidR="00A7521D" w:rsidRDefault="00A7521D" w:rsidP="00A7521D">
      <w:pPr>
        <w:pStyle w:val="ListParagraph"/>
        <w:numPr>
          <w:ilvl w:val="1"/>
          <w:numId w:val="4"/>
        </w:numPr>
      </w:pPr>
      <w:r>
        <w:t>For the lead output:</w:t>
      </w:r>
    </w:p>
    <w:p w14:paraId="4A896145" w14:textId="77777777" w:rsidR="00A7521D" w:rsidRDefault="00A7521D" w:rsidP="00A7521D">
      <w:pPr>
        <w:pStyle w:val="ListParagraph"/>
        <w:numPr>
          <w:ilvl w:val="2"/>
          <w:numId w:val="4"/>
        </w:numPr>
      </w:pPr>
      <w:r>
        <w:t>The stream composition was pure lead.</w:t>
      </w:r>
    </w:p>
    <w:p w14:paraId="1365660A" w14:textId="77777777" w:rsidR="00A7521D" w:rsidRDefault="00A7521D" w:rsidP="00A7521D">
      <w:pPr>
        <w:pStyle w:val="ListParagraph"/>
        <w:numPr>
          <w:ilvl w:val="2"/>
          <w:numId w:val="4"/>
        </w:numPr>
      </w:pPr>
      <w:r>
        <w:t>The temperature was 580 °C.</w:t>
      </w:r>
    </w:p>
    <w:p w14:paraId="34085C89" w14:textId="77777777" w:rsidR="00A7521D" w:rsidRDefault="00A7521D" w:rsidP="00A7521D">
      <w:pPr>
        <w:pStyle w:val="ListParagraph"/>
        <w:numPr>
          <w:ilvl w:val="0"/>
          <w:numId w:val="4"/>
        </w:numPr>
      </w:pPr>
      <w:r>
        <w:t>The following assumptions apply to the CT and plenum:</w:t>
      </w:r>
    </w:p>
    <w:p w14:paraId="3FD2B183" w14:textId="77777777" w:rsidR="00A7521D" w:rsidRDefault="00A7521D" w:rsidP="00A7521D">
      <w:pPr>
        <w:pStyle w:val="ListParagraph"/>
        <w:numPr>
          <w:ilvl w:val="1"/>
          <w:numId w:val="4"/>
        </w:numPr>
      </w:pPr>
      <w:r>
        <w:t>The temperature was equal to the outside ambient temperature.</w:t>
      </w:r>
    </w:p>
    <w:p w14:paraId="10F0BBD8" w14:textId="77777777" w:rsidR="00A7521D" w:rsidRDefault="00A7521D" w:rsidP="00A7521D">
      <w:pPr>
        <w:pStyle w:val="ListParagraph"/>
        <w:numPr>
          <w:ilvl w:val="1"/>
          <w:numId w:val="4"/>
        </w:numPr>
      </w:pPr>
      <w:r>
        <w:t>The input stream to the furnace feed was negligible and could be</w:t>
      </w:r>
      <w:r w:rsidRPr="000D18CB">
        <w:t xml:space="preserve"> </w:t>
      </w:r>
      <w:r>
        <w:t>ignored and removed from the mass and energy balancing work.</w:t>
      </w:r>
    </w:p>
    <w:p w14:paraId="7E630B5B" w14:textId="77777777" w:rsidR="00A7521D" w:rsidRDefault="00A7521D" w:rsidP="00A7521D">
      <w:pPr>
        <w:pStyle w:val="ListParagraph"/>
        <w:numPr>
          <w:ilvl w:val="0"/>
          <w:numId w:val="4"/>
        </w:numPr>
      </w:pPr>
      <w:r>
        <w:t>The following assumptions apply to the FF:</w:t>
      </w:r>
    </w:p>
    <w:p w14:paraId="38B7A39C" w14:textId="77777777" w:rsidR="00A7521D" w:rsidRDefault="00A7521D" w:rsidP="00A7521D">
      <w:pPr>
        <w:pStyle w:val="ListParagraph"/>
        <w:numPr>
          <w:ilvl w:val="1"/>
          <w:numId w:val="4"/>
        </w:numPr>
      </w:pPr>
      <w:r>
        <w:t>The mass flowrate of fume conveyor input was 1 t/hr.</w:t>
      </w:r>
    </w:p>
    <w:p w14:paraId="780C73C1" w14:textId="77777777" w:rsidR="00A7521D" w:rsidRDefault="00A7521D" w:rsidP="00A7521D">
      <w:pPr>
        <w:pStyle w:val="ListParagraph"/>
        <w:numPr>
          <w:ilvl w:val="0"/>
          <w:numId w:val="4"/>
        </w:numPr>
      </w:pPr>
      <w:r>
        <w:lastRenderedPageBreak/>
        <w:t xml:space="preserve">The following assumptions apply to the </w:t>
      </w:r>
      <w:proofErr w:type="spellStart"/>
      <w:r>
        <w:t>flowpac</w:t>
      </w:r>
      <w:proofErr w:type="spellEnd"/>
      <w:r>
        <w:t>:</w:t>
      </w:r>
    </w:p>
    <w:p w14:paraId="10C1BC63" w14:textId="77777777" w:rsidR="00A7521D" w:rsidRDefault="00A7521D" w:rsidP="00A7521D">
      <w:pPr>
        <w:pStyle w:val="ListParagraph"/>
        <w:numPr>
          <w:ilvl w:val="1"/>
          <w:numId w:val="4"/>
        </w:numPr>
        <w:spacing w:after="160" w:line="259" w:lineRule="auto"/>
        <w:jc w:val="left"/>
      </w:pPr>
      <w:r>
        <w:t xml:space="preserve">Equations of the processes that occur in the </w:t>
      </w:r>
      <w:proofErr w:type="spellStart"/>
      <w:r>
        <w:t>flowpac</w:t>
      </w:r>
      <w:proofErr w:type="spellEnd"/>
      <w:r>
        <w:t xml:space="preserve"> could be used to determine:</w:t>
      </w:r>
    </w:p>
    <w:p w14:paraId="7364CC72" w14:textId="77777777" w:rsidR="00A7521D" w:rsidRDefault="00A7521D" w:rsidP="00A7521D">
      <w:pPr>
        <w:pStyle w:val="ListParagraph"/>
        <w:numPr>
          <w:ilvl w:val="2"/>
          <w:numId w:val="4"/>
        </w:numPr>
        <w:spacing w:after="160" w:line="259" w:lineRule="auto"/>
        <w:jc w:val="left"/>
      </w:pPr>
      <w:r>
        <w:t>The temperature, pressure, level, and differential pressure levels of the various input and output streams.</w:t>
      </w:r>
    </w:p>
    <w:p w14:paraId="7D04313D" w14:textId="77777777" w:rsidR="00A7521D" w:rsidRDefault="00A7521D" w:rsidP="00A7521D">
      <w:pPr>
        <w:pStyle w:val="ListParagraph"/>
        <w:numPr>
          <w:ilvl w:val="1"/>
          <w:numId w:val="4"/>
        </w:numPr>
        <w:spacing w:after="160" w:line="259" w:lineRule="auto"/>
        <w:jc w:val="left"/>
      </w:pPr>
      <w:r>
        <w:t xml:space="preserve">All of the temperatures into and out of </w:t>
      </w:r>
      <w:proofErr w:type="spellStart"/>
      <w:r>
        <w:t>flowpac</w:t>
      </w:r>
      <w:proofErr w:type="spellEnd"/>
      <w:r>
        <w:t xml:space="preserve"> were known by HJE and recorded.</w:t>
      </w:r>
    </w:p>
    <w:p w14:paraId="24E1ECDE" w14:textId="26CDEDD1" w:rsidR="00A7521D" w:rsidRDefault="00A7521D" w:rsidP="00A7521D">
      <w:pPr>
        <w:pStyle w:val="ListParagraph"/>
        <w:numPr>
          <w:ilvl w:val="1"/>
          <w:numId w:val="4"/>
        </w:numPr>
        <w:spacing w:after="160" w:line="259" w:lineRule="auto"/>
        <w:jc w:val="left"/>
      </w:pPr>
      <w:r>
        <w:t xml:space="preserve">The level in the revision tank was known by </w:t>
      </w:r>
      <w:r w:rsidR="00080B98">
        <w:t>HJE</w:t>
      </w:r>
      <w:r>
        <w:t xml:space="preserve"> and recorded.</w:t>
      </w:r>
    </w:p>
    <w:p w14:paraId="0A48D64C" w14:textId="77777777" w:rsidR="00A7521D" w:rsidRDefault="00A7521D" w:rsidP="00A7521D">
      <w:pPr>
        <w:pStyle w:val="ListParagraph"/>
        <w:numPr>
          <w:ilvl w:val="1"/>
          <w:numId w:val="4"/>
        </w:numPr>
        <w:spacing w:after="160" w:line="259" w:lineRule="auto"/>
        <w:jc w:val="left"/>
      </w:pPr>
      <w:r>
        <w:t xml:space="preserve">The volume of the sump tank was constant. </w:t>
      </w:r>
    </w:p>
    <w:p w14:paraId="2751C653" w14:textId="77777777" w:rsidR="00A7521D" w:rsidRDefault="00A7521D" w:rsidP="00A7521D">
      <w:pPr>
        <w:pStyle w:val="ListParagraph"/>
        <w:numPr>
          <w:ilvl w:val="1"/>
          <w:numId w:val="4"/>
        </w:numPr>
        <w:spacing w:after="160" w:line="259" w:lineRule="auto"/>
        <w:jc w:val="left"/>
      </w:pPr>
      <w:r>
        <w:t>The flowrate of the streams from sump tank to effluent treatment plant was known</w:t>
      </w:r>
      <w:r w:rsidRPr="00191687">
        <w:t xml:space="preserve"> </w:t>
      </w:r>
      <w:r>
        <w:t>by HJE and recorded.</w:t>
      </w:r>
    </w:p>
    <w:p w14:paraId="07323825" w14:textId="77777777" w:rsidR="00A7521D" w:rsidRDefault="00A7521D" w:rsidP="00A7521D">
      <w:pPr>
        <w:pStyle w:val="ListParagraph"/>
        <w:numPr>
          <w:ilvl w:val="1"/>
          <w:numId w:val="4"/>
        </w:numPr>
        <w:spacing w:after="160" w:line="259" w:lineRule="auto"/>
        <w:jc w:val="left"/>
      </w:pPr>
      <w:r>
        <w:t xml:space="preserve">The compositions of the lime </w:t>
      </w:r>
      <w:proofErr w:type="spellStart"/>
      <w:r>
        <w:t>slaker</w:t>
      </w:r>
      <w:proofErr w:type="spellEnd"/>
      <w:r>
        <w:t xml:space="preserve"> and the lime milk streams condenser were known by HJE and recorded.</w:t>
      </w:r>
    </w:p>
    <w:p w14:paraId="2CA09CB0" w14:textId="77777777" w:rsidR="00A7521D" w:rsidRDefault="00A7521D" w:rsidP="00A7521D">
      <w:pPr>
        <w:pStyle w:val="ListParagraph"/>
        <w:numPr>
          <w:ilvl w:val="0"/>
          <w:numId w:val="4"/>
        </w:numPr>
      </w:pPr>
      <w:r>
        <w:t>The following assumptions applied to the warm water tank:</w:t>
      </w:r>
    </w:p>
    <w:p w14:paraId="28A7DD16" w14:textId="77777777" w:rsidR="00A7521D" w:rsidRDefault="00A7521D" w:rsidP="00A7521D">
      <w:pPr>
        <w:pStyle w:val="ListParagraph"/>
        <w:numPr>
          <w:ilvl w:val="1"/>
          <w:numId w:val="4"/>
        </w:numPr>
      </w:pPr>
      <w:r>
        <w:t>The temperature of the output stream was 38 °C.</w:t>
      </w:r>
    </w:p>
    <w:p w14:paraId="4AD963F7" w14:textId="77777777" w:rsidR="00A7521D" w:rsidRDefault="00A7521D" w:rsidP="00A7521D">
      <w:pPr>
        <w:pStyle w:val="ListParagraph"/>
        <w:numPr>
          <w:ilvl w:val="0"/>
          <w:numId w:val="4"/>
        </w:numPr>
      </w:pPr>
      <w:r>
        <w:t>The following assumptions applied to the cooling towers:</w:t>
      </w:r>
    </w:p>
    <w:p w14:paraId="10DCE5CE" w14:textId="77777777" w:rsidR="00A7521D" w:rsidRDefault="00A7521D" w:rsidP="00A7521D">
      <w:pPr>
        <w:pStyle w:val="ListParagraph"/>
        <w:numPr>
          <w:ilvl w:val="1"/>
          <w:numId w:val="4"/>
        </w:numPr>
      </w:pPr>
      <w:r>
        <w:t>The temperature of the input stream was 95 °C.</w:t>
      </w:r>
    </w:p>
    <w:p w14:paraId="0568D8F8" w14:textId="77777777" w:rsidR="00A7521D" w:rsidRDefault="00A7521D" w:rsidP="00A7521D">
      <w:pPr>
        <w:pStyle w:val="ListParagraph"/>
        <w:numPr>
          <w:ilvl w:val="1"/>
          <w:numId w:val="4"/>
        </w:numPr>
      </w:pPr>
      <w:r>
        <w:t>The temperature of the output stream was 38 °C.</w:t>
      </w:r>
    </w:p>
    <w:p w14:paraId="2258605C" w14:textId="309B6ADF" w:rsidR="00A7521D" w:rsidRDefault="00A7521D" w:rsidP="00A7521D">
      <w:pPr>
        <w:pStyle w:val="ListParagraph"/>
        <w:numPr>
          <w:ilvl w:val="0"/>
          <w:numId w:val="4"/>
        </w:numPr>
      </w:pPr>
      <w:r>
        <w:t xml:space="preserve">The following assumptions applied to the </w:t>
      </w:r>
      <w:r w:rsidR="00EF11BA">
        <w:t>CTs</w:t>
      </w:r>
      <w:r>
        <w:t>:</w:t>
      </w:r>
    </w:p>
    <w:p w14:paraId="33758117" w14:textId="77777777" w:rsidR="00A7521D" w:rsidRPr="009F6149" w:rsidRDefault="00A7521D" w:rsidP="00A7521D">
      <w:pPr>
        <w:pStyle w:val="ListParagraph"/>
        <w:numPr>
          <w:ilvl w:val="1"/>
          <w:numId w:val="4"/>
        </w:numPr>
      </w:pPr>
      <w:r>
        <w:t>The temperature of the sonic spray water streams was 10 °C.</w:t>
      </w:r>
    </w:p>
    <w:p w14:paraId="3DE616C3" w14:textId="77777777" w:rsidR="00A7521D" w:rsidRDefault="00A7521D" w:rsidP="00A7521D">
      <w:pPr>
        <w:pStyle w:val="Heading2"/>
      </w:pPr>
      <w:bookmarkStart w:id="1000" w:name="_Toc525230055"/>
      <w:bookmarkStart w:id="1001" w:name="_Ref531343958"/>
      <w:bookmarkStart w:id="1002" w:name="_Ref531343991"/>
      <w:bookmarkStart w:id="1003" w:name="_Toc7187603"/>
      <w:r>
        <w:t>Double Pipe Heat Exchanger Equations</w:t>
      </w:r>
      <w:bookmarkEnd w:id="1000"/>
      <w:bookmarkEnd w:id="1001"/>
      <w:bookmarkEnd w:id="1002"/>
      <w:bookmarkEnd w:id="1003"/>
    </w:p>
    <w:p w14:paraId="3F0414A7" w14:textId="68168F9A" w:rsidR="00A7521D" w:rsidRDefault="00A7521D" w:rsidP="00A7521D">
      <w:r>
        <w:t xml:space="preserve">The equations used in the modelling of the HEX-DP, as calculated in section </w:t>
      </w:r>
      <w:r w:rsidR="00D82F1A">
        <w:fldChar w:fldCharType="begin"/>
      </w:r>
      <w:r w:rsidR="00D82F1A">
        <w:instrText xml:space="preserve"> REF _Ref531345356 \n \h </w:instrText>
      </w:r>
      <w:r w:rsidR="00D82F1A">
        <w:fldChar w:fldCharType="separate"/>
      </w:r>
      <w:r w:rsidR="00CB7456">
        <w:t>5.1.1.1</w:t>
      </w:r>
      <w:r w:rsidR="00D82F1A">
        <w:fldChar w:fldCharType="end"/>
      </w:r>
      <w:r>
        <w:t xml:space="preserve"> are shown below. All equations came from Coulson and Richardson's Chemical Engineering Volume 6 - Chemical Engineering Design </w:t>
      </w:r>
      <w:r>
        <w:fldChar w:fldCharType="begin" w:fldLock="1"/>
      </w:r>
      <w:r w:rsidR="002A6A73">
        <w:instrText>ADDIN CSL_CITATION {"citationItems":[{"id":"ITEM-1","itemData":{"ISBN":"978-0-7506-6538-4","author":[{"dropping-particle":"","family":"Sinnott","given":"R.K.","non-dropping-particle":"","parse-names":false,"suffix":""}],"edition":"4","id":"ITEM-1","issued":{"date-parts":[["2005"]]},"number-of-pages":"60 - 132","publisher":"Elsevier","publisher-place":"Oxford, England","title":"Coulson and Richardson's Chemical Engineering Volume 6 - Chemical Engineering Design","type":"book"},"uris":["http://www.mendeley.com/documents/?uuid=8e00b24b-1ea1-4b70-9865-3b5bcae659ed"]}],"mendeley":{"formattedCitation":"(Sinnott, 2005b)","plainTextFormattedCitation":"(Sinnott, 2005b)","previouslyFormattedCitation":"(Sinnott, 2005b)"},"properties":{"noteIndex":0},"schema":"https://github.com/citation-style-language/schema/raw/master/csl-citation.json"}</w:instrText>
      </w:r>
      <w:r>
        <w:fldChar w:fldCharType="separate"/>
      </w:r>
      <w:r w:rsidR="002A6A73" w:rsidRPr="002A6A73">
        <w:rPr>
          <w:noProof/>
        </w:rPr>
        <w:t>(Sinnott, 2005b)</w:t>
      </w:r>
      <w:r>
        <w:fldChar w:fldCharType="end"/>
      </w:r>
      <w: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37"/>
        <w:gridCol w:w="239"/>
        <w:gridCol w:w="822"/>
      </w:tblGrid>
      <w:tr w:rsidR="00A7521D" w14:paraId="51688562" w14:textId="77777777" w:rsidTr="00A7521D">
        <w:tc>
          <w:tcPr>
            <w:tcW w:w="7137" w:type="dxa"/>
            <w:hideMark/>
          </w:tcPr>
          <w:p w14:paraId="1A990E08" w14:textId="3C8CB5B4" w:rsidR="00A7521D" w:rsidRDefault="00A7521D" w:rsidP="00A7521D">
            <w:pPr>
              <w:keepNext/>
              <w:rPr>
                <w:color w:val="FFFFFF"/>
              </w:rPr>
            </w:pPr>
            <m:oMathPara>
              <m:oMathParaPr>
                <m:jc m:val="left"/>
              </m:oMathParaPr>
              <m:oMath>
                <m:r>
                  <w:rPr>
                    <w:rFonts w:ascii="Cambria Math" w:hAnsi="Cambria Math"/>
                  </w:rPr>
                  <m:t>R=</m:t>
                </m:r>
                <m:f>
                  <m:fPr>
                    <m:ctrlPr>
                      <w:rPr>
                        <w:rFonts w:ascii="Cambria Math" w:hAnsi="Cambria Math"/>
                        <w:i/>
                      </w:rPr>
                    </m:ctrlPr>
                  </m:fPr>
                  <m:num>
                    <m:sSub>
                      <m:sSubPr>
                        <m:ctrlPr>
                          <w:rPr>
                            <w:rFonts w:ascii="Cambria Math" w:hAnsi="Cambria Math"/>
                            <w:i/>
                          </w:rPr>
                        </m:ctrlPr>
                      </m:sSubPr>
                      <m:e>
                        <m:r>
                          <w:rPr>
                            <w:rFonts w:ascii="Cambria Math" w:hAnsi="Cambria Math"/>
                          </w:rPr>
                          <m:t>T</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2</m:t>
                        </m:r>
                      </m:sub>
                    </m:sSub>
                  </m:num>
                  <m:den>
                    <m:sSub>
                      <m:sSubPr>
                        <m:ctrlPr>
                          <w:rPr>
                            <w:rFonts w:ascii="Cambria Math" w:hAnsi="Cambria Math"/>
                            <w:i/>
                          </w:rPr>
                        </m:ctrlPr>
                      </m:sSubPr>
                      <m:e>
                        <m:r>
                          <w:rPr>
                            <w:rFonts w:ascii="Cambria Math" w:hAnsi="Cambria Math"/>
                          </w:rPr>
                          <m:t>t</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1</m:t>
                        </m:r>
                      </m:sub>
                    </m:sSub>
                  </m:den>
                </m:f>
              </m:oMath>
            </m:oMathPara>
          </w:p>
        </w:tc>
        <w:tc>
          <w:tcPr>
            <w:tcW w:w="239" w:type="dxa"/>
            <w:hideMark/>
          </w:tcPr>
          <w:p w14:paraId="7CBC07B1" w14:textId="77777777" w:rsidR="00A7521D" w:rsidRDefault="00A7521D" w:rsidP="00A7521D">
            <w:pPr>
              <w:pStyle w:val="Caption"/>
              <w:jc w:val="right"/>
            </w:pPr>
            <w:r>
              <w:t xml:space="preserve"> </w:t>
            </w:r>
          </w:p>
        </w:tc>
        <w:bookmarkStart w:id="1004" w:name="_Ref531104888"/>
        <w:tc>
          <w:tcPr>
            <w:tcW w:w="822" w:type="dxa"/>
            <w:vAlign w:val="center"/>
            <w:hideMark/>
          </w:tcPr>
          <w:p w14:paraId="548019BF" w14:textId="3037242F" w:rsidR="00A7521D" w:rsidRDefault="00A7521D" w:rsidP="00A7521D">
            <w:pPr>
              <w:pStyle w:val="Caption"/>
              <w:jc w:val="right"/>
              <w:rPr>
                <w:b w:val="0"/>
              </w:rPr>
            </w:pPr>
            <w:r>
              <w:fldChar w:fldCharType="begin"/>
            </w:r>
            <w:r>
              <w:instrText xml:space="preserve"> STYLEREF 1 \s </w:instrText>
            </w:r>
            <w:r>
              <w:fldChar w:fldCharType="separate"/>
            </w:r>
            <w:r w:rsidR="00CB7456">
              <w:rPr>
                <w:noProof/>
              </w:rPr>
              <w:t>13</w:t>
            </w:r>
            <w:r>
              <w:fldChar w:fldCharType="end"/>
            </w:r>
            <w:r>
              <w:t>.</w:t>
            </w:r>
            <w:r>
              <w:rPr>
                <w:noProof/>
              </w:rPr>
              <w:fldChar w:fldCharType="begin"/>
            </w:r>
            <w:r>
              <w:rPr>
                <w:noProof/>
              </w:rPr>
              <w:instrText xml:space="preserve"> SEQ Equation \* ARABIC \s 1 </w:instrText>
            </w:r>
            <w:r>
              <w:rPr>
                <w:noProof/>
              </w:rPr>
              <w:fldChar w:fldCharType="separate"/>
            </w:r>
            <w:r w:rsidR="00CB7456">
              <w:rPr>
                <w:noProof/>
              </w:rPr>
              <w:t>1</w:t>
            </w:r>
            <w:r>
              <w:rPr>
                <w:noProof/>
              </w:rPr>
              <w:fldChar w:fldCharType="end"/>
            </w:r>
            <w:bookmarkEnd w:id="1004"/>
          </w:p>
        </w:tc>
      </w:tr>
    </w:tbl>
    <w:p w14:paraId="31D1E801" w14:textId="77777777" w:rsidR="00A7521D" w:rsidRPr="00A160D1" w:rsidRDefault="00A7521D" w:rsidP="00A7521D"/>
    <w:p w14:paraId="5CBE3B50" w14:textId="77777777" w:rsidR="00A7521D" w:rsidRDefault="00A7521D" w:rsidP="00A7521D">
      <w:pPr>
        <w:pStyle w:val="NoSpacing"/>
      </w:pPr>
      <m:oMath>
        <m:r>
          <w:rPr>
            <w:rFonts w:ascii="Cambria Math" w:hAnsi="Cambria Math"/>
          </w:rPr>
          <m:t>R</m:t>
        </m:r>
      </m:oMath>
      <w:r>
        <w:t xml:space="preserve"> was the dimensionless temperature factor number 1,</w:t>
      </w:r>
    </w:p>
    <w:p w14:paraId="08F65ACF" w14:textId="77777777" w:rsidR="00A7521D" w:rsidRDefault="00C73E04" w:rsidP="00A7521D">
      <w:pPr>
        <w:pStyle w:val="NoSpacing"/>
      </w:pPr>
      <m:oMath>
        <m:sSub>
          <m:sSubPr>
            <m:ctrlPr>
              <w:rPr>
                <w:rFonts w:ascii="Cambria Math" w:hAnsi="Cambria Math"/>
                <w:i/>
              </w:rPr>
            </m:ctrlPr>
          </m:sSubPr>
          <m:e>
            <m:r>
              <w:rPr>
                <w:rFonts w:ascii="Cambria Math" w:hAnsi="Cambria Math"/>
              </w:rPr>
              <m:t>T</m:t>
            </m:r>
          </m:e>
          <m:sub>
            <m:r>
              <w:rPr>
                <w:rFonts w:ascii="Cambria Math" w:hAnsi="Cambria Math"/>
              </w:rPr>
              <m:t>h,1</m:t>
            </m:r>
          </m:sub>
        </m:sSub>
      </m:oMath>
      <w:r w:rsidR="00A7521D">
        <w:t xml:space="preserve"> was the hot fluid inlet temperature (K),</w:t>
      </w:r>
    </w:p>
    <w:p w14:paraId="6E067C81" w14:textId="77777777" w:rsidR="00A7521D" w:rsidRDefault="00C73E04" w:rsidP="00A7521D">
      <w:pPr>
        <w:pStyle w:val="NoSpacing"/>
      </w:pPr>
      <m:oMath>
        <m:sSub>
          <m:sSubPr>
            <m:ctrlPr>
              <w:rPr>
                <w:rFonts w:ascii="Cambria Math" w:hAnsi="Cambria Math"/>
                <w:i/>
              </w:rPr>
            </m:ctrlPr>
          </m:sSubPr>
          <m:e>
            <m:r>
              <w:rPr>
                <w:rFonts w:ascii="Cambria Math" w:hAnsi="Cambria Math"/>
              </w:rPr>
              <m:t>T</m:t>
            </m:r>
          </m:e>
          <m:sub>
            <m:r>
              <w:rPr>
                <w:rFonts w:ascii="Cambria Math" w:hAnsi="Cambria Math"/>
              </w:rPr>
              <m:t>h,2</m:t>
            </m:r>
          </m:sub>
        </m:sSub>
      </m:oMath>
      <w:r w:rsidR="00A7521D">
        <w:t xml:space="preserve"> was the hot fluid outlet temperature (K),</w:t>
      </w:r>
    </w:p>
    <w:bookmarkStart w:id="1005" w:name="_Hlk5879672"/>
    <w:p w14:paraId="09E361BE" w14:textId="77777777" w:rsidR="00A7521D" w:rsidRDefault="00C73E04" w:rsidP="00A7521D">
      <w:pPr>
        <w:pStyle w:val="NoSpacing"/>
      </w:pPr>
      <m:oMath>
        <m:sSub>
          <m:sSubPr>
            <m:ctrlPr>
              <w:rPr>
                <w:rFonts w:ascii="Cambria Math" w:hAnsi="Cambria Math"/>
                <w:i/>
              </w:rPr>
            </m:ctrlPr>
          </m:sSubPr>
          <m:e>
            <m:r>
              <w:rPr>
                <w:rFonts w:ascii="Cambria Math" w:hAnsi="Cambria Math"/>
              </w:rPr>
              <m:t>T</m:t>
            </m:r>
          </m:e>
          <m:sub>
            <m:r>
              <w:rPr>
                <w:rFonts w:ascii="Cambria Math" w:hAnsi="Cambria Math"/>
              </w:rPr>
              <m:t>c,1</m:t>
            </m:r>
          </m:sub>
        </m:sSub>
      </m:oMath>
      <w:bookmarkEnd w:id="1005"/>
      <w:r w:rsidR="00A7521D">
        <w:t xml:space="preserve"> was the cold fluid inlet temperature (K),</w:t>
      </w:r>
    </w:p>
    <w:p w14:paraId="732979AE" w14:textId="31C5772E" w:rsidR="00A7521D" w:rsidRDefault="00C73E04" w:rsidP="00A7521D">
      <m:oMath>
        <m:sSub>
          <m:sSubPr>
            <m:ctrlPr>
              <w:rPr>
                <w:rFonts w:ascii="Cambria Math" w:hAnsi="Cambria Math"/>
                <w:i/>
              </w:rPr>
            </m:ctrlPr>
          </m:sSubPr>
          <m:e>
            <m:r>
              <w:rPr>
                <w:rFonts w:ascii="Cambria Math" w:hAnsi="Cambria Math"/>
              </w:rPr>
              <m:t>T</m:t>
            </m:r>
          </m:e>
          <m:sub>
            <m:r>
              <w:rPr>
                <w:rFonts w:ascii="Cambria Math" w:hAnsi="Cambria Math"/>
              </w:rPr>
              <m:t>c,1</m:t>
            </m:r>
          </m:sub>
        </m:sSub>
      </m:oMath>
      <w:r w:rsidR="00A7521D">
        <w:t xml:space="preserve"> was the cold fluid outlet temperature (K).</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37"/>
        <w:gridCol w:w="239"/>
        <w:gridCol w:w="822"/>
      </w:tblGrid>
      <w:tr w:rsidR="00A7521D" w14:paraId="32D87BAF" w14:textId="77777777" w:rsidTr="00A7521D">
        <w:tc>
          <w:tcPr>
            <w:tcW w:w="7137" w:type="dxa"/>
            <w:hideMark/>
          </w:tcPr>
          <w:p w14:paraId="192E093D" w14:textId="3462BC89" w:rsidR="00A7521D" w:rsidRDefault="00A7521D" w:rsidP="00A7521D">
            <w:pPr>
              <w:keepNext/>
              <w:rPr>
                <w:color w:val="FFFFFF"/>
              </w:rPr>
            </w:pPr>
            <m:oMathPara>
              <m:oMathParaPr>
                <m:jc m:val="left"/>
              </m:oMathParaPr>
              <m:oMath>
                <m:r>
                  <w:rPr>
                    <w:rFonts w:ascii="Cambria Math" w:hAnsi="Cambria Math"/>
                  </w:rPr>
                  <m:t>S=</m:t>
                </m:r>
                <m:f>
                  <m:fPr>
                    <m:ctrlPr>
                      <w:rPr>
                        <w:rFonts w:ascii="Cambria Math" w:hAnsi="Cambria Math"/>
                        <w:i/>
                      </w:rPr>
                    </m:ctrlPr>
                  </m:fPr>
                  <m:num>
                    <m:sSub>
                      <m:sSubPr>
                        <m:ctrlPr>
                          <w:rPr>
                            <w:rFonts w:ascii="Cambria Math" w:hAnsi="Cambria Math"/>
                            <w:i/>
                          </w:rPr>
                        </m:ctrlPr>
                      </m:sSubPr>
                      <m:e>
                        <m:r>
                          <w:rPr>
                            <w:rFonts w:ascii="Cambria Math" w:hAnsi="Cambria Math"/>
                          </w:rPr>
                          <m:t>t</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1</m:t>
                        </m:r>
                      </m:sub>
                    </m:sSub>
                  </m:num>
                  <m:den>
                    <m:sSub>
                      <m:sSubPr>
                        <m:ctrlPr>
                          <w:rPr>
                            <w:rFonts w:ascii="Cambria Math" w:hAnsi="Cambria Math"/>
                            <w:i/>
                          </w:rPr>
                        </m:ctrlPr>
                      </m:sSubPr>
                      <m:e>
                        <m:r>
                          <w:rPr>
                            <w:rFonts w:ascii="Cambria Math" w:hAnsi="Cambria Math"/>
                          </w:rPr>
                          <m:t>T</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1</m:t>
                        </m:r>
                      </m:sub>
                    </m:sSub>
                  </m:den>
                </m:f>
              </m:oMath>
            </m:oMathPara>
          </w:p>
        </w:tc>
        <w:tc>
          <w:tcPr>
            <w:tcW w:w="239" w:type="dxa"/>
            <w:hideMark/>
          </w:tcPr>
          <w:p w14:paraId="16253AE9" w14:textId="77777777" w:rsidR="00A7521D" w:rsidRDefault="00A7521D" w:rsidP="00A7521D">
            <w:pPr>
              <w:pStyle w:val="Caption"/>
              <w:jc w:val="right"/>
            </w:pPr>
            <w:r>
              <w:t xml:space="preserve"> </w:t>
            </w:r>
          </w:p>
        </w:tc>
        <w:tc>
          <w:tcPr>
            <w:tcW w:w="822" w:type="dxa"/>
            <w:vAlign w:val="center"/>
            <w:hideMark/>
          </w:tcPr>
          <w:p w14:paraId="2D51B6A4" w14:textId="57D60C85" w:rsidR="00A7521D" w:rsidRDefault="00A7521D" w:rsidP="00A7521D">
            <w:pPr>
              <w:pStyle w:val="Caption"/>
              <w:jc w:val="right"/>
              <w:rPr>
                <w:b w:val="0"/>
              </w:rPr>
            </w:pPr>
            <w:r>
              <w:rPr>
                <w:noProof/>
              </w:rPr>
              <w:fldChar w:fldCharType="begin"/>
            </w:r>
            <w:r>
              <w:rPr>
                <w:noProof/>
              </w:rPr>
              <w:instrText xml:space="preserve"> STYLEREF 1 \s </w:instrText>
            </w:r>
            <w:r>
              <w:rPr>
                <w:noProof/>
              </w:rPr>
              <w:fldChar w:fldCharType="separate"/>
            </w:r>
            <w:r w:rsidR="00CB7456">
              <w:rPr>
                <w:noProof/>
              </w:rPr>
              <w:t>13</w:t>
            </w:r>
            <w:r>
              <w:rPr>
                <w:noProof/>
              </w:rPr>
              <w:fldChar w:fldCharType="end"/>
            </w:r>
            <w:r>
              <w:rPr>
                <w:noProof/>
              </w:rPr>
              <w:t>.</w:t>
            </w:r>
            <w:r>
              <w:rPr>
                <w:noProof/>
              </w:rPr>
              <w:fldChar w:fldCharType="begin"/>
            </w:r>
            <w:r>
              <w:rPr>
                <w:noProof/>
              </w:rPr>
              <w:instrText xml:space="preserve"> SEQ Equation \* ARABIC \s 1 </w:instrText>
            </w:r>
            <w:r>
              <w:rPr>
                <w:noProof/>
              </w:rPr>
              <w:fldChar w:fldCharType="separate"/>
            </w:r>
            <w:r w:rsidR="00CB7456">
              <w:rPr>
                <w:noProof/>
              </w:rPr>
              <w:t>2</w:t>
            </w:r>
            <w:r>
              <w:rPr>
                <w:noProof/>
              </w:rPr>
              <w:fldChar w:fldCharType="end"/>
            </w:r>
          </w:p>
        </w:tc>
      </w:tr>
    </w:tbl>
    <w:p w14:paraId="360DB4B4" w14:textId="77777777" w:rsidR="00A7521D" w:rsidRDefault="00A7521D" w:rsidP="00A7521D"/>
    <w:p w14:paraId="46DA25D9" w14:textId="4E99250C" w:rsidR="00A7521D" w:rsidRDefault="00A7521D" w:rsidP="00A7521D">
      <m:oMath>
        <m:r>
          <w:rPr>
            <w:rFonts w:ascii="Cambria Math" w:hAnsi="Cambria Math"/>
          </w:rPr>
          <m:t>S</m:t>
        </m:r>
      </m:oMath>
      <w:r>
        <w:t xml:space="preserve"> was the dimensionless temperature factor number 2.</w:t>
      </w:r>
    </w:p>
    <w:p w14:paraId="012EC7F3" w14:textId="5CE8D5DF" w:rsidR="00BC45E7" w:rsidRDefault="00BC45E7" w:rsidP="00BC45E7">
      <w:r>
        <w:t>The dimensionless temperature factors were calculated using the inlet and outlet temperatures of the hot and cold fluid streams.</w:t>
      </w:r>
    </w:p>
    <w:p w14:paraId="642F2F19" w14:textId="77777777" w:rsidR="00BC45E7" w:rsidRDefault="00BC45E7" w:rsidP="00A7521D"/>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37"/>
        <w:gridCol w:w="239"/>
        <w:gridCol w:w="822"/>
      </w:tblGrid>
      <w:tr w:rsidR="00A7521D" w14:paraId="4FD0F542" w14:textId="77777777" w:rsidTr="00A7521D">
        <w:tc>
          <w:tcPr>
            <w:tcW w:w="7137" w:type="dxa"/>
            <w:hideMark/>
          </w:tcPr>
          <w:p w14:paraId="39EAC21C" w14:textId="77777777" w:rsidR="00A7521D" w:rsidRDefault="00A7521D" w:rsidP="00A7521D">
            <w:pPr>
              <w:keepNext/>
              <w:rPr>
                <w:color w:val="FFFFFF"/>
              </w:rPr>
            </w:pPr>
            <m:oMathPara>
              <m:oMathParaPr>
                <m:jc m:val="left"/>
              </m:oMathParaPr>
              <m:oMath>
                <m:r>
                  <w:rPr>
                    <w:rFonts w:ascii="Cambria Math" w:hAnsi="Cambria Math"/>
                  </w:rPr>
                  <w:lastRenderedPageBreak/>
                  <m:t>∆</m:t>
                </m:r>
                <m:sSub>
                  <m:sSubPr>
                    <m:ctrlPr>
                      <w:rPr>
                        <w:rFonts w:ascii="Cambria Math" w:hAnsi="Cambria Math"/>
                        <w:i/>
                        <w:iCs/>
                      </w:rPr>
                    </m:ctrlPr>
                  </m:sSubPr>
                  <m:e>
                    <m:r>
                      <w:rPr>
                        <w:rFonts w:ascii="Cambria Math" w:hAnsi="Cambria Math"/>
                      </w:rPr>
                      <m:t>T</m:t>
                    </m:r>
                  </m:e>
                  <m:sub>
                    <m:r>
                      <w:rPr>
                        <w:rFonts w:ascii="Cambria Math" w:hAnsi="Cambria Math"/>
                      </w:rPr>
                      <m:t>lm</m:t>
                    </m:r>
                  </m:sub>
                </m:sSub>
                <m:r>
                  <w:rPr>
                    <w:rFonts w:ascii="Cambria Math" w:hAnsi="Cambria Math"/>
                  </w:rPr>
                  <m:t>=</m:t>
                </m:r>
                <m:f>
                  <m:fPr>
                    <m:ctrlPr>
                      <w:rPr>
                        <w:rFonts w:ascii="Cambria Math" w:hAnsi="Cambria Math"/>
                        <w:i/>
                        <w:iCs/>
                      </w:rPr>
                    </m:ctrlPr>
                  </m:fPr>
                  <m:num>
                    <m:d>
                      <m:dPr>
                        <m:ctrlPr>
                          <w:rPr>
                            <w:rFonts w:ascii="Cambria Math" w:hAnsi="Cambria Math"/>
                            <w:i/>
                            <w:iCs/>
                          </w:rPr>
                        </m:ctrlPr>
                      </m:dPr>
                      <m:e>
                        <m:sSub>
                          <m:sSubPr>
                            <m:ctrlPr>
                              <w:rPr>
                                <w:rFonts w:ascii="Cambria Math" w:hAnsi="Cambria Math"/>
                                <w:i/>
                                <w:iCs/>
                              </w:rPr>
                            </m:ctrlPr>
                          </m:sSubPr>
                          <m:e>
                            <m:r>
                              <w:rPr>
                                <w:rFonts w:ascii="Cambria Math" w:hAnsi="Cambria Math"/>
                              </w:rPr>
                              <m:t>T</m:t>
                            </m:r>
                          </m:e>
                          <m:sub>
                            <m:r>
                              <w:rPr>
                                <w:rFonts w:ascii="Cambria Math" w:hAnsi="Cambria Math"/>
                              </w:rPr>
                              <m:t>1</m:t>
                            </m:r>
                          </m:sub>
                        </m:sSub>
                        <m:r>
                          <w:rPr>
                            <w:rFonts w:ascii="Cambria Math" w:hAnsi="Cambria Math"/>
                          </w:rPr>
                          <m:t>-</m:t>
                        </m:r>
                        <m:sSub>
                          <m:sSubPr>
                            <m:ctrlPr>
                              <w:rPr>
                                <w:rFonts w:ascii="Cambria Math" w:hAnsi="Cambria Math"/>
                                <w:i/>
                                <w:iCs/>
                              </w:rPr>
                            </m:ctrlPr>
                          </m:sSubPr>
                          <m:e>
                            <m:r>
                              <w:rPr>
                                <w:rFonts w:ascii="Cambria Math" w:hAnsi="Cambria Math"/>
                              </w:rPr>
                              <m:t>t</m:t>
                            </m:r>
                          </m:e>
                          <m:sub>
                            <m:r>
                              <w:rPr>
                                <w:rFonts w:ascii="Cambria Math" w:hAnsi="Cambria Math"/>
                              </w:rPr>
                              <m:t>2</m:t>
                            </m:r>
                          </m:sub>
                        </m:sSub>
                      </m:e>
                    </m:d>
                    <m:r>
                      <w:rPr>
                        <w:rFonts w:ascii="Cambria Math" w:hAnsi="Cambria Math"/>
                      </w:rPr>
                      <m:t>-</m:t>
                    </m:r>
                    <m:d>
                      <m:dPr>
                        <m:ctrlPr>
                          <w:rPr>
                            <w:rFonts w:ascii="Cambria Math" w:hAnsi="Cambria Math"/>
                            <w:i/>
                            <w:iCs/>
                          </w:rPr>
                        </m:ctrlPr>
                      </m:dPr>
                      <m:e>
                        <m:sSub>
                          <m:sSubPr>
                            <m:ctrlPr>
                              <w:rPr>
                                <w:rFonts w:ascii="Cambria Math" w:hAnsi="Cambria Math"/>
                                <w:i/>
                                <w:iCs/>
                              </w:rPr>
                            </m:ctrlPr>
                          </m:sSubPr>
                          <m:e>
                            <m:r>
                              <w:rPr>
                                <w:rFonts w:ascii="Cambria Math" w:hAnsi="Cambria Math"/>
                              </w:rPr>
                              <m:t>T</m:t>
                            </m:r>
                          </m:e>
                          <m:sub>
                            <m:r>
                              <w:rPr>
                                <w:rFonts w:ascii="Cambria Math" w:hAnsi="Cambria Math"/>
                              </w:rPr>
                              <m:t>2</m:t>
                            </m:r>
                          </m:sub>
                        </m:sSub>
                        <m:r>
                          <w:rPr>
                            <w:rFonts w:ascii="Cambria Math" w:hAnsi="Cambria Math"/>
                          </w:rPr>
                          <m:t>-</m:t>
                        </m:r>
                        <m:sSub>
                          <m:sSubPr>
                            <m:ctrlPr>
                              <w:rPr>
                                <w:rFonts w:ascii="Cambria Math" w:hAnsi="Cambria Math"/>
                                <w:i/>
                                <w:iCs/>
                              </w:rPr>
                            </m:ctrlPr>
                          </m:sSubPr>
                          <m:e>
                            <m:r>
                              <w:rPr>
                                <w:rFonts w:ascii="Cambria Math" w:hAnsi="Cambria Math"/>
                              </w:rPr>
                              <m:t>t</m:t>
                            </m:r>
                          </m:e>
                          <m:sub>
                            <m:r>
                              <w:rPr>
                                <w:rFonts w:ascii="Cambria Math" w:hAnsi="Cambria Math"/>
                              </w:rPr>
                              <m:t>1</m:t>
                            </m:r>
                          </m:sub>
                        </m:sSub>
                      </m:e>
                    </m:d>
                  </m:num>
                  <m:den>
                    <m:func>
                      <m:funcPr>
                        <m:ctrlPr>
                          <w:rPr>
                            <w:rFonts w:ascii="Cambria Math" w:hAnsi="Cambria Math"/>
                            <w:i/>
                            <w:iCs/>
                          </w:rPr>
                        </m:ctrlPr>
                      </m:funcPr>
                      <m:fName>
                        <m:r>
                          <m:rPr>
                            <m:sty m:val="p"/>
                          </m:rPr>
                          <w:rPr>
                            <w:rFonts w:ascii="Cambria Math" w:hAnsi="Cambria Math"/>
                          </w:rPr>
                          <m:t>ln</m:t>
                        </m:r>
                      </m:fName>
                      <m:e>
                        <m:f>
                          <m:fPr>
                            <m:ctrlPr>
                              <w:rPr>
                                <w:rFonts w:ascii="Cambria Math" w:hAnsi="Cambria Math"/>
                                <w:i/>
                                <w:iCs/>
                              </w:rPr>
                            </m:ctrlPr>
                          </m:fPr>
                          <m:num>
                            <m:d>
                              <m:dPr>
                                <m:ctrlPr>
                                  <w:rPr>
                                    <w:rFonts w:ascii="Cambria Math" w:hAnsi="Cambria Math"/>
                                    <w:i/>
                                    <w:iCs/>
                                  </w:rPr>
                                </m:ctrlPr>
                              </m:dPr>
                              <m:e>
                                <m:sSub>
                                  <m:sSubPr>
                                    <m:ctrlPr>
                                      <w:rPr>
                                        <w:rFonts w:ascii="Cambria Math" w:hAnsi="Cambria Math"/>
                                        <w:i/>
                                        <w:iCs/>
                                      </w:rPr>
                                    </m:ctrlPr>
                                  </m:sSubPr>
                                  <m:e>
                                    <m:r>
                                      <w:rPr>
                                        <w:rFonts w:ascii="Cambria Math" w:hAnsi="Cambria Math"/>
                                      </w:rPr>
                                      <m:t>T</m:t>
                                    </m:r>
                                  </m:e>
                                  <m:sub>
                                    <m:r>
                                      <w:rPr>
                                        <w:rFonts w:ascii="Cambria Math" w:hAnsi="Cambria Math"/>
                                      </w:rPr>
                                      <m:t>1</m:t>
                                    </m:r>
                                  </m:sub>
                                </m:sSub>
                                <m:r>
                                  <w:rPr>
                                    <w:rFonts w:ascii="Cambria Math" w:hAnsi="Cambria Math"/>
                                  </w:rPr>
                                  <m:t>-</m:t>
                                </m:r>
                                <m:sSub>
                                  <m:sSubPr>
                                    <m:ctrlPr>
                                      <w:rPr>
                                        <w:rFonts w:ascii="Cambria Math" w:hAnsi="Cambria Math"/>
                                        <w:i/>
                                        <w:iCs/>
                                      </w:rPr>
                                    </m:ctrlPr>
                                  </m:sSubPr>
                                  <m:e>
                                    <m:r>
                                      <w:rPr>
                                        <w:rFonts w:ascii="Cambria Math" w:hAnsi="Cambria Math"/>
                                      </w:rPr>
                                      <m:t>t</m:t>
                                    </m:r>
                                  </m:e>
                                  <m:sub>
                                    <m:r>
                                      <w:rPr>
                                        <w:rFonts w:ascii="Cambria Math" w:hAnsi="Cambria Math"/>
                                      </w:rPr>
                                      <m:t>2</m:t>
                                    </m:r>
                                  </m:sub>
                                </m:sSub>
                              </m:e>
                            </m:d>
                          </m:num>
                          <m:den>
                            <m:d>
                              <m:dPr>
                                <m:ctrlPr>
                                  <w:rPr>
                                    <w:rFonts w:ascii="Cambria Math" w:hAnsi="Cambria Math"/>
                                    <w:i/>
                                    <w:iCs/>
                                  </w:rPr>
                                </m:ctrlPr>
                              </m:dPr>
                              <m:e>
                                <m:sSub>
                                  <m:sSubPr>
                                    <m:ctrlPr>
                                      <w:rPr>
                                        <w:rFonts w:ascii="Cambria Math" w:hAnsi="Cambria Math"/>
                                        <w:i/>
                                        <w:iCs/>
                                      </w:rPr>
                                    </m:ctrlPr>
                                  </m:sSubPr>
                                  <m:e>
                                    <m:r>
                                      <w:rPr>
                                        <w:rFonts w:ascii="Cambria Math" w:hAnsi="Cambria Math"/>
                                      </w:rPr>
                                      <m:t>T</m:t>
                                    </m:r>
                                  </m:e>
                                  <m:sub>
                                    <m:r>
                                      <w:rPr>
                                        <w:rFonts w:ascii="Cambria Math" w:hAnsi="Cambria Math"/>
                                      </w:rPr>
                                      <m:t>2</m:t>
                                    </m:r>
                                  </m:sub>
                                </m:sSub>
                                <m:r>
                                  <w:rPr>
                                    <w:rFonts w:ascii="Cambria Math" w:hAnsi="Cambria Math"/>
                                  </w:rPr>
                                  <m:t>-</m:t>
                                </m:r>
                                <m:sSub>
                                  <m:sSubPr>
                                    <m:ctrlPr>
                                      <w:rPr>
                                        <w:rFonts w:ascii="Cambria Math" w:hAnsi="Cambria Math"/>
                                        <w:i/>
                                        <w:iCs/>
                                      </w:rPr>
                                    </m:ctrlPr>
                                  </m:sSubPr>
                                  <m:e>
                                    <m:r>
                                      <w:rPr>
                                        <w:rFonts w:ascii="Cambria Math" w:hAnsi="Cambria Math"/>
                                      </w:rPr>
                                      <m:t>t</m:t>
                                    </m:r>
                                  </m:e>
                                  <m:sub>
                                    <m:r>
                                      <w:rPr>
                                        <w:rFonts w:ascii="Cambria Math" w:hAnsi="Cambria Math"/>
                                      </w:rPr>
                                      <m:t>1</m:t>
                                    </m:r>
                                  </m:sub>
                                </m:sSub>
                              </m:e>
                            </m:d>
                          </m:den>
                        </m:f>
                      </m:e>
                    </m:func>
                  </m:den>
                </m:f>
              </m:oMath>
            </m:oMathPara>
          </w:p>
        </w:tc>
        <w:tc>
          <w:tcPr>
            <w:tcW w:w="239" w:type="dxa"/>
            <w:hideMark/>
          </w:tcPr>
          <w:p w14:paraId="7E258290" w14:textId="77777777" w:rsidR="00A7521D" w:rsidRDefault="00A7521D" w:rsidP="00A7521D">
            <w:pPr>
              <w:pStyle w:val="Caption"/>
              <w:jc w:val="right"/>
            </w:pPr>
            <w:r>
              <w:t xml:space="preserve"> </w:t>
            </w:r>
          </w:p>
        </w:tc>
        <w:bookmarkStart w:id="1006" w:name="_Ref531105165"/>
        <w:tc>
          <w:tcPr>
            <w:tcW w:w="822" w:type="dxa"/>
            <w:vAlign w:val="center"/>
            <w:hideMark/>
          </w:tcPr>
          <w:p w14:paraId="000EB8B7" w14:textId="6EF173E0" w:rsidR="00A7521D" w:rsidRDefault="00A7521D" w:rsidP="00A7521D">
            <w:pPr>
              <w:pStyle w:val="Caption"/>
              <w:jc w:val="right"/>
              <w:rPr>
                <w:b w:val="0"/>
              </w:rPr>
            </w:pPr>
            <w:r>
              <w:fldChar w:fldCharType="begin"/>
            </w:r>
            <w:r>
              <w:instrText xml:space="preserve"> STYLEREF 1 \s </w:instrText>
            </w:r>
            <w:r>
              <w:fldChar w:fldCharType="separate"/>
            </w:r>
            <w:r w:rsidR="00CB7456">
              <w:rPr>
                <w:noProof/>
              </w:rPr>
              <w:t>13</w:t>
            </w:r>
            <w:r>
              <w:fldChar w:fldCharType="end"/>
            </w:r>
            <w:r>
              <w:t>.</w:t>
            </w:r>
            <w:r>
              <w:rPr>
                <w:noProof/>
              </w:rPr>
              <w:fldChar w:fldCharType="begin"/>
            </w:r>
            <w:r>
              <w:rPr>
                <w:noProof/>
              </w:rPr>
              <w:instrText xml:space="preserve"> SEQ Equation \* ARABIC \s 1 </w:instrText>
            </w:r>
            <w:r>
              <w:rPr>
                <w:noProof/>
              </w:rPr>
              <w:fldChar w:fldCharType="separate"/>
            </w:r>
            <w:r w:rsidR="00CB7456">
              <w:rPr>
                <w:noProof/>
              </w:rPr>
              <w:t>3</w:t>
            </w:r>
            <w:r>
              <w:rPr>
                <w:noProof/>
              </w:rPr>
              <w:fldChar w:fldCharType="end"/>
            </w:r>
            <w:bookmarkEnd w:id="1006"/>
          </w:p>
        </w:tc>
      </w:tr>
    </w:tbl>
    <w:p w14:paraId="1E5DC856" w14:textId="77777777" w:rsidR="00A7521D" w:rsidRDefault="00A7521D" w:rsidP="00A7521D"/>
    <w:p w14:paraId="0EDB46D0" w14:textId="1F324AB1" w:rsidR="00A7521D" w:rsidRDefault="00A7521D" w:rsidP="00A7521D">
      <m:oMath>
        <m:r>
          <w:rPr>
            <w:rFonts w:ascii="Cambria Math" w:hAnsi="Cambria Math"/>
          </w:rPr>
          <m:t>∆</m:t>
        </m:r>
        <m:sSub>
          <m:sSubPr>
            <m:ctrlPr>
              <w:rPr>
                <w:rFonts w:ascii="Cambria Math" w:hAnsi="Cambria Math"/>
                <w:i/>
                <w:iCs/>
              </w:rPr>
            </m:ctrlPr>
          </m:sSubPr>
          <m:e>
            <m:r>
              <w:rPr>
                <w:rFonts w:ascii="Cambria Math" w:hAnsi="Cambria Math"/>
              </w:rPr>
              <m:t>T</m:t>
            </m:r>
          </m:e>
          <m:sub>
            <m:r>
              <w:rPr>
                <w:rFonts w:ascii="Cambria Math" w:hAnsi="Cambria Math"/>
              </w:rPr>
              <m:t>lm</m:t>
            </m:r>
          </m:sub>
        </m:sSub>
      </m:oMath>
      <w:r>
        <w:rPr>
          <w:iCs/>
        </w:rPr>
        <w:t xml:space="preserve"> was the logarithmic </w:t>
      </w:r>
      <w:r>
        <w:t>mean temperature difference [K].</w:t>
      </w:r>
    </w:p>
    <w:p w14:paraId="67683972" w14:textId="3885C2FF" w:rsidR="00BC45E7" w:rsidRDefault="00BC45E7" w:rsidP="00A7521D">
      <w:r>
        <w:t xml:space="preserve">The </w:t>
      </w:r>
      <w:r>
        <w:rPr>
          <w:iCs/>
        </w:rPr>
        <w:t xml:space="preserve">logarithmic </w:t>
      </w:r>
      <w:r>
        <w:t>mean temperature difference was calculated using the inlet and outlet temperatures of the hot and cold fluid streams.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37"/>
        <w:gridCol w:w="239"/>
        <w:gridCol w:w="822"/>
      </w:tblGrid>
      <w:tr w:rsidR="00A7521D" w14:paraId="366966C5" w14:textId="77777777" w:rsidTr="00A7521D">
        <w:tc>
          <w:tcPr>
            <w:tcW w:w="7137" w:type="dxa"/>
            <w:hideMark/>
          </w:tcPr>
          <w:p w14:paraId="0D385C8D" w14:textId="77777777" w:rsidR="00A7521D" w:rsidRDefault="00A7521D" w:rsidP="00A7521D">
            <w:pPr>
              <w:keepNext/>
              <w:rPr>
                <w:color w:val="FFFFFF"/>
              </w:rPr>
            </w:pPr>
            <m:oMathPara>
              <m:oMathParaPr>
                <m:jc m:val="left"/>
              </m:oMathParaPr>
              <m:oMath>
                <m:r>
                  <w:rPr>
                    <w:rFonts w:ascii="Cambria Math" w:hAnsi="Cambria Math"/>
                  </w:rPr>
                  <m:t>∆</m:t>
                </m:r>
                <m:sSub>
                  <m:sSubPr>
                    <m:ctrlPr>
                      <w:rPr>
                        <w:rFonts w:ascii="Cambria Math" w:hAnsi="Cambria Math"/>
                        <w:i/>
                        <w:iCs/>
                      </w:rPr>
                    </m:ctrlPr>
                  </m:sSubPr>
                  <m:e>
                    <m:r>
                      <w:rPr>
                        <w:rFonts w:ascii="Cambria Math" w:hAnsi="Cambria Math"/>
                      </w:rPr>
                      <m:t>T</m:t>
                    </m:r>
                  </m:e>
                  <m:sub>
                    <m:r>
                      <w:rPr>
                        <w:rFonts w:ascii="Cambria Math" w:hAnsi="Cambria Math"/>
                      </w:rPr>
                      <m:t>m</m:t>
                    </m:r>
                  </m:sub>
                </m:sSub>
                <m:r>
                  <w:rPr>
                    <w:rFonts w:ascii="Cambria Math" w:hAnsi="Cambria Math"/>
                  </w:rPr>
                  <m:t>=</m:t>
                </m:r>
                <m:sSub>
                  <m:sSubPr>
                    <m:ctrlPr>
                      <w:rPr>
                        <w:rFonts w:ascii="Cambria Math" w:hAnsi="Cambria Math"/>
                        <w:i/>
                        <w:iCs/>
                      </w:rPr>
                    </m:ctrlPr>
                  </m:sSubPr>
                  <m:e>
                    <m:r>
                      <w:rPr>
                        <w:rFonts w:ascii="Cambria Math" w:hAnsi="Cambria Math"/>
                      </w:rPr>
                      <m:t>F</m:t>
                    </m:r>
                  </m:e>
                  <m:sub>
                    <m:r>
                      <w:rPr>
                        <w:rFonts w:ascii="Cambria Math" w:hAnsi="Cambria Math"/>
                      </w:rPr>
                      <m:t>t</m:t>
                    </m:r>
                  </m:sub>
                </m:sSub>
                <m:r>
                  <w:rPr>
                    <w:rFonts w:ascii="Cambria Math" w:hAnsi="Cambria Math"/>
                  </w:rPr>
                  <m:t>∆</m:t>
                </m:r>
                <m:sSub>
                  <m:sSubPr>
                    <m:ctrlPr>
                      <w:rPr>
                        <w:rFonts w:ascii="Cambria Math" w:hAnsi="Cambria Math"/>
                        <w:i/>
                        <w:iCs/>
                      </w:rPr>
                    </m:ctrlPr>
                  </m:sSubPr>
                  <m:e>
                    <m:r>
                      <w:rPr>
                        <w:rFonts w:ascii="Cambria Math" w:hAnsi="Cambria Math"/>
                      </w:rPr>
                      <m:t>T</m:t>
                    </m:r>
                  </m:e>
                  <m:sub>
                    <m:r>
                      <w:rPr>
                        <w:rFonts w:ascii="Cambria Math" w:hAnsi="Cambria Math"/>
                      </w:rPr>
                      <m:t>lm</m:t>
                    </m:r>
                  </m:sub>
                </m:sSub>
              </m:oMath>
            </m:oMathPara>
          </w:p>
        </w:tc>
        <w:tc>
          <w:tcPr>
            <w:tcW w:w="239" w:type="dxa"/>
            <w:hideMark/>
          </w:tcPr>
          <w:p w14:paraId="46434F89" w14:textId="77777777" w:rsidR="00A7521D" w:rsidRDefault="00A7521D" w:rsidP="00A7521D">
            <w:pPr>
              <w:pStyle w:val="Caption"/>
              <w:jc w:val="right"/>
            </w:pPr>
            <w:r>
              <w:t xml:space="preserve"> </w:t>
            </w:r>
          </w:p>
        </w:tc>
        <w:bookmarkStart w:id="1007" w:name="_Ref531105153"/>
        <w:tc>
          <w:tcPr>
            <w:tcW w:w="822" w:type="dxa"/>
            <w:vAlign w:val="center"/>
            <w:hideMark/>
          </w:tcPr>
          <w:p w14:paraId="1F4F0B18" w14:textId="76A96946" w:rsidR="00A7521D" w:rsidRDefault="00A7521D" w:rsidP="00A7521D">
            <w:pPr>
              <w:pStyle w:val="Caption"/>
              <w:jc w:val="right"/>
              <w:rPr>
                <w:b w:val="0"/>
              </w:rPr>
            </w:pPr>
            <w:r>
              <w:fldChar w:fldCharType="begin"/>
            </w:r>
            <w:r>
              <w:instrText xml:space="preserve"> STYLEREF 1 \s </w:instrText>
            </w:r>
            <w:r>
              <w:fldChar w:fldCharType="separate"/>
            </w:r>
            <w:r w:rsidR="00CB7456">
              <w:rPr>
                <w:noProof/>
              </w:rPr>
              <w:t>13</w:t>
            </w:r>
            <w:r>
              <w:fldChar w:fldCharType="end"/>
            </w:r>
            <w:r>
              <w:t>.</w:t>
            </w:r>
            <w:r>
              <w:rPr>
                <w:noProof/>
              </w:rPr>
              <w:fldChar w:fldCharType="begin"/>
            </w:r>
            <w:r>
              <w:rPr>
                <w:noProof/>
              </w:rPr>
              <w:instrText xml:space="preserve"> SEQ Equation \* ARABIC \s 1 </w:instrText>
            </w:r>
            <w:r>
              <w:rPr>
                <w:noProof/>
              </w:rPr>
              <w:fldChar w:fldCharType="separate"/>
            </w:r>
            <w:r w:rsidR="00CB7456">
              <w:rPr>
                <w:noProof/>
              </w:rPr>
              <w:t>4</w:t>
            </w:r>
            <w:r>
              <w:rPr>
                <w:noProof/>
              </w:rPr>
              <w:fldChar w:fldCharType="end"/>
            </w:r>
            <w:bookmarkEnd w:id="1007"/>
          </w:p>
        </w:tc>
      </w:tr>
    </w:tbl>
    <w:p w14:paraId="04985F3F" w14:textId="77777777" w:rsidR="00A7521D" w:rsidRDefault="00A7521D" w:rsidP="00A7521D">
      <w:pPr>
        <w:keepNext/>
      </w:pPr>
    </w:p>
    <w:p w14:paraId="648AB8E5" w14:textId="77777777" w:rsidR="00A7521D" w:rsidRDefault="00A7521D" w:rsidP="00A7521D">
      <w:pPr>
        <w:pStyle w:val="NoSpacing"/>
      </w:pPr>
      <m:oMath>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m</m:t>
            </m:r>
          </m:sub>
        </m:sSub>
      </m:oMath>
      <w:r>
        <w:t xml:space="preserve"> was the true temperature difference (K),</w:t>
      </w:r>
    </w:p>
    <w:bookmarkStart w:id="1008" w:name="_Hlk526164944"/>
    <w:p w14:paraId="38E40E32" w14:textId="77777777" w:rsidR="00A7521D" w:rsidRDefault="00C73E04" w:rsidP="00A7521D">
      <w:pPr>
        <w:rPr>
          <w:iCs/>
        </w:rPr>
      </w:pPr>
      <m:oMath>
        <m:sSub>
          <m:sSubPr>
            <m:ctrlPr>
              <w:rPr>
                <w:rFonts w:ascii="Cambria Math" w:hAnsi="Cambria Math"/>
                <w:i/>
                <w:iCs/>
              </w:rPr>
            </m:ctrlPr>
          </m:sSubPr>
          <m:e>
            <m:r>
              <w:rPr>
                <w:rFonts w:ascii="Cambria Math" w:hAnsi="Cambria Math"/>
              </w:rPr>
              <m:t>F</m:t>
            </m:r>
          </m:e>
          <m:sub>
            <m:r>
              <w:rPr>
                <w:rFonts w:ascii="Cambria Math" w:hAnsi="Cambria Math"/>
              </w:rPr>
              <m:t>t</m:t>
            </m:r>
          </m:sub>
        </m:sSub>
      </m:oMath>
      <w:bookmarkEnd w:id="1008"/>
      <w:r w:rsidR="00A7521D">
        <w:rPr>
          <w:iCs/>
        </w:rPr>
        <w:t xml:space="preserve"> was the </w:t>
      </w:r>
      <w:r w:rsidR="00A7521D">
        <w:t xml:space="preserve">temperature </w:t>
      </w:r>
      <w:r w:rsidR="00A7521D">
        <w:rPr>
          <w:iCs/>
        </w:rPr>
        <w:t>correction factor.</w:t>
      </w:r>
    </w:p>
    <w:p w14:paraId="20016850" w14:textId="0CD025C2" w:rsidR="00A7521D" w:rsidRDefault="00BC45E7" w:rsidP="00A7521D">
      <w:r>
        <w:t>The true</w:t>
      </w:r>
      <w:r w:rsidR="009F0543">
        <w:t xml:space="preserve"> temperature</w:t>
      </w:r>
      <w:r>
        <w:t xml:space="preserve"> difference was calculated using the log mean temperature difference and the temperature correction factor. </w:t>
      </w:r>
      <w:r w:rsidR="00A7521D">
        <w:t xml:space="preserve">The temperature correction factor was found using Figure 12.19 to Figure 12.22 </w:t>
      </w:r>
      <w:r w:rsidR="00A7521D">
        <w:fldChar w:fldCharType="begin" w:fldLock="1"/>
      </w:r>
      <w:r w:rsidR="002A6A73">
        <w:instrText>ADDIN CSL_CITATION {"citationItems":[{"id":"ITEM-1","itemData":{"ISBN":"978-0-7506-6538-4","author":[{"dropping-particle":"","family":"Sinnott","given":"R.K.","non-dropping-particle":"","parse-names":false,"suffix":""}],"edition":"4","id":"ITEM-1","issued":{"date-parts":[["2005"]]},"number-of-pages":"60 - 132","publisher":"Elsevier","publisher-place":"Oxford, England","title":"Coulson and Richardson's Chemical Engineering Volume 6 - Chemical Engineering Design","type":"book"},"uris":["http://www.mendeley.com/documents/?uuid=8e00b24b-1ea1-4b70-9865-3b5bcae659ed"]}],"mendeley":{"formattedCitation":"(Sinnott, 2005b)","plainTextFormattedCitation":"(Sinnott, 2005b)","previouslyFormattedCitation":"(Sinnott, 2005b)"},"properties":{"noteIndex":0},"schema":"https://github.com/citation-style-language/schema/raw/master/csl-citation.json"}</w:instrText>
      </w:r>
      <w:r w:rsidR="00A7521D">
        <w:fldChar w:fldCharType="separate"/>
      </w:r>
      <w:r w:rsidR="002A6A73" w:rsidRPr="002A6A73">
        <w:rPr>
          <w:noProof/>
        </w:rPr>
        <w:t>(Sinnott, 2005b)</w:t>
      </w:r>
      <w:r w:rsidR="00A7521D">
        <w:fldChar w:fldCharType="end"/>
      </w:r>
      <w:r w:rsidR="00A7521D">
        <w:t>, dependent on the number of shell and tube passes.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37"/>
        <w:gridCol w:w="239"/>
        <w:gridCol w:w="822"/>
      </w:tblGrid>
      <w:tr w:rsidR="00A7521D" w14:paraId="35A47458" w14:textId="77777777" w:rsidTr="00A7521D">
        <w:tc>
          <w:tcPr>
            <w:tcW w:w="7137" w:type="dxa"/>
            <w:hideMark/>
          </w:tcPr>
          <w:p w14:paraId="710B77DC" w14:textId="77777777" w:rsidR="00A7521D" w:rsidRDefault="00A7521D" w:rsidP="00A7521D">
            <w:pPr>
              <w:keepNext/>
              <w:rPr>
                <w:color w:val="FFFFFF"/>
              </w:rPr>
            </w:pPr>
            <m:oMathPara>
              <m:oMathParaPr>
                <m:jc m:val="left"/>
              </m:oMathParaPr>
              <m:oMath>
                <m:r>
                  <w:rPr>
                    <w:rFonts w:ascii="Cambria Math" w:hAnsi="Cambria Math"/>
                  </w:rPr>
                  <m:t>P=UA∆</m:t>
                </m:r>
                <m:sSub>
                  <m:sSubPr>
                    <m:ctrlPr>
                      <w:rPr>
                        <w:rFonts w:ascii="Cambria Math" w:hAnsi="Cambria Math"/>
                        <w:i/>
                        <w:iCs/>
                      </w:rPr>
                    </m:ctrlPr>
                  </m:sSubPr>
                  <m:e>
                    <m:r>
                      <w:rPr>
                        <w:rFonts w:ascii="Cambria Math" w:hAnsi="Cambria Math"/>
                      </w:rPr>
                      <m:t>T</m:t>
                    </m:r>
                  </m:e>
                  <m:sub>
                    <m:r>
                      <w:rPr>
                        <w:rFonts w:ascii="Cambria Math" w:hAnsi="Cambria Math"/>
                      </w:rPr>
                      <m:t>m</m:t>
                    </m:r>
                  </m:sub>
                </m:sSub>
                <m:r>
                  <w:rPr>
                    <w:rFonts w:ascii="Cambria Math" w:hAnsi="Cambria Math"/>
                  </w:rPr>
                  <m:t>=</m:t>
                </m:r>
                <m:sSub>
                  <m:sSubPr>
                    <m:ctrlPr>
                      <w:rPr>
                        <w:rFonts w:ascii="Cambria Math" w:hAnsi="Cambria Math"/>
                        <w:i/>
                        <w:iCs/>
                      </w:rPr>
                    </m:ctrlPr>
                  </m:sSubPr>
                  <m:e>
                    <m:acc>
                      <m:accPr>
                        <m:chr m:val="̇"/>
                        <m:ctrlPr>
                          <w:rPr>
                            <w:rFonts w:ascii="Cambria Math" w:hAnsi="Cambria Math"/>
                            <w:i/>
                            <w:iCs/>
                          </w:rPr>
                        </m:ctrlPr>
                      </m:accPr>
                      <m:e>
                        <m:r>
                          <w:rPr>
                            <w:rFonts w:ascii="Cambria Math" w:hAnsi="Cambria Math"/>
                          </w:rPr>
                          <m:t>m</m:t>
                        </m:r>
                      </m:e>
                    </m:acc>
                  </m:e>
                  <m:sub>
                    <m:r>
                      <w:rPr>
                        <w:rFonts w:ascii="Cambria Math" w:hAnsi="Cambria Math"/>
                      </w:rPr>
                      <m:t>s</m:t>
                    </m:r>
                  </m:sub>
                </m:sSub>
                <m:sSub>
                  <m:sSubPr>
                    <m:ctrlPr>
                      <w:rPr>
                        <w:rFonts w:ascii="Cambria Math" w:hAnsi="Cambria Math"/>
                        <w:i/>
                        <w:iCs/>
                      </w:rPr>
                    </m:ctrlPr>
                  </m:sSubPr>
                  <m:e>
                    <m:r>
                      <w:rPr>
                        <w:rFonts w:ascii="Cambria Math" w:hAnsi="Cambria Math"/>
                      </w:rPr>
                      <m:t>c</m:t>
                    </m:r>
                  </m:e>
                  <m:sub>
                    <m:r>
                      <w:rPr>
                        <w:rFonts w:ascii="Cambria Math" w:hAnsi="Cambria Math"/>
                      </w:rPr>
                      <m:t>p,s</m:t>
                    </m:r>
                  </m:sub>
                </m:sSub>
                <m:d>
                  <m:dPr>
                    <m:ctrlPr>
                      <w:rPr>
                        <w:rFonts w:ascii="Cambria Math" w:hAnsi="Cambria Math"/>
                        <w:i/>
                        <w:iCs/>
                      </w:rPr>
                    </m:ctrlPr>
                  </m:dPr>
                  <m:e>
                    <m:sSub>
                      <m:sSubPr>
                        <m:ctrlPr>
                          <w:rPr>
                            <w:rFonts w:ascii="Cambria Math" w:hAnsi="Cambria Math"/>
                            <w:i/>
                          </w:rPr>
                        </m:ctrlPr>
                      </m:sSubPr>
                      <m:e>
                        <m:r>
                          <w:rPr>
                            <w:rFonts w:ascii="Cambria Math" w:hAnsi="Cambria Math"/>
                          </w:rPr>
                          <m:t>T</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2</m:t>
                        </m:r>
                      </m:sub>
                    </m:sSub>
                  </m:e>
                </m:d>
              </m:oMath>
            </m:oMathPara>
          </w:p>
        </w:tc>
        <w:tc>
          <w:tcPr>
            <w:tcW w:w="239" w:type="dxa"/>
            <w:hideMark/>
          </w:tcPr>
          <w:p w14:paraId="600238F8" w14:textId="77777777" w:rsidR="00A7521D" w:rsidRDefault="00A7521D" w:rsidP="00A7521D">
            <w:pPr>
              <w:pStyle w:val="Caption"/>
              <w:jc w:val="right"/>
            </w:pPr>
            <w:r>
              <w:t xml:space="preserve"> </w:t>
            </w:r>
          </w:p>
        </w:tc>
        <w:bookmarkStart w:id="1009" w:name="_Ref531105227"/>
        <w:tc>
          <w:tcPr>
            <w:tcW w:w="822" w:type="dxa"/>
            <w:vAlign w:val="center"/>
            <w:hideMark/>
          </w:tcPr>
          <w:p w14:paraId="50505A49" w14:textId="3E7F274A" w:rsidR="00A7521D" w:rsidRDefault="00A7521D" w:rsidP="00A7521D">
            <w:pPr>
              <w:pStyle w:val="Caption"/>
              <w:jc w:val="right"/>
              <w:rPr>
                <w:b w:val="0"/>
              </w:rPr>
            </w:pPr>
            <w:r>
              <w:fldChar w:fldCharType="begin"/>
            </w:r>
            <w:r>
              <w:instrText xml:space="preserve"> STYLEREF 1 \s </w:instrText>
            </w:r>
            <w:r>
              <w:fldChar w:fldCharType="separate"/>
            </w:r>
            <w:r w:rsidR="00CB7456">
              <w:rPr>
                <w:noProof/>
              </w:rPr>
              <w:t>13</w:t>
            </w:r>
            <w:r>
              <w:fldChar w:fldCharType="end"/>
            </w:r>
            <w:r>
              <w:t>.</w:t>
            </w:r>
            <w:r>
              <w:rPr>
                <w:noProof/>
              </w:rPr>
              <w:fldChar w:fldCharType="begin"/>
            </w:r>
            <w:r>
              <w:rPr>
                <w:noProof/>
              </w:rPr>
              <w:instrText xml:space="preserve"> SEQ Equation \* ARABIC \s 1 </w:instrText>
            </w:r>
            <w:r>
              <w:rPr>
                <w:noProof/>
              </w:rPr>
              <w:fldChar w:fldCharType="separate"/>
            </w:r>
            <w:r w:rsidR="00CB7456">
              <w:rPr>
                <w:noProof/>
              </w:rPr>
              <w:t>5</w:t>
            </w:r>
            <w:r>
              <w:rPr>
                <w:noProof/>
              </w:rPr>
              <w:fldChar w:fldCharType="end"/>
            </w:r>
            <w:bookmarkEnd w:id="1009"/>
          </w:p>
        </w:tc>
      </w:tr>
    </w:tbl>
    <w:p w14:paraId="011014F0" w14:textId="77777777" w:rsidR="00A7521D" w:rsidRDefault="00A7521D" w:rsidP="00A7521D"/>
    <w:p w14:paraId="60FFDACE" w14:textId="77777777" w:rsidR="00A7521D" w:rsidRDefault="00A7521D" w:rsidP="00A7521D">
      <w:pPr>
        <w:pStyle w:val="NoSpacing"/>
      </w:pPr>
      <m:oMath>
        <m:r>
          <w:rPr>
            <w:rFonts w:ascii="Cambria Math" w:hAnsi="Cambria Math"/>
          </w:rPr>
          <m:t>P</m:t>
        </m:r>
      </m:oMath>
      <w:r>
        <w:t xml:space="preserve"> was HT (kW),</w:t>
      </w:r>
    </w:p>
    <w:p w14:paraId="527A03B4" w14:textId="77777777" w:rsidR="00A7521D" w:rsidRDefault="00A7521D" w:rsidP="00A7521D">
      <w:pPr>
        <w:pStyle w:val="NoSpacing"/>
      </w:pPr>
      <m:oMath>
        <m:r>
          <w:rPr>
            <w:rFonts w:ascii="Cambria Math" w:hAnsi="Cambria Math"/>
          </w:rPr>
          <m:t>U</m:t>
        </m:r>
      </m:oMath>
      <w:r>
        <w:t xml:space="preserve"> was the overall HTC (kW/[m</w:t>
      </w:r>
      <w:r>
        <w:rPr>
          <w:vertAlign w:val="superscript"/>
        </w:rPr>
        <w:t>2</w:t>
      </w:r>
      <w:r>
        <w:t>°C]),</w:t>
      </w:r>
    </w:p>
    <w:p w14:paraId="2DECE0CA" w14:textId="77777777" w:rsidR="00A7521D" w:rsidRDefault="00A7521D" w:rsidP="00A7521D">
      <w:pPr>
        <w:pStyle w:val="NoSpacing"/>
      </w:pPr>
      <m:oMath>
        <m:r>
          <w:rPr>
            <w:rFonts w:ascii="Cambria Math" w:hAnsi="Cambria Math"/>
          </w:rPr>
          <m:t>A</m:t>
        </m:r>
      </m:oMath>
      <w:r>
        <w:t xml:space="preserve"> was the HT SA (m</w:t>
      </w:r>
      <w:r>
        <w:rPr>
          <w:vertAlign w:val="superscript"/>
        </w:rPr>
        <w:t>2</w:t>
      </w:r>
      <w:r>
        <w:t>),</w:t>
      </w:r>
    </w:p>
    <w:p w14:paraId="73787B66" w14:textId="77777777" w:rsidR="00A7521D" w:rsidRDefault="00C73E04" w:rsidP="00A7521D">
      <w:pPr>
        <w:pStyle w:val="NoSpacing"/>
      </w:pPr>
      <m:oMath>
        <m:sSub>
          <m:sSubPr>
            <m:ctrlPr>
              <w:rPr>
                <w:rFonts w:ascii="Cambria Math" w:hAnsi="Cambria Math"/>
                <w:i/>
                <w:iCs/>
              </w:rPr>
            </m:ctrlPr>
          </m:sSubPr>
          <m:e>
            <m:acc>
              <m:accPr>
                <m:chr m:val="̇"/>
                <m:ctrlPr>
                  <w:rPr>
                    <w:rFonts w:ascii="Cambria Math" w:hAnsi="Cambria Math"/>
                    <w:i/>
                    <w:iCs/>
                  </w:rPr>
                </m:ctrlPr>
              </m:accPr>
              <m:e>
                <m:r>
                  <w:rPr>
                    <w:rFonts w:ascii="Cambria Math" w:hAnsi="Cambria Math"/>
                  </w:rPr>
                  <m:t>m</m:t>
                </m:r>
              </m:e>
            </m:acc>
          </m:e>
          <m:sub>
            <m:r>
              <w:rPr>
                <w:rFonts w:ascii="Cambria Math" w:hAnsi="Cambria Math"/>
              </w:rPr>
              <m:t>s</m:t>
            </m:r>
          </m:sub>
        </m:sSub>
      </m:oMath>
      <w:r w:rsidR="00A7521D">
        <w:t xml:space="preserve"> was the shell side fluid mass flowrate (kg/s),</w:t>
      </w:r>
    </w:p>
    <w:p w14:paraId="7022E5F9" w14:textId="690BFA85" w:rsidR="00A7521D" w:rsidRDefault="00C73E04" w:rsidP="00A7521D">
      <w:pPr>
        <w:rPr>
          <w:iCs/>
        </w:rPr>
      </w:pPr>
      <m:oMath>
        <m:sSub>
          <m:sSubPr>
            <m:ctrlPr>
              <w:rPr>
                <w:rFonts w:ascii="Cambria Math" w:hAnsi="Cambria Math"/>
                <w:i/>
                <w:iCs/>
              </w:rPr>
            </m:ctrlPr>
          </m:sSubPr>
          <m:e>
            <m:r>
              <w:rPr>
                <w:rFonts w:ascii="Cambria Math" w:hAnsi="Cambria Math"/>
              </w:rPr>
              <m:t>c</m:t>
            </m:r>
          </m:e>
          <m:sub>
            <m:r>
              <w:rPr>
                <w:rFonts w:ascii="Cambria Math" w:hAnsi="Cambria Math"/>
              </w:rPr>
              <m:t>p,s</m:t>
            </m:r>
          </m:sub>
        </m:sSub>
      </m:oMath>
      <w:r w:rsidR="00A7521D">
        <w:rPr>
          <w:iCs/>
        </w:rPr>
        <w:t xml:space="preserve"> was the shell side fluid specific heat capacity (kJ/[</w:t>
      </w:r>
      <w:proofErr w:type="spellStart"/>
      <w:r w:rsidR="00A7521D">
        <w:rPr>
          <w:iCs/>
        </w:rPr>
        <w:t>kg°C</w:t>
      </w:r>
      <w:proofErr w:type="spellEnd"/>
      <w:r w:rsidR="00A7521D">
        <w:rPr>
          <w:iCs/>
        </w:rPr>
        <w:t>]).</w:t>
      </w:r>
    </w:p>
    <w:p w14:paraId="0B96BF19" w14:textId="23DD3CB9" w:rsidR="00BC45E7" w:rsidRDefault="00BC45E7" w:rsidP="00A7521D">
      <w:pPr>
        <w:rPr>
          <w:iCs/>
        </w:rPr>
      </w:pPr>
      <w:r>
        <w:rPr>
          <w:iCs/>
        </w:rPr>
        <w:t xml:space="preserve">The heat transfer of the HEX is dependent on the overall HTC, the HT SA and the </w:t>
      </w:r>
      <w:r w:rsidR="009F0543">
        <w:t>true temperature difference. Alternatively, it was dependent on the shell side fluid mass flowrate, specific heat capacity and temperature difference.</w:t>
      </w:r>
    </w:p>
    <w:p w14:paraId="05DD6D48" w14:textId="2C89CFA2" w:rsidR="00A7521D" w:rsidRDefault="009F0543" w:rsidP="00A7521D">
      <w:r>
        <w:t>The</w:t>
      </w:r>
      <w:r w:rsidRPr="009F0543">
        <w:t xml:space="preserve"> </w:t>
      </w:r>
      <w:r>
        <w:t>HEX-DP was modelled in an iterative manner. To begin the iterative calculations, t</w:t>
      </w:r>
      <w:r w:rsidR="00A7521D">
        <w:t xml:space="preserve">he initial estimate at the overall HTC was calculated using Table 12.1 </w:t>
      </w:r>
      <w:r w:rsidR="00A7521D">
        <w:fldChar w:fldCharType="begin" w:fldLock="1"/>
      </w:r>
      <w:r w:rsidR="002A6A73">
        <w:instrText>ADDIN CSL_CITATION {"citationItems":[{"id":"ITEM-1","itemData":{"ISBN":"978-0-7506-6538-4","author":[{"dropping-particle":"","family":"Sinnott","given":"R.K.","non-dropping-particle":"","parse-names":false,"suffix":""}],"edition":"4","id":"ITEM-1","issued":{"date-parts":[["2005"]]},"number-of-pages":"60 - 132","publisher":"Elsevier","publisher-place":"Oxford, England","title":"Coulson and Richardson's Chemical Engineering Volume 6 - Chemical Engineering Design","type":"book"},"uris":["http://www.mendeley.com/documents/?uuid=8e00b24b-1ea1-4b70-9865-3b5bcae659ed"]}],"mendeley":{"formattedCitation":"(Sinnott, 2005b)","plainTextFormattedCitation":"(Sinnott, 2005b)","previouslyFormattedCitation":"(Sinnott, 2005b)"},"properties":{"noteIndex":0},"schema":"https://github.com/citation-style-language/schema/raw/master/csl-citation.json"}</w:instrText>
      </w:r>
      <w:r w:rsidR="00A7521D">
        <w:fldChar w:fldCharType="separate"/>
      </w:r>
      <w:r w:rsidR="002A6A73" w:rsidRPr="002A6A73">
        <w:rPr>
          <w:noProof/>
        </w:rPr>
        <w:t>(Sinnott, 2005b)</w:t>
      </w:r>
      <w:r w:rsidR="00A7521D">
        <w:fldChar w:fldCharType="end"/>
      </w:r>
      <w:r w:rsidR="00A7521D">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37"/>
        <w:gridCol w:w="239"/>
        <w:gridCol w:w="822"/>
      </w:tblGrid>
      <w:tr w:rsidR="00A7521D" w14:paraId="635DA481" w14:textId="77777777" w:rsidTr="00A7521D">
        <w:tc>
          <w:tcPr>
            <w:tcW w:w="7137" w:type="dxa"/>
            <w:hideMark/>
          </w:tcPr>
          <w:p w14:paraId="1AB62552" w14:textId="77777777" w:rsidR="00A7521D" w:rsidRDefault="00C73E04" w:rsidP="00A7521D">
            <w:pPr>
              <w:keepNext/>
              <w:rPr>
                <w:color w:val="FFFFFF"/>
              </w:rPr>
            </w:pPr>
            <m:oMathPara>
              <m:oMathParaPr>
                <m:jc m:val="left"/>
              </m:oMathParaPr>
              <m:oMath>
                <m:sSub>
                  <m:sSubPr>
                    <m:ctrlPr>
                      <w:rPr>
                        <w:rFonts w:ascii="Cambria Math" w:hAnsi="Cambria Math"/>
                        <w:i/>
                        <w:iCs/>
                      </w:rPr>
                    </m:ctrlPr>
                  </m:sSubPr>
                  <m:e>
                    <m:r>
                      <w:rPr>
                        <w:rFonts w:ascii="Cambria Math" w:hAnsi="Cambria Math"/>
                      </w:rPr>
                      <m:t>A</m:t>
                    </m:r>
                  </m:e>
                  <m:sub>
                    <m:r>
                      <w:rPr>
                        <w:rFonts w:ascii="Cambria Math" w:hAnsi="Cambria Math"/>
                      </w:rPr>
                      <m:t>SA</m:t>
                    </m:r>
                  </m:sub>
                </m:sSub>
                <m:r>
                  <w:rPr>
                    <w:rFonts w:ascii="Cambria Math" w:hAnsi="Cambria Math"/>
                  </w:rPr>
                  <m:t>=π</m:t>
                </m:r>
                <m:sSub>
                  <m:sSubPr>
                    <m:ctrlPr>
                      <w:rPr>
                        <w:rFonts w:ascii="Cambria Math" w:hAnsi="Cambria Math"/>
                        <w:i/>
                        <w:iCs/>
                      </w:rPr>
                    </m:ctrlPr>
                  </m:sSubPr>
                  <m:e>
                    <m:r>
                      <w:rPr>
                        <w:rFonts w:ascii="Cambria Math" w:hAnsi="Cambria Math"/>
                      </w:rPr>
                      <m:t>D</m:t>
                    </m:r>
                  </m:e>
                  <m:sub>
                    <m:r>
                      <w:rPr>
                        <w:rFonts w:ascii="Cambria Math" w:hAnsi="Cambria Math"/>
                      </w:rPr>
                      <m:t>o</m:t>
                    </m:r>
                  </m:sub>
                </m:sSub>
                <m:r>
                  <w:rPr>
                    <w:rFonts w:ascii="Cambria Math" w:hAnsi="Cambria Math"/>
                  </w:rPr>
                  <m:t>L</m:t>
                </m:r>
              </m:oMath>
            </m:oMathPara>
          </w:p>
        </w:tc>
        <w:tc>
          <w:tcPr>
            <w:tcW w:w="239" w:type="dxa"/>
            <w:hideMark/>
          </w:tcPr>
          <w:p w14:paraId="58C27D2D" w14:textId="77777777" w:rsidR="00A7521D" w:rsidRDefault="00A7521D" w:rsidP="00A7521D">
            <w:pPr>
              <w:pStyle w:val="Caption"/>
              <w:jc w:val="right"/>
            </w:pPr>
            <w:r>
              <w:t xml:space="preserve"> </w:t>
            </w:r>
          </w:p>
        </w:tc>
        <w:tc>
          <w:tcPr>
            <w:tcW w:w="822" w:type="dxa"/>
            <w:vAlign w:val="center"/>
            <w:hideMark/>
          </w:tcPr>
          <w:p w14:paraId="3848FEA4" w14:textId="61272CBE" w:rsidR="00A7521D" w:rsidRDefault="00A7521D" w:rsidP="00A7521D">
            <w:pPr>
              <w:pStyle w:val="Caption"/>
              <w:jc w:val="right"/>
              <w:rPr>
                <w:b w:val="0"/>
              </w:rPr>
            </w:pPr>
            <w:r>
              <w:rPr>
                <w:noProof/>
              </w:rPr>
              <w:fldChar w:fldCharType="begin"/>
            </w:r>
            <w:r>
              <w:rPr>
                <w:noProof/>
              </w:rPr>
              <w:instrText xml:space="preserve"> STYLEREF 1 \s </w:instrText>
            </w:r>
            <w:r>
              <w:rPr>
                <w:noProof/>
              </w:rPr>
              <w:fldChar w:fldCharType="separate"/>
            </w:r>
            <w:r w:rsidR="00CB7456">
              <w:rPr>
                <w:noProof/>
              </w:rPr>
              <w:t>13</w:t>
            </w:r>
            <w:r>
              <w:rPr>
                <w:noProof/>
              </w:rPr>
              <w:fldChar w:fldCharType="end"/>
            </w:r>
            <w:r>
              <w:rPr>
                <w:noProof/>
              </w:rPr>
              <w:t>.</w:t>
            </w:r>
            <w:r>
              <w:rPr>
                <w:noProof/>
              </w:rPr>
              <w:fldChar w:fldCharType="begin"/>
            </w:r>
            <w:r>
              <w:rPr>
                <w:noProof/>
              </w:rPr>
              <w:instrText xml:space="preserve"> SEQ Equation \* ARABIC \s 1 </w:instrText>
            </w:r>
            <w:r>
              <w:rPr>
                <w:noProof/>
              </w:rPr>
              <w:fldChar w:fldCharType="separate"/>
            </w:r>
            <w:r w:rsidR="00CB7456">
              <w:rPr>
                <w:noProof/>
              </w:rPr>
              <w:t>6</w:t>
            </w:r>
            <w:r>
              <w:rPr>
                <w:noProof/>
              </w:rPr>
              <w:fldChar w:fldCharType="end"/>
            </w:r>
          </w:p>
        </w:tc>
      </w:tr>
    </w:tbl>
    <w:p w14:paraId="1A7CDB48" w14:textId="77777777" w:rsidR="00A7521D" w:rsidRDefault="00A7521D" w:rsidP="00A7521D"/>
    <w:p w14:paraId="42F51AA5" w14:textId="77777777" w:rsidR="00A7521D" w:rsidRPr="002312FB" w:rsidRDefault="00C73E04" w:rsidP="00A7521D">
      <w:pPr>
        <w:pStyle w:val="NoSpacing"/>
      </w:pPr>
      <m:oMath>
        <m:sSub>
          <m:sSubPr>
            <m:ctrlPr>
              <w:rPr>
                <w:rFonts w:ascii="Cambria Math" w:hAnsi="Cambria Math"/>
                <w:i/>
                <w:iCs/>
              </w:rPr>
            </m:ctrlPr>
          </m:sSubPr>
          <m:e>
            <m:r>
              <w:rPr>
                <w:rFonts w:ascii="Cambria Math" w:hAnsi="Cambria Math"/>
              </w:rPr>
              <m:t>A</m:t>
            </m:r>
          </m:e>
          <m:sub>
            <m:r>
              <w:rPr>
                <w:rFonts w:ascii="Cambria Math" w:hAnsi="Cambria Math"/>
              </w:rPr>
              <m:t>SA</m:t>
            </m:r>
          </m:sub>
        </m:sSub>
      </m:oMath>
      <w:r w:rsidR="00A7521D">
        <w:rPr>
          <w:iCs/>
        </w:rPr>
        <w:t xml:space="preserve"> was the HT</w:t>
      </w:r>
      <w:r w:rsidR="00A7521D">
        <w:t xml:space="preserve"> SA of one tube (m</w:t>
      </w:r>
      <w:r w:rsidR="00A7521D">
        <w:rPr>
          <w:vertAlign w:val="superscript"/>
        </w:rPr>
        <w:t>2</w:t>
      </w:r>
      <w:r w:rsidR="00A7521D">
        <w:t>),</w:t>
      </w:r>
    </w:p>
    <w:p w14:paraId="500BFC57" w14:textId="77777777" w:rsidR="00A7521D" w:rsidRDefault="00C73E04" w:rsidP="00A7521D">
      <w:pPr>
        <w:pStyle w:val="NoSpacing"/>
        <w:rPr>
          <w:iCs/>
        </w:rPr>
      </w:pPr>
      <m:oMath>
        <m:sSub>
          <m:sSubPr>
            <m:ctrlPr>
              <w:rPr>
                <w:rFonts w:ascii="Cambria Math" w:hAnsi="Cambria Math"/>
                <w:i/>
                <w:iCs/>
              </w:rPr>
            </m:ctrlPr>
          </m:sSubPr>
          <m:e>
            <m:r>
              <w:rPr>
                <w:rFonts w:ascii="Cambria Math" w:hAnsi="Cambria Math"/>
              </w:rPr>
              <m:t>D</m:t>
            </m:r>
          </m:e>
          <m:sub>
            <m:r>
              <w:rPr>
                <w:rFonts w:ascii="Cambria Math" w:hAnsi="Cambria Math"/>
              </w:rPr>
              <m:t>o</m:t>
            </m:r>
          </m:sub>
        </m:sSub>
      </m:oMath>
      <w:r w:rsidR="00A7521D">
        <w:rPr>
          <w:iCs/>
        </w:rPr>
        <w:t xml:space="preserve"> was the outer diameter of a single tube (m),</w:t>
      </w:r>
    </w:p>
    <w:p w14:paraId="76DC6B9F" w14:textId="3DEF4CF3" w:rsidR="00A7521D" w:rsidRDefault="00A7521D" w:rsidP="00A7521D">
      <w:pPr>
        <w:rPr>
          <w:iCs/>
        </w:rPr>
      </w:pPr>
      <m:oMath>
        <m:r>
          <w:rPr>
            <w:rFonts w:ascii="Cambria Math" w:hAnsi="Cambria Math"/>
          </w:rPr>
          <m:t>L</m:t>
        </m:r>
      </m:oMath>
      <w:r>
        <w:rPr>
          <w:iCs/>
        </w:rPr>
        <w:t xml:space="preserve"> was the tube length (m).</w:t>
      </w:r>
    </w:p>
    <w:p w14:paraId="2067CA9D" w14:textId="023C6DA3" w:rsidR="009F0543" w:rsidRDefault="009F0543" w:rsidP="00A7521D">
      <w:pPr>
        <w:rPr>
          <w:iCs/>
        </w:rPr>
      </w:pPr>
      <w:r>
        <w:rPr>
          <w:iCs/>
        </w:rPr>
        <w:t>The HT SA of a single tube was directly proportional to the outer diameter and length of that tube.</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37"/>
        <w:gridCol w:w="239"/>
        <w:gridCol w:w="822"/>
      </w:tblGrid>
      <w:tr w:rsidR="00A7521D" w14:paraId="4E9DB64E" w14:textId="77777777" w:rsidTr="00A7521D">
        <w:tc>
          <w:tcPr>
            <w:tcW w:w="7137" w:type="dxa"/>
            <w:hideMark/>
          </w:tcPr>
          <w:p w14:paraId="0119A0B0" w14:textId="77777777" w:rsidR="00A7521D" w:rsidRDefault="00C73E04" w:rsidP="00A7521D">
            <w:pPr>
              <w:keepNext/>
              <w:rPr>
                <w:color w:val="FFFFFF"/>
              </w:rPr>
            </w:pPr>
            <m:oMathPara>
              <m:oMathParaPr>
                <m:jc m:val="left"/>
              </m:oMathParaPr>
              <m:oMath>
                <m:sSub>
                  <m:sSubPr>
                    <m:ctrlPr>
                      <w:rPr>
                        <w:rFonts w:ascii="Cambria Math" w:hAnsi="Cambria Math"/>
                        <w:i/>
                        <w:iCs/>
                      </w:rPr>
                    </m:ctrlPr>
                  </m:sSubPr>
                  <m:e>
                    <m:r>
                      <w:rPr>
                        <w:rFonts w:ascii="Cambria Math" w:hAnsi="Cambria Math"/>
                      </w:rPr>
                      <m:t>N</m:t>
                    </m:r>
                  </m:e>
                  <m:sub>
                    <m:r>
                      <w:rPr>
                        <w:rFonts w:ascii="Cambria Math" w:hAnsi="Cambria Math"/>
                      </w:rPr>
                      <m:t>tu</m:t>
                    </m:r>
                  </m:sub>
                </m:sSub>
                <m:r>
                  <w:rPr>
                    <w:rFonts w:ascii="Cambria Math" w:hAnsi="Cambria Math"/>
                  </w:rPr>
                  <m:t>=</m:t>
                </m:r>
                <m:f>
                  <m:fPr>
                    <m:ctrlPr>
                      <w:rPr>
                        <w:rFonts w:ascii="Cambria Math" w:hAnsi="Cambria Math"/>
                        <w:i/>
                        <w:iCs/>
                      </w:rPr>
                    </m:ctrlPr>
                  </m:fPr>
                  <m:num>
                    <m:r>
                      <w:rPr>
                        <w:rFonts w:ascii="Cambria Math" w:hAnsi="Cambria Math"/>
                      </w:rPr>
                      <m:t>A</m:t>
                    </m:r>
                  </m:num>
                  <m:den>
                    <m:sSub>
                      <m:sSubPr>
                        <m:ctrlPr>
                          <w:rPr>
                            <w:rFonts w:ascii="Cambria Math" w:hAnsi="Cambria Math"/>
                            <w:i/>
                            <w:iCs/>
                          </w:rPr>
                        </m:ctrlPr>
                      </m:sSubPr>
                      <m:e>
                        <m:r>
                          <w:rPr>
                            <w:rFonts w:ascii="Cambria Math" w:hAnsi="Cambria Math"/>
                          </w:rPr>
                          <m:t>A</m:t>
                        </m:r>
                      </m:e>
                      <m:sub>
                        <m:r>
                          <w:rPr>
                            <w:rFonts w:ascii="Cambria Math" w:hAnsi="Cambria Math"/>
                          </w:rPr>
                          <m:t>SA</m:t>
                        </m:r>
                      </m:sub>
                    </m:sSub>
                  </m:den>
                </m:f>
              </m:oMath>
            </m:oMathPara>
          </w:p>
        </w:tc>
        <w:tc>
          <w:tcPr>
            <w:tcW w:w="239" w:type="dxa"/>
            <w:hideMark/>
          </w:tcPr>
          <w:p w14:paraId="4F361F08" w14:textId="77777777" w:rsidR="00A7521D" w:rsidRDefault="00A7521D" w:rsidP="00A7521D">
            <w:pPr>
              <w:pStyle w:val="Caption"/>
              <w:jc w:val="right"/>
            </w:pPr>
            <w:r>
              <w:t xml:space="preserve"> </w:t>
            </w:r>
          </w:p>
        </w:tc>
        <w:bookmarkStart w:id="1010" w:name="_Ref531166271"/>
        <w:tc>
          <w:tcPr>
            <w:tcW w:w="822" w:type="dxa"/>
            <w:vAlign w:val="center"/>
            <w:hideMark/>
          </w:tcPr>
          <w:p w14:paraId="6A515E5B" w14:textId="32DF2981" w:rsidR="00A7521D" w:rsidRDefault="00A7521D" w:rsidP="00A7521D">
            <w:pPr>
              <w:pStyle w:val="Caption"/>
              <w:jc w:val="right"/>
              <w:rPr>
                <w:b w:val="0"/>
              </w:rPr>
            </w:pPr>
            <w:r>
              <w:rPr>
                <w:noProof/>
              </w:rPr>
              <w:fldChar w:fldCharType="begin"/>
            </w:r>
            <w:r>
              <w:rPr>
                <w:noProof/>
              </w:rPr>
              <w:instrText xml:space="preserve"> STYLEREF 1 \s </w:instrText>
            </w:r>
            <w:r>
              <w:rPr>
                <w:noProof/>
              </w:rPr>
              <w:fldChar w:fldCharType="separate"/>
            </w:r>
            <w:r w:rsidR="00CB7456">
              <w:rPr>
                <w:noProof/>
              </w:rPr>
              <w:t>13</w:t>
            </w:r>
            <w:r>
              <w:rPr>
                <w:noProof/>
              </w:rPr>
              <w:fldChar w:fldCharType="end"/>
            </w:r>
            <w:r>
              <w:rPr>
                <w:noProof/>
              </w:rPr>
              <w:t>.</w:t>
            </w:r>
            <w:r>
              <w:rPr>
                <w:noProof/>
              </w:rPr>
              <w:fldChar w:fldCharType="begin"/>
            </w:r>
            <w:r>
              <w:rPr>
                <w:noProof/>
              </w:rPr>
              <w:instrText xml:space="preserve"> SEQ Equation \* ARABIC \s 1 </w:instrText>
            </w:r>
            <w:r>
              <w:rPr>
                <w:noProof/>
              </w:rPr>
              <w:fldChar w:fldCharType="separate"/>
            </w:r>
            <w:r w:rsidR="00CB7456">
              <w:rPr>
                <w:noProof/>
              </w:rPr>
              <w:t>7</w:t>
            </w:r>
            <w:r>
              <w:rPr>
                <w:noProof/>
              </w:rPr>
              <w:fldChar w:fldCharType="end"/>
            </w:r>
            <w:bookmarkEnd w:id="1010"/>
          </w:p>
        </w:tc>
      </w:tr>
    </w:tbl>
    <w:p w14:paraId="1367A1BC" w14:textId="77777777" w:rsidR="00A7521D" w:rsidRDefault="00A7521D" w:rsidP="00A7521D">
      <w:pPr>
        <w:rPr>
          <w:iCs/>
        </w:rPr>
      </w:pPr>
    </w:p>
    <w:p w14:paraId="09B46325" w14:textId="6346AAC7" w:rsidR="00A7521D" w:rsidRDefault="00C73E04" w:rsidP="00A7521D">
      <w:pPr>
        <w:rPr>
          <w:iCs/>
        </w:rPr>
      </w:pPr>
      <m:oMath>
        <m:sSub>
          <m:sSubPr>
            <m:ctrlPr>
              <w:rPr>
                <w:rFonts w:ascii="Cambria Math" w:hAnsi="Cambria Math"/>
                <w:i/>
                <w:iCs/>
              </w:rPr>
            </m:ctrlPr>
          </m:sSubPr>
          <m:e>
            <m:r>
              <w:rPr>
                <w:rFonts w:ascii="Cambria Math" w:hAnsi="Cambria Math"/>
              </w:rPr>
              <m:t>N</m:t>
            </m:r>
          </m:e>
          <m:sub>
            <m:r>
              <w:rPr>
                <w:rFonts w:ascii="Cambria Math" w:hAnsi="Cambria Math"/>
              </w:rPr>
              <m:t>tu</m:t>
            </m:r>
          </m:sub>
        </m:sSub>
      </m:oMath>
      <w:r w:rsidR="00A7521D">
        <w:rPr>
          <w:iCs/>
        </w:rPr>
        <w:t xml:space="preserve"> was the number of tubes.</w:t>
      </w:r>
    </w:p>
    <w:p w14:paraId="291286B6" w14:textId="41923EA0" w:rsidR="009F0543" w:rsidRDefault="009F0543" w:rsidP="00A7521D">
      <w:pPr>
        <w:rPr>
          <w:iCs/>
        </w:rPr>
      </w:pPr>
      <w:r>
        <w:rPr>
          <w:iCs/>
        </w:rPr>
        <w:lastRenderedPageBreak/>
        <w:t xml:space="preserve">The number of tubes in the </w:t>
      </w:r>
      <w:r>
        <w:t>HEX-DP was dependent on the overall HEX SA and the HT SA of a single tube.</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37"/>
        <w:gridCol w:w="239"/>
        <w:gridCol w:w="822"/>
      </w:tblGrid>
      <w:tr w:rsidR="00A7521D" w14:paraId="5D0F38B6" w14:textId="77777777" w:rsidTr="00A7521D">
        <w:tc>
          <w:tcPr>
            <w:tcW w:w="7137" w:type="dxa"/>
            <w:hideMark/>
          </w:tcPr>
          <w:p w14:paraId="684C3E9B" w14:textId="77777777" w:rsidR="00A7521D" w:rsidRDefault="00C73E04" w:rsidP="00A7521D">
            <w:pPr>
              <w:keepNext/>
              <w:rPr>
                <w:color w:val="FFFFFF"/>
              </w:rPr>
            </w:pPr>
            <m:oMathPara>
              <m:oMathParaPr>
                <m:jc m:val="left"/>
              </m:oMathParaPr>
              <m:oMath>
                <m:sSub>
                  <m:sSubPr>
                    <m:ctrlPr>
                      <w:rPr>
                        <w:rFonts w:ascii="Cambria Math" w:hAnsi="Cambria Math"/>
                        <w:i/>
                        <w:iCs/>
                      </w:rPr>
                    </m:ctrlPr>
                  </m:sSubPr>
                  <m:e>
                    <m:r>
                      <w:rPr>
                        <w:rFonts w:ascii="Cambria Math" w:hAnsi="Cambria Math"/>
                      </w:rPr>
                      <m:t>D</m:t>
                    </m:r>
                  </m:e>
                  <m:sub>
                    <m:r>
                      <w:rPr>
                        <w:rFonts w:ascii="Cambria Math" w:hAnsi="Cambria Math"/>
                      </w:rPr>
                      <m:t>bu</m:t>
                    </m:r>
                  </m:sub>
                </m:sSub>
                <m:r>
                  <w:rPr>
                    <w:rFonts w:ascii="Cambria Math" w:hAnsi="Cambria Math"/>
                  </w:rPr>
                  <m:t>=</m:t>
                </m:r>
                <m:sSub>
                  <m:sSubPr>
                    <m:ctrlPr>
                      <w:rPr>
                        <w:rFonts w:ascii="Cambria Math" w:hAnsi="Cambria Math"/>
                        <w:i/>
                        <w:iCs/>
                      </w:rPr>
                    </m:ctrlPr>
                  </m:sSubPr>
                  <m:e>
                    <m:r>
                      <w:rPr>
                        <w:rFonts w:ascii="Cambria Math" w:hAnsi="Cambria Math"/>
                      </w:rPr>
                      <m:t>D</m:t>
                    </m:r>
                  </m:e>
                  <m:sub>
                    <m:r>
                      <w:rPr>
                        <w:rFonts w:ascii="Cambria Math" w:hAnsi="Cambria Math"/>
                      </w:rPr>
                      <m:t>o</m:t>
                    </m:r>
                  </m:sub>
                </m:sSub>
                <m:sSup>
                  <m:sSupPr>
                    <m:ctrlPr>
                      <w:rPr>
                        <w:rFonts w:ascii="Cambria Math" w:hAnsi="Cambria Math"/>
                        <w:i/>
                        <w:iCs/>
                      </w:rPr>
                    </m:ctrlPr>
                  </m:sSupPr>
                  <m:e>
                    <m:d>
                      <m:dPr>
                        <m:ctrlPr>
                          <w:rPr>
                            <w:rFonts w:ascii="Cambria Math" w:hAnsi="Cambria Math"/>
                            <w:i/>
                            <w:iCs/>
                          </w:rPr>
                        </m:ctrlPr>
                      </m:dPr>
                      <m:e>
                        <m:f>
                          <m:fPr>
                            <m:ctrlPr>
                              <w:rPr>
                                <w:rFonts w:ascii="Cambria Math" w:hAnsi="Cambria Math"/>
                                <w:i/>
                                <w:iCs/>
                              </w:rPr>
                            </m:ctrlPr>
                          </m:fPr>
                          <m:num>
                            <m:sSub>
                              <m:sSubPr>
                                <m:ctrlPr>
                                  <w:rPr>
                                    <w:rFonts w:ascii="Cambria Math" w:hAnsi="Cambria Math"/>
                                    <w:i/>
                                    <w:iCs/>
                                  </w:rPr>
                                </m:ctrlPr>
                              </m:sSubPr>
                              <m:e>
                                <m:r>
                                  <w:rPr>
                                    <w:rFonts w:ascii="Cambria Math" w:hAnsi="Cambria Math"/>
                                  </w:rPr>
                                  <m:t>N</m:t>
                                </m:r>
                              </m:e>
                              <m:sub>
                                <m:r>
                                  <w:rPr>
                                    <w:rFonts w:ascii="Cambria Math" w:hAnsi="Cambria Math"/>
                                  </w:rPr>
                                  <m:t>tu</m:t>
                                </m:r>
                              </m:sub>
                            </m:sSub>
                          </m:num>
                          <m:den>
                            <m:sSub>
                              <m:sSubPr>
                                <m:ctrlPr>
                                  <w:rPr>
                                    <w:rFonts w:ascii="Cambria Math" w:hAnsi="Cambria Math"/>
                                    <w:i/>
                                    <w:iCs/>
                                  </w:rPr>
                                </m:ctrlPr>
                              </m:sSubPr>
                              <m:e>
                                <m:r>
                                  <w:rPr>
                                    <w:rFonts w:ascii="Cambria Math" w:hAnsi="Cambria Math"/>
                                  </w:rPr>
                                  <m:t>K</m:t>
                                </m:r>
                              </m:e>
                              <m:sub>
                                <m:r>
                                  <w:rPr>
                                    <w:rFonts w:ascii="Cambria Math" w:hAnsi="Cambria Math"/>
                                  </w:rPr>
                                  <m:t>1</m:t>
                                </m:r>
                              </m:sub>
                            </m:sSub>
                          </m:den>
                        </m:f>
                      </m:e>
                    </m:d>
                  </m:e>
                  <m:sup>
                    <m:f>
                      <m:fPr>
                        <m:ctrlPr>
                          <w:rPr>
                            <w:rFonts w:ascii="Cambria Math" w:hAnsi="Cambria Math"/>
                            <w:i/>
                            <w:iCs/>
                          </w:rPr>
                        </m:ctrlPr>
                      </m:fPr>
                      <m:num>
                        <m:r>
                          <w:rPr>
                            <w:rFonts w:ascii="Cambria Math" w:hAnsi="Cambria Math"/>
                          </w:rPr>
                          <m:t>1</m:t>
                        </m:r>
                      </m:num>
                      <m:den>
                        <m:sSub>
                          <m:sSubPr>
                            <m:ctrlPr>
                              <w:rPr>
                                <w:rFonts w:ascii="Cambria Math" w:hAnsi="Cambria Math"/>
                                <w:i/>
                                <w:iCs/>
                              </w:rPr>
                            </m:ctrlPr>
                          </m:sSubPr>
                          <m:e>
                            <m:r>
                              <w:rPr>
                                <w:rFonts w:ascii="Cambria Math" w:hAnsi="Cambria Math"/>
                              </w:rPr>
                              <m:t>n</m:t>
                            </m:r>
                          </m:e>
                          <m:sub>
                            <m:r>
                              <w:rPr>
                                <w:rFonts w:ascii="Cambria Math" w:hAnsi="Cambria Math"/>
                              </w:rPr>
                              <m:t>1</m:t>
                            </m:r>
                          </m:sub>
                        </m:sSub>
                      </m:den>
                    </m:f>
                  </m:sup>
                </m:sSup>
              </m:oMath>
            </m:oMathPara>
          </w:p>
        </w:tc>
        <w:tc>
          <w:tcPr>
            <w:tcW w:w="239" w:type="dxa"/>
            <w:hideMark/>
          </w:tcPr>
          <w:p w14:paraId="500ABB0A" w14:textId="77777777" w:rsidR="00A7521D" w:rsidRDefault="00A7521D" w:rsidP="00A7521D">
            <w:pPr>
              <w:pStyle w:val="Caption"/>
              <w:jc w:val="right"/>
            </w:pPr>
            <w:r>
              <w:t xml:space="preserve"> </w:t>
            </w:r>
          </w:p>
        </w:tc>
        <w:bookmarkStart w:id="1011" w:name="_Ref531105358"/>
        <w:tc>
          <w:tcPr>
            <w:tcW w:w="822" w:type="dxa"/>
            <w:vAlign w:val="center"/>
            <w:hideMark/>
          </w:tcPr>
          <w:p w14:paraId="46B65CB4" w14:textId="59643775" w:rsidR="00A7521D" w:rsidRDefault="00A7521D" w:rsidP="00A7521D">
            <w:pPr>
              <w:pStyle w:val="Caption"/>
              <w:jc w:val="right"/>
              <w:rPr>
                <w:b w:val="0"/>
              </w:rPr>
            </w:pPr>
            <w:r>
              <w:fldChar w:fldCharType="begin"/>
            </w:r>
            <w:r>
              <w:instrText xml:space="preserve"> STYLEREF 1 \s </w:instrText>
            </w:r>
            <w:r>
              <w:fldChar w:fldCharType="separate"/>
            </w:r>
            <w:r w:rsidR="00CB7456">
              <w:rPr>
                <w:noProof/>
              </w:rPr>
              <w:t>13</w:t>
            </w:r>
            <w:r>
              <w:fldChar w:fldCharType="end"/>
            </w:r>
            <w:r>
              <w:t>.</w:t>
            </w:r>
            <w:r>
              <w:rPr>
                <w:noProof/>
              </w:rPr>
              <w:fldChar w:fldCharType="begin"/>
            </w:r>
            <w:r>
              <w:rPr>
                <w:noProof/>
              </w:rPr>
              <w:instrText xml:space="preserve"> SEQ Equation \* ARABIC \s 1 </w:instrText>
            </w:r>
            <w:r>
              <w:rPr>
                <w:noProof/>
              </w:rPr>
              <w:fldChar w:fldCharType="separate"/>
            </w:r>
            <w:r w:rsidR="00CB7456">
              <w:rPr>
                <w:noProof/>
              </w:rPr>
              <w:t>8</w:t>
            </w:r>
            <w:r>
              <w:rPr>
                <w:noProof/>
              </w:rPr>
              <w:fldChar w:fldCharType="end"/>
            </w:r>
            <w:bookmarkEnd w:id="1011"/>
          </w:p>
        </w:tc>
      </w:tr>
    </w:tbl>
    <w:p w14:paraId="2BFF775C" w14:textId="77777777" w:rsidR="00A7521D" w:rsidRDefault="00A7521D" w:rsidP="00A7521D">
      <w:pPr>
        <w:rPr>
          <w:iCs/>
        </w:rPr>
      </w:pPr>
    </w:p>
    <w:p w14:paraId="0292C4B7" w14:textId="77777777" w:rsidR="00A7521D" w:rsidRDefault="00C73E04" w:rsidP="00A7521D">
      <w:pPr>
        <w:pStyle w:val="NoSpacing"/>
      </w:pPr>
      <m:oMath>
        <m:sSub>
          <m:sSubPr>
            <m:ctrlPr>
              <w:rPr>
                <w:rFonts w:ascii="Cambria Math" w:hAnsi="Cambria Math"/>
                <w:i/>
              </w:rPr>
            </m:ctrlPr>
          </m:sSubPr>
          <m:e>
            <m:r>
              <w:rPr>
                <w:rFonts w:ascii="Cambria Math" w:hAnsi="Cambria Math"/>
              </w:rPr>
              <m:t>D</m:t>
            </m:r>
          </m:e>
          <m:sub>
            <m:r>
              <w:rPr>
                <w:rFonts w:ascii="Cambria Math" w:hAnsi="Cambria Math"/>
              </w:rPr>
              <m:t>bu</m:t>
            </m:r>
          </m:sub>
        </m:sSub>
      </m:oMath>
      <w:r w:rsidR="00A7521D">
        <w:t xml:space="preserve"> was the tube bundle diameter (m),</w:t>
      </w:r>
    </w:p>
    <w:p w14:paraId="53914E1C" w14:textId="77777777" w:rsidR="00A7521D" w:rsidRDefault="00C73E04" w:rsidP="00A7521D">
      <w:pPr>
        <w:pStyle w:val="NoSpacing"/>
      </w:pPr>
      <m:oMath>
        <m:sSub>
          <m:sSubPr>
            <m:ctrlPr>
              <w:rPr>
                <w:rFonts w:ascii="Cambria Math" w:hAnsi="Cambria Math"/>
                <w:i/>
              </w:rPr>
            </m:ctrlPr>
          </m:sSubPr>
          <m:e>
            <m:r>
              <w:rPr>
                <w:rFonts w:ascii="Cambria Math" w:hAnsi="Cambria Math"/>
              </w:rPr>
              <m:t>K</m:t>
            </m:r>
          </m:e>
          <m:sub>
            <m:r>
              <w:rPr>
                <w:rFonts w:ascii="Cambria Math" w:hAnsi="Cambria Math"/>
              </w:rPr>
              <m:t>1</m:t>
            </m:r>
          </m:sub>
        </m:sSub>
      </m:oMath>
      <w:r w:rsidR="00A7521D">
        <w:t xml:space="preserve"> was a constant,</w:t>
      </w:r>
    </w:p>
    <w:p w14:paraId="086E79C5" w14:textId="22795D43" w:rsidR="00A7521D" w:rsidRDefault="00C73E04" w:rsidP="00A7521D">
      <w:pPr>
        <w:rPr>
          <w:iCs/>
        </w:rPr>
      </w:pPr>
      <m:oMath>
        <m:sSub>
          <m:sSubPr>
            <m:ctrlPr>
              <w:rPr>
                <w:rFonts w:ascii="Cambria Math" w:hAnsi="Cambria Math"/>
                <w:i/>
                <w:iCs/>
              </w:rPr>
            </m:ctrlPr>
          </m:sSubPr>
          <m:e>
            <m:r>
              <w:rPr>
                <w:rFonts w:ascii="Cambria Math" w:hAnsi="Cambria Math"/>
              </w:rPr>
              <m:t>n</m:t>
            </m:r>
          </m:e>
          <m:sub>
            <m:r>
              <w:rPr>
                <w:rFonts w:ascii="Cambria Math" w:hAnsi="Cambria Math"/>
              </w:rPr>
              <m:t>1</m:t>
            </m:r>
          </m:sub>
        </m:sSub>
      </m:oMath>
      <w:r w:rsidR="00A7521D">
        <w:rPr>
          <w:iCs/>
        </w:rPr>
        <w:t xml:space="preserve"> was a constant.</w:t>
      </w:r>
    </w:p>
    <w:p w14:paraId="11422CC6" w14:textId="5544525B" w:rsidR="00A7521D" w:rsidRDefault="009F0543" w:rsidP="00A7521D">
      <w:pPr>
        <w:rPr>
          <w:iCs/>
        </w:rPr>
      </w:pPr>
      <w:r>
        <w:rPr>
          <w:iCs/>
        </w:rPr>
        <w:t xml:space="preserve">The tube bundle diameter was dependent on the outer diameter of a single tube, the number of tubes and constants </w:t>
      </w:r>
      <m:oMath>
        <m:sSub>
          <m:sSubPr>
            <m:ctrlPr>
              <w:rPr>
                <w:rFonts w:ascii="Cambria Math" w:hAnsi="Cambria Math"/>
                <w:i/>
              </w:rPr>
            </m:ctrlPr>
          </m:sSubPr>
          <m:e>
            <m:r>
              <w:rPr>
                <w:rFonts w:ascii="Cambria Math" w:hAnsi="Cambria Math"/>
              </w:rPr>
              <m:t>K</m:t>
            </m:r>
          </m:e>
          <m:sub>
            <m:r>
              <w:rPr>
                <w:rFonts w:ascii="Cambria Math" w:hAnsi="Cambria Math"/>
              </w:rPr>
              <m:t>1</m:t>
            </m:r>
          </m:sub>
        </m:sSub>
      </m:oMath>
      <w:r>
        <w:t xml:space="preserve"> and </w:t>
      </w:r>
      <m:oMath>
        <m:sSub>
          <m:sSubPr>
            <m:ctrlPr>
              <w:rPr>
                <w:rFonts w:ascii="Cambria Math" w:hAnsi="Cambria Math"/>
                <w:i/>
                <w:iCs/>
              </w:rPr>
            </m:ctrlPr>
          </m:sSubPr>
          <m:e>
            <m:r>
              <w:rPr>
                <w:rFonts w:ascii="Cambria Math" w:hAnsi="Cambria Math"/>
              </w:rPr>
              <m:t>n</m:t>
            </m:r>
          </m:e>
          <m:sub>
            <m:r>
              <w:rPr>
                <w:rFonts w:ascii="Cambria Math" w:hAnsi="Cambria Math"/>
              </w:rPr>
              <m:t>1</m:t>
            </m:r>
          </m:sub>
        </m:sSub>
      </m:oMath>
      <w:r>
        <w:rPr>
          <w:iCs/>
        </w:rPr>
        <w:t xml:space="preserve">. </w:t>
      </w:r>
      <m:oMath>
        <m:sSub>
          <m:sSubPr>
            <m:ctrlPr>
              <w:rPr>
                <w:rFonts w:ascii="Cambria Math" w:hAnsi="Cambria Math"/>
                <w:i/>
              </w:rPr>
            </m:ctrlPr>
          </m:sSubPr>
          <m:e>
            <m:r>
              <w:rPr>
                <w:rFonts w:ascii="Cambria Math" w:hAnsi="Cambria Math"/>
              </w:rPr>
              <m:t>K</m:t>
            </m:r>
          </m:e>
          <m:sub>
            <m:r>
              <w:rPr>
                <w:rFonts w:ascii="Cambria Math" w:hAnsi="Cambria Math"/>
              </w:rPr>
              <m:t>1</m:t>
            </m:r>
          </m:sub>
        </m:sSub>
      </m:oMath>
      <w:r w:rsidR="00A7521D">
        <w:t xml:space="preserve"> and </w:t>
      </w:r>
      <m:oMath>
        <m:sSub>
          <m:sSubPr>
            <m:ctrlPr>
              <w:rPr>
                <w:rFonts w:ascii="Cambria Math" w:hAnsi="Cambria Math"/>
                <w:i/>
                <w:iCs/>
              </w:rPr>
            </m:ctrlPr>
          </m:sSubPr>
          <m:e>
            <m:r>
              <w:rPr>
                <w:rFonts w:ascii="Cambria Math" w:hAnsi="Cambria Math"/>
              </w:rPr>
              <m:t>n</m:t>
            </m:r>
          </m:e>
          <m:sub>
            <m:r>
              <w:rPr>
                <w:rFonts w:ascii="Cambria Math" w:hAnsi="Cambria Math"/>
              </w:rPr>
              <m:t>1</m:t>
            </m:r>
          </m:sub>
        </m:sSub>
      </m:oMath>
      <w:r w:rsidR="00A7521D">
        <w:rPr>
          <w:iCs/>
        </w:rPr>
        <w:t xml:space="preserve"> were found using Table 12.4 </w:t>
      </w:r>
      <w:r w:rsidR="00A7521D">
        <w:fldChar w:fldCharType="begin" w:fldLock="1"/>
      </w:r>
      <w:r w:rsidR="002A6A73">
        <w:instrText>ADDIN CSL_CITATION {"citationItems":[{"id":"ITEM-1","itemData":{"ISBN":"978-0-7506-6538-4","author":[{"dropping-particle":"","family":"Sinnott","given":"R.K.","non-dropping-particle":"","parse-names":false,"suffix":""}],"edition":"4","id":"ITEM-1","issued":{"date-parts":[["2005"]]},"number-of-pages":"60 - 132","publisher":"Elsevier","publisher-place":"Oxford, England","title":"Coulson and Richardson's Chemical Engineering Volume 6 - Chemical Engineering Design","type":"book"},"uris":["http://www.mendeley.com/documents/?uuid=8e00b24b-1ea1-4b70-9865-3b5bcae659ed"]}],"mendeley":{"formattedCitation":"(Sinnott, 2005b)","plainTextFormattedCitation":"(Sinnott, 2005b)","previouslyFormattedCitation":"(Sinnott, 2005b)"},"properties":{"noteIndex":0},"schema":"https://github.com/citation-style-language/schema/raw/master/csl-citation.json"}</w:instrText>
      </w:r>
      <w:r w:rsidR="00A7521D">
        <w:fldChar w:fldCharType="separate"/>
      </w:r>
      <w:r w:rsidR="002A6A73" w:rsidRPr="002A6A73">
        <w:rPr>
          <w:noProof/>
        </w:rPr>
        <w:t>(Sinnott, 2005b)</w:t>
      </w:r>
      <w:r w:rsidR="00A7521D">
        <w:fldChar w:fldCharType="end"/>
      </w:r>
      <w:r w:rsidR="00A7521D">
        <w:rPr>
          <w:iCs/>
        </w:rP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37"/>
        <w:gridCol w:w="239"/>
        <w:gridCol w:w="822"/>
      </w:tblGrid>
      <w:tr w:rsidR="00A7521D" w14:paraId="3614057B" w14:textId="77777777" w:rsidTr="00A7521D">
        <w:tc>
          <w:tcPr>
            <w:tcW w:w="7137" w:type="dxa"/>
            <w:hideMark/>
          </w:tcPr>
          <w:p w14:paraId="32BC4FDE" w14:textId="31027920" w:rsidR="00A7521D" w:rsidRDefault="00C73E04" w:rsidP="00A7521D">
            <w:pPr>
              <w:keepNext/>
              <w:rPr>
                <w:color w:val="FFFFFF"/>
              </w:rPr>
            </w:pPr>
            <m:oMathPara>
              <m:oMathParaPr>
                <m:jc m:val="left"/>
              </m:oMathParaPr>
              <m:oMath>
                <m:sSub>
                  <m:sSubPr>
                    <m:ctrlPr>
                      <w:rPr>
                        <w:rFonts w:ascii="Cambria Math" w:hAnsi="Cambria Math"/>
                        <w:i/>
                        <w:iCs/>
                      </w:rPr>
                    </m:ctrlPr>
                  </m:sSubPr>
                  <m:e>
                    <m:r>
                      <w:rPr>
                        <w:rFonts w:ascii="Cambria Math" w:hAnsi="Cambria Math"/>
                      </w:rPr>
                      <m:t>p</m:t>
                    </m:r>
                  </m:e>
                  <m:sub>
                    <m:r>
                      <w:rPr>
                        <w:rFonts w:ascii="Cambria Math" w:hAnsi="Cambria Math"/>
                      </w:rPr>
                      <m:t>tu</m:t>
                    </m:r>
                  </m:sub>
                </m:sSub>
                <m:r>
                  <w:rPr>
                    <w:rFonts w:ascii="Cambria Math" w:hAnsi="Cambria Math"/>
                  </w:rPr>
                  <m:t>=1.25</m:t>
                </m:r>
                <m:sSub>
                  <m:sSubPr>
                    <m:ctrlPr>
                      <w:rPr>
                        <w:rFonts w:ascii="Cambria Math" w:hAnsi="Cambria Math"/>
                        <w:i/>
                        <w:iCs/>
                      </w:rPr>
                    </m:ctrlPr>
                  </m:sSubPr>
                  <m:e>
                    <m:r>
                      <w:rPr>
                        <w:rFonts w:ascii="Cambria Math" w:hAnsi="Cambria Math"/>
                      </w:rPr>
                      <m:t>D</m:t>
                    </m:r>
                  </m:e>
                  <m:sub>
                    <m:r>
                      <w:rPr>
                        <w:rFonts w:ascii="Cambria Math" w:hAnsi="Cambria Math"/>
                      </w:rPr>
                      <m:t>o</m:t>
                    </m:r>
                  </m:sub>
                </m:sSub>
              </m:oMath>
            </m:oMathPara>
          </w:p>
        </w:tc>
        <w:tc>
          <w:tcPr>
            <w:tcW w:w="239" w:type="dxa"/>
            <w:hideMark/>
          </w:tcPr>
          <w:p w14:paraId="7D50CA5E" w14:textId="77777777" w:rsidR="00A7521D" w:rsidRDefault="00A7521D" w:rsidP="00A7521D">
            <w:pPr>
              <w:pStyle w:val="Caption"/>
              <w:jc w:val="right"/>
            </w:pPr>
            <w:r>
              <w:t xml:space="preserve"> </w:t>
            </w:r>
          </w:p>
        </w:tc>
        <w:bookmarkStart w:id="1012" w:name="_Ref531105420"/>
        <w:tc>
          <w:tcPr>
            <w:tcW w:w="822" w:type="dxa"/>
            <w:vAlign w:val="center"/>
            <w:hideMark/>
          </w:tcPr>
          <w:p w14:paraId="1F70665F" w14:textId="5055E9B2" w:rsidR="00A7521D" w:rsidRDefault="00A7521D" w:rsidP="00A7521D">
            <w:pPr>
              <w:pStyle w:val="Caption"/>
              <w:jc w:val="right"/>
              <w:rPr>
                <w:b w:val="0"/>
              </w:rPr>
            </w:pPr>
            <w:r>
              <w:fldChar w:fldCharType="begin"/>
            </w:r>
            <w:r>
              <w:instrText xml:space="preserve"> STYLEREF 1 \s </w:instrText>
            </w:r>
            <w:r>
              <w:fldChar w:fldCharType="separate"/>
            </w:r>
            <w:r w:rsidR="00CB7456">
              <w:rPr>
                <w:noProof/>
              </w:rPr>
              <w:t>13</w:t>
            </w:r>
            <w:r>
              <w:fldChar w:fldCharType="end"/>
            </w:r>
            <w:r>
              <w:t>.</w:t>
            </w:r>
            <w:r>
              <w:rPr>
                <w:noProof/>
              </w:rPr>
              <w:fldChar w:fldCharType="begin"/>
            </w:r>
            <w:r>
              <w:rPr>
                <w:noProof/>
              </w:rPr>
              <w:instrText xml:space="preserve"> SEQ Equation \* ARABIC \s 1 </w:instrText>
            </w:r>
            <w:r>
              <w:rPr>
                <w:noProof/>
              </w:rPr>
              <w:fldChar w:fldCharType="separate"/>
            </w:r>
            <w:r w:rsidR="00CB7456">
              <w:rPr>
                <w:noProof/>
              </w:rPr>
              <w:t>9</w:t>
            </w:r>
            <w:r>
              <w:rPr>
                <w:noProof/>
              </w:rPr>
              <w:fldChar w:fldCharType="end"/>
            </w:r>
            <w:bookmarkEnd w:id="1012"/>
          </w:p>
        </w:tc>
      </w:tr>
    </w:tbl>
    <w:p w14:paraId="392317A6" w14:textId="77777777" w:rsidR="00A7521D" w:rsidRDefault="00A7521D" w:rsidP="00A7521D">
      <w:pPr>
        <w:rPr>
          <w:iCs/>
        </w:rPr>
      </w:pPr>
    </w:p>
    <w:bookmarkStart w:id="1013" w:name="_Hlk526165367"/>
    <w:p w14:paraId="124F1E96" w14:textId="39184088" w:rsidR="00A7521D" w:rsidRDefault="00C73E04" w:rsidP="00A7521D">
      <w:pPr>
        <w:rPr>
          <w:iCs/>
        </w:rPr>
      </w:pPr>
      <m:oMath>
        <m:sSub>
          <m:sSubPr>
            <m:ctrlPr>
              <w:rPr>
                <w:rFonts w:ascii="Cambria Math" w:hAnsi="Cambria Math"/>
                <w:i/>
                <w:iCs/>
              </w:rPr>
            </m:ctrlPr>
          </m:sSubPr>
          <m:e>
            <m:r>
              <w:rPr>
                <w:rFonts w:ascii="Cambria Math" w:hAnsi="Cambria Math"/>
              </w:rPr>
              <m:t>p</m:t>
            </m:r>
          </m:e>
          <m:sub>
            <m:r>
              <w:rPr>
                <w:rFonts w:ascii="Cambria Math" w:hAnsi="Cambria Math"/>
              </w:rPr>
              <m:t>tu</m:t>
            </m:r>
          </m:sub>
        </m:sSub>
      </m:oMath>
      <w:bookmarkEnd w:id="1013"/>
      <w:r w:rsidR="00A7521D">
        <w:rPr>
          <w:iCs/>
        </w:rPr>
        <w:t xml:space="preserve"> was the tube pitch </w:t>
      </w:r>
      <w:r w:rsidR="00A7521D">
        <w:t>(m)</w:t>
      </w:r>
      <w:r w:rsidR="00A7521D">
        <w:rPr>
          <w:iCs/>
        </w:rPr>
        <w:t>.</w:t>
      </w:r>
    </w:p>
    <w:p w14:paraId="72706237" w14:textId="1A85E2A4" w:rsidR="009F0543" w:rsidRDefault="009F0543" w:rsidP="00A7521D">
      <w:pPr>
        <w:rPr>
          <w:iCs/>
        </w:rPr>
      </w:pPr>
      <w:r>
        <w:rPr>
          <w:iCs/>
        </w:rPr>
        <w:t>The tube pitch was directly proportional the outer diameter of a single tube.</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37"/>
        <w:gridCol w:w="239"/>
        <w:gridCol w:w="822"/>
      </w:tblGrid>
      <w:tr w:rsidR="00A7521D" w14:paraId="56B083C9" w14:textId="77777777" w:rsidTr="00A7521D">
        <w:tc>
          <w:tcPr>
            <w:tcW w:w="7137" w:type="dxa"/>
            <w:hideMark/>
          </w:tcPr>
          <w:p w14:paraId="00552DD3" w14:textId="77777777" w:rsidR="00A7521D" w:rsidRDefault="00C73E04" w:rsidP="00A7521D">
            <w:pPr>
              <w:keepNext/>
              <w:rPr>
                <w:color w:val="FFFFFF"/>
              </w:rPr>
            </w:pPr>
            <m:oMathPara>
              <m:oMathParaPr>
                <m:jc m:val="left"/>
              </m:oMathParaPr>
              <m:oMath>
                <m:sSub>
                  <m:sSubPr>
                    <m:ctrlPr>
                      <w:rPr>
                        <w:rFonts w:ascii="Cambria Math" w:hAnsi="Cambria Math"/>
                        <w:i/>
                        <w:iCs/>
                      </w:rPr>
                    </m:ctrlPr>
                  </m:sSubPr>
                  <m:e>
                    <m:r>
                      <w:rPr>
                        <w:rFonts w:ascii="Cambria Math" w:hAnsi="Cambria Math"/>
                      </w:rPr>
                      <m:t>A</m:t>
                    </m:r>
                  </m:e>
                  <m:sub>
                    <m:r>
                      <w:rPr>
                        <w:rFonts w:ascii="Cambria Math" w:hAnsi="Cambria Math"/>
                      </w:rPr>
                      <m:t>tu</m:t>
                    </m:r>
                  </m:sub>
                </m:sSub>
                <m:r>
                  <w:rPr>
                    <w:rFonts w:ascii="Cambria Math" w:hAnsi="Cambria Math"/>
                  </w:rPr>
                  <m:t>=π</m:t>
                </m:r>
                <m:sSup>
                  <m:sSupPr>
                    <m:ctrlPr>
                      <w:rPr>
                        <w:rFonts w:ascii="Cambria Math" w:hAnsi="Cambria Math"/>
                        <w:i/>
                        <w:iCs/>
                      </w:rPr>
                    </m:ctrlPr>
                  </m:sSupPr>
                  <m:e>
                    <m:d>
                      <m:dPr>
                        <m:ctrlPr>
                          <w:rPr>
                            <w:rFonts w:ascii="Cambria Math" w:hAnsi="Cambria Math"/>
                            <w:i/>
                            <w:iCs/>
                          </w:rPr>
                        </m:ctrlPr>
                      </m:dPr>
                      <m:e>
                        <m:f>
                          <m:fPr>
                            <m:ctrlPr>
                              <w:rPr>
                                <w:rFonts w:ascii="Cambria Math" w:hAnsi="Cambria Math"/>
                                <w:i/>
                                <w:iCs/>
                              </w:rPr>
                            </m:ctrlPr>
                          </m:fPr>
                          <m:num>
                            <m:sSub>
                              <m:sSubPr>
                                <m:ctrlPr>
                                  <w:rPr>
                                    <w:rFonts w:ascii="Cambria Math" w:hAnsi="Cambria Math"/>
                                    <w:i/>
                                    <w:iCs/>
                                  </w:rPr>
                                </m:ctrlPr>
                              </m:sSubPr>
                              <m:e>
                                <m:r>
                                  <w:rPr>
                                    <w:rFonts w:ascii="Cambria Math" w:hAnsi="Cambria Math"/>
                                  </w:rPr>
                                  <m:t>D</m:t>
                                </m:r>
                              </m:e>
                              <m:sub>
                                <m:r>
                                  <w:rPr>
                                    <w:rFonts w:ascii="Cambria Math" w:hAnsi="Cambria Math"/>
                                  </w:rPr>
                                  <m:t>i</m:t>
                                </m:r>
                              </m:sub>
                            </m:sSub>
                          </m:num>
                          <m:den>
                            <m:r>
                              <w:rPr>
                                <w:rFonts w:ascii="Cambria Math" w:hAnsi="Cambria Math"/>
                              </w:rPr>
                              <m:t>2</m:t>
                            </m:r>
                          </m:den>
                        </m:f>
                      </m:e>
                    </m:d>
                  </m:e>
                  <m:sup>
                    <m:r>
                      <w:rPr>
                        <w:rFonts w:ascii="Cambria Math" w:hAnsi="Cambria Math"/>
                      </w:rPr>
                      <m:t>2</m:t>
                    </m:r>
                  </m:sup>
                </m:sSup>
              </m:oMath>
            </m:oMathPara>
          </w:p>
        </w:tc>
        <w:tc>
          <w:tcPr>
            <w:tcW w:w="239" w:type="dxa"/>
            <w:hideMark/>
          </w:tcPr>
          <w:p w14:paraId="5ECB9626" w14:textId="77777777" w:rsidR="00A7521D" w:rsidRDefault="00A7521D" w:rsidP="00A7521D">
            <w:pPr>
              <w:pStyle w:val="Caption"/>
              <w:jc w:val="right"/>
            </w:pPr>
            <w:r>
              <w:t xml:space="preserve"> </w:t>
            </w:r>
          </w:p>
        </w:tc>
        <w:tc>
          <w:tcPr>
            <w:tcW w:w="822" w:type="dxa"/>
            <w:vAlign w:val="center"/>
            <w:hideMark/>
          </w:tcPr>
          <w:p w14:paraId="434C06DF" w14:textId="07F92079" w:rsidR="00A7521D" w:rsidRDefault="00A7521D" w:rsidP="00A7521D">
            <w:pPr>
              <w:pStyle w:val="Caption"/>
              <w:jc w:val="right"/>
              <w:rPr>
                <w:b w:val="0"/>
              </w:rPr>
            </w:pPr>
            <w:r>
              <w:rPr>
                <w:noProof/>
              </w:rPr>
              <w:fldChar w:fldCharType="begin"/>
            </w:r>
            <w:r>
              <w:rPr>
                <w:noProof/>
              </w:rPr>
              <w:instrText xml:space="preserve"> STYLEREF 1 \s </w:instrText>
            </w:r>
            <w:r>
              <w:rPr>
                <w:noProof/>
              </w:rPr>
              <w:fldChar w:fldCharType="separate"/>
            </w:r>
            <w:r w:rsidR="00CB7456">
              <w:rPr>
                <w:noProof/>
              </w:rPr>
              <w:t>13</w:t>
            </w:r>
            <w:r>
              <w:rPr>
                <w:noProof/>
              </w:rPr>
              <w:fldChar w:fldCharType="end"/>
            </w:r>
            <w:r>
              <w:rPr>
                <w:noProof/>
              </w:rPr>
              <w:t>.</w:t>
            </w:r>
            <w:r>
              <w:rPr>
                <w:noProof/>
              </w:rPr>
              <w:fldChar w:fldCharType="begin"/>
            </w:r>
            <w:r>
              <w:rPr>
                <w:noProof/>
              </w:rPr>
              <w:instrText xml:space="preserve"> SEQ Equation \* ARABIC \s 1 </w:instrText>
            </w:r>
            <w:r>
              <w:rPr>
                <w:noProof/>
              </w:rPr>
              <w:fldChar w:fldCharType="separate"/>
            </w:r>
            <w:r w:rsidR="00CB7456">
              <w:rPr>
                <w:noProof/>
              </w:rPr>
              <w:t>10</w:t>
            </w:r>
            <w:r>
              <w:rPr>
                <w:noProof/>
              </w:rPr>
              <w:fldChar w:fldCharType="end"/>
            </w:r>
          </w:p>
        </w:tc>
      </w:tr>
    </w:tbl>
    <w:p w14:paraId="4CBC89A4" w14:textId="77777777" w:rsidR="00A7521D" w:rsidRDefault="00A7521D" w:rsidP="00A7521D">
      <w:pPr>
        <w:rPr>
          <w:iCs/>
        </w:rPr>
      </w:pPr>
    </w:p>
    <w:p w14:paraId="77F92753" w14:textId="77777777" w:rsidR="00A7521D" w:rsidRDefault="00C73E04" w:rsidP="00A7521D">
      <w:pPr>
        <w:pStyle w:val="NoSpacing"/>
      </w:pPr>
      <m:oMath>
        <m:sSub>
          <m:sSubPr>
            <m:ctrlPr>
              <w:rPr>
                <w:rFonts w:ascii="Cambria Math" w:hAnsi="Cambria Math"/>
                <w:i/>
                <w:iCs/>
              </w:rPr>
            </m:ctrlPr>
          </m:sSubPr>
          <m:e>
            <m:r>
              <w:rPr>
                <w:rFonts w:ascii="Cambria Math" w:hAnsi="Cambria Math"/>
              </w:rPr>
              <m:t>A</m:t>
            </m:r>
          </m:e>
          <m:sub>
            <m:r>
              <w:rPr>
                <w:rFonts w:ascii="Cambria Math" w:hAnsi="Cambria Math"/>
              </w:rPr>
              <m:t>tu</m:t>
            </m:r>
          </m:sub>
        </m:sSub>
      </m:oMath>
      <w:r w:rsidR="00A7521D">
        <w:rPr>
          <w:iCs/>
        </w:rPr>
        <w:t xml:space="preserve"> was the tube </w:t>
      </w:r>
      <w:r w:rsidR="00A7521D">
        <w:t>cross sectional area (m</w:t>
      </w:r>
      <w:r w:rsidR="00A7521D">
        <w:rPr>
          <w:vertAlign w:val="superscript"/>
        </w:rPr>
        <w:t>2</w:t>
      </w:r>
      <w:r w:rsidR="00A7521D">
        <w:t>),</w:t>
      </w:r>
    </w:p>
    <w:p w14:paraId="2C6697AF" w14:textId="1D546E3F" w:rsidR="00A7521D" w:rsidRDefault="00C73E04" w:rsidP="00A7521D">
      <w:pPr>
        <w:rPr>
          <w:iCs/>
        </w:rPr>
      </w:pPr>
      <m:oMath>
        <m:sSub>
          <m:sSubPr>
            <m:ctrlPr>
              <w:rPr>
                <w:rFonts w:ascii="Cambria Math" w:hAnsi="Cambria Math"/>
                <w:i/>
                <w:iCs/>
              </w:rPr>
            </m:ctrlPr>
          </m:sSubPr>
          <m:e>
            <m:r>
              <w:rPr>
                <w:rFonts w:ascii="Cambria Math" w:hAnsi="Cambria Math"/>
              </w:rPr>
              <m:t>D</m:t>
            </m:r>
          </m:e>
          <m:sub>
            <m:r>
              <w:rPr>
                <w:rFonts w:ascii="Cambria Math" w:hAnsi="Cambria Math"/>
              </w:rPr>
              <m:t>i</m:t>
            </m:r>
          </m:sub>
        </m:sSub>
      </m:oMath>
      <w:r w:rsidR="00A7521D">
        <w:rPr>
          <w:iCs/>
        </w:rPr>
        <w:t xml:space="preserve"> was the inner pipe diameter </w:t>
      </w:r>
      <w:r w:rsidR="00A7521D">
        <w:t>(m)</w:t>
      </w:r>
      <w:r w:rsidR="00A7521D">
        <w:rPr>
          <w:iCs/>
        </w:rPr>
        <w:t>.</w:t>
      </w:r>
    </w:p>
    <w:p w14:paraId="4B161C7F" w14:textId="62C304A2" w:rsidR="009F0543" w:rsidRDefault="009F0543" w:rsidP="00A7521D">
      <w:pPr>
        <w:rPr>
          <w:iCs/>
        </w:rPr>
      </w:pPr>
      <w:r>
        <w:rPr>
          <w:iCs/>
        </w:rPr>
        <w:t>The tube cross sectional area was dependent on the inner diameter of a single tube.</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37"/>
        <w:gridCol w:w="239"/>
        <w:gridCol w:w="822"/>
      </w:tblGrid>
      <w:tr w:rsidR="00A7521D" w14:paraId="0B4FE80F" w14:textId="77777777" w:rsidTr="00A7521D">
        <w:tc>
          <w:tcPr>
            <w:tcW w:w="7137" w:type="dxa"/>
            <w:hideMark/>
          </w:tcPr>
          <w:p w14:paraId="76D5EA37" w14:textId="2115F9A1" w:rsidR="00A7521D" w:rsidRDefault="00C73E04" w:rsidP="00A7521D">
            <w:pPr>
              <w:keepNext/>
              <w:rPr>
                <w:color w:val="FFFFFF"/>
              </w:rPr>
            </w:pPr>
            <m:oMathPara>
              <m:oMathParaPr>
                <m:jc m:val="left"/>
              </m:oMathParaPr>
              <m:oMath>
                <m:sSub>
                  <m:sSubPr>
                    <m:ctrlPr>
                      <w:rPr>
                        <w:rFonts w:ascii="Cambria Math" w:hAnsi="Cambria Math"/>
                        <w:i/>
                        <w:iCs/>
                      </w:rPr>
                    </m:ctrlPr>
                  </m:sSubPr>
                  <m:e>
                    <m:r>
                      <w:rPr>
                        <w:rFonts w:ascii="Cambria Math" w:hAnsi="Cambria Math"/>
                      </w:rPr>
                      <m:t>N</m:t>
                    </m:r>
                  </m:e>
                  <m:sub>
                    <m:r>
                      <w:rPr>
                        <w:rFonts w:ascii="Cambria Math" w:hAnsi="Cambria Math"/>
                      </w:rPr>
                      <m:t>t</m:t>
                    </m:r>
                    <m:r>
                      <w:rPr>
                        <w:rFonts w:ascii="Cambria Math" w:hAnsi="Cambria Math"/>
                      </w:rPr>
                      <m:t>u</m:t>
                    </m:r>
                    <m:r>
                      <w:rPr>
                        <w:rFonts w:ascii="Cambria Math" w:hAnsi="Cambria Math"/>
                      </w:rPr>
                      <m:t>,pass</m:t>
                    </m:r>
                  </m:sub>
                </m:sSub>
                <m:r>
                  <w:rPr>
                    <w:rFonts w:ascii="Cambria Math" w:hAnsi="Cambria Math"/>
                  </w:rPr>
                  <m:t>=</m:t>
                </m:r>
                <m:f>
                  <m:fPr>
                    <m:ctrlPr>
                      <w:rPr>
                        <w:rFonts w:ascii="Cambria Math" w:hAnsi="Cambria Math"/>
                        <w:i/>
                        <w:iCs/>
                      </w:rPr>
                    </m:ctrlPr>
                  </m:fPr>
                  <m:num>
                    <m:sSub>
                      <m:sSubPr>
                        <m:ctrlPr>
                          <w:rPr>
                            <w:rFonts w:ascii="Cambria Math" w:hAnsi="Cambria Math"/>
                            <w:i/>
                            <w:iCs/>
                          </w:rPr>
                        </m:ctrlPr>
                      </m:sSubPr>
                      <m:e>
                        <m:r>
                          <w:rPr>
                            <w:rFonts w:ascii="Cambria Math" w:hAnsi="Cambria Math"/>
                          </w:rPr>
                          <m:t>N</m:t>
                        </m:r>
                      </m:e>
                      <m:sub>
                        <m:r>
                          <w:rPr>
                            <w:rFonts w:ascii="Cambria Math" w:hAnsi="Cambria Math"/>
                          </w:rPr>
                          <m:t>t</m:t>
                        </m:r>
                        <m:r>
                          <w:rPr>
                            <w:rFonts w:ascii="Cambria Math" w:hAnsi="Cambria Math"/>
                          </w:rPr>
                          <m:t>u</m:t>
                        </m:r>
                      </m:sub>
                    </m:sSub>
                  </m:num>
                  <m:den>
                    <m:sSub>
                      <m:sSubPr>
                        <m:ctrlPr>
                          <w:rPr>
                            <w:rFonts w:ascii="Cambria Math" w:hAnsi="Cambria Math"/>
                            <w:i/>
                            <w:iCs/>
                          </w:rPr>
                        </m:ctrlPr>
                      </m:sSubPr>
                      <m:e>
                        <m:r>
                          <w:rPr>
                            <w:rFonts w:ascii="Cambria Math" w:hAnsi="Cambria Math"/>
                          </w:rPr>
                          <m:t>N</m:t>
                        </m:r>
                      </m:e>
                      <m:sub>
                        <m:r>
                          <w:rPr>
                            <w:rFonts w:ascii="Cambria Math" w:hAnsi="Cambria Math"/>
                          </w:rPr>
                          <m:t>pass</m:t>
                        </m:r>
                      </m:sub>
                    </m:sSub>
                  </m:den>
                </m:f>
              </m:oMath>
            </m:oMathPara>
          </w:p>
        </w:tc>
        <w:tc>
          <w:tcPr>
            <w:tcW w:w="239" w:type="dxa"/>
            <w:hideMark/>
          </w:tcPr>
          <w:p w14:paraId="0787316D" w14:textId="77777777" w:rsidR="00A7521D" w:rsidRDefault="00A7521D" w:rsidP="00A7521D">
            <w:pPr>
              <w:pStyle w:val="Caption"/>
              <w:jc w:val="right"/>
            </w:pPr>
            <w:r>
              <w:t xml:space="preserve"> </w:t>
            </w:r>
          </w:p>
        </w:tc>
        <w:tc>
          <w:tcPr>
            <w:tcW w:w="822" w:type="dxa"/>
            <w:vAlign w:val="center"/>
            <w:hideMark/>
          </w:tcPr>
          <w:p w14:paraId="687FD65F" w14:textId="4C4C5BF7" w:rsidR="00A7521D" w:rsidRDefault="00A7521D" w:rsidP="00A7521D">
            <w:pPr>
              <w:pStyle w:val="Caption"/>
              <w:jc w:val="right"/>
              <w:rPr>
                <w:b w:val="0"/>
              </w:rPr>
            </w:pPr>
            <w:r>
              <w:rPr>
                <w:noProof/>
              </w:rPr>
              <w:fldChar w:fldCharType="begin"/>
            </w:r>
            <w:r>
              <w:rPr>
                <w:noProof/>
              </w:rPr>
              <w:instrText xml:space="preserve"> STYLEREF 1 \s </w:instrText>
            </w:r>
            <w:r>
              <w:rPr>
                <w:noProof/>
              </w:rPr>
              <w:fldChar w:fldCharType="separate"/>
            </w:r>
            <w:r w:rsidR="00CB7456">
              <w:rPr>
                <w:noProof/>
              </w:rPr>
              <w:t>13</w:t>
            </w:r>
            <w:r>
              <w:rPr>
                <w:noProof/>
              </w:rPr>
              <w:fldChar w:fldCharType="end"/>
            </w:r>
            <w:r>
              <w:rPr>
                <w:noProof/>
              </w:rPr>
              <w:t>.</w:t>
            </w:r>
            <w:r>
              <w:rPr>
                <w:noProof/>
              </w:rPr>
              <w:fldChar w:fldCharType="begin"/>
            </w:r>
            <w:r>
              <w:rPr>
                <w:noProof/>
              </w:rPr>
              <w:instrText xml:space="preserve"> SEQ Equation \* ARABIC \s 1 </w:instrText>
            </w:r>
            <w:r>
              <w:rPr>
                <w:noProof/>
              </w:rPr>
              <w:fldChar w:fldCharType="separate"/>
            </w:r>
            <w:r w:rsidR="00CB7456">
              <w:rPr>
                <w:noProof/>
              </w:rPr>
              <w:t>11</w:t>
            </w:r>
            <w:r>
              <w:rPr>
                <w:noProof/>
              </w:rPr>
              <w:fldChar w:fldCharType="end"/>
            </w:r>
          </w:p>
        </w:tc>
      </w:tr>
    </w:tbl>
    <w:p w14:paraId="1386505C" w14:textId="77777777" w:rsidR="00A7521D" w:rsidRDefault="00A7521D" w:rsidP="00A7521D">
      <w:pPr>
        <w:rPr>
          <w:iCs/>
        </w:rPr>
      </w:pPr>
    </w:p>
    <w:p w14:paraId="22C582C9" w14:textId="77777777" w:rsidR="00A7521D" w:rsidRDefault="00C73E04" w:rsidP="00A7521D">
      <w:pPr>
        <w:pStyle w:val="NoSpacing"/>
      </w:pPr>
      <m:oMath>
        <m:sSub>
          <m:sSubPr>
            <m:ctrlPr>
              <w:rPr>
                <w:rFonts w:ascii="Cambria Math" w:hAnsi="Cambria Math"/>
                <w:i/>
              </w:rPr>
            </m:ctrlPr>
          </m:sSubPr>
          <m:e>
            <m:r>
              <w:rPr>
                <w:rFonts w:ascii="Cambria Math" w:hAnsi="Cambria Math"/>
              </w:rPr>
              <m:t>N</m:t>
            </m:r>
          </m:e>
          <m:sub>
            <m:r>
              <w:rPr>
                <w:rFonts w:ascii="Cambria Math" w:hAnsi="Cambria Math"/>
              </w:rPr>
              <m:t>tu,pass</m:t>
            </m:r>
          </m:sub>
        </m:sSub>
      </m:oMath>
      <w:r w:rsidR="00A7521D">
        <w:t xml:space="preserve"> was the number of tubes per pass,</w:t>
      </w:r>
    </w:p>
    <w:p w14:paraId="0E3716B0" w14:textId="6E9593DD" w:rsidR="00A7521D" w:rsidRDefault="00C73E04" w:rsidP="00A7521D">
      <w:pPr>
        <w:rPr>
          <w:iCs/>
        </w:rPr>
      </w:pPr>
      <m:oMath>
        <m:sSub>
          <m:sSubPr>
            <m:ctrlPr>
              <w:rPr>
                <w:rFonts w:ascii="Cambria Math" w:hAnsi="Cambria Math"/>
                <w:i/>
                <w:iCs/>
              </w:rPr>
            </m:ctrlPr>
          </m:sSubPr>
          <m:e>
            <m:r>
              <w:rPr>
                <w:rFonts w:ascii="Cambria Math" w:hAnsi="Cambria Math"/>
              </w:rPr>
              <m:t>N</m:t>
            </m:r>
          </m:e>
          <m:sub>
            <m:r>
              <w:rPr>
                <w:rFonts w:ascii="Cambria Math" w:hAnsi="Cambria Math"/>
              </w:rPr>
              <m:t>pass</m:t>
            </m:r>
          </m:sub>
        </m:sSub>
      </m:oMath>
      <w:r w:rsidR="00A7521D">
        <w:rPr>
          <w:iCs/>
        </w:rPr>
        <w:t xml:space="preserve"> was the number of tube passes.</w:t>
      </w:r>
    </w:p>
    <w:p w14:paraId="7B567D64" w14:textId="33B186AC" w:rsidR="009F0543" w:rsidRDefault="009F0543" w:rsidP="00A7521D">
      <w:pPr>
        <w:rPr>
          <w:iCs/>
        </w:rPr>
      </w:pPr>
      <w:r>
        <w:rPr>
          <w:iCs/>
        </w:rPr>
        <w:t xml:space="preserve">The number of </w:t>
      </w:r>
      <w:r>
        <w:t>tubes per pass was dependent on the tube of tubes and the number of tube passes. The number of tube passes was dependent on the design of the HEX.</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37"/>
        <w:gridCol w:w="239"/>
        <w:gridCol w:w="822"/>
      </w:tblGrid>
      <w:tr w:rsidR="00A7521D" w14:paraId="1E21E570" w14:textId="77777777" w:rsidTr="00A7521D">
        <w:tc>
          <w:tcPr>
            <w:tcW w:w="7137" w:type="dxa"/>
            <w:hideMark/>
          </w:tcPr>
          <w:p w14:paraId="726E2438" w14:textId="77777777" w:rsidR="00A7521D" w:rsidRDefault="00C73E04" w:rsidP="00A7521D">
            <w:pPr>
              <w:keepNext/>
              <w:rPr>
                <w:color w:val="FFFFFF"/>
              </w:rPr>
            </w:pPr>
            <m:oMathPara>
              <m:oMathParaPr>
                <m:jc m:val="left"/>
              </m:oMathParaPr>
              <m:oMath>
                <m:sSub>
                  <m:sSubPr>
                    <m:ctrlPr>
                      <w:rPr>
                        <w:rFonts w:ascii="Cambria Math" w:hAnsi="Cambria Math"/>
                        <w:i/>
                        <w:iCs/>
                      </w:rPr>
                    </m:ctrlPr>
                  </m:sSubPr>
                  <m:e>
                    <m:r>
                      <w:rPr>
                        <w:rFonts w:ascii="Cambria Math" w:hAnsi="Cambria Math"/>
                      </w:rPr>
                      <m:t>A</m:t>
                    </m:r>
                  </m:e>
                  <m:sub>
                    <m:r>
                      <w:rPr>
                        <w:rFonts w:ascii="Cambria Math" w:hAnsi="Cambria Math"/>
                      </w:rPr>
                      <m:t>tot</m:t>
                    </m:r>
                  </m:sub>
                </m:sSub>
                <m:r>
                  <w:rPr>
                    <w:rFonts w:ascii="Cambria Math" w:hAnsi="Cambria Math"/>
                  </w:rPr>
                  <m:t>=</m:t>
                </m:r>
                <m:sSub>
                  <m:sSubPr>
                    <m:ctrlPr>
                      <w:rPr>
                        <w:rFonts w:ascii="Cambria Math" w:hAnsi="Cambria Math"/>
                        <w:i/>
                        <w:iCs/>
                      </w:rPr>
                    </m:ctrlPr>
                  </m:sSubPr>
                  <m:e>
                    <m:r>
                      <w:rPr>
                        <w:rFonts w:ascii="Cambria Math" w:hAnsi="Cambria Math"/>
                      </w:rPr>
                      <m:t>N</m:t>
                    </m:r>
                  </m:e>
                  <m:sub>
                    <m:r>
                      <w:rPr>
                        <w:rFonts w:ascii="Cambria Math" w:hAnsi="Cambria Math"/>
                      </w:rPr>
                      <m:t>tu,pass</m:t>
                    </m:r>
                  </m:sub>
                </m:sSub>
                <m:sSub>
                  <m:sSubPr>
                    <m:ctrlPr>
                      <w:rPr>
                        <w:rFonts w:ascii="Cambria Math" w:hAnsi="Cambria Math"/>
                        <w:i/>
                        <w:iCs/>
                      </w:rPr>
                    </m:ctrlPr>
                  </m:sSubPr>
                  <m:e>
                    <m:r>
                      <w:rPr>
                        <w:rFonts w:ascii="Cambria Math" w:hAnsi="Cambria Math"/>
                      </w:rPr>
                      <m:t>A</m:t>
                    </m:r>
                  </m:e>
                  <m:sub>
                    <m:r>
                      <w:rPr>
                        <w:rFonts w:ascii="Cambria Math" w:hAnsi="Cambria Math"/>
                      </w:rPr>
                      <m:t>tu</m:t>
                    </m:r>
                  </m:sub>
                </m:sSub>
              </m:oMath>
            </m:oMathPara>
          </w:p>
        </w:tc>
        <w:tc>
          <w:tcPr>
            <w:tcW w:w="239" w:type="dxa"/>
            <w:hideMark/>
          </w:tcPr>
          <w:p w14:paraId="067060B9" w14:textId="77777777" w:rsidR="00A7521D" w:rsidRDefault="00A7521D" w:rsidP="00A7521D">
            <w:pPr>
              <w:pStyle w:val="Caption"/>
              <w:jc w:val="right"/>
            </w:pPr>
            <w:r>
              <w:t xml:space="preserve"> </w:t>
            </w:r>
          </w:p>
        </w:tc>
        <w:tc>
          <w:tcPr>
            <w:tcW w:w="822" w:type="dxa"/>
            <w:vAlign w:val="center"/>
            <w:hideMark/>
          </w:tcPr>
          <w:p w14:paraId="203B4DBC" w14:textId="034404A7" w:rsidR="00A7521D" w:rsidRDefault="00A7521D" w:rsidP="00A7521D">
            <w:pPr>
              <w:pStyle w:val="Caption"/>
              <w:jc w:val="right"/>
              <w:rPr>
                <w:b w:val="0"/>
              </w:rPr>
            </w:pPr>
            <w:r>
              <w:rPr>
                <w:noProof/>
              </w:rPr>
              <w:fldChar w:fldCharType="begin"/>
            </w:r>
            <w:r>
              <w:rPr>
                <w:noProof/>
              </w:rPr>
              <w:instrText xml:space="preserve"> STYLEREF 1 \s </w:instrText>
            </w:r>
            <w:r>
              <w:rPr>
                <w:noProof/>
              </w:rPr>
              <w:fldChar w:fldCharType="separate"/>
            </w:r>
            <w:r w:rsidR="00CB7456">
              <w:rPr>
                <w:noProof/>
              </w:rPr>
              <w:t>13</w:t>
            </w:r>
            <w:r>
              <w:rPr>
                <w:noProof/>
              </w:rPr>
              <w:fldChar w:fldCharType="end"/>
            </w:r>
            <w:r>
              <w:rPr>
                <w:noProof/>
              </w:rPr>
              <w:t>.</w:t>
            </w:r>
            <w:r>
              <w:rPr>
                <w:noProof/>
              </w:rPr>
              <w:fldChar w:fldCharType="begin"/>
            </w:r>
            <w:r>
              <w:rPr>
                <w:noProof/>
              </w:rPr>
              <w:instrText xml:space="preserve"> SEQ Equation \* ARABIC \s 1 </w:instrText>
            </w:r>
            <w:r>
              <w:rPr>
                <w:noProof/>
              </w:rPr>
              <w:fldChar w:fldCharType="separate"/>
            </w:r>
            <w:r w:rsidR="00CB7456">
              <w:rPr>
                <w:noProof/>
              </w:rPr>
              <w:t>12</w:t>
            </w:r>
            <w:r>
              <w:rPr>
                <w:noProof/>
              </w:rPr>
              <w:fldChar w:fldCharType="end"/>
            </w:r>
          </w:p>
        </w:tc>
      </w:tr>
    </w:tbl>
    <w:p w14:paraId="156BBFC0" w14:textId="77777777" w:rsidR="00A7521D" w:rsidRDefault="00A7521D" w:rsidP="00A7521D">
      <w:pPr>
        <w:rPr>
          <w:iCs/>
        </w:rPr>
      </w:pPr>
    </w:p>
    <w:p w14:paraId="61A7D5DB" w14:textId="3C8851B2" w:rsidR="00A7521D" w:rsidRDefault="00C73E04" w:rsidP="00A7521D">
      <w:pPr>
        <w:rPr>
          <w:iCs/>
        </w:rPr>
      </w:pPr>
      <m:oMath>
        <m:sSub>
          <m:sSubPr>
            <m:ctrlPr>
              <w:rPr>
                <w:rFonts w:ascii="Cambria Math" w:hAnsi="Cambria Math"/>
                <w:i/>
                <w:iCs/>
              </w:rPr>
            </m:ctrlPr>
          </m:sSubPr>
          <m:e>
            <m:r>
              <w:rPr>
                <w:rFonts w:ascii="Cambria Math" w:hAnsi="Cambria Math"/>
              </w:rPr>
              <m:t>A</m:t>
            </m:r>
          </m:e>
          <m:sub>
            <m:r>
              <w:rPr>
                <w:rFonts w:ascii="Cambria Math" w:hAnsi="Cambria Math"/>
              </w:rPr>
              <m:t>tot</m:t>
            </m:r>
          </m:sub>
        </m:sSub>
      </m:oMath>
      <w:r w:rsidR="00A7521D">
        <w:rPr>
          <w:iCs/>
        </w:rPr>
        <w:t xml:space="preserve"> was the total flow area (m</w:t>
      </w:r>
      <w:r w:rsidR="00A7521D" w:rsidRPr="002C30BD">
        <w:rPr>
          <w:iCs/>
          <w:vertAlign w:val="superscript"/>
        </w:rPr>
        <w:t>2</w:t>
      </w:r>
      <w:r w:rsidR="00A7521D">
        <w:rPr>
          <w:iCs/>
        </w:rPr>
        <w:t>).</w:t>
      </w:r>
    </w:p>
    <w:p w14:paraId="54B2F201" w14:textId="2A06C882" w:rsidR="009F0543" w:rsidRDefault="009F0543" w:rsidP="00A7521D">
      <w:pPr>
        <w:rPr>
          <w:iCs/>
        </w:rPr>
      </w:pPr>
      <w:r>
        <w:rPr>
          <w:iCs/>
        </w:rPr>
        <w:t xml:space="preserve">The total flow area was dependent on the number of </w:t>
      </w:r>
      <w:r>
        <w:t xml:space="preserve">tubes per pass and the </w:t>
      </w:r>
      <w:r>
        <w:rPr>
          <w:iCs/>
        </w:rPr>
        <w:t xml:space="preserve">tube </w:t>
      </w:r>
      <w:r>
        <w:t>cross sectional area.</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37"/>
        <w:gridCol w:w="239"/>
        <w:gridCol w:w="822"/>
      </w:tblGrid>
      <w:tr w:rsidR="00A7521D" w14:paraId="44D2EDAF" w14:textId="77777777" w:rsidTr="00A7521D">
        <w:tc>
          <w:tcPr>
            <w:tcW w:w="7137" w:type="dxa"/>
            <w:hideMark/>
          </w:tcPr>
          <w:p w14:paraId="7EC419BB" w14:textId="77777777" w:rsidR="00A7521D" w:rsidRDefault="00C73E04" w:rsidP="00A7521D">
            <w:pPr>
              <w:keepNext/>
              <w:rPr>
                <w:color w:val="FFFFFF"/>
              </w:rPr>
            </w:pPr>
            <m:oMathPara>
              <m:oMathParaPr>
                <m:jc m:val="left"/>
              </m:oMathParaPr>
              <m:oMath>
                <m:sSub>
                  <m:sSubPr>
                    <m:ctrlPr>
                      <w:rPr>
                        <w:rFonts w:ascii="Cambria Math" w:hAnsi="Cambria Math"/>
                        <w:i/>
                        <w:iCs/>
                      </w:rPr>
                    </m:ctrlPr>
                  </m:sSubPr>
                  <m:e>
                    <m:r>
                      <w:rPr>
                        <w:rFonts w:ascii="Cambria Math" w:hAnsi="Cambria Math"/>
                      </w:rPr>
                      <m:t>G</m:t>
                    </m:r>
                  </m:e>
                  <m:sub>
                    <m:r>
                      <w:rPr>
                        <w:rFonts w:ascii="Cambria Math" w:hAnsi="Cambria Math"/>
                      </w:rPr>
                      <m:t>tu</m:t>
                    </m:r>
                  </m:sub>
                </m:sSub>
                <m:r>
                  <w:rPr>
                    <w:rFonts w:ascii="Cambria Math" w:hAnsi="Cambria Math"/>
                  </w:rPr>
                  <m:t>=</m:t>
                </m:r>
                <m:f>
                  <m:fPr>
                    <m:ctrlPr>
                      <w:rPr>
                        <w:rFonts w:ascii="Cambria Math" w:hAnsi="Cambria Math"/>
                        <w:i/>
                        <w:iCs/>
                      </w:rPr>
                    </m:ctrlPr>
                  </m:fPr>
                  <m:num>
                    <m:sSub>
                      <m:sSubPr>
                        <m:ctrlPr>
                          <w:rPr>
                            <w:rFonts w:ascii="Cambria Math" w:hAnsi="Cambria Math"/>
                            <w:i/>
                            <w:iCs/>
                          </w:rPr>
                        </m:ctrlPr>
                      </m:sSubPr>
                      <m:e>
                        <m:acc>
                          <m:accPr>
                            <m:chr m:val="̇"/>
                            <m:ctrlPr>
                              <w:rPr>
                                <w:rFonts w:ascii="Cambria Math" w:hAnsi="Cambria Math"/>
                                <w:i/>
                                <w:iCs/>
                              </w:rPr>
                            </m:ctrlPr>
                          </m:accPr>
                          <m:e>
                            <m:r>
                              <w:rPr>
                                <w:rFonts w:ascii="Cambria Math" w:hAnsi="Cambria Math"/>
                              </w:rPr>
                              <m:t>m</m:t>
                            </m:r>
                          </m:e>
                        </m:acc>
                      </m:e>
                      <m:sub>
                        <m:r>
                          <w:rPr>
                            <w:rFonts w:ascii="Cambria Math" w:hAnsi="Cambria Math"/>
                          </w:rPr>
                          <m:t>tu</m:t>
                        </m:r>
                      </m:sub>
                    </m:sSub>
                  </m:num>
                  <m:den>
                    <m:sSub>
                      <m:sSubPr>
                        <m:ctrlPr>
                          <w:rPr>
                            <w:rFonts w:ascii="Cambria Math" w:hAnsi="Cambria Math"/>
                            <w:i/>
                            <w:iCs/>
                          </w:rPr>
                        </m:ctrlPr>
                      </m:sSubPr>
                      <m:e>
                        <m:r>
                          <w:rPr>
                            <w:rFonts w:ascii="Cambria Math" w:hAnsi="Cambria Math"/>
                          </w:rPr>
                          <m:t>A</m:t>
                        </m:r>
                      </m:e>
                      <m:sub>
                        <m:r>
                          <w:rPr>
                            <w:rFonts w:ascii="Cambria Math" w:hAnsi="Cambria Math"/>
                          </w:rPr>
                          <m:t>tot</m:t>
                        </m:r>
                      </m:sub>
                    </m:sSub>
                  </m:den>
                </m:f>
              </m:oMath>
            </m:oMathPara>
          </w:p>
        </w:tc>
        <w:tc>
          <w:tcPr>
            <w:tcW w:w="239" w:type="dxa"/>
            <w:hideMark/>
          </w:tcPr>
          <w:p w14:paraId="441C1FB5" w14:textId="77777777" w:rsidR="00A7521D" w:rsidRDefault="00A7521D" w:rsidP="00A7521D">
            <w:pPr>
              <w:pStyle w:val="Caption"/>
              <w:jc w:val="right"/>
            </w:pPr>
            <w:r>
              <w:t xml:space="preserve"> </w:t>
            </w:r>
          </w:p>
        </w:tc>
        <w:tc>
          <w:tcPr>
            <w:tcW w:w="822" w:type="dxa"/>
            <w:vAlign w:val="center"/>
            <w:hideMark/>
          </w:tcPr>
          <w:p w14:paraId="05F93780" w14:textId="73E0A72F" w:rsidR="00A7521D" w:rsidRDefault="00A7521D" w:rsidP="00A7521D">
            <w:pPr>
              <w:pStyle w:val="Caption"/>
              <w:jc w:val="right"/>
              <w:rPr>
                <w:b w:val="0"/>
              </w:rPr>
            </w:pPr>
            <w:r>
              <w:rPr>
                <w:noProof/>
              </w:rPr>
              <w:fldChar w:fldCharType="begin"/>
            </w:r>
            <w:r>
              <w:rPr>
                <w:noProof/>
              </w:rPr>
              <w:instrText xml:space="preserve"> STYLEREF 1 \s </w:instrText>
            </w:r>
            <w:r>
              <w:rPr>
                <w:noProof/>
              </w:rPr>
              <w:fldChar w:fldCharType="separate"/>
            </w:r>
            <w:r w:rsidR="00CB7456">
              <w:rPr>
                <w:noProof/>
              </w:rPr>
              <w:t>13</w:t>
            </w:r>
            <w:r>
              <w:rPr>
                <w:noProof/>
              </w:rPr>
              <w:fldChar w:fldCharType="end"/>
            </w:r>
            <w:r>
              <w:rPr>
                <w:noProof/>
              </w:rPr>
              <w:t>.</w:t>
            </w:r>
            <w:r>
              <w:rPr>
                <w:noProof/>
              </w:rPr>
              <w:fldChar w:fldCharType="begin"/>
            </w:r>
            <w:r>
              <w:rPr>
                <w:noProof/>
              </w:rPr>
              <w:instrText xml:space="preserve"> SEQ Equation \* ARABIC \s 1 </w:instrText>
            </w:r>
            <w:r>
              <w:rPr>
                <w:noProof/>
              </w:rPr>
              <w:fldChar w:fldCharType="separate"/>
            </w:r>
            <w:r w:rsidR="00CB7456">
              <w:rPr>
                <w:noProof/>
              </w:rPr>
              <w:t>13</w:t>
            </w:r>
            <w:r>
              <w:rPr>
                <w:noProof/>
              </w:rPr>
              <w:fldChar w:fldCharType="end"/>
            </w:r>
          </w:p>
        </w:tc>
      </w:tr>
    </w:tbl>
    <w:p w14:paraId="6AF537A6" w14:textId="77777777" w:rsidR="00A7521D" w:rsidRDefault="00A7521D" w:rsidP="00A7521D">
      <w:pPr>
        <w:rPr>
          <w:iCs/>
        </w:rPr>
      </w:pPr>
    </w:p>
    <w:p w14:paraId="5C64DCC8" w14:textId="7A67725B" w:rsidR="00A7521D" w:rsidRPr="002C30BD" w:rsidRDefault="00C73E04" w:rsidP="00A7521D">
      <w:pPr>
        <w:pStyle w:val="NoSpacing"/>
      </w:pPr>
      <m:oMath>
        <m:sSub>
          <m:sSubPr>
            <m:ctrlPr>
              <w:rPr>
                <w:rFonts w:ascii="Cambria Math" w:hAnsi="Cambria Math"/>
                <w:i/>
              </w:rPr>
            </m:ctrlPr>
          </m:sSubPr>
          <m:e>
            <m:r>
              <w:rPr>
                <w:rFonts w:ascii="Cambria Math" w:hAnsi="Cambria Math"/>
              </w:rPr>
              <m:t>G</m:t>
            </m:r>
          </m:e>
          <m:sub>
            <m:r>
              <w:rPr>
                <w:rFonts w:ascii="Cambria Math" w:hAnsi="Cambria Math"/>
              </w:rPr>
              <m:t>tu</m:t>
            </m:r>
          </m:sub>
        </m:sSub>
      </m:oMath>
      <w:r w:rsidR="00A7521D">
        <w:t xml:space="preserve"> was the tube side mass velocity </w:t>
      </w:r>
      <w:bookmarkStart w:id="1014" w:name="_Hlk526165570"/>
      <w:r w:rsidR="00A7521D">
        <w:t>(kg/[sm</w:t>
      </w:r>
      <w:r w:rsidR="00A7521D">
        <w:rPr>
          <w:vertAlign w:val="superscript"/>
        </w:rPr>
        <w:t>2</w:t>
      </w:r>
      <w:r w:rsidR="00A7521D">
        <w:t>])</w:t>
      </w:r>
      <w:bookmarkEnd w:id="1014"/>
      <w:r w:rsidR="009F0543">
        <w:t>,</w:t>
      </w:r>
    </w:p>
    <w:p w14:paraId="2476B9B4" w14:textId="6D9AFBF3" w:rsidR="00A7521D" w:rsidRDefault="00C73E04" w:rsidP="00A7521D">
      <w:pPr>
        <w:rPr>
          <w:iCs/>
        </w:rPr>
      </w:pPr>
      <m:oMath>
        <m:sSub>
          <m:sSubPr>
            <m:ctrlPr>
              <w:rPr>
                <w:rFonts w:ascii="Cambria Math" w:hAnsi="Cambria Math"/>
                <w:i/>
                <w:iCs/>
              </w:rPr>
            </m:ctrlPr>
          </m:sSubPr>
          <m:e>
            <m:acc>
              <m:accPr>
                <m:chr m:val="̇"/>
                <m:ctrlPr>
                  <w:rPr>
                    <w:rFonts w:ascii="Cambria Math" w:hAnsi="Cambria Math"/>
                    <w:i/>
                    <w:iCs/>
                  </w:rPr>
                </m:ctrlPr>
              </m:accPr>
              <m:e>
                <m:r>
                  <w:rPr>
                    <w:rFonts w:ascii="Cambria Math" w:hAnsi="Cambria Math"/>
                  </w:rPr>
                  <m:t>m</m:t>
                </m:r>
              </m:e>
            </m:acc>
          </m:e>
          <m:sub>
            <m:r>
              <w:rPr>
                <w:rFonts w:ascii="Cambria Math" w:hAnsi="Cambria Math"/>
              </w:rPr>
              <m:t>tu</m:t>
            </m:r>
          </m:sub>
        </m:sSub>
      </m:oMath>
      <w:r w:rsidR="00A7521D">
        <w:rPr>
          <w:iCs/>
        </w:rPr>
        <w:t xml:space="preserve"> was the tube side mass flowrate (kg/s).</w:t>
      </w:r>
    </w:p>
    <w:p w14:paraId="6DC092E2" w14:textId="294D643F" w:rsidR="009F0543" w:rsidRDefault="009F0543" w:rsidP="00A7521D">
      <w:pPr>
        <w:rPr>
          <w:iCs/>
        </w:rPr>
      </w:pPr>
      <w:r>
        <w:rPr>
          <w:iCs/>
        </w:rPr>
        <w:t>The tube side mass velocity was dependent on the tube side mass velocity and the total flow area. The value of the tube side mass velocity would be supplied by industry.</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37"/>
        <w:gridCol w:w="239"/>
        <w:gridCol w:w="822"/>
      </w:tblGrid>
      <w:tr w:rsidR="00A7521D" w14:paraId="7B17F5A2" w14:textId="77777777" w:rsidTr="00A7521D">
        <w:tc>
          <w:tcPr>
            <w:tcW w:w="7137" w:type="dxa"/>
            <w:hideMark/>
          </w:tcPr>
          <w:p w14:paraId="79BEE815" w14:textId="77777777" w:rsidR="00A7521D" w:rsidRDefault="00C73E04" w:rsidP="00A7521D">
            <w:pPr>
              <w:keepNext/>
              <w:rPr>
                <w:color w:val="FFFFFF"/>
              </w:rPr>
            </w:pPr>
            <m:oMathPara>
              <m:oMathParaPr>
                <m:jc m:val="left"/>
              </m:oMathParaPr>
              <m:oMath>
                <m:sSub>
                  <m:sSubPr>
                    <m:ctrlPr>
                      <w:rPr>
                        <w:rFonts w:ascii="Cambria Math" w:hAnsi="Cambria Math"/>
                        <w:i/>
                        <w:iCs/>
                      </w:rPr>
                    </m:ctrlPr>
                  </m:sSubPr>
                  <m:e>
                    <m:r>
                      <w:rPr>
                        <w:rFonts w:ascii="Cambria Math" w:hAnsi="Cambria Math"/>
                      </w:rPr>
                      <m:t>v</m:t>
                    </m:r>
                  </m:e>
                  <m:sub>
                    <m:r>
                      <w:rPr>
                        <w:rFonts w:ascii="Cambria Math" w:hAnsi="Cambria Math"/>
                      </w:rPr>
                      <m:t>tu</m:t>
                    </m:r>
                  </m:sub>
                </m:sSub>
                <m:r>
                  <w:rPr>
                    <w:rFonts w:ascii="Cambria Math" w:hAnsi="Cambria Math"/>
                  </w:rPr>
                  <m:t>=</m:t>
                </m:r>
                <m:f>
                  <m:fPr>
                    <m:ctrlPr>
                      <w:rPr>
                        <w:rFonts w:ascii="Cambria Math" w:hAnsi="Cambria Math"/>
                        <w:i/>
                        <w:iCs/>
                      </w:rPr>
                    </m:ctrlPr>
                  </m:fPr>
                  <m:num>
                    <m:sSub>
                      <m:sSubPr>
                        <m:ctrlPr>
                          <w:rPr>
                            <w:rFonts w:ascii="Cambria Math" w:hAnsi="Cambria Math"/>
                            <w:i/>
                            <w:iCs/>
                          </w:rPr>
                        </m:ctrlPr>
                      </m:sSubPr>
                      <m:e>
                        <m:r>
                          <w:rPr>
                            <w:rFonts w:ascii="Cambria Math" w:hAnsi="Cambria Math"/>
                          </w:rPr>
                          <m:t>G</m:t>
                        </m:r>
                      </m:e>
                      <m:sub>
                        <m:r>
                          <w:rPr>
                            <w:rFonts w:ascii="Cambria Math" w:hAnsi="Cambria Math"/>
                          </w:rPr>
                          <m:t>tu</m:t>
                        </m:r>
                      </m:sub>
                    </m:sSub>
                  </m:num>
                  <m:den>
                    <m:sSub>
                      <m:sSubPr>
                        <m:ctrlPr>
                          <w:rPr>
                            <w:rFonts w:ascii="Cambria Math" w:hAnsi="Cambria Math"/>
                            <w:i/>
                            <w:iCs/>
                          </w:rPr>
                        </m:ctrlPr>
                      </m:sSubPr>
                      <m:e>
                        <m:r>
                          <w:rPr>
                            <w:rFonts w:ascii="Cambria Math" w:hAnsi="Cambria Math"/>
                          </w:rPr>
                          <m:t>ρ</m:t>
                        </m:r>
                      </m:e>
                      <m:sub>
                        <m:r>
                          <w:rPr>
                            <w:rFonts w:ascii="Cambria Math" w:hAnsi="Cambria Math"/>
                          </w:rPr>
                          <m:t>tu</m:t>
                        </m:r>
                      </m:sub>
                    </m:sSub>
                  </m:den>
                </m:f>
              </m:oMath>
            </m:oMathPara>
          </w:p>
        </w:tc>
        <w:tc>
          <w:tcPr>
            <w:tcW w:w="239" w:type="dxa"/>
            <w:hideMark/>
          </w:tcPr>
          <w:p w14:paraId="2BDA6896" w14:textId="77777777" w:rsidR="00A7521D" w:rsidRDefault="00A7521D" w:rsidP="00A7521D">
            <w:pPr>
              <w:pStyle w:val="Caption"/>
              <w:jc w:val="right"/>
            </w:pPr>
            <w:r>
              <w:t xml:space="preserve"> </w:t>
            </w:r>
          </w:p>
        </w:tc>
        <w:tc>
          <w:tcPr>
            <w:tcW w:w="822" w:type="dxa"/>
            <w:vAlign w:val="center"/>
            <w:hideMark/>
          </w:tcPr>
          <w:p w14:paraId="74EB1F2D" w14:textId="7855AA68" w:rsidR="00A7521D" w:rsidRDefault="00A7521D" w:rsidP="00A7521D">
            <w:pPr>
              <w:pStyle w:val="Caption"/>
              <w:jc w:val="right"/>
              <w:rPr>
                <w:b w:val="0"/>
              </w:rPr>
            </w:pPr>
            <w:r>
              <w:rPr>
                <w:noProof/>
              </w:rPr>
              <w:fldChar w:fldCharType="begin"/>
            </w:r>
            <w:r>
              <w:rPr>
                <w:noProof/>
              </w:rPr>
              <w:instrText xml:space="preserve"> STYLEREF 1 \s </w:instrText>
            </w:r>
            <w:r>
              <w:rPr>
                <w:noProof/>
              </w:rPr>
              <w:fldChar w:fldCharType="separate"/>
            </w:r>
            <w:r w:rsidR="00CB7456">
              <w:rPr>
                <w:noProof/>
              </w:rPr>
              <w:t>13</w:t>
            </w:r>
            <w:r>
              <w:rPr>
                <w:noProof/>
              </w:rPr>
              <w:fldChar w:fldCharType="end"/>
            </w:r>
            <w:r>
              <w:rPr>
                <w:noProof/>
              </w:rPr>
              <w:t>.</w:t>
            </w:r>
            <w:r>
              <w:rPr>
                <w:noProof/>
              </w:rPr>
              <w:fldChar w:fldCharType="begin"/>
            </w:r>
            <w:r>
              <w:rPr>
                <w:noProof/>
              </w:rPr>
              <w:instrText xml:space="preserve"> SEQ Equation \* ARABIC \s 1 </w:instrText>
            </w:r>
            <w:r>
              <w:rPr>
                <w:noProof/>
              </w:rPr>
              <w:fldChar w:fldCharType="separate"/>
            </w:r>
            <w:r w:rsidR="00CB7456">
              <w:rPr>
                <w:noProof/>
              </w:rPr>
              <w:t>14</w:t>
            </w:r>
            <w:r>
              <w:rPr>
                <w:noProof/>
              </w:rPr>
              <w:fldChar w:fldCharType="end"/>
            </w:r>
          </w:p>
        </w:tc>
      </w:tr>
    </w:tbl>
    <w:p w14:paraId="61374475" w14:textId="77777777" w:rsidR="00A7521D" w:rsidRDefault="00A7521D" w:rsidP="00A7521D">
      <w:pPr>
        <w:rPr>
          <w:iCs/>
        </w:rPr>
      </w:pPr>
    </w:p>
    <w:p w14:paraId="204A190B" w14:textId="77777777" w:rsidR="00A7521D" w:rsidRDefault="00C73E04" w:rsidP="00A7521D">
      <w:pPr>
        <w:pStyle w:val="NoSpacing"/>
      </w:pPr>
      <m:oMath>
        <m:sSub>
          <m:sSubPr>
            <m:ctrlPr>
              <w:rPr>
                <w:rFonts w:ascii="Cambria Math" w:hAnsi="Cambria Math"/>
                <w:i/>
              </w:rPr>
            </m:ctrlPr>
          </m:sSubPr>
          <m:e>
            <m:r>
              <w:rPr>
                <w:rFonts w:ascii="Cambria Math" w:hAnsi="Cambria Math"/>
              </w:rPr>
              <m:t>v</m:t>
            </m:r>
          </m:e>
          <m:sub>
            <m:r>
              <w:rPr>
                <w:rFonts w:ascii="Cambria Math" w:hAnsi="Cambria Math"/>
              </w:rPr>
              <m:t>tu</m:t>
            </m:r>
          </m:sub>
        </m:sSub>
      </m:oMath>
      <w:r w:rsidR="00A7521D">
        <w:t xml:space="preserve"> was the tube side linear ve</w:t>
      </w:r>
      <w:proofErr w:type="spellStart"/>
      <w:r w:rsidR="00A7521D">
        <w:t>locity</w:t>
      </w:r>
      <w:proofErr w:type="spellEnd"/>
      <w:r w:rsidR="00A7521D">
        <w:t xml:space="preserve"> (m/s),</w:t>
      </w:r>
    </w:p>
    <w:p w14:paraId="55AF7AFC" w14:textId="190B8C72" w:rsidR="00A7521D" w:rsidRDefault="00C73E04" w:rsidP="00A7521D">
      <w:pPr>
        <w:rPr>
          <w:iCs/>
        </w:rPr>
      </w:pPr>
      <m:oMath>
        <m:sSub>
          <m:sSubPr>
            <m:ctrlPr>
              <w:rPr>
                <w:rFonts w:ascii="Cambria Math" w:hAnsi="Cambria Math"/>
                <w:i/>
                <w:iCs/>
              </w:rPr>
            </m:ctrlPr>
          </m:sSubPr>
          <m:e>
            <m:r>
              <w:rPr>
                <w:rFonts w:ascii="Cambria Math" w:hAnsi="Cambria Math"/>
              </w:rPr>
              <m:t>ρ</m:t>
            </m:r>
          </m:e>
          <m:sub>
            <m:r>
              <w:rPr>
                <w:rFonts w:ascii="Cambria Math" w:hAnsi="Cambria Math"/>
              </w:rPr>
              <m:t>tu</m:t>
            </m:r>
          </m:sub>
        </m:sSub>
      </m:oMath>
      <w:r w:rsidR="00A7521D">
        <w:rPr>
          <w:iCs/>
        </w:rPr>
        <w:t xml:space="preserve"> was the tube side fluid density (kg/m</w:t>
      </w:r>
      <w:r w:rsidR="00A7521D">
        <w:rPr>
          <w:iCs/>
          <w:vertAlign w:val="superscript"/>
        </w:rPr>
        <w:t>3</w:t>
      </w:r>
      <w:r w:rsidR="00A7521D">
        <w:rPr>
          <w:iCs/>
        </w:rPr>
        <w:t>).</w:t>
      </w:r>
    </w:p>
    <w:p w14:paraId="6B17B6CC" w14:textId="74116AC4" w:rsidR="009F0543" w:rsidRDefault="009F0543" w:rsidP="00A7521D">
      <w:pPr>
        <w:rPr>
          <w:iCs/>
        </w:rPr>
      </w:pPr>
      <w:r>
        <w:rPr>
          <w:iCs/>
        </w:rPr>
        <w:t>The tube side linear velocity was dependent on the tube side mass velocity and the tube side fluid density. The density was dependent on the operating conditions and the tube side fluid.</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37"/>
        <w:gridCol w:w="239"/>
        <w:gridCol w:w="822"/>
      </w:tblGrid>
      <w:tr w:rsidR="00A7521D" w14:paraId="608CAD1B" w14:textId="77777777" w:rsidTr="00A7521D">
        <w:tc>
          <w:tcPr>
            <w:tcW w:w="7137" w:type="dxa"/>
            <w:hideMark/>
          </w:tcPr>
          <w:p w14:paraId="480DF408" w14:textId="246297DF" w:rsidR="00A7521D" w:rsidRDefault="00C73E04" w:rsidP="00A7521D">
            <w:pPr>
              <w:keepNext/>
              <w:rPr>
                <w:color w:val="FFFFFF"/>
              </w:rPr>
            </w:pPr>
            <m:oMathPara>
              <m:oMathParaPr>
                <m:jc m:val="left"/>
              </m:oMathParaPr>
              <m:oMath>
                <m:sSub>
                  <m:sSubPr>
                    <m:ctrlPr>
                      <w:rPr>
                        <w:rFonts w:ascii="Cambria Math" w:hAnsi="Cambria Math"/>
                        <w:i/>
                        <w:iCs/>
                      </w:rPr>
                    </m:ctrlPr>
                  </m:sSubPr>
                  <m:e>
                    <m:r>
                      <w:rPr>
                        <w:rFonts w:ascii="Cambria Math" w:hAnsi="Cambria Math"/>
                      </w:rPr>
                      <m:t>Re</m:t>
                    </m:r>
                  </m:e>
                  <m:sub>
                    <m:r>
                      <w:rPr>
                        <w:rFonts w:ascii="Cambria Math" w:hAnsi="Cambria Math"/>
                      </w:rPr>
                      <m:t>tu</m:t>
                    </m:r>
                  </m:sub>
                </m:sSub>
                <m:r>
                  <w:rPr>
                    <w:rFonts w:ascii="Cambria Math" w:hAnsi="Cambria Math"/>
                  </w:rPr>
                  <m:t>=</m:t>
                </m:r>
                <m:f>
                  <m:fPr>
                    <m:ctrlPr>
                      <w:rPr>
                        <w:rFonts w:ascii="Cambria Math" w:hAnsi="Cambria Math"/>
                        <w:i/>
                        <w:iCs/>
                      </w:rPr>
                    </m:ctrlPr>
                  </m:fPr>
                  <m:num>
                    <m:sSub>
                      <m:sSubPr>
                        <m:ctrlPr>
                          <w:rPr>
                            <w:rFonts w:ascii="Cambria Math" w:hAnsi="Cambria Math"/>
                            <w:i/>
                            <w:iCs/>
                          </w:rPr>
                        </m:ctrlPr>
                      </m:sSubPr>
                      <m:e>
                        <m:r>
                          <w:rPr>
                            <w:rFonts w:ascii="Cambria Math" w:hAnsi="Cambria Math"/>
                          </w:rPr>
                          <m:t>ρ</m:t>
                        </m:r>
                      </m:e>
                      <m:sub>
                        <m:r>
                          <w:rPr>
                            <w:rFonts w:ascii="Cambria Math" w:hAnsi="Cambria Math"/>
                          </w:rPr>
                          <m:t>tu</m:t>
                        </m:r>
                      </m:sub>
                    </m:sSub>
                    <m:sSub>
                      <m:sSubPr>
                        <m:ctrlPr>
                          <w:rPr>
                            <w:rFonts w:ascii="Cambria Math" w:hAnsi="Cambria Math"/>
                            <w:i/>
                            <w:iCs/>
                          </w:rPr>
                        </m:ctrlPr>
                      </m:sSubPr>
                      <m:e>
                        <m:r>
                          <w:rPr>
                            <w:rFonts w:ascii="Cambria Math" w:hAnsi="Cambria Math"/>
                          </w:rPr>
                          <m:t>v</m:t>
                        </m:r>
                      </m:e>
                      <m:sub>
                        <m:r>
                          <w:rPr>
                            <w:rFonts w:ascii="Cambria Math" w:hAnsi="Cambria Math"/>
                          </w:rPr>
                          <m:t>tu</m:t>
                        </m:r>
                      </m:sub>
                    </m:sSub>
                    <m:sSub>
                      <m:sSubPr>
                        <m:ctrlPr>
                          <w:rPr>
                            <w:rFonts w:ascii="Cambria Math" w:hAnsi="Cambria Math"/>
                            <w:i/>
                            <w:iCs/>
                          </w:rPr>
                        </m:ctrlPr>
                      </m:sSubPr>
                      <m:e>
                        <m:r>
                          <w:rPr>
                            <w:rFonts w:ascii="Cambria Math" w:hAnsi="Cambria Math"/>
                          </w:rPr>
                          <m:t>D</m:t>
                        </m:r>
                      </m:e>
                      <m:sub>
                        <m:r>
                          <w:rPr>
                            <w:rFonts w:ascii="Cambria Math" w:hAnsi="Cambria Math"/>
                          </w:rPr>
                          <m:t>i</m:t>
                        </m:r>
                      </m:sub>
                    </m:sSub>
                  </m:num>
                  <m:den>
                    <m:sSub>
                      <m:sSubPr>
                        <m:ctrlPr>
                          <w:rPr>
                            <w:rFonts w:ascii="Cambria Math" w:hAnsi="Cambria Math"/>
                            <w:i/>
                            <w:iCs/>
                          </w:rPr>
                        </m:ctrlPr>
                      </m:sSubPr>
                      <m:e>
                        <m:r>
                          <w:rPr>
                            <w:rFonts w:ascii="Cambria Math" w:hAnsi="Cambria Math"/>
                          </w:rPr>
                          <m:t>μ</m:t>
                        </m:r>
                      </m:e>
                      <m:sub>
                        <m:r>
                          <w:rPr>
                            <w:rFonts w:ascii="Cambria Math" w:hAnsi="Cambria Math"/>
                          </w:rPr>
                          <m:t>tu</m:t>
                        </m:r>
                      </m:sub>
                    </m:sSub>
                  </m:den>
                </m:f>
              </m:oMath>
            </m:oMathPara>
          </w:p>
        </w:tc>
        <w:tc>
          <w:tcPr>
            <w:tcW w:w="239" w:type="dxa"/>
            <w:hideMark/>
          </w:tcPr>
          <w:p w14:paraId="5A57B29E" w14:textId="77777777" w:rsidR="00A7521D" w:rsidRDefault="00A7521D" w:rsidP="00A7521D">
            <w:pPr>
              <w:pStyle w:val="Caption"/>
              <w:jc w:val="right"/>
            </w:pPr>
            <w:r>
              <w:t xml:space="preserve"> </w:t>
            </w:r>
          </w:p>
        </w:tc>
        <w:tc>
          <w:tcPr>
            <w:tcW w:w="822" w:type="dxa"/>
            <w:vAlign w:val="center"/>
            <w:hideMark/>
          </w:tcPr>
          <w:p w14:paraId="716C3DD3" w14:textId="3C1B3D06" w:rsidR="00A7521D" w:rsidRDefault="00A7521D" w:rsidP="00A7521D">
            <w:pPr>
              <w:pStyle w:val="Caption"/>
              <w:jc w:val="right"/>
              <w:rPr>
                <w:b w:val="0"/>
              </w:rPr>
            </w:pPr>
            <w:r>
              <w:rPr>
                <w:noProof/>
              </w:rPr>
              <w:fldChar w:fldCharType="begin"/>
            </w:r>
            <w:r>
              <w:rPr>
                <w:noProof/>
              </w:rPr>
              <w:instrText xml:space="preserve"> STYLEREF 1 \s </w:instrText>
            </w:r>
            <w:r>
              <w:rPr>
                <w:noProof/>
              </w:rPr>
              <w:fldChar w:fldCharType="separate"/>
            </w:r>
            <w:r w:rsidR="00CB7456">
              <w:rPr>
                <w:noProof/>
              </w:rPr>
              <w:t>13</w:t>
            </w:r>
            <w:r>
              <w:rPr>
                <w:noProof/>
              </w:rPr>
              <w:fldChar w:fldCharType="end"/>
            </w:r>
            <w:r>
              <w:rPr>
                <w:noProof/>
              </w:rPr>
              <w:t>.</w:t>
            </w:r>
            <w:r>
              <w:rPr>
                <w:noProof/>
              </w:rPr>
              <w:fldChar w:fldCharType="begin"/>
            </w:r>
            <w:r>
              <w:rPr>
                <w:noProof/>
              </w:rPr>
              <w:instrText xml:space="preserve"> SEQ Equation \* ARABIC \s 1 </w:instrText>
            </w:r>
            <w:r>
              <w:rPr>
                <w:noProof/>
              </w:rPr>
              <w:fldChar w:fldCharType="separate"/>
            </w:r>
            <w:r w:rsidR="00CB7456">
              <w:rPr>
                <w:noProof/>
              </w:rPr>
              <w:t>15</w:t>
            </w:r>
            <w:r>
              <w:rPr>
                <w:noProof/>
              </w:rPr>
              <w:fldChar w:fldCharType="end"/>
            </w:r>
          </w:p>
        </w:tc>
      </w:tr>
    </w:tbl>
    <w:p w14:paraId="0FD9BC8E" w14:textId="77777777" w:rsidR="00A7521D" w:rsidRDefault="00A7521D" w:rsidP="00A7521D">
      <w:pPr>
        <w:rPr>
          <w:iCs/>
        </w:rPr>
      </w:pPr>
    </w:p>
    <w:p w14:paraId="2F233B99" w14:textId="77777777" w:rsidR="00A7521D" w:rsidRDefault="00C73E04" w:rsidP="00A7521D">
      <w:pPr>
        <w:pStyle w:val="NoSpacing"/>
      </w:pPr>
      <m:oMath>
        <m:sSub>
          <m:sSubPr>
            <m:ctrlPr>
              <w:rPr>
                <w:rFonts w:ascii="Cambria Math" w:hAnsi="Cambria Math"/>
                <w:i/>
              </w:rPr>
            </m:ctrlPr>
          </m:sSubPr>
          <m:e>
            <m:r>
              <w:rPr>
                <w:rFonts w:ascii="Cambria Math" w:hAnsi="Cambria Math"/>
              </w:rPr>
              <m:t>Re</m:t>
            </m:r>
          </m:e>
          <m:sub>
            <m:r>
              <w:rPr>
                <w:rFonts w:ascii="Cambria Math" w:hAnsi="Cambria Math"/>
              </w:rPr>
              <m:t>tu</m:t>
            </m:r>
          </m:sub>
        </m:sSub>
      </m:oMath>
      <w:r w:rsidR="00A7521D">
        <w:t xml:space="preserve"> was the tube side Reynolds number,</w:t>
      </w:r>
    </w:p>
    <w:p w14:paraId="75B23645" w14:textId="5B39E946" w:rsidR="00A7521D" w:rsidRDefault="00C73E04" w:rsidP="00A7521D">
      <w:pPr>
        <w:rPr>
          <w:iCs/>
        </w:rPr>
      </w:pPr>
      <m:oMath>
        <m:sSub>
          <m:sSubPr>
            <m:ctrlPr>
              <w:rPr>
                <w:rFonts w:ascii="Cambria Math" w:hAnsi="Cambria Math"/>
                <w:i/>
                <w:iCs/>
              </w:rPr>
            </m:ctrlPr>
          </m:sSubPr>
          <m:e>
            <m:r>
              <w:rPr>
                <w:rFonts w:ascii="Cambria Math" w:hAnsi="Cambria Math"/>
              </w:rPr>
              <m:t>μ</m:t>
            </m:r>
          </m:e>
          <m:sub>
            <m:r>
              <w:rPr>
                <w:rFonts w:ascii="Cambria Math" w:hAnsi="Cambria Math"/>
              </w:rPr>
              <m:t>tu</m:t>
            </m:r>
          </m:sub>
        </m:sSub>
      </m:oMath>
      <w:r w:rsidR="00A7521D">
        <w:rPr>
          <w:iCs/>
        </w:rPr>
        <w:t xml:space="preserve"> was the tube side viscosity (Pas).</w:t>
      </w:r>
    </w:p>
    <w:p w14:paraId="57B6F6DF" w14:textId="362EC9AA" w:rsidR="009F0543" w:rsidRDefault="009F0543" w:rsidP="00A7521D">
      <w:pPr>
        <w:rPr>
          <w:iCs/>
        </w:rPr>
      </w:pPr>
      <w:r>
        <w:rPr>
          <w:iCs/>
        </w:rPr>
        <w:t xml:space="preserve">The tube side Reynolds number was dependent on the tube side density, </w:t>
      </w:r>
      <w:r w:rsidR="003B060D">
        <w:rPr>
          <w:iCs/>
        </w:rPr>
        <w:t>linear velocity and viscosity as well as the inner pipe diameter. The viscosity was dependent on the operating conditions and the tube side fluid.</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37"/>
        <w:gridCol w:w="239"/>
        <w:gridCol w:w="822"/>
      </w:tblGrid>
      <w:tr w:rsidR="00A7521D" w14:paraId="00F68223" w14:textId="77777777" w:rsidTr="00A7521D">
        <w:tc>
          <w:tcPr>
            <w:tcW w:w="7137" w:type="dxa"/>
            <w:hideMark/>
          </w:tcPr>
          <w:p w14:paraId="50D8DF2A" w14:textId="77777777" w:rsidR="00A7521D" w:rsidRDefault="00C73E04" w:rsidP="00A7521D">
            <w:pPr>
              <w:keepNext/>
              <w:rPr>
                <w:color w:val="FFFFFF"/>
              </w:rPr>
            </w:pPr>
            <m:oMathPara>
              <m:oMathParaPr>
                <m:jc m:val="left"/>
              </m:oMathParaPr>
              <m:oMath>
                <m:sSub>
                  <m:sSubPr>
                    <m:ctrlPr>
                      <w:rPr>
                        <w:rFonts w:ascii="Cambria Math" w:hAnsi="Cambria Math"/>
                        <w:i/>
                        <w:iCs/>
                      </w:rPr>
                    </m:ctrlPr>
                  </m:sSubPr>
                  <m:e>
                    <m:r>
                      <w:rPr>
                        <w:rFonts w:ascii="Cambria Math" w:hAnsi="Cambria Math"/>
                      </w:rPr>
                      <m:t>Pr</m:t>
                    </m:r>
                  </m:e>
                  <m:sub>
                    <m:r>
                      <w:rPr>
                        <w:rFonts w:ascii="Cambria Math" w:hAnsi="Cambria Math"/>
                      </w:rPr>
                      <m:t>tu</m:t>
                    </m:r>
                  </m:sub>
                </m:sSub>
                <m:r>
                  <w:rPr>
                    <w:rFonts w:ascii="Cambria Math" w:hAnsi="Cambria Math"/>
                  </w:rPr>
                  <m:t>=</m:t>
                </m:r>
                <m:f>
                  <m:fPr>
                    <m:ctrlPr>
                      <w:rPr>
                        <w:rFonts w:ascii="Cambria Math" w:hAnsi="Cambria Math"/>
                        <w:i/>
                        <w:iCs/>
                      </w:rPr>
                    </m:ctrlPr>
                  </m:fPr>
                  <m:num>
                    <m:sSub>
                      <m:sSubPr>
                        <m:ctrlPr>
                          <w:rPr>
                            <w:rFonts w:ascii="Cambria Math" w:hAnsi="Cambria Math"/>
                            <w:i/>
                            <w:iCs/>
                          </w:rPr>
                        </m:ctrlPr>
                      </m:sSubPr>
                      <m:e>
                        <m:r>
                          <w:rPr>
                            <w:rFonts w:ascii="Cambria Math" w:hAnsi="Cambria Math"/>
                          </w:rPr>
                          <m:t>c</m:t>
                        </m:r>
                      </m:e>
                      <m:sub>
                        <m:r>
                          <w:rPr>
                            <w:rFonts w:ascii="Cambria Math" w:hAnsi="Cambria Math"/>
                          </w:rPr>
                          <m:t>p,tu</m:t>
                        </m:r>
                      </m:sub>
                    </m:sSub>
                    <m:sSub>
                      <m:sSubPr>
                        <m:ctrlPr>
                          <w:rPr>
                            <w:rFonts w:ascii="Cambria Math" w:hAnsi="Cambria Math"/>
                            <w:i/>
                            <w:iCs/>
                          </w:rPr>
                        </m:ctrlPr>
                      </m:sSubPr>
                      <m:e>
                        <m:r>
                          <w:rPr>
                            <w:rFonts w:ascii="Cambria Math" w:hAnsi="Cambria Math"/>
                          </w:rPr>
                          <m:t>μ</m:t>
                        </m:r>
                      </m:e>
                      <m:sub>
                        <m:r>
                          <w:rPr>
                            <w:rFonts w:ascii="Cambria Math" w:hAnsi="Cambria Math"/>
                          </w:rPr>
                          <m:t>tu</m:t>
                        </m:r>
                      </m:sub>
                    </m:sSub>
                  </m:num>
                  <m:den>
                    <m:sSub>
                      <m:sSubPr>
                        <m:ctrlPr>
                          <w:rPr>
                            <w:rFonts w:ascii="Cambria Math" w:hAnsi="Cambria Math"/>
                            <w:i/>
                            <w:iCs/>
                          </w:rPr>
                        </m:ctrlPr>
                      </m:sSubPr>
                      <m:e>
                        <m:r>
                          <w:rPr>
                            <w:rFonts w:ascii="Cambria Math" w:hAnsi="Cambria Math"/>
                          </w:rPr>
                          <m:t>k</m:t>
                        </m:r>
                      </m:e>
                      <m:sub>
                        <m:r>
                          <w:rPr>
                            <w:rFonts w:ascii="Cambria Math" w:hAnsi="Cambria Math"/>
                          </w:rPr>
                          <m:t>f,tu</m:t>
                        </m:r>
                      </m:sub>
                    </m:sSub>
                  </m:den>
                </m:f>
              </m:oMath>
            </m:oMathPara>
          </w:p>
        </w:tc>
        <w:tc>
          <w:tcPr>
            <w:tcW w:w="239" w:type="dxa"/>
            <w:hideMark/>
          </w:tcPr>
          <w:p w14:paraId="2AF62FE4" w14:textId="77777777" w:rsidR="00A7521D" w:rsidRDefault="00A7521D" w:rsidP="00A7521D">
            <w:pPr>
              <w:pStyle w:val="Caption"/>
              <w:jc w:val="right"/>
            </w:pPr>
            <w:r>
              <w:t xml:space="preserve"> </w:t>
            </w:r>
          </w:p>
        </w:tc>
        <w:tc>
          <w:tcPr>
            <w:tcW w:w="822" w:type="dxa"/>
            <w:vAlign w:val="center"/>
            <w:hideMark/>
          </w:tcPr>
          <w:p w14:paraId="41980B4E" w14:textId="7E918A92" w:rsidR="00A7521D" w:rsidRDefault="00A7521D" w:rsidP="00A7521D">
            <w:pPr>
              <w:pStyle w:val="Caption"/>
              <w:jc w:val="right"/>
              <w:rPr>
                <w:b w:val="0"/>
              </w:rPr>
            </w:pPr>
            <w:r>
              <w:rPr>
                <w:noProof/>
              </w:rPr>
              <w:fldChar w:fldCharType="begin"/>
            </w:r>
            <w:r>
              <w:rPr>
                <w:noProof/>
              </w:rPr>
              <w:instrText xml:space="preserve"> STYLEREF 1 \s </w:instrText>
            </w:r>
            <w:r>
              <w:rPr>
                <w:noProof/>
              </w:rPr>
              <w:fldChar w:fldCharType="separate"/>
            </w:r>
            <w:r w:rsidR="00CB7456">
              <w:rPr>
                <w:noProof/>
              </w:rPr>
              <w:t>13</w:t>
            </w:r>
            <w:r>
              <w:rPr>
                <w:noProof/>
              </w:rPr>
              <w:fldChar w:fldCharType="end"/>
            </w:r>
            <w:r>
              <w:rPr>
                <w:noProof/>
              </w:rPr>
              <w:t>.</w:t>
            </w:r>
            <w:r>
              <w:rPr>
                <w:noProof/>
              </w:rPr>
              <w:fldChar w:fldCharType="begin"/>
            </w:r>
            <w:r>
              <w:rPr>
                <w:noProof/>
              </w:rPr>
              <w:instrText xml:space="preserve"> SEQ Equation \* ARABIC \s 1 </w:instrText>
            </w:r>
            <w:r>
              <w:rPr>
                <w:noProof/>
              </w:rPr>
              <w:fldChar w:fldCharType="separate"/>
            </w:r>
            <w:r w:rsidR="00CB7456">
              <w:rPr>
                <w:noProof/>
              </w:rPr>
              <w:t>16</w:t>
            </w:r>
            <w:r>
              <w:rPr>
                <w:noProof/>
              </w:rPr>
              <w:fldChar w:fldCharType="end"/>
            </w:r>
          </w:p>
        </w:tc>
      </w:tr>
    </w:tbl>
    <w:p w14:paraId="0BEB212E" w14:textId="77777777" w:rsidR="00A7521D" w:rsidRDefault="00A7521D" w:rsidP="00A7521D">
      <w:pPr>
        <w:rPr>
          <w:iCs/>
        </w:rPr>
      </w:pPr>
    </w:p>
    <w:p w14:paraId="5664987C" w14:textId="77777777" w:rsidR="00A7521D" w:rsidRDefault="00C73E04" w:rsidP="00A7521D">
      <w:pPr>
        <w:pStyle w:val="NoSpacing"/>
      </w:pPr>
      <m:oMath>
        <m:sSub>
          <m:sSubPr>
            <m:ctrlPr>
              <w:rPr>
                <w:rFonts w:ascii="Cambria Math" w:hAnsi="Cambria Math"/>
                <w:i/>
              </w:rPr>
            </m:ctrlPr>
          </m:sSubPr>
          <m:e>
            <m:r>
              <w:rPr>
                <w:rFonts w:ascii="Cambria Math" w:hAnsi="Cambria Math"/>
              </w:rPr>
              <m:t>Pr</m:t>
            </m:r>
          </m:e>
          <m:sub>
            <m:r>
              <w:rPr>
                <w:rFonts w:ascii="Cambria Math" w:hAnsi="Cambria Math"/>
              </w:rPr>
              <m:t>t</m:t>
            </m:r>
          </m:sub>
        </m:sSub>
      </m:oMath>
      <w:r w:rsidR="00A7521D">
        <w:t xml:space="preserve"> was the tube side Prandtl number,</w:t>
      </w:r>
    </w:p>
    <w:p w14:paraId="6C3AA9EB" w14:textId="77777777" w:rsidR="00A7521D" w:rsidRDefault="00C73E04" w:rsidP="00A7521D">
      <w:pPr>
        <w:pStyle w:val="NoSpacing"/>
      </w:pPr>
      <m:oMath>
        <m:sSub>
          <m:sSubPr>
            <m:ctrlPr>
              <w:rPr>
                <w:rFonts w:ascii="Cambria Math" w:hAnsi="Cambria Math"/>
                <w:i/>
              </w:rPr>
            </m:ctrlPr>
          </m:sSubPr>
          <m:e>
            <m:r>
              <w:rPr>
                <w:rFonts w:ascii="Cambria Math" w:hAnsi="Cambria Math"/>
              </w:rPr>
              <m:t>c</m:t>
            </m:r>
          </m:e>
          <m:sub>
            <m:r>
              <w:rPr>
                <w:rFonts w:ascii="Cambria Math" w:hAnsi="Cambria Math"/>
              </w:rPr>
              <m:t>p,t</m:t>
            </m:r>
          </m:sub>
        </m:sSub>
      </m:oMath>
      <w:r w:rsidR="00A7521D">
        <w:t xml:space="preserve"> was the tube side fluid specific heat capacity (kJ/[kg°C]),</w:t>
      </w:r>
    </w:p>
    <w:p w14:paraId="21958EDD" w14:textId="3BFB5F57" w:rsidR="00A7521D" w:rsidRDefault="00C73E04" w:rsidP="00A7521D">
      <w:pPr>
        <w:rPr>
          <w:iCs/>
        </w:rPr>
      </w:pPr>
      <m:oMath>
        <m:sSub>
          <m:sSubPr>
            <m:ctrlPr>
              <w:rPr>
                <w:rFonts w:ascii="Cambria Math" w:hAnsi="Cambria Math"/>
                <w:i/>
                <w:iCs/>
              </w:rPr>
            </m:ctrlPr>
          </m:sSubPr>
          <m:e>
            <m:r>
              <w:rPr>
                <w:rFonts w:ascii="Cambria Math" w:hAnsi="Cambria Math"/>
              </w:rPr>
              <m:t>k</m:t>
            </m:r>
          </m:e>
          <m:sub>
            <m:r>
              <w:rPr>
                <w:rFonts w:ascii="Cambria Math" w:hAnsi="Cambria Math"/>
              </w:rPr>
              <m:t>f,t</m:t>
            </m:r>
          </m:sub>
        </m:sSub>
      </m:oMath>
      <w:r w:rsidR="00A7521D">
        <w:rPr>
          <w:iCs/>
        </w:rPr>
        <w:t xml:space="preserve"> was the tube side fluid thermal conductivity (W/[mK]).</w:t>
      </w:r>
    </w:p>
    <w:p w14:paraId="4558E9D1" w14:textId="3EF0E705" w:rsidR="003B060D" w:rsidRDefault="003B060D" w:rsidP="003B060D">
      <w:pPr>
        <w:rPr>
          <w:iCs/>
        </w:rPr>
      </w:pPr>
      <w:r>
        <w:rPr>
          <w:iCs/>
        </w:rPr>
        <w:t>The tube side Prandtl number was dependent on the tube side specific heat capacity, thermal conductivity and viscosity. The specific heat capacity and the thermal conductivities were dependent on the operating conditions and the tube side fluid.</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37"/>
        <w:gridCol w:w="239"/>
        <w:gridCol w:w="822"/>
      </w:tblGrid>
      <w:tr w:rsidR="00A7521D" w14:paraId="245E5EAF" w14:textId="77777777" w:rsidTr="00A7521D">
        <w:tc>
          <w:tcPr>
            <w:tcW w:w="7137" w:type="dxa"/>
            <w:hideMark/>
          </w:tcPr>
          <w:p w14:paraId="01967CBF" w14:textId="6C5B3679" w:rsidR="00A7521D" w:rsidRDefault="00C73E04" w:rsidP="00A7521D">
            <w:pPr>
              <w:keepNext/>
              <w:rPr>
                <w:color w:val="FFFFFF"/>
              </w:rPr>
            </w:pPr>
            <m:oMathPara>
              <m:oMathParaPr>
                <m:jc m:val="left"/>
              </m:oMathParaPr>
              <m:oMath>
                <m:sSub>
                  <m:sSubPr>
                    <m:ctrlPr>
                      <w:rPr>
                        <w:rFonts w:ascii="Cambria Math" w:hAnsi="Cambria Math"/>
                        <w:i/>
                        <w:iCs/>
                      </w:rPr>
                    </m:ctrlPr>
                  </m:sSubPr>
                  <m:e>
                    <m:r>
                      <w:rPr>
                        <w:rFonts w:ascii="Cambria Math" w:hAnsi="Cambria Math"/>
                      </w:rPr>
                      <m:t>Nu</m:t>
                    </m:r>
                  </m:e>
                  <m:sub>
                    <m:r>
                      <w:rPr>
                        <w:rFonts w:ascii="Cambria Math" w:hAnsi="Cambria Math"/>
                      </w:rPr>
                      <m:t>tu</m:t>
                    </m:r>
                  </m:sub>
                </m:sSub>
                <m:r>
                  <w:rPr>
                    <w:rFonts w:ascii="Cambria Math" w:hAnsi="Cambria Math"/>
                  </w:rPr>
                  <m:t>=</m:t>
                </m:r>
                <m:f>
                  <m:fPr>
                    <m:ctrlPr>
                      <w:rPr>
                        <w:rFonts w:ascii="Cambria Math" w:hAnsi="Cambria Math"/>
                        <w:i/>
                        <w:iCs/>
                      </w:rPr>
                    </m:ctrlPr>
                  </m:fPr>
                  <m:num>
                    <m:sSub>
                      <m:sSubPr>
                        <m:ctrlPr>
                          <w:rPr>
                            <w:rFonts w:ascii="Cambria Math" w:hAnsi="Cambria Math"/>
                            <w:i/>
                            <w:iCs/>
                          </w:rPr>
                        </m:ctrlPr>
                      </m:sSubPr>
                      <m:e>
                        <m:r>
                          <w:rPr>
                            <w:rFonts w:ascii="Cambria Math" w:hAnsi="Cambria Math"/>
                          </w:rPr>
                          <m:t>h</m:t>
                        </m:r>
                      </m:e>
                      <m:sub>
                        <m:r>
                          <w:rPr>
                            <w:rFonts w:ascii="Cambria Math" w:hAnsi="Cambria Math"/>
                          </w:rPr>
                          <m:t>i</m:t>
                        </m:r>
                      </m:sub>
                    </m:sSub>
                    <m:sSub>
                      <m:sSubPr>
                        <m:ctrlPr>
                          <w:rPr>
                            <w:rFonts w:ascii="Cambria Math" w:hAnsi="Cambria Math"/>
                            <w:i/>
                            <w:iCs/>
                          </w:rPr>
                        </m:ctrlPr>
                      </m:sSubPr>
                      <m:e>
                        <m:r>
                          <w:rPr>
                            <w:rFonts w:ascii="Cambria Math" w:hAnsi="Cambria Math"/>
                          </w:rPr>
                          <m:t>D</m:t>
                        </m:r>
                      </m:e>
                      <m:sub>
                        <m:r>
                          <w:rPr>
                            <w:rFonts w:ascii="Cambria Math" w:hAnsi="Cambria Math"/>
                          </w:rPr>
                          <m:t>i</m:t>
                        </m:r>
                      </m:sub>
                    </m:sSub>
                  </m:num>
                  <m:den>
                    <m:sSub>
                      <m:sSubPr>
                        <m:ctrlPr>
                          <w:rPr>
                            <w:rFonts w:ascii="Cambria Math" w:hAnsi="Cambria Math"/>
                            <w:i/>
                            <w:iCs/>
                          </w:rPr>
                        </m:ctrlPr>
                      </m:sSubPr>
                      <m:e>
                        <m:r>
                          <w:rPr>
                            <w:rFonts w:ascii="Cambria Math" w:hAnsi="Cambria Math"/>
                          </w:rPr>
                          <m:t>k</m:t>
                        </m:r>
                      </m:e>
                      <m:sub>
                        <m:r>
                          <w:rPr>
                            <w:rFonts w:ascii="Cambria Math" w:hAnsi="Cambria Math"/>
                          </w:rPr>
                          <m:t>f,tu</m:t>
                        </m:r>
                      </m:sub>
                    </m:sSub>
                  </m:den>
                </m:f>
                <m:r>
                  <w:rPr>
                    <w:rFonts w:ascii="Cambria Math" w:hAnsi="Cambria Math"/>
                  </w:rPr>
                  <m:t>=</m:t>
                </m:r>
                <m:sSub>
                  <m:sSubPr>
                    <m:ctrlPr>
                      <w:rPr>
                        <w:rFonts w:ascii="Cambria Math" w:hAnsi="Cambria Math"/>
                        <w:i/>
                        <w:iCs/>
                      </w:rPr>
                    </m:ctrlPr>
                  </m:sSubPr>
                  <m:e>
                    <m:r>
                      <w:rPr>
                        <w:rFonts w:ascii="Cambria Math" w:hAnsi="Cambria Math"/>
                      </w:rPr>
                      <m:t>j</m:t>
                    </m:r>
                  </m:e>
                  <m:sub>
                    <m:r>
                      <w:rPr>
                        <w:rFonts w:ascii="Cambria Math" w:hAnsi="Cambria Math"/>
                      </w:rPr>
                      <m:t>h,t</m:t>
                    </m:r>
                  </m:sub>
                </m:sSub>
                <m:sSub>
                  <m:sSubPr>
                    <m:ctrlPr>
                      <w:rPr>
                        <w:rFonts w:ascii="Cambria Math" w:hAnsi="Cambria Math"/>
                        <w:i/>
                        <w:iCs/>
                      </w:rPr>
                    </m:ctrlPr>
                  </m:sSubPr>
                  <m:e>
                    <m:r>
                      <w:rPr>
                        <w:rFonts w:ascii="Cambria Math" w:hAnsi="Cambria Math"/>
                      </w:rPr>
                      <m:t>Re</m:t>
                    </m:r>
                  </m:e>
                  <m:sub>
                    <m:r>
                      <w:rPr>
                        <w:rFonts w:ascii="Cambria Math" w:hAnsi="Cambria Math"/>
                      </w:rPr>
                      <m:t>tu</m:t>
                    </m:r>
                  </m:sub>
                </m:sSub>
                <m:sSubSup>
                  <m:sSubSupPr>
                    <m:ctrlPr>
                      <w:rPr>
                        <w:rFonts w:ascii="Cambria Math" w:hAnsi="Cambria Math"/>
                        <w:i/>
                        <w:iCs/>
                      </w:rPr>
                    </m:ctrlPr>
                  </m:sSubSupPr>
                  <m:e>
                    <m:r>
                      <w:rPr>
                        <w:rFonts w:ascii="Cambria Math" w:hAnsi="Cambria Math"/>
                      </w:rPr>
                      <m:t>Pr</m:t>
                    </m:r>
                  </m:e>
                  <m:sub>
                    <m:r>
                      <w:rPr>
                        <w:rFonts w:ascii="Cambria Math" w:hAnsi="Cambria Math"/>
                      </w:rPr>
                      <m:t>tu</m:t>
                    </m:r>
                  </m:sub>
                  <m:sup>
                    <m:f>
                      <m:fPr>
                        <m:type m:val="skw"/>
                        <m:ctrlPr>
                          <w:rPr>
                            <w:rFonts w:ascii="Cambria Math" w:hAnsi="Cambria Math"/>
                            <w:i/>
                            <w:iCs/>
                          </w:rPr>
                        </m:ctrlPr>
                      </m:fPr>
                      <m:num>
                        <m:r>
                          <w:rPr>
                            <w:rFonts w:ascii="Cambria Math" w:hAnsi="Cambria Math"/>
                          </w:rPr>
                          <m:t>1</m:t>
                        </m:r>
                      </m:num>
                      <m:den>
                        <m:r>
                          <w:rPr>
                            <w:rFonts w:ascii="Cambria Math" w:hAnsi="Cambria Math"/>
                          </w:rPr>
                          <m:t>3</m:t>
                        </m:r>
                      </m:den>
                    </m:f>
                  </m:sup>
                </m:sSubSup>
              </m:oMath>
            </m:oMathPara>
          </w:p>
        </w:tc>
        <w:tc>
          <w:tcPr>
            <w:tcW w:w="239" w:type="dxa"/>
            <w:hideMark/>
          </w:tcPr>
          <w:p w14:paraId="053C514E" w14:textId="77777777" w:rsidR="00A7521D" w:rsidRDefault="00A7521D" w:rsidP="00A7521D">
            <w:pPr>
              <w:pStyle w:val="Caption"/>
              <w:jc w:val="right"/>
            </w:pPr>
            <w:r>
              <w:t xml:space="preserve"> </w:t>
            </w:r>
          </w:p>
        </w:tc>
        <w:tc>
          <w:tcPr>
            <w:tcW w:w="822" w:type="dxa"/>
            <w:vAlign w:val="center"/>
            <w:hideMark/>
          </w:tcPr>
          <w:p w14:paraId="7607CD5D" w14:textId="05FD6655" w:rsidR="00A7521D" w:rsidRDefault="00A7521D" w:rsidP="00A7521D">
            <w:pPr>
              <w:pStyle w:val="Caption"/>
              <w:jc w:val="right"/>
              <w:rPr>
                <w:b w:val="0"/>
              </w:rPr>
            </w:pPr>
            <w:r>
              <w:rPr>
                <w:noProof/>
              </w:rPr>
              <w:fldChar w:fldCharType="begin"/>
            </w:r>
            <w:r>
              <w:rPr>
                <w:noProof/>
              </w:rPr>
              <w:instrText xml:space="preserve"> STYLEREF 1 \s </w:instrText>
            </w:r>
            <w:r>
              <w:rPr>
                <w:noProof/>
              </w:rPr>
              <w:fldChar w:fldCharType="separate"/>
            </w:r>
            <w:r w:rsidR="00CB7456">
              <w:rPr>
                <w:noProof/>
              </w:rPr>
              <w:t>13</w:t>
            </w:r>
            <w:r>
              <w:rPr>
                <w:noProof/>
              </w:rPr>
              <w:fldChar w:fldCharType="end"/>
            </w:r>
            <w:r>
              <w:rPr>
                <w:noProof/>
              </w:rPr>
              <w:t>.</w:t>
            </w:r>
            <w:r>
              <w:rPr>
                <w:noProof/>
              </w:rPr>
              <w:fldChar w:fldCharType="begin"/>
            </w:r>
            <w:r>
              <w:rPr>
                <w:noProof/>
              </w:rPr>
              <w:instrText xml:space="preserve"> SEQ Equation \* ARABIC \s 1 </w:instrText>
            </w:r>
            <w:r>
              <w:rPr>
                <w:noProof/>
              </w:rPr>
              <w:fldChar w:fldCharType="separate"/>
            </w:r>
            <w:r w:rsidR="00CB7456">
              <w:rPr>
                <w:noProof/>
              </w:rPr>
              <w:t>17</w:t>
            </w:r>
            <w:r>
              <w:rPr>
                <w:noProof/>
              </w:rPr>
              <w:fldChar w:fldCharType="end"/>
            </w:r>
          </w:p>
        </w:tc>
      </w:tr>
    </w:tbl>
    <w:p w14:paraId="53631765" w14:textId="77777777" w:rsidR="00A7521D" w:rsidRDefault="00A7521D" w:rsidP="00A7521D">
      <w:pPr>
        <w:rPr>
          <w:iCs/>
        </w:rPr>
      </w:pPr>
    </w:p>
    <w:p w14:paraId="1B8563E5" w14:textId="77777777" w:rsidR="00A7521D" w:rsidRDefault="00C73E04" w:rsidP="00A7521D">
      <w:pPr>
        <w:pStyle w:val="NoSpacing"/>
      </w:pPr>
      <m:oMath>
        <m:sSub>
          <m:sSubPr>
            <m:ctrlPr>
              <w:rPr>
                <w:rFonts w:ascii="Cambria Math" w:hAnsi="Cambria Math"/>
                <w:i/>
              </w:rPr>
            </m:ctrlPr>
          </m:sSubPr>
          <m:e>
            <m:r>
              <w:rPr>
                <w:rFonts w:ascii="Cambria Math" w:hAnsi="Cambria Math"/>
              </w:rPr>
              <m:t>Nu</m:t>
            </m:r>
          </m:e>
          <m:sub>
            <m:r>
              <w:rPr>
                <w:rFonts w:ascii="Cambria Math" w:hAnsi="Cambria Math"/>
              </w:rPr>
              <m:t>t</m:t>
            </m:r>
          </m:sub>
        </m:sSub>
      </m:oMath>
      <w:r w:rsidR="00A7521D">
        <w:t xml:space="preserve"> was the tube side Nusselt number,</w:t>
      </w:r>
    </w:p>
    <w:p w14:paraId="675618BD" w14:textId="77777777" w:rsidR="00A7521D" w:rsidRDefault="00C73E04" w:rsidP="00A7521D">
      <w:pPr>
        <w:pStyle w:val="NoSpacing"/>
      </w:pPr>
      <m:oMath>
        <m:sSub>
          <m:sSubPr>
            <m:ctrlPr>
              <w:rPr>
                <w:rFonts w:ascii="Cambria Math" w:hAnsi="Cambria Math"/>
                <w:i/>
              </w:rPr>
            </m:ctrlPr>
          </m:sSubPr>
          <m:e>
            <m:r>
              <w:rPr>
                <w:rFonts w:ascii="Cambria Math" w:hAnsi="Cambria Math"/>
              </w:rPr>
              <m:t>h</m:t>
            </m:r>
          </m:e>
          <m:sub>
            <m:r>
              <w:rPr>
                <w:rFonts w:ascii="Cambria Math" w:hAnsi="Cambria Math"/>
              </w:rPr>
              <m:t>i</m:t>
            </m:r>
          </m:sub>
        </m:sSub>
      </m:oMath>
      <w:r w:rsidR="00A7521D">
        <w:t xml:space="preserve"> was the inside coefficient </w:t>
      </w:r>
      <w:bookmarkStart w:id="1015" w:name="_Hlk526166012"/>
      <w:r w:rsidR="00A7521D">
        <w:t>(W/[m</w:t>
      </w:r>
      <w:r w:rsidR="00A7521D">
        <w:rPr>
          <w:vertAlign w:val="superscript"/>
        </w:rPr>
        <w:t>2</w:t>
      </w:r>
      <w:r w:rsidR="00A7521D">
        <w:t>°C]),</w:t>
      </w:r>
      <w:bookmarkEnd w:id="1015"/>
    </w:p>
    <w:p w14:paraId="6CFFEE9D" w14:textId="3ADB8D33" w:rsidR="00A7521D" w:rsidRDefault="00C73E04" w:rsidP="00A7521D">
      <w:pPr>
        <w:rPr>
          <w:iCs/>
        </w:rPr>
      </w:pPr>
      <m:oMath>
        <m:sSub>
          <m:sSubPr>
            <m:ctrlPr>
              <w:rPr>
                <w:rFonts w:ascii="Cambria Math" w:hAnsi="Cambria Math"/>
                <w:i/>
                <w:iCs/>
              </w:rPr>
            </m:ctrlPr>
          </m:sSubPr>
          <m:e>
            <m:r>
              <w:rPr>
                <w:rFonts w:ascii="Cambria Math" w:hAnsi="Cambria Math"/>
              </w:rPr>
              <m:t>j</m:t>
            </m:r>
          </m:e>
          <m:sub>
            <m:r>
              <w:rPr>
                <w:rFonts w:ascii="Cambria Math" w:hAnsi="Cambria Math"/>
              </w:rPr>
              <m:t>h,t</m:t>
            </m:r>
          </m:sub>
        </m:sSub>
      </m:oMath>
      <w:r w:rsidR="00A7521D">
        <w:rPr>
          <w:iCs/>
        </w:rPr>
        <w:t xml:space="preserve"> was the tube side friction factor.</w:t>
      </w:r>
    </w:p>
    <w:p w14:paraId="3171E2B7" w14:textId="5BC91976" w:rsidR="00A7521D" w:rsidRDefault="003B060D" w:rsidP="00A7521D">
      <w:pPr>
        <w:rPr>
          <w:iCs/>
        </w:rPr>
      </w:pPr>
      <w:r>
        <w:rPr>
          <w:iCs/>
        </w:rPr>
        <w:t>The tube side Nusselt number was dependent on the inside coefficient, the tube side thermal conductivity as the inner pipe diameter. Alternatively</w:t>
      </w:r>
      <w:r w:rsidR="00781EB9">
        <w:rPr>
          <w:iCs/>
        </w:rPr>
        <w:t>,</w:t>
      </w:r>
      <w:r>
        <w:rPr>
          <w:iCs/>
        </w:rPr>
        <w:t xml:space="preserve"> it was dependent on the tube side friction factor, Reynolds and Prandtl numbers. The tube side friction factor </w:t>
      </w:r>
      <w:r w:rsidR="00A7521D">
        <w:rPr>
          <w:iCs/>
        </w:rPr>
        <w:t xml:space="preserve">was found using Figure 12.23 </w:t>
      </w:r>
      <w:r w:rsidR="00A7521D">
        <w:fldChar w:fldCharType="begin" w:fldLock="1"/>
      </w:r>
      <w:r w:rsidR="002A6A73">
        <w:instrText>ADDIN CSL_CITATION {"citationItems":[{"id":"ITEM-1","itemData":{"ISBN":"978-0-7506-6538-4","author":[{"dropping-particle":"","family":"Sinnott","given":"R.K.","non-dropping-particle":"","parse-names":false,"suffix":""}],"edition":"4","id":"ITEM-1","issued":{"date-parts":[["2005"]]},"number-of-pages":"60 - 132","publisher":"Elsevier","publisher-place":"Oxford, England","title":"Coulson and Richardson's Chemical Engineering Volume 6 - Chemical Engineering Design","type":"book"},"uris":["http://www.mendeley.com/documents/?uuid=8e00b24b-1ea1-4b70-9865-3b5bcae659ed"]}],"mendeley":{"formattedCitation":"(Sinnott, 2005b)","plainTextFormattedCitation":"(Sinnott, 2005b)","previouslyFormattedCitation":"(Sinnott, 2005b)"},"properties":{"noteIndex":0},"schema":"https://github.com/citation-style-language/schema/raw/master/csl-citation.json"}</w:instrText>
      </w:r>
      <w:r w:rsidR="00A7521D">
        <w:fldChar w:fldCharType="separate"/>
      </w:r>
      <w:r w:rsidR="002A6A73" w:rsidRPr="002A6A73">
        <w:rPr>
          <w:noProof/>
        </w:rPr>
        <w:t>(Sinnott, 2005b)</w:t>
      </w:r>
      <w:r w:rsidR="00A7521D">
        <w:fldChar w:fldCharType="end"/>
      </w:r>
      <w:r w:rsidR="00A7521D">
        <w:rPr>
          <w:iCs/>
        </w:rP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37"/>
        <w:gridCol w:w="239"/>
        <w:gridCol w:w="822"/>
      </w:tblGrid>
      <w:tr w:rsidR="00A7521D" w14:paraId="324A1827" w14:textId="77777777" w:rsidTr="00A7521D">
        <w:tc>
          <w:tcPr>
            <w:tcW w:w="7137" w:type="dxa"/>
            <w:hideMark/>
          </w:tcPr>
          <w:p w14:paraId="79134CAF" w14:textId="77777777" w:rsidR="00A7521D" w:rsidRDefault="00C73E04" w:rsidP="00A7521D">
            <w:pPr>
              <w:keepNext/>
              <w:rPr>
                <w:color w:val="FFFFFF"/>
              </w:rPr>
            </w:pPr>
            <m:oMathPara>
              <m:oMathParaPr>
                <m:jc m:val="left"/>
              </m:oMathParaPr>
              <m:oMath>
                <m:sSub>
                  <m:sSubPr>
                    <m:ctrlPr>
                      <w:rPr>
                        <w:rFonts w:ascii="Cambria Math" w:hAnsi="Cambria Math"/>
                        <w:i/>
                        <w:iCs/>
                      </w:rPr>
                    </m:ctrlPr>
                  </m:sSubPr>
                  <m:e>
                    <m:r>
                      <w:rPr>
                        <w:rFonts w:ascii="Cambria Math" w:hAnsi="Cambria Math"/>
                      </w:rPr>
                      <m:t>D</m:t>
                    </m:r>
                  </m:e>
                  <m:sub>
                    <m:r>
                      <w:rPr>
                        <w:rFonts w:ascii="Cambria Math" w:hAnsi="Cambria Math"/>
                      </w:rPr>
                      <m:t>s</m:t>
                    </m:r>
                  </m:sub>
                </m:sSub>
                <m:r>
                  <w:rPr>
                    <w:rFonts w:ascii="Cambria Math" w:hAnsi="Cambria Math"/>
                  </w:rPr>
                  <m:t>=</m:t>
                </m:r>
                <m:sSub>
                  <m:sSubPr>
                    <m:ctrlPr>
                      <w:rPr>
                        <w:rFonts w:ascii="Cambria Math" w:hAnsi="Cambria Math"/>
                        <w:i/>
                        <w:iCs/>
                      </w:rPr>
                    </m:ctrlPr>
                  </m:sSubPr>
                  <m:e>
                    <m:r>
                      <w:rPr>
                        <w:rFonts w:ascii="Cambria Math" w:hAnsi="Cambria Math"/>
                      </w:rPr>
                      <m:t>D</m:t>
                    </m:r>
                  </m:e>
                  <m:sub>
                    <m:r>
                      <w:rPr>
                        <w:rFonts w:ascii="Cambria Math" w:hAnsi="Cambria Math"/>
                      </w:rPr>
                      <m:t>bu</m:t>
                    </m:r>
                  </m:sub>
                </m:sSub>
                <m:r>
                  <w:rPr>
                    <w:rFonts w:ascii="Cambria Math" w:hAnsi="Cambria Math"/>
                  </w:rPr>
                  <m:t>+</m:t>
                </m:r>
                <m:sSub>
                  <m:sSubPr>
                    <m:ctrlPr>
                      <w:rPr>
                        <w:rFonts w:ascii="Cambria Math" w:hAnsi="Cambria Math"/>
                        <w:i/>
                        <w:iCs/>
                      </w:rPr>
                    </m:ctrlPr>
                  </m:sSubPr>
                  <m:e>
                    <m:r>
                      <w:rPr>
                        <w:rFonts w:ascii="Cambria Math" w:hAnsi="Cambria Math"/>
                      </w:rPr>
                      <m:t>D</m:t>
                    </m:r>
                  </m:e>
                  <m:sub>
                    <m:r>
                      <w:rPr>
                        <w:rFonts w:ascii="Cambria Math" w:hAnsi="Cambria Math"/>
                      </w:rPr>
                      <m:t>bu,s,cl</m:t>
                    </m:r>
                  </m:sub>
                </m:sSub>
                <m:r>
                  <w:rPr>
                    <w:rFonts w:ascii="Cambria Math" w:hAnsi="Cambria Math"/>
                  </w:rPr>
                  <m:t xml:space="preserve"> </m:t>
                </m:r>
              </m:oMath>
            </m:oMathPara>
          </w:p>
        </w:tc>
        <w:tc>
          <w:tcPr>
            <w:tcW w:w="239" w:type="dxa"/>
            <w:hideMark/>
          </w:tcPr>
          <w:p w14:paraId="7471DD57" w14:textId="77777777" w:rsidR="00A7521D" w:rsidRDefault="00A7521D" w:rsidP="00A7521D">
            <w:pPr>
              <w:pStyle w:val="Caption"/>
              <w:jc w:val="right"/>
            </w:pPr>
            <w:r>
              <w:t xml:space="preserve"> </w:t>
            </w:r>
          </w:p>
        </w:tc>
        <w:tc>
          <w:tcPr>
            <w:tcW w:w="822" w:type="dxa"/>
            <w:vAlign w:val="center"/>
            <w:hideMark/>
          </w:tcPr>
          <w:p w14:paraId="4F4557E7" w14:textId="4F26CC43" w:rsidR="00A7521D" w:rsidRDefault="00A7521D" w:rsidP="00A7521D">
            <w:pPr>
              <w:pStyle w:val="Caption"/>
              <w:jc w:val="right"/>
              <w:rPr>
                <w:b w:val="0"/>
              </w:rPr>
            </w:pPr>
            <w:r>
              <w:rPr>
                <w:noProof/>
              </w:rPr>
              <w:fldChar w:fldCharType="begin"/>
            </w:r>
            <w:r>
              <w:rPr>
                <w:noProof/>
              </w:rPr>
              <w:instrText xml:space="preserve"> STYLEREF 1 \s </w:instrText>
            </w:r>
            <w:r>
              <w:rPr>
                <w:noProof/>
              </w:rPr>
              <w:fldChar w:fldCharType="separate"/>
            </w:r>
            <w:r w:rsidR="00CB7456">
              <w:rPr>
                <w:noProof/>
              </w:rPr>
              <w:t>13</w:t>
            </w:r>
            <w:r>
              <w:rPr>
                <w:noProof/>
              </w:rPr>
              <w:fldChar w:fldCharType="end"/>
            </w:r>
            <w:r>
              <w:rPr>
                <w:noProof/>
              </w:rPr>
              <w:t>.</w:t>
            </w:r>
            <w:r>
              <w:rPr>
                <w:noProof/>
              </w:rPr>
              <w:fldChar w:fldCharType="begin"/>
            </w:r>
            <w:r>
              <w:rPr>
                <w:noProof/>
              </w:rPr>
              <w:instrText xml:space="preserve"> SEQ Equation \* ARABIC \s 1 </w:instrText>
            </w:r>
            <w:r>
              <w:rPr>
                <w:noProof/>
              </w:rPr>
              <w:fldChar w:fldCharType="separate"/>
            </w:r>
            <w:r w:rsidR="00CB7456">
              <w:rPr>
                <w:noProof/>
              </w:rPr>
              <w:t>18</w:t>
            </w:r>
            <w:r>
              <w:rPr>
                <w:noProof/>
              </w:rPr>
              <w:fldChar w:fldCharType="end"/>
            </w:r>
          </w:p>
        </w:tc>
      </w:tr>
    </w:tbl>
    <w:p w14:paraId="5F8D64D6" w14:textId="77777777" w:rsidR="00A7521D" w:rsidRDefault="00A7521D" w:rsidP="00A7521D">
      <w:pPr>
        <w:rPr>
          <w:iCs/>
        </w:rPr>
      </w:pPr>
    </w:p>
    <w:p w14:paraId="4E624952" w14:textId="77777777" w:rsidR="00A7521D" w:rsidRDefault="00C73E04" w:rsidP="00A7521D">
      <w:pPr>
        <w:pStyle w:val="NoSpacing"/>
      </w:pPr>
      <m:oMath>
        <m:sSub>
          <m:sSubPr>
            <m:ctrlPr>
              <w:rPr>
                <w:rFonts w:ascii="Cambria Math" w:hAnsi="Cambria Math"/>
                <w:i/>
              </w:rPr>
            </m:ctrlPr>
          </m:sSubPr>
          <m:e>
            <m:r>
              <w:rPr>
                <w:rFonts w:ascii="Cambria Math" w:hAnsi="Cambria Math"/>
              </w:rPr>
              <m:t>D</m:t>
            </m:r>
          </m:e>
          <m:sub>
            <m:r>
              <w:rPr>
                <w:rFonts w:ascii="Cambria Math" w:hAnsi="Cambria Math"/>
              </w:rPr>
              <m:t>s</m:t>
            </m:r>
          </m:sub>
        </m:sSub>
      </m:oMath>
      <w:r w:rsidR="00A7521D">
        <w:t xml:space="preserve"> was the shell inside diameter (m),</w:t>
      </w:r>
    </w:p>
    <w:p w14:paraId="2BA3B7FD" w14:textId="30D6295E" w:rsidR="00A7521D" w:rsidRDefault="00C73E04" w:rsidP="00A7521D">
      <w:pPr>
        <w:rPr>
          <w:iCs/>
        </w:rPr>
      </w:pPr>
      <m:oMath>
        <m:sSub>
          <m:sSubPr>
            <m:ctrlPr>
              <w:rPr>
                <w:rFonts w:ascii="Cambria Math" w:hAnsi="Cambria Math"/>
                <w:i/>
                <w:iCs/>
              </w:rPr>
            </m:ctrlPr>
          </m:sSubPr>
          <m:e>
            <m:r>
              <w:rPr>
                <w:rFonts w:ascii="Cambria Math" w:hAnsi="Cambria Math"/>
              </w:rPr>
              <m:t>D</m:t>
            </m:r>
          </m:e>
          <m:sub>
            <m:r>
              <w:rPr>
                <w:rFonts w:ascii="Cambria Math" w:hAnsi="Cambria Math"/>
              </w:rPr>
              <m:t>b,s,cl</m:t>
            </m:r>
          </m:sub>
        </m:sSub>
      </m:oMath>
      <w:r w:rsidR="00A7521D">
        <w:rPr>
          <w:iCs/>
        </w:rPr>
        <w:t xml:space="preserve"> was the shell bundle clearance </w:t>
      </w:r>
      <w:r w:rsidR="00A7521D">
        <w:t>(m)</w:t>
      </w:r>
      <w:r w:rsidR="00A7521D">
        <w:rPr>
          <w:iCs/>
        </w:rPr>
        <w:t>.</w:t>
      </w:r>
    </w:p>
    <w:p w14:paraId="42D63FA6" w14:textId="6F2F3E4B" w:rsidR="00A7521D" w:rsidRDefault="003B060D" w:rsidP="003B060D">
      <w:pPr>
        <w:rPr>
          <w:iCs/>
        </w:rPr>
      </w:pPr>
      <w:r>
        <w:rPr>
          <w:iCs/>
        </w:rPr>
        <w:t>The shell side inside diameter was dependent on the bundle diameter and the shell bundle clearance. The shell bundle clearance</w:t>
      </w:r>
      <w:r w:rsidR="00A7521D">
        <w:rPr>
          <w:iCs/>
        </w:rPr>
        <w:t xml:space="preserve"> was found using Figure 12.10 </w:t>
      </w:r>
      <w:r w:rsidR="00A7521D">
        <w:fldChar w:fldCharType="begin" w:fldLock="1"/>
      </w:r>
      <w:r w:rsidR="002A6A73">
        <w:instrText>ADDIN CSL_CITATION {"citationItems":[{"id":"ITEM-1","itemData":{"ISBN":"978-0-7506-6538-4","author":[{"dropping-particle":"","family":"Sinnott","given":"R.K.","non-dropping-particle":"","parse-names":false,"suffix":""}],"edition":"4","id":"ITEM-1","issued":{"date-parts":[["2005"]]},"number-of-pages":"60 - 132","publisher":"Elsevier","publisher-place":"Oxford, England","title":"Coulson and Richardson's Chemical Engineering Volume 6 - Chemical Engineering Design","type":"book"},"uris":["http://www.mendeley.com/documents/?uuid=8e00b24b-1ea1-4b70-9865-3b5bcae659ed"]}],"mendeley":{"formattedCitation":"(Sinnott, 2005b)","plainTextFormattedCitation":"(Sinnott, 2005b)","previouslyFormattedCitation":"(Sinnott, 2005b)"},"properties":{"noteIndex":0},"schema":"https://github.com/citation-style-language/schema/raw/master/csl-citation.json"}</w:instrText>
      </w:r>
      <w:r w:rsidR="00A7521D">
        <w:fldChar w:fldCharType="separate"/>
      </w:r>
      <w:r w:rsidR="002A6A73" w:rsidRPr="002A6A73">
        <w:rPr>
          <w:noProof/>
        </w:rPr>
        <w:t>(Sinnott, 2005b)</w:t>
      </w:r>
      <w:r w:rsidR="00A7521D">
        <w:fldChar w:fldCharType="end"/>
      </w:r>
      <w:r w:rsidR="00A7521D">
        <w:rPr>
          <w:iCs/>
        </w:rP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37"/>
        <w:gridCol w:w="239"/>
        <w:gridCol w:w="822"/>
      </w:tblGrid>
      <w:tr w:rsidR="00A7521D" w14:paraId="6C06E1E0" w14:textId="77777777" w:rsidTr="00A7521D">
        <w:tc>
          <w:tcPr>
            <w:tcW w:w="7137" w:type="dxa"/>
            <w:hideMark/>
          </w:tcPr>
          <w:p w14:paraId="30549BDF" w14:textId="77777777" w:rsidR="00A7521D" w:rsidRDefault="00C73E04" w:rsidP="00A7521D">
            <w:pPr>
              <w:keepNext/>
              <w:rPr>
                <w:color w:val="FFFFFF"/>
              </w:rPr>
            </w:pPr>
            <m:oMathPara>
              <m:oMathParaPr>
                <m:jc m:val="left"/>
              </m:oMathParaPr>
              <m:oMath>
                <m:sSub>
                  <m:sSubPr>
                    <m:ctrlPr>
                      <w:rPr>
                        <w:rFonts w:ascii="Cambria Math" w:hAnsi="Cambria Math"/>
                        <w:i/>
                        <w:iCs/>
                      </w:rPr>
                    </m:ctrlPr>
                  </m:sSubPr>
                  <m:e>
                    <m:r>
                      <w:rPr>
                        <w:rFonts w:ascii="Cambria Math" w:hAnsi="Cambria Math"/>
                      </w:rPr>
                      <m:t>l</m:t>
                    </m:r>
                  </m:e>
                  <m:sub>
                    <m:r>
                      <w:rPr>
                        <w:rFonts w:ascii="Cambria Math" w:hAnsi="Cambria Math"/>
                      </w:rPr>
                      <m:t>Ba</m:t>
                    </m:r>
                  </m:sub>
                </m:sSub>
                <m:r>
                  <w:rPr>
                    <w:rFonts w:ascii="Cambria Math" w:hAnsi="Cambria Math"/>
                  </w:rPr>
                  <m:t>=</m:t>
                </m:r>
                <m:f>
                  <m:fPr>
                    <m:ctrlPr>
                      <w:rPr>
                        <w:rFonts w:ascii="Cambria Math" w:hAnsi="Cambria Math"/>
                        <w:i/>
                        <w:iCs/>
                      </w:rPr>
                    </m:ctrlPr>
                  </m:fPr>
                  <m:num>
                    <m:sSub>
                      <m:sSubPr>
                        <m:ctrlPr>
                          <w:rPr>
                            <w:rFonts w:ascii="Cambria Math" w:hAnsi="Cambria Math"/>
                            <w:i/>
                            <w:iCs/>
                          </w:rPr>
                        </m:ctrlPr>
                      </m:sSubPr>
                      <m:e>
                        <m:r>
                          <w:rPr>
                            <w:rFonts w:ascii="Cambria Math" w:hAnsi="Cambria Math"/>
                          </w:rPr>
                          <m:t>D</m:t>
                        </m:r>
                      </m:e>
                      <m:sub>
                        <m:r>
                          <w:rPr>
                            <w:rFonts w:ascii="Cambria Math" w:hAnsi="Cambria Math"/>
                          </w:rPr>
                          <m:t>s</m:t>
                        </m:r>
                      </m:sub>
                    </m:sSub>
                  </m:num>
                  <m:den>
                    <m:r>
                      <w:rPr>
                        <w:rFonts w:ascii="Cambria Math" w:hAnsi="Cambria Math"/>
                      </w:rPr>
                      <m:t>5</m:t>
                    </m:r>
                  </m:den>
                </m:f>
              </m:oMath>
            </m:oMathPara>
          </w:p>
        </w:tc>
        <w:tc>
          <w:tcPr>
            <w:tcW w:w="239" w:type="dxa"/>
            <w:hideMark/>
          </w:tcPr>
          <w:p w14:paraId="38EC8850" w14:textId="77777777" w:rsidR="00A7521D" w:rsidRDefault="00A7521D" w:rsidP="00A7521D">
            <w:pPr>
              <w:pStyle w:val="Caption"/>
              <w:jc w:val="right"/>
            </w:pPr>
            <w:r>
              <w:t xml:space="preserve"> </w:t>
            </w:r>
          </w:p>
        </w:tc>
        <w:tc>
          <w:tcPr>
            <w:tcW w:w="822" w:type="dxa"/>
            <w:vAlign w:val="center"/>
            <w:hideMark/>
          </w:tcPr>
          <w:p w14:paraId="653637C8" w14:textId="1AEFAD8A" w:rsidR="00A7521D" w:rsidRDefault="00A7521D" w:rsidP="00A7521D">
            <w:pPr>
              <w:pStyle w:val="Caption"/>
              <w:jc w:val="right"/>
              <w:rPr>
                <w:b w:val="0"/>
              </w:rPr>
            </w:pPr>
            <w:r>
              <w:rPr>
                <w:noProof/>
              </w:rPr>
              <w:fldChar w:fldCharType="begin"/>
            </w:r>
            <w:r>
              <w:rPr>
                <w:noProof/>
              </w:rPr>
              <w:instrText xml:space="preserve"> STYLEREF 1 \s </w:instrText>
            </w:r>
            <w:r>
              <w:rPr>
                <w:noProof/>
              </w:rPr>
              <w:fldChar w:fldCharType="separate"/>
            </w:r>
            <w:r w:rsidR="00CB7456">
              <w:rPr>
                <w:noProof/>
              </w:rPr>
              <w:t>13</w:t>
            </w:r>
            <w:r>
              <w:rPr>
                <w:noProof/>
              </w:rPr>
              <w:fldChar w:fldCharType="end"/>
            </w:r>
            <w:r>
              <w:rPr>
                <w:noProof/>
              </w:rPr>
              <w:t>.</w:t>
            </w:r>
            <w:r>
              <w:rPr>
                <w:noProof/>
              </w:rPr>
              <w:fldChar w:fldCharType="begin"/>
            </w:r>
            <w:r>
              <w:rPr>
                <w:noProof/>
              </w:rPr>
              <w:instrText xml:space="preserve"> SEQ Equation \* ARABIC \s 1 </w:instrText>
            </w:r>
            <w:r>
              <w:rPr>
                <w:noProof/>
              </w:rPr>
              <w:fldChar w:fldCharType="separate"/>
            </w:r>
            <w:r w:rsidR="00CB7456">
              <w:rPr>
                <w:noProof/>
              </w:rPr>
              <w:t>19</w:t>
            </w:r>
            <w:r>
              <w:rPr>
                <w:noProof/>
              </w:rPr>
              <w:fldChar w:fldCharType="end"/>
            </w:r>
          </w:p>
        </w:tc>
      </w:tr>
    </w:tbl>
    <w:p w14:paraId="5F142FA1" w14:textId="77777777" w:rsidR="00A7521D" w:rsidRDefault="00A7521D" w:rsidP="00A7521D">
      <w:pPr>
        <w:rPr>
          <w:iCs/>
        </w:rPr>
      </w:pPr>
    </w:p>
    <w:p w14:paraId="24742B00" w14:textId="0275BE5B" w:rsidR="00A7521D" w:rsidRDefault="00C73E04" w:rsidP="00A7521D">
      <w:pPr>
        <w:rPr>
          <w:iCs/>
        </w:rPr>
      </w:pPr>
      <m:oMath>
        <m:sSub>
          <m:sSubPr>
            <m:ctrlPr>
              <w:rPr>
                <w:rFonts w:ascii="Cambria Math" w:hAnsi="Cambria Math"/>
                <w:i/>
                <w:iCs/>
              </w:rPr>
            </m:ctrlPr>
          </m:sSubPr>
          <m:e>
            <m:r>
              <w:rPr>
                <w:rFonts w:ascii="Cambria Math" w:hAnsi="Cambria Math"/>
              </w:rPr>
              <m:t>l</m:t>
            </m:r>
          </m:e>
          <m:sub>
            <m:r>
              <w:rPr>
                <w:rFonts w:ascii="Cambria Math" w:hAnsi="Cambria Math"/>
              </w:rPr>
              <m:t>Ba</m:t>
            </m:r>
          </m:sub>
        </m:sSub>
      </m:oMath>
      <w:r w:rsidR="00A7521D">
        <w:rPr>
          <w:iCs/>
        </w:rPr>
        <w:t xml:space="preserve"> was the baffle spacing </w:t>
      </w:r>
      <w:r w:rsidR="00A7521D">
        <w:t>(m)</w:t>
      </w:r>
      <w:r w:rsidR="00A7521D">
        <w:rPr>
          <w:iCs/>
        </w:rPr>
        <w:t>.</w:t>
      </w:r>
    </w:p>
    <w:p w14:paraId="7A146D51" w14:textId="409EC56B" w:rsidR="003B060D" w:rsidRDefault="003B060D" w:rsidP="00A7521D">
      <w:pPr>
        <w:rPr>
          <w:iCs/>
        </w:rPr>
      </w:pPr>
      <w:r>
        <w:rPr>
          <w:iCs/>
        </w:rPr>
        <w:t>The baffle spacing was dependent on the shell side inside diameter.</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37"/>
        <w:gridCol w:w="239"/>
        <w:gridCol w:w="822"/>
      </w:tblGrid>
      <w:tr w:rsidR="00A7521D" w14:paraId="09BD2267" w14:textId="77777777" w:rsidTr="00A7521D">
        <w:tc>
          <w:tcPr>
            <w:tcW w:w="7137" w:type="dxa"/>
            <w:hideMark/>
          </w:tcPr>
          <w:p w14:paraId="17A26DFA" w14:textId="0EB88557" w:rsidR="00A7521D" w:rsidRDefault="00C73E04" w:rsidP="00A7521D">
            <w:pPr>
              <w:keepNext/>
              <w:rPr>
                <w:color w:val="FFFFFF"/>
              </w:rPr>
            </w:pPr>
            <m:oMathPara>
              <m:oMathParaPr>
                <m:jc m:val="left"/>
              </m:oMathParaPr>
              <m:oMath>
                <m:sSub>
                  <m:sSubPr>
                    <m:ctrlPr>
                      <w:rPr>
                        <w:rFonts w:ascii="Cambria Math" w:hAnsi="Cambria Math"/>
                        <w:i/>
                        <w:iCs/>
                      </w:rPr>
                    </m:ctrlPr>
                  </m:sSubPr>
                  <m:e>
                    <m:r>
                      <w:rPr>
                        <w:rFonts w:ascii="Cambria Math" w:hAnsi="Cambria Math"/>
                      </w:rPr>
                      <m:t>A</m:t>
                    </m:r>
                  </m:e>
                  <m:sub>
                    <m:r>
                      <w:rPr>
                        <w:rFonts w:ascii="Cambria Math" w:hAnsi="Cambria Math"/>
                      </w:rPr>
                      <m:t>s</m:t>
                    </m:r>
                  </m:sub>
                </m:sSub>
                <m:r>
                  <w:rPr>
                    <w:rFonts w:ascii="Cambria Math" w:hAnsi="Cambria Math"/>
                  </w:rPr>
                  <m:t>=</m:t>
                </m:r>
                <m:f>
                  <m:fPr>
                    <m:ctrlPr>
                      <w:rPr>
                        <w:rFonts w:ascii="Cambria Math" w:hAnsi="Cambria Math"/>
                        <w:i/>
                        <w:iCs/>
                      </w:rPr>
                    </m:ctrlPr>
                  </m:fPr>
                  <m:num>
                    <m:d>
                      <m:dPr>
                        <m:ctrlPr>
                          <w:rPr>
                            <w:rFonts w:ascii="Cambria Math" w:hAnsi="Cambria Math"/>
                            <w:i/>
                            <w:iCs/>
                          </w:rPr>
                        </m:ctrlPr>
                      </m:dPr>
                      <m:e>
                        <m:sSub>
                          <m:sSubPr>
                            <m:ctrlPr>
                              <w:rPr>
                                <w:rFonts w:ascii="Cambria Math" w:hAnsi="Cambria Math"/>
                                <w:i/>
                                <w:iCs/>
                              </w:rPr>
                            </m:ctrlPr>
                          </m:sSubPr>
                          <m:e>
                            <m:r>
                              <w:rPr>
                                <w:rFonts w:ascii="Cambria Math" w:hAnsi="Cambria Math"/>
                              </w:rPr>
                              <m:t>p</m:t>
                            </m:r>
                          </m:e>
                          <m:sub>
                            <m:r>
                              <w:rPr>
                                <w:rFonts w:ascii="Cambria Math" w:hAnsi="Cambria Math"/>
                              </w:rPr>
                              <m:t>tu</m:t>
                            </m:r>
                          </m:sub>
                        </m:sSub>
                        <m:r>
                          <w:rPr>
                            <w:rFonts w:ascii="Cambria Math" w:hAnsi="Cambria Math"/>
                          </w:rPr>
                          <m:t>-</m:t>
                        </m:r>
                        <m:sSub>
                          <m:sSubPr>
                            <m:ctrlPr>
                              <w:rPr>
                                <w:rFonts w:ascii="Cambria Math" w:hAnsi="Cambria Math"/>
                                <w:i/>
                                <w:iCs/>
                              </w:rPr>
                            </m:ctrlPr>
                          </m:sSubPr>
                          <m:e>
                            <m:r>
                              <w:rPr>
                                <w:rFonts w:ascii="Cambria Math" w:hAnsi="Cambria Math"/>
                              </w:rPr>
                              <m:t>D</m:t>
                            </m:r>
                          </m:e>
                          <m:sub>
                            <m:r>
                              <w:rPr>
                                <w:rFonts w:ascii="Cambria Math" w:hAnsi="Cambria Math"/>
                              </w:rPr>
                              <m:t>o</m:t>
                            </m:r>
                          </m:sub>
                        </m:sSub>
                      </m:e>
                    </m:d>
                    <m:sSub>
                      <m:sSubPr>
                        <m:ctrlPr>
                          <w:rPr>
                            <w:rFonts w:ascii="Cambria Math" w:hAnsi="Cambria Math"/>
                            <w:i/>
                            <w:iCs/>
                          </w:rPr>
                        </m:ctrlPr>
                      </m:sSubPr>
                      <m:e>
                        <m:r>
                          <w:rPr>
                            <w:rFonts w:ascii="Cambria Math" w:hAnsi="Cambria Math"/>
                          </w:rPr>
                          <m:t>D</m:t>
                        </m:r>
                      </m:e>
                      <m:sub>
                        <m:r>
                          <w:rPr>
                            <w:rFonts w:ascii="Cambria Math" w:hAnsi="Cambria Math"/>
                          </w:rPr>
                          <m:t>s</m:t>
                        </m:r>
                      </m:sub>
                    </m:sSub>
                    <m:sSub>
                      <m:sSubPr>
                        <m:ctrlPr>
                          <w:rPr>
                            <w:rFonts w:ascii="Cambria Math" w:hAnsi="Cambria Math"/>
                            <w:i/>
                            <w:iCs/>
                          </w:rPr>
                        </m:ctrlPr>
                      </m:sSubPr>
                      <m:e>
                        <m:r>
                          <w:rPr>
                            <w:rFonts w:ascii="Cambria Math" w:hAnsi="Cambria Math"/>
                          </w:rPr>
                          <m:t>l</m:t>
                        </m:r>
                      </m:e>
                      <m:sub>
                        <m:r>
                          <w:rPr>
                            <w:rFonts w:ascii="Cambria Math" w:hAnsi="Cambria Math"/>
                          </w:rPr>
                          <m:t>Ba</m:t>
                        </m:r>
                      </m:sub>
                    </m:sSub>
                  </m:num>
                  <m:den>
                    <m:sSub>
                      <m:sSubPr>
                        <m:ctrlPr>
                          <w:rPr>
                            <w:rFonts w:ascii="Cambria Math" w:hAnsi="Cambria Math"/>
                            <w:i/>
                            <w:iCs/>
                          </w:rPr>
                        </m:ctrlPr>
                      </m:sSubPr>
                      <m:e>
                        <m:r>
                          <w:rPr>
                            <w:rFonts w:ascii="Cambria Math" w:hAnsi="Cambria Math"/>
                          </w:rPr>
                          <m:t>p</m:t>
                        </m:r>
                      </m:e>
                      <m:sub>
                        <m:r>
                          <w:rPr>
                            <w:rFonts w:ascii="Cambria Math" w:hAnsi="Cambria Math"/>
                          </w:rPr>
                          <m:t>t</m:t>
                        </m:r>
                        <m:r>
                          <w:rPr>
                            <w:rFonts w:ascii="Cambria Math" w:hAnsi="Cambria Math"/>
                          </w:rPr>
                          <m:t>u</m:t>
                        </m:r>
                      </m:sub>
                    </m:sSub>
                  </m:den>
                </m:f>
              </m:oMath>
            </m:oMathPara>
          </w:p>
        </w:tc>
        <w:tc>
          <w:tcPr>
            <w:tcW w:w="239" w:type="dxa"/>
            <w:hideMark/>
          </w:tcPr>
          <w:p w14:paraId="4D61D487" w14:textId="77777777" w:rsidR="00A7521D" w:rsidRDefault="00A7521D" w:rsidP="00A7521D">
            <w:pPr>
              <w:pStyle w:val="Caption"/>
              <w:jc w:val="right"/>
            </w:pPr>
            <w:r>
              <w:t xml:space="preserve"> </w:t>
            </w:r>
          </w:p>
        </w:tc>
        <w:tc>
          <w:tcPr>
            <w:tcW w:w="822" w:type="dxa"/>
            <w:vAlign w:val="center"/>
            <w:hideMark/>
          </w:tcPr>
          <w:p w14:paraId="3D232E89" w14:textId="7CBC1A02" w:rsidR="00A7521D" w:rsidRDefault="00A7521D" w:rsidP="00A7521D">
            <w:pPr>
              <w:pStyle w:val="Caption"/>
              <w:jc w:val="right"/>
              <w:rPr>
                <w:b w:val="0"/>
              </w:rPr>
            </w:pPr>
            <w:r>
              <w:rPr>
                <w:noProof/>
              </w:rPr>
              <w:fldChar w:fldCharType="begin"/>
            </w:r>
            <w:r>
              <w:rPr>
                <w:noProof/>
              </w:rPr>
              <w:instrText xml:space="preserve"> STYLEREF 1 \s </w:instrText>
            </w:r>
            <w:r>
              <w:rPr>
                <w:noProof/>
              </w:rPr>
              <w:fldChar w:fldCharType="separate"/>
            </w:r>
            <w:r w:rsidR="00CB7456">
              <w:rPr>
                <w:noProof/>
              </w:rPr>
              <w:t>13</w:t>
            </w:r>
            <w:r>
              <w:rPr>
                <w:noProof/>
              </w:rPr>
              <w:fldChar w:fldCharType="end"/>
            </w:r>
            <w:r>
              <w:rPr>
                <w:noProof/>
              </w:rPr>
              <w:t>.</w:t>
            </w:r>
            <w:r>
              <w:rPr>
                <w:noProof/>
              </w:rPr>
              <w:fldChar w:fldCharType="begin"/>
            </w:r>
            <w:r>
              <w:rPr>
                <w:noProof/>
              </w:rPr>
              <w:instrText xml:space="preserve"> SEQ Equation \* ARABIC \s 1 </w:instrText>
            </w:r>
            <w:r>
              <w:rPr>
                <w:noProof/>
              </w:rPr>
              <w:fldChar w:fldCharType="separate"/>
            </w:r>
            <w:r w:rsidR="00CB7456">
              <w:rPr>
                <w:noProof/>
              </w:rPr>
              <w:t>20</w:t>
            </w:r>
            <w:r>
              <w:rPr>
                <w:noProof/>
              </w:rPr>
              <w:fldChar w:fldCharType="end"/>
            </w:r>
          </w:p>
        </w:tc>
      </w:tr>
    </w:tbl>
    <w:p w14:paraId="37DD7AB9" w14:textId="77777777" w:rsidR="00A7521D" w:rsidRDefault="00A7521D" w:rsidP="00A7521D">
      <w:pPr>
        <w:rPr>
          <w:iCs/>
        </w:rPr>
      </w:pPr>
    </w:p>
    <w:p w14:paraId="46B9D29D" w14:textId="611459F2" w:rsidR="00A7521D" w:rsidRDefault="00C73E04" w:rsidP="00A7521D">
      <w:pPr>
        <w:rPr>
          <w:iCs/>
        </w:rPr>
      </w:pPr>
      <m:oMath>
        <m:sSub>
          <m:sSubPr>
            <m:ctrlPr>
              <w:rPr>
                <w:rFonts w:ascii="Cambria Math" w:hAnsi="Cambria Math"/>
                <w:i/>
                <w:iCs/>
              </w:rPr>
            </m:ctrlPr>
          </m:sSubPr>
          <m:e>
            <m:r>
              <w:rPr>
                <w:rFonts w:ascii="Cambria Math" w:hAnsi="Cambria Math"/>
              </w:rPr>
              <m:t>A</m:t>
            </m:r>
          </m:e>
          <m:sub>
            <m:r>
              <w:rPr>
                <w:rFonts w:ascii="Cambria Math" w:hAnsi="Cambria Math"/>
              </w:rPr>
              <m:t>s</m:t>
            </m:r>
          </m:sub>
        </m:sSub>
      </m:oMath>
      <w:r w:rsidR="00A7521D">
        <w:rPr>
          <w:iCs/>
        </w:rPr>
        <w:t xml:space="preserve"> was the cross-flow area (m</w:t>
      </w:r>
      <w:r w:rsidR="00A7521D">
        <w:rPr>
          <w:iCs/>
          <w:vertAlign w:val="superscript"/>
        </w:rPr>
        <w:t>2</w:t>
      </w:r>
      <w:r w:rsidR="00A7521D">
        <w:rPr>
          <w:iCs/>
        </w:rPr>
        <w:t>).</w:t>
      </w:r>
    </w:p>
    <w:p w14:paraId="64CB90A6" w14:textId="5998439F" w:rsidR="00781EB9" w:rsidRDefault="00781EB9" w:rsidP="00A7521D">
      <w:pPr>
        <w:rPr>
          <w:iCs/>
        </w:rPr>
      </w:pPr>
      <w:r>
        <w:rPr>
          <w:iCs/>
        </w:rPr>
        <w:t>The cross-flow area was dependent on the tube side density, the outer diameter, the shell side inner diameter, the baffle spacing, and the tube pitch.</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37"/>
        <w:gridCol w:w="239"/>
        <w:gridCol w:w="822"/>
      </w:tblGrid>
      <w:tr w:rsidR="00A7521D" w14:paraId="12312CBA" w14:textId="77777777" w:rsidTr="00A7521D">
        <w:tc>
          <w:tcPr>
            <w:tcW w:w="7137" w:type="dxa"/>
            <w:hideMark/>
          </w:tcPr>
          <w:p w14:paraId="61D1AED8" w14:textId="77777777" w:rsidR="00A7521D" w:rsidRDefault="00C73E04" w:rsidP="00A7521D">
            <w:pPr>
              <w:keepNext/>
              <w:rPr>
                <w:color w:val="FFFFFF"/>
              </w:rPr>
            </w:pPr>
            <m:oMathPara>
              <m:oMathParaPr>
                <m:jc m:val="left"/>
              </m:oMathParaPr>
              <m:oMath>
                <m:sSub>
                  <m:sSubPr>
                    <m:ctrlPr>
                      <w:rPr>
                        <w:rFonts w:ascii="Cambria Math" w:hAnsi="Cambria Math"/>
                        <w:i/>
                        <w:iCs/>
                      </w:rPr>
                    </m:ctrlPr>
                  </m:sSubPr>
                  <m:e>
                    <m:r>
                      <w:rPr>
                        <w:rFonts w:ascii="Cambria Math" w:hAnsi="Cambria Math"/>
                      </w:rPr>
                      <m:t>G</m:t>
                    </m:r>
                  </m:e>
                  <m:sub>
                    <m:r>
                      <w:rPr>
                        <w:rFonts w:ascii="Cambria Math" w:hAnsi="Cambria Math"/>
                      </w:rPr>
                      <m:t>s</m:t>
                    </m:r>
                  </m:sub>
                </m:sSub>
                <m:r>
                  <w:rPr>
                    <w:rFonts w:ascii="Cambria Math" w:hAnsi="Cambria Math"/>
                  </w:rPr>
                  <m:t>=</m:t>
                </m:r>
                <m:f>
                  <m:fPr>
                    <m:ctrlPr>
                      <w:rPr>
                        <w:rFonts w:ascii="Cambria Math" w:hAnsi="Cambria Math"/>
                        <w:i/>
                        <w:iCs/>
                      </w:rPr>
                    </m:ctrlPr>
                  </m:fPr>
                  <m:num>
                    <m:sSub>
                      <m:sSubPr>
                        <m:ctrlPr>
                          <w:rPr>
                            <w:rFonts w:ascii="Cambria Math" w:hAnsi="Cambria Math"/>
                            <w:i/>
                            <w:iCs/>
                          </w:rPr>
                        </m:ctrlPr>
                      </m:sSubPr>
                      <m:e>
                        <m:acc>
                          <m:accPr>
                            <m:chr m:val="̇"/>
                            <m:ctrlPr>
                              <w:rPr>
                                <w:rFonts w:ascii="Cambria Math" w:hAnsi="Cambria Math"/>
                                <w:i/>
                              </w:rPr>
                            </m:ctrlPr>
                          </m:accPr>
                          <m:e>
                            <m:r>
                              <w:rPr>
                                <w:rFonts w:ascii="Cambria Math" w:hAnsi="Cambria Math"/>
                              </w:rPr>
                              <m:t>m</m:t>
                            </m:r>
                          </m:e>
                        </m:acc>
                      </m:e>
                      <m:sub>
                        <m:r>
                          <w:rPr>
                            <w:rFonts w:ascii="Cambria Math" w:hAnsi="Cambria Math"/>
                          </w:rPr>
                          <m:t>s</m:t>
                        </m:r>
                      </m:sub>
                    </m:sSub>
                  </m:num>
                  <m:den>
                    <m:sSub>
                      <m:sSubPr>
                        <m:ctrlPr>
                          <w:rPr>
                            <w:rFonts w:ascii="Cambria Math" w:hAnsi="Cambria Math"/>
                            <w:i/>
                            <w:iCs/>
                          </w:rPr>
                        </m:ctrlPr>
                      </m:sSubPr>
                      <m:e>
                        <m:r>
                          <w:rPr>
                            <w:rFonts w:ascii="Cambria Math" w:hAnsi="Cambria Math"/>
                          </w:rPr>
                          <m:t>A</m:t>
                        </m:r>
                      </m:e>
                      <m:sub>
                        <m:r>
                          <w:rPr>
                            <w:rFonts w:ascii="Cambria Math" w:hAnsi="Cambria Math"/>
                          </w:rPr>
                          <m:t>s</m:t>
                        </m:r>
                      </m:sub>
                    </m:sSub>
                  </m:den>
                </m:f>
              </m:oMath>
            </m:oMathPara>
          </w:p>
        </w:tc>
        <w:tc>
          <w:tcPr>
            <w:tcW w:w="239" w:type="dxa"/>
            <w:hideMark/>
          </w:tcPr>
          <w:p w14:paraId="442D7E31" w14:textId="77777777" w:rsidR="00A7521D" w:rsidRDefault="00A7521D" w:rsidP="00A7521D">
            <w:pPr>
              <w:pStyle w:val="Caption"/>
              <w:jc w:val="right"/>
            </w:pPr>
            <w:r>
              <w:t xml:space="preserve"> </w:t>
            </w:r>
          </w:p>
        </w:tc>
        <w:tc>
          <w:tcPr>
            <w:tcW w:w="822" w:type="dxa"/>
            <w:vAlign w:val="center"/>
            <w:hideMark/>
          </w:tcPr>
          <w:p w14:paraId="204F02F5" w14:textId="4AB53FB1" w:rsidR="00A7521D" w:rsidRDefault="00A7521D" w:rsidP="00A7521D">
            <w:pPr>
              <w:pStyle w:val="Caption"/>
              <w:jc w:val="right"/>
              <w:rPr>
                <w:b w:val="0"/>
              </w:rPr>
            </w:pPr>
            <w:r>
              <w:rPr>
                <w:noProof/>
              </w:rPr>
              <w:fldChar w:fldCharType="begin"/>
            </w:r>
            <w:r>
              <w:rPr>
                <w:noProof/>
              </w:rPr>
              <w:instrText xml:space="preserve"> STYLEREF 1 \s </w:instrText>
            </w:r>
            <w:r>
              <w:rPr>
                <w:noProof/>
              </w:rPr>
              <w:fldChar w:fldCharType="separate"/>
            </w:r>
            <w:r w:rsidR="00CB7456">
              <w:rPr>
                <w:noProof/>
              </w:rPr>
              <w:t>13</w:t>
            </w:r>
            <w:r>
              <w:rPr>
                <w:noProof/>
              </w:rPr>
              <w:fldChar w:fldCharType="end"/>
            </w:r>
            <w:r>
              <w:rPr>
                <w:noProof/>
              </w:rPr>
              <w:t>.</w:t>
            </w:r>
            <w:r>
              <w:rPr>
                <w:noProof/>
              </w:rPr>
              <w:fldChar w:fldCharType="begin"/>
            </w:r>
            <w:r>
              <w:rPr>
                <w:noProof/>
              </w:rPr>
              <w:instrText xml:space="preserve"> SEQ Equation \* ARABIC \s 1 </w:instrText>
            </w:r>
            <w:r>
              <w:rPr>
                <w:noProof/>
              </w:rPr>
              <w:fldChar w:fldCharType="separate"/>
            </w:r>
            <w:r w:rsidR="00CB7456">
              <w:rPr>
                <w:noProof/>
              </w:rPr>
              <w:t>21</w:t>
            </w:r>
            <w:r>
              <w:rPr>
                <w:noProof/>
              </w:rPr>
              <w:fldChar w:fldCharType="end"/>
            </w:r>
          </w:p>
        </w:tc>
      </w:tr>
    </w:tbl>
    <w:p w14:paraId="038D8622" w14:textId="77777777" w:rsidR="00A7521D" w:rsidRDefault="00A7521D" w:rsidP="00A7521D">
      <w:pPr>
        <w:rPr>
          <w:iCs/>
        </w:rPr>
      </w:pPr>
    </w:p>
    <w:p w14:paraId="675F806B" w14:textId="77777777" w:rsidR="00A7521D" w:rsidRDefault="00C73E04" w:rsidP="00A7521D">
      <w:pPr>
        <w:pStyle w:val="NoSpacing"/>
      </w:pPr>
      <m:oMath>
        <m:sSub>
          <m:sSubPr>
            <m:ctrlPr>
              <w:rPr>
                <w:rFonts w:ascii="Cambria Math" w:hAnsi="Cambria Math"/>
                <w:i/>
              </w:rPr>
            </m:ctrlPr>
          </m:sSubPr>
          <m:e>
            <m:r>
              <w:rPr>
                <w:rFonts w:ascii="Cambria Math" w:hAnsi="Cambria Math"/>
              </w:rPr>
              <m:t>G</m:t>
            </m:r>
          </m:e>
          <m:sub>
            <m:r>
              <w:rPr>
                <w:rFonts w:ascii="Cambria Math" w:hAnsi="Cambria Math"/>
              </w:rPr>
              <m:t>s</m:t>
            </m:r>
          </m:sub>
        </m:sSub>
      </m:oMath>
      <w:r w:rsidR="00A7521D">
        <w:t xml:space="preserve"> was the shell side mass velocity (kg/[sm</w:t>
      </w:r>
      <w:r w:rsidR="00A7521D">
        <w:rPr>
          <w:vertAlign w:val="superscript"/>
        </w:rPr>
        <w:t>2</w:t>
      </w:r>
      <w:r w:rsidR="00A7521D">
        <w:t>]),</w:t>
      </w:r>
    </w:p>
    <w:p w14:paraId="55CE804E" w14:textId="586C9182" w:rsidR="00A7521D" w:rsidRDefault="00C73E04" w:rsidP="00A7521D">
      <w:pPr>
        <w:rPr>
          <w:iCs/>
        </w:rPr>
      </w:pPr>
      <m:oMath>
        <m:sSub>
          <m:sSubPr>
            <m:ctrlPr>
              <w:rPr>
                <w:rFonts w:ascii="Cambria Math" w:hAnsi="Cambria Math"/>
                <w:i/>
                <w:iCs/>
              </w:rPr>
            </m:ctrlPr>
          </m:sSubPr>
          <m:e>
            <m:acc>
              <m:accPr>
                <m:chr m:val="̇"/>
                <m:ctrlPr>
                  <w:rPr>
                    <w:rFonts w:ascii="Cambria Math" w:hAnsi="Cambria Math"/>
                    <w:i/>
                  </w:rPr>
                </m:ctrlPr>
              </m:accPr>
              <m:e>
                <m:r>
                  <w:rPr>
                    <w:rFonts w:ascii="Cambria Math" w:hAnsi="Cambria Math"/>
                  </w:rPr>
                  <m:t>m</m:t>
                </m:r>
              </m:e>
            </m:acc>
          </m:e>
          <m:sub>
            <m:r>
              <w:rPr>
                <w:rFonts w:ascii="Cambria Math" w:hAnsi="Cambria Math"/>
              </w:rPr>
              <m:t>s</m:t>
            </m:r>
          </m:sub>
        </m:sSub>
      </m:oMath>
      <w:r w:rsidR="00A7521D">
        <w:rPr>
          <w:iCs/>
        </w:rPr>
        <w:t xml:space="preserve"> was the shell side mass flowrate (kg/s).</w:t>
      </w:r>
    </w:p>
    <w:p w14:paraId="581717B8" w14:textId="172148DC" w:rsidR="00781EB9" w:rsidRDefault="00781EB9" w:rsidP="00A7521D">
      <w:pPr>
        <w:rPr>
          <w:iCs/>
        </w:rPr>
      </w:pPr>
      <w:r>
        <w:rPr>
          <w:iCs/>
        </w:rPr>
        <w:t xml:space="preserve">The </w:t>
      </w:r>
      <w:r>
        <w:t xml:space="preserve">shell side mass velocity was dependent on the </w:t>
      </w:r>
      <w:r>
        <w:rPr>
          <w:iCs/>
        </w:rPr>
        <w:t xml:space="preserve">shell side mass flowrate and the cross-flow area. The </w:t>
      </w:r>
      <w:r>
        <w:t>shell side mass velocity was dependent on the industrial operation.</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37"/>
        <w:gridCol w:w="239"/>
        <w:gridCol w:w="822"/>
      </w:tblGrid>
      <w:tr w:rsidR="00A7521D" w14:paraId="33766E1D" w14:textId="77777777" w:rsidTr="00A7521D">
        <w:tc>
          <w:tcPr>
            <w:tcW w:w="7137" w:type="dxa"/>
            <w:hideMark/>
          </w:tcPr>
          <w:p w14:paraId="6E1D1EB4" w14:textId="77777777" w:rsidR="00A7521D" w:rsidRDefault="00C73E04" w:rsidP="00A7521D">
            <w:pPr>
              <w:keepNext/>
              <w:rPr>
                <w:color w:val="FFFFFF"/>
              </w:rPr>
            </w:pPr>
            <m:oMathPara>
              <m:oMathParaPr>
                <m:jc m:val="left"/>
              </m:oMathParaPr>
              <m:oMath>
                <m:sSub>
                  <m:sSubPr>
                    <m:ctrlPr>
                      <w:rPr>
                        <w:rFonts w:ascii="Cambria Math" w:hAnsi="Cambria Math"/>
                        <w:i/>
                        <w:iCs/>
                      </w:rPr>
                    </m:ctrlPr>
                  </m:sSubPr>
                  <m:e>
                    <m:r>
                      <w:rPr>
                        <w:rFonts w:ascii="Cambria Math" w:hAnsi="Cambria Math"/>
                      </w:rPr>
                      <m:t>v</m:t>
                    </m:r>
                  </m:e>
                  <m:sub>
                    <m:r>
                      <w:rPr>
                        <w:rFonts w:ascii="Cambria Math" w:hAnsi="Cambria Math"/>
                      </w:rPr>
                      <m:t>s</m:t>
                    </m:r>
                  </m:sub>
                </m:sSub>
                <m:r>
                  <w:rPr>
                    <w:rFonts w:ascii="Cambria Math" w:hAnsi="Cambria Math"/>
                  </w:rPr>
                  <m:t>=</m:t>
                </m:r>
                <m:f>
                  <m:fPr>
                    <m:ctrlPr>
                      <w:rPr>
                        <w:rFonts w:ascii="Cambria Math" w:hAnsi="Cambria Math"/>
                        <w:i/>
                        <w:iCs/>
                      </w:rPr>
                    </m:ctrlPr>
                  </m:fPr>
                  <m:num>
                    <m:sSub>
                      <m:sSubPr>
                        <m:ctrlPr>
                          <w:rPr>
                            <w:rFonts w:ascii="Cambria Math" w:hAnsi="Cambria Math"/>
                            <w:i/>
                            <w:iCs/>
                          </w:rPr>
                        </m:ctrlPr>
                      </m:sSubPr>
                      <m:e>
                        <m:r>
                          <w:rPr>
                            <w:rFonts w:ascii="Cambria Math" w:hAnsi="Cambria Math"/>
                          </w:rPr>
                          <m:t>G</m:t>
                        </m:r>
                      </m:e>
                      <m:sub>
                        <m:r>
                          <w:rPr>
                            <w:rFonts w:ascii="Cambria Math" w:hAnsi="Cambria Math"/>
                          </w:rPr>
                          <m:t>s</m:t>
                        </m:r>
                      </m:sub>
                    </m:sSub>
                  </m:num>
                  <m:den>
                    <m:sSub>
                      <m:sSubPr>
                        <m:ctrlPr>
                          <w:rPr>
                            <w:rFonts w:ascii="Cambria Math" w:hAnsi="Cambria Math"/>
                            <w:i/>
                            <w:iCs/>
                          </w:rPr>
                        </m:ctrlPr>
                      </m:sSubPr>
                      <m:e>
                        <m:r>
                          <w:rPr>
                            <w:rFonts w:ascii="Cambria Math" w:hAnsi="Cambria Math"/>
                          </w:rPr>
                          <m:t>ρ</m:t>
                        </m:r>
                      </m:e>
                      <m:sub>
                        <m:r>
                          <w:rPr>
                            <w:rFonts w:ascii="Cambria Math" w:hAnsi="Cambria Math"/>
                          </w:rPr>
                          <m:t>s</m:t>
                        </m:r>
                      </m:sub>
                    </m:sSub>
                  </m:den>
                </m:f>
              </m:oMath>
            </m:oMathPara>
          </w:p>
        </w:tc>
        <w:tc>
          <w:tcPr>
            <w:tcW w:w="239" w:type="dxa"/>
            <w:hideMark/>
          </w:tcPr>
          <w:p w14:paraId="6E2FCE95" w14:textId="77777777" w:rsidR="00A7521D" w:rsidRDefault="00A7521D" w:rsidP="00A7521D">
            <w:pPr>
              <w:pStyle w:val="Caption"/>
              <w:jc w:val="right"/>
            </w:pPr>
            <w:r>
              <w:t xml:space="preserve"> </w:t>
            </w:r>
          </w:p>
        </w:tc>
        <w:bookmarkStart w:id="1016" w:name="_Ref531165407"/>
        <w:tc>
          <w:tcPr>
            <w:tcW w:w="822" w:type="dxa"/>
            <w:vAlign w:val="center"/>
            <w:hideMark/>
          </w:tcPr>
          <w:p w14:paraId="3B151940" w14:textId="4162104C" w:rsidR="00A7521D" w:rsidRDefault="00A7521D" w:rsidP="00A7521D">
            <w:pPr>
              <w:pStyle w:val="Caption"/>
              <w:jc w:val="right"/>
              <w:rPr>
                <w:b w:val="0"/>
              </w:rPr>
            </w:pPr>
            <w:r>
              <w:rPr>
                <w:noProof/>
              </w:rPr>
              <w:fldChar w:fldCharType="begin"/>
            </w:r>
            <w:r>
              <w:rPr>
                <w:noProof/>
              </w:rPr>
              <w:instrText xml:space="preserve"> STYLEREF 1 \s </w:instrText>
            </w:r>
            <w:r>
              <w:rPr>
                <w:noProof/>
              </w:rPr>
              <w:fldChar w:fldCharType="separate"/>
            </w:r>
            <w:r w:rsidR="00CB7456">
              <w:rPr>
                <w:noProof/>
              </w:rPr>
              <w:t>13</w:t>
            </w:r>
            <w:r>
              <w:rPr>
                <w:noProof/>
              </w:rPr>
              <w:fldChar w:fldCharType="end"/>
            </w:r>
            <w:r>
              <w:rPr>
                <w:noProof/>
              </w:rPr>
              <w:t>.</w:t>
            </w:r>
            <w:r>
              <w:rPr>
                <w:noProof/>
              </w:rPr>
              <w:fldChar w:fldCharType="begin"/>
            </w:r>
            <w:r>
              <w:rPr>
                <w:noProof/>
              </w:rPr>
              <w:instrText xml:space="preserve"> SEQ Equation \* ARABIC \s 1 </w:instrText>
            </w:r>
            <w:r>
              <w:rPr>
                <w:noProof/>
              </w:rPr>
              <w:fldChar w:fldCharType="separate"/>
            </w:r>
            <w:r w:rsidR="00CB7456">
              <w:rPr>
                <w:noProof/>
              </w:rPr>
              <w:t>22</w:t>
            </w:r>
            <w:r>
              <w:rPr>
                <w:noProof/>
              </w:rPr>
              <w:fldChar w:fldCharType="end"/>
            </w:r>
            <w:bookmarkEnd w:id="1016"/>
          </w:p>
        </w:tc>
      </w:tr>
    </w:tbl>
    <w:p w14:paraId="616B1B69" w14:textId="77777777" w:rsidR="00A7521D" w:rsidRDefault="00A7521D" w:rsidP="00A7521D">
      <w:pPr>
        <w:rPr>
          <w:iCs/>
        </w:rPr>
      </w:pPr>
    </w:p>
    <w:p w14:paraId="650772EB" w14:textId="77777777" w:rsidR="00A7521D" w:rsidRDefault="00C73E04" w:rsidP="00A7521D">
      <w:pPr>
        <w:pStyle w:val="NoSpacing"/>
      </w:pPr>
      <m:oMath>
        <m:sSub>
          <m:sSubPr>
            <m:ctrlPr>
              <w:rPr>
                <w:rFonts w:ascii="Cambria Math" w:hAnsi="Cambria Math"/>
                <w:i/>
              </w:rPr>
            </m:ctrlPr>
          </m:sSubPr>
          <m:e>
            <m:r>
              <w:rPr>
                <w:rFonts w:ascii="Cambria Math" w:hAnsi="Cambria Math"/>
              </w:rPr>
              <m:t>v</m:t>
            </m:r>
          </m:e>
          <m:sub>
            <m:r>
              <w:rPr>
                <w:rFonts w:ascii="Cambria Math" w:hAnsi="Cambria Math"/>
              </w:rPr>
              <m:t>s</m:t>
            </m:r>
          </m:sub>
        </m:sSub>
      </m:oMath>
      <w:r w:rsidR="00A7521D">
        <w:t xml:space="preserve"> was the shell side linear velocity (m/s),</w:t>
      </w:r>
    </w:p>
    <w:p w14:paraId="69D09129" w14:textId="72F4D2CC" w:rsidR="00A7521D" w:rsidRDefault="00C73E04" w:rsidP="00A7521D">
      <w:pPr>
        <w:rPr>
          <w:iCs/>
        </w:rPr>
      </w:pPr>
      <m:oMath>
        <m:sSub>
          <m:sSubPr>
            <m:ctrlPr>
              <w:rPr>
                <w:rFonts w:ascii="Cambria Math" w:hAnsi="Cambria Math"/>
                <w:i/>
                <w:iCs/>
              </w:rPr>
            </m:ctrlPr>
          </m:sSubPr>
          <m:e>
            <m:r>
              <w:rPr>
                <w:rFonts w:ascii="Cambria Math" w:hAnsi="Cambria Math"/>
              </w:rPr>
              <m:t>ρ</m:t>
            </m:r>
          </m:e>
          <m:sub>
            <m:r>
              <w:rPr>
                <w:rFonts w:ascii="Cambria Math" w:hAnsi="Cambria Math"/>
              </w:rPr>
              <m:t>s</m:t>
            </m:r>
          </m:sub>
        </m:sSub>
      </m:oMath>
      <w:r w:rsidR="00A7521D">
        <w:rPr>
          <w:iCs/>
        </w:rPr>
        <w:t xml:space="preserve"> was the shell side fluid density (kg/m</w:t>
      </w:r>
      <w:r w:rsidR="00A7521D">
        <w:rPr>
          <w:iCs/>
          <w:vertAlign w:val="superscript"/>
        </w:rPr>
        <w:t>3</w:t>
      </w:r>
      <w:r w:rsidR="00A7521D">
        <w:rPr>
          <w:iCs/>
        </w:rPr>
        <w:t>).</w:t>
      </w:r>
    </w:p>
    <w:p w14:paraId="3547C2C3" w14:textId="373A7B96" w:rsidR="00781EB9" w:rsidRDefault="00781EB9" w:rsidP="00A7521D">
      <w:pPr>
        <w:rPr>
          <w:iCs/>
        </w:rPr>
      </w:pPr>
      <w:r>
        <w:rPr>
          <w:iCs/>
        </w:rPr>
        <w:t xml:space="preserve">The </w:t>
      </w:r>
      <w:r>
        <w:t xml:space="preserve">shell side linear velocity was dependent on the shell side mass velocity and the </w:t>
      </w:r>
      <w:r>
        <w:rPr>
          <w:iCs/>
        </w:rPr>
        <w:t>shell side fluid density. The shell side fluid density was dependent on the operating conditions and the choice of the shell side fluid.</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37"/>
        <w:gridCol w:w="239"/>
        <w:gridCol w:w="822"/>
      </w:tblGrid>
      <w:tr w:rsidR="00A7521D" w14:paraId="0CF22A68" w14:textId="77777777" w:rsidTr="00A7521D">
        <w:tc>
          <w:tcPr>
            <w:tcW w:w="7137" w:type="dxa"/>
            <w:hideMark/>
          </w:tcPr>
          <w:p w14:paraId="015DD267" w14:textId="77777777" w:rsidR="00A7521D" w:rsidRDefault="00C73E04" w:rsidP="00A7521D">
            <w:pPr>
              <w:keepNext/>
              <w:rPr>
                <w:color w:val="FFFFFF"/>
              </w:rPr>
            </w:pPr>
            <m:oMathPara>
              <m:oMathParaPr>
                <m:jc m:val="left"/>
              </m:oMathParaPr>
              <m:oMath>
                <m:sSub>
                  <m:sSubPr>
                    <m:ctrlPr>
                      <w:rPr>
                        <w:rFonts w:ascii="Cambria Math" w:hAnsi="Cambria Math"/>
                        <w:i/>
                        <w:iCs/>
                      </w:rPr>
                    </m:ctrlPr>
                  </m:sSubPr>
                  <m:e>
                    <m:r>
                      <w:rPr>
                        <w:rFonts w:ascii="Cambria Math" w:hAnsi="Cambria Math"/>
                      </w:rPr>
                      <m:t>D</m:t>
                    </m:r>
                  </m:e>
                  <m:sub>
                    <m:r>
                      <w:rPr>
                        <w:rFonts w:ascii="Cambria Math" w:hAnsi="Cambria Math"/>
                      </w:rPr>
                      <m:t>e</m:t>
                    </m:r>
                  </m:sub>
                </m:sSub>
                <m:r>
                  <w:rPr>
                    <w:rFonts w:ascii="Cambria Math" w:hAnsi="Cambria Math"/>
                  </w:rPr>
                  <m:t>=</m:t>
                </m:r>
                <m:f>
                  <m:fPr>
                    <m:ctrlPr>
                      <w:rPr>
                        <w:rFonts w:ascii="Cambria Math" w:hAnsi="Cambria Math"/>
                        <w:i/>
                        <w:iCs/>
                      </w:rPr>
                    </m:ctrlPr>
                  </m:fPr>
                  <m:num>
                    <m:r>
                      <w:rPr>
                        <w:rFonts w:ascii="Cambria Math" w:hAnsi="Cambria Math"/>
                      </w:rPr>
                      <m:t>4</m:t>
                    </m:r>
                    <m:d>
                      <m:dPr>
                        <m:ctrlPr>
                          <w:rPr>
                            <w:rFonts w:ascii="Cambria Math" w:hAnsi="Cambria Math"/>
                            <w:i/>
                            <w:iCs/>
                          </w:rPr>
                        </m:ctrlPr>
                      </m:dPr>
                      <m:e>
                        <m:sSup>
                          <m:sSupPr>
                            <m:ctrlPr>
                              <w:rPr>
                                <w:rFonts w:ascii="Cambria Math" w:hAnsi="Cambria Math"/>
                                <w:i/>
                                <w:iCs/>
                              </w:rPr>
                            </m:ctrlPr>
                          </m:sSupPr>
                          <m:e>
                            <m:sSub>
                              <m:sSubPr>
                                <m:ctrlPr>
                                  <w:rPr>
                                    <w:rFonts w:ascii="Cambria Math" w:hAnsi="Cambria Math"/>
                                    <w:i/>
                                    <w:iCs/>
                                  </w:rPr>
                                </m:ctrlPr>
                              </m:sSubPr>
                              <m:e>
                                <m:r>
                                  <w:rPr>
                                    <w:rFonts w:ascii="Cambria Math" w:hAnsi="Cambria Math"/>
                                  </w:rPr>
                                  <m:t>D</m:t>
                                </m:r>
                              </m:e>
                              <m:sub>
                                <m:r>
                                  <w:rPr>
                                    <w:rFonts w:ascii="Cambria Math" w:hAnsi="Cambria Math"/>
                                  </w:rPr>
                                  <m:t>i</m:t>
                                </m:r>
                              </m:sub>
                            </m:sSub>
                          </m:e>
                          <m:sup>
                            <m:r>
                              <w:rPr>
                                <w:rFonts w:ascii="Cambria Math" w:hAnsi="Cambria Math"/>
                              </w:rPr>
                              <m:t>2</m:t>
                            </m:r>
                          </m:sup>
                        </m:sSup>
                        <m:r>
                          <w:rPr>
                            <w:rFonts w:ascii="Cambria Math" w:hAnsi="Cambria Math"/>
                          </w:rPr>
                          <m:t>-</m:t>
                        </m:r>
                        <m:sSup>
                          <m:sSupPr>
                            <m:ctrlPr>
                              <w:rPr>
                                <w:rFonts w:ascii="Cambria Math" w:hAnsi="Cambria Math"/>
                                <w:i/>
                                <w:iCs/>
                              </w:rPr>
                            </m:ctrlPr>
                          </m:sSupPr>
                          <m:e>
                            <m:sSub>
                              <m:sSubPr>
                                <m:ctrlPr>
                                  <w:rPr>
                                    <w:rFonts w:ascii="Cambria Math" w:hAnsi="Cambria Math"/>
                                    <w:i/>
                                    <w:iCs/>
                                  </w:rPr>
                                </m:ctrlPr>
                              </m:sSubPr>
                              <m:e>
                                <m:r>
                                  <w:rPr>
                                    <w:rFonts w:ascii="Cambria Math" w:hAnsi="Cambria Math"/>
                                  </w:rPr>
                                  <m:t>D</m:t>
                                </m:r>
                              </m:e>
                              <m:sub>
                                <m:r>
                                  <w:rPr>
                                    <w:rFonts w:ascii="Cambria Math" w:hAnsi="Cambria Math"/>
                                  </w:rPr>
                                  <m:t>o</m:t>
                                </m:r>
                              </m:sub>
                            </m:sSub>
                          </m:e>
                          <m:sup>
                            <m:r>
                              <w:rPr>
                                <w:rFonts w:ascii="Cambria Math" w:hAnsi="Cambria Math"/>
                              </w:rPr>
                              <m:t>2</m:t>
                            </m:r>
                          </m:sup>
                        </m:sSup>
                      </m:e>
                    </m:d>
                    <m:f>
                      <m:fPr>
                        <m:ctrlPr>
                          <w:rPr>
                            <w:rFonts w:ascii="Cambria Math" w:hAnsi="Cambria Math"/>
                            <w:i/>
                            <w:iCs/>
                          </w:rPr>
                        </m:ctrlPr>
                      </m:fPr>
                      <m:num>
                        <m:r>
                          <w:rPr>
                            <w:rFonts w:ascii="Cambria Math" w:hAnsi="Cambria Math"/>
                          </w:rPr>
                          <m:t>π</m:t>
                        </m:r>
                      </m:num>
                      <m:den>
                        <m:r>
                          <w:rPr>
                            <w:rFonts w:ascii="Cambria Math" w:hAnsi="Cambria Math"/>
                          </w:rPr>
                          <m:t>4</m:t>
                        </m:r>
                      </m:den>
                    </m:f>
                  </m:num>
                  <m:den>
                    <m:r>
                      <w:rPr>
                        <w:rFonts w:ascii="Cambria Math" w:hAnsi="Cambria Math"/>
                      </w:rPr>
                      <m:t>π</m:t>
                    </m:r>
                    <m:d>
                      <m:dPr>
                        <m:ctrlPr>
                          <w:rPr>
                            <w:rFonts w:ascii="Cambria Math" w:hAnsi="Cambria Math"/>
                            <w:i/>
                            <w:iCs/>
                          </w:rPr>
                        </m:ctrlPr>
                      </m:dPr>
                      <m:e>
                        <m:sSub>
                          <m:sSubPr>
                            <m:ctrlPr>
                              <w:rPr>
                                <w:rFonts w:ascii="Cambria Math" w:hAnsi="Cambria Math"/>
                                <w:i/>
                                <w:iCs/>
                              </w:rPr>
                            </m:ctrlPr>
                          </m:sSubPr>
                          <m:e>
                            <m:r>
                              <w:rPr>
                                <w:rFonts w:ascii="Cambria Math" w:hAnsi="Cambria Math"/>
                              </w:rPr>
                              <m:t>D</m:t>
                            </m:r>
                          </m:e>
                          <m:sub>
                            <m:r>
                              <w:rPr>
                                <w:rFonts w:ascii="Cambria Math" w:hAnsi="Cambria Math"/>
                              </w:rPr>
                              <m:t>i</m:t>
                            </m:r>
                          </m:sub>
                        </m:sSub>
                        <m:r>
                          <w:rPr>
                            <w:rFonts w:ascii="Cambria Math" w:hAnsi="Cambria Math"/>
                          </w:rPr>
                          <m:t>-</m:t>
                        </m:r>
                        <m:sSub>
                          <m:sSubPr>
                            <m:ctrlPr>
                              <w:rPr>
                                <w:rFonts w:ascii="Cambria Math" w:hAnsi="Cambria Math"/>
                                <w:i/>
                                <w:iCs/>
                              </w:rPr>
                            </m:ctrlPr>
                          </m:sSubPr>
                          <m:e>
                            <m:r>
                              <w:rPr>
                                <w:rFonts w:ascii="Cambria Math" w:hAnsi="Cambria Math"/>
                              </w:rPr>
                              <m:t>D</m:t>
                            </m:r>
                          </m:e>
                          <m:sub>
                            <m:r>
                              <w:rPr>
                                <w:rFonts w:ascii="Cambria Math" w:hAnsi="Cambria Math"/>
                              </w:rPr>
                              <m:t>o</m:t>
                            </m:r>
                          </m:sub>
                        </m:sSub>
                      </m:e>
                    </m:d>
                  </m:den>
                </m:f>
              </m:oMath>
            </m:oMathPara>
          </w:p>
        </w:tc>
        <w:tc>
          <w:tcPr>
            <w:tcW w:w="239" w:type="dxa"/>
            <w:hideMark/>
          </w:tcPr>
          <w:p w14:paraId="075D5A3E" w14:textId="77777777" w:rsidR="00A7521D" w:rsidRDefault="00A7521D" w:rsidP="00A7521D">
            <w:pPr>
              <w:pStyle w:val="Caption"/>
              <w:jc w:val="right"/>
            </w:pPr>
            <w:r>
              <w:t xml:space="preserve"> </w:t>
            </w:r>
          </w:p>
        </w:tc>
        <w:bookmarkStart w:id="1017" w:name="_Ref531165447"/>
        <w:tc>
          <w:tcPr>
            <w:tcW w:w="822" w:type="dxa"/>
            <w:vAlign w:val="center"/>
            <w:hideMark/>
          </w:tcPr>
          <w:p w14:paraId="235B9F12" w14:textId="7F0607E3" w:rsidR="00A7521D" w:rsidRDefault="00A7521D" w:rsidP="00A7521D">
            <w:pPr>
              <w:pStyle w:val="Caption"/>
              <w:jc w:val="right"/>
              <w:rPr>
                <w:b w:val="0"/>
              </w:rPr>
            </w:pPr>
            <w:r>
              <w:rPr>
                <w:noProof/>
              </w:rPr>
              <w:fldChar w:fldCharType="begin"/>
            </w:r>
            <w:r>
              <w:rPr>
                <w:noProof/>
              </w:rPr>
              <w:instrText xml:space="preserve"> STYLEREF 1 \s </w:instrText>
            </w:r>
            <w:r>
              <w:rPr>
                <w:noProof/>
              </w:rPr>
              <w:fldChar w:fldCharType="separate"/>
            </w:r>
            <w:r w:rsidR="00CB7456">
              <w:rPr>
                <w:noProof/>
              </w:rPr>
              <w:t>13</w:t>
            </w:r>
            <w:r>
              <w:rPr>
                <w:noProof/>
              </w:rPr>
              <w:fldChar w:fldCharType="end"/>
            </w:r>
            <w:r>
              <w:rPr>
                <w:noProof/>
              </w:rPr>
              <w:t>.</w:t>
            </w:r>
            <w:r>
              <w:rPr>
                <w:noProof/>
              </w:rPr>
              <w:fldChar w:fldCharType="begin"/>
            </w:r>
            <w:r>
              <w:rPr>
                <w:noProof/>
              </w:rPr>
              <w:instrText xml:space="preserve"> SEQ Equation \* ARABIC \s 1 </w:instrText>
            </w:r>
            <w:r>
              <w:rPr>
                <w:noProof/>
              </w:rPr>
              <w:fldChar w:fldCharType="separate"/>
            </w:r>
            <w:r w:rsidR="00CB7456">
              <w:rPr>
                <w:noProof/>
              </w:rPr>
              <w:t>23</w:t>
            </w:r>
            <w:r>
              <w:rPr>
                <w:noProof/>
              </w:rPr>
              <w:fldChar w:fldCharType="end"/>
            </w:r>
            <w:bookmarkEnd w:id="1017"/>
          </w:p>
        </w:tc>
      </w:tr>
    </w:tbl>
    <w:p w14:paraId="41517DBC" w14:textId="77777777" w:rsidR="00A7521D" w:rsidRDefault="00A7521D" w:rsidP="00A7521D">
      <w:pPr>
        <w:rPr>
          <w:iCs/>
        </w:rPr>
      </w:pPr>
    </w:p>
    <w:p w14:paraId="6E515BFD" w14:textId="59A407C0" w:rsidR="00A7521D" w:rsidRDefault="00C73E04" w:rsidP="00A7521D">
      <w:pPr>
        <w:rPr>
          <w:iCs/>
        </w:rPr>
      </w:pPr>
      <m:oMath>
        <m:sSub>
          <m:sSubPr>
            <m:ctrlPr>
              <w:rPr>
                <w:rFonts w:ascii="Cambria Math" w:hAnsi="Cambria Math"/>
                <w:i/>
                <w:iCs/>
              </w:rPr>
            </m:ctrlPr>
          </m:sSubPr>
          <m:e>
            <m:r>
              <w:rPr>
                <w:rFonts w:ascii="Cambria Math" w:hAnsi="Cambria Math"/>
              </w:rPr>
              <m:t>D</m:t>
            </m:r>
          </m:e>
          <m:sub>
            <m:r>
              <w:rPr>
                <w:rFonts w:ascii="Cambria Math" w:hAnsi="Cambria Math"/>
              </w:rPr>
              <m:t>e</m:t>
            </m:r>
          </m:sub>
        </m:sSub>
      </m:oMath>
      <w:r w:rsidR="00A7521D">
        <w:rPr>
          <w:iCs/>
        </w:rPr>
        <w:t xml:space="preserve"> was the equivalent shell diameter (m</w:t>
      </w:r>
      <w:r w:rsidR="00A7521D">
        <w:rPr>
          <w:iCs/>
          <w:vertAlign w:val="superscript"/>
        </w:rPr>
        <w:t>2</w:t>
      </w:r>
      <w:r w:rsidR="00A7521D">
        <w:rPr>
          <w:iCs/>
        </w:rPr>
        <w:t>).</w:t>
      </w:r>
    </w:p>
    <w:p w14:paraId="04CA3DED" w14:textId="08818159" w:rsidR="00781EB9" w:rsidRDefault="00781EB9" w:rsidP="00A7521D">
      <w:pPr>
        <w:rPr>
          <w:iCs/>
        </w:rPr>
      </w:pPr>
      <w:r>
        <w:rPr>
          <w:iCs/>
        </w:rPr>
        <w:lastRenderedPageBreak/>
        <w:t>The equivalent shell diameter was dependent on the inner and outer pipe diameters.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37"/>
        <w:gridCol w:w="239"/>
        <w:gridCol w:w="822"/>
      </w:tblGrid>
      <w:tr w:rsidR="00A7521D" w14:paraId="533A0464" w14:textId="77777777" w:rsidTr="00A7521D">
        <w:tc>
          <w:tcPr>
            <w:tcW w:w="7137" w:type="dxa"/>
            <w:hideMark/>
          </w:tcPr>
          <w:p w14:paraId="4242F464" w14:textId="4CE1A6C3" w:rsidR="00A7521D" w:rsidRDefault="00C73E04" w:rsidP="00A7521D">
            <w:pPr>
              <w:keepNext/>
              <w:rPr>
                <w:color w:val="FFFFFF"/>
              </w:rPr>
            </w:pPr>
            <m:oMathPara>
              <m:oMathParaPr>
                <m:jc m:val="left"/>
              </m:oMathParaPr>
              <m:oMath>
                <m:sSub>
                  <m:sSubPr>
                    <m:ctrlPr>
                      <w:rPr>
                        <w:rFonts w:ascii="Cambria Math" w:hAnsi="Cambria Math"/>
                        <w:i/>
                        <w:iCs/>
                      </w:rPr>
                    </m:ctrlPr>
                  </m:sSubPr>
                  <m:e>
                    <m:r>
                      <w:rPr>
                        <w:rFonts w:ascii="Cambria Math" w:hAnsi="Cambria Math"/>
                      </w:rPr>
                      <m:t>Re</m:t>
                    </m:r>
                  </m:e>
                  <m:sub>
                    <m:r>
                      <w:rPr>
                        <w:rFonts w:ascii="Cambria Math" w:hAnsi="Cambria Math"/>
                      </w:rPr>
                      <m:t>s</m:t>
                    </m:r>
                  </m:sub>
                </m:sSub>
                <m:r>
                  <w:rPr>
                    <w:rFonts w:ascii="Cambria Math" w:hAnsi="Cambria Math"/>
                  </w:rPr>
                  <m:t>=</m:t>
                </m:r>
                <m:f>
                  <m:fPr>
                    <m:ctrlPr>
                      <w:rPr>
                        <w:rFonts w:ascii="Cambria Math" w:hAnsi="Cambria Math"/>
                        <w:i/>
                        <w:iCs/>
                      </w:rPr>
                    </m:ctrlPr>
                  </m:fPr>
                  <m:num>
                    <m:sSub>
                      <m:sSubPr>
                        <m:ctrlPr>
                          <w:rPr>
                            <w:rFonts w:ascii="Cambria Math" w:hAnsi="Cambria Math"/>
                            <w:i/>
                            <w:iCs/>
                          </w:rPr>
                        </m:ctrlPr>
                      </m:sSubPr>
                      <m:e>
                        <m:r>
                          <w:rPr>
                            <w:rFonts w:ascii="Cambria Math" w:hAnsi="Cambria Math"/>
                          </w:rPr>
                          <m:t>G</m:t>
                        </m:r>
                      </m:e>
                      <m:sub>
                        <m:r>
                          <w:rPr>
                            <w:rFonts w:ascii="Cambria Math" w:hAnsi="Cambria Math"/>
                          </w:rPr>
                          <m:t>s</m:t>
                        </m:r>
                      </m:sub>
                    </m:sSub>
                    <m:sSub>
                      <m:sSubPr>
                        <m:ctrlPr>
                          <w:rPr>
                            <w:rFonts w:ascii="Cambria Math" w:hAnsi="Cambria Math"/>
                            <w:i/>
                            <w:iCs/>
                          </w:rPr>
                        </m:ctrlPr>
                      </m:sSubPr>
                      <m:e>
                        <m:r>
                          <w:rPr>
                            <w:rFonts w:ascii="Cambria Math" w:hAnsi="Cambria Math"/>
                          </w:rPr>
                          <m:t>D</m:t>
                        </m:r>
                      </m:e>
                      <m:sub>
                        <m:r>
                          <w:rPr>
                            <w:rFonts w:ascii="Cambria Math" w:hAnsi="Cambria Math"/>
                          </w:rPr>
                          <m:t>e</m:t>
                        </m:r>
                      </m:sub>
                    </m:sSub>
                  </m:num>
                  <m:den>
                    <m:sSub>
                      <m:sSubPr>
                        <m:ctrlPr>
                          <w:rPr>
                            <w:rFonts w:ascii="Cambria Math" w:hAnsi="Cambria Math"/>
                            <w:i/>
                            <w:iCs/>
                          </w:rPr>
                        </m:ctrlPr>
                      </m:sSubPr>
                      <m:e>
                        <m:r>
                          <w:rPr>
                            <w:rFonts w:ascii="Cambria Math" w:hAnsi="Cambria Math"/>
                          </w:rPr>
                          <m:t>μ</m:t>
                        </m:r>
                      </m:e>
                      <m:sub>
                        <m:r>
                          <w:rPr>
                            <w:rFonts w:ascii="Cambria Math" w:hAnsi="Cambria Math"/>
                          </w:rPr>
                          <m:t>s</m:t>
                        </m:r>
                      </m:sub>
                    </m:sSub>
                  </m:den>
                </m:f>
              </m:oMath>
            </m:oMathPara>
          </w:p>
        </w:tc>
        <w:tc>
          <w:tcPr>
            <w:tcW w:w="239" w:type="dxa"/>
            <w:hideMark/>
          </w:tcPr>
          <w:p w14:paraId="1DA6875B" w14:textId="77777777" w:rsidR="00A7521D" w:rsidRDefault="00A7521D" w:rsidP="00A7521D">
            <w:pPr>
              <w:pStyle w:val="Caption"/>
              <w:jc w:val="right"/>
            </w:pPr>
            <w:r>
              <w:t xml:space="preserve"> </w:t>
            </w:r>
          </w:p>
        </w:tc>
        <w:bookmarkStart w:id="1018" w:name="_Ref531165486"/>
        <w:tc>
          <w:tcPr>
            <w:tcW w:w="822" w:type="dxa"/>
            <w:vAlign w:val="center"/>
            <w:hideMark/>
          </w:tcPr>
          <w:p w14:paraId="18A37E89" w14:textId="386FC769" w:rsidR="00A7521D" w:rsidRDefault="00A7521D" w:rsidP="00A7521D">
            <w:pPr>
              <w:pStyle w:val="Caption"/>
              <w:jc w:val="right"/>
              <w:rPr>
                <w:b w:val="0"/>
              </w:rPr>
            </w:pPr>
            <w:r>
              <w:rPr>
                <w:noProof/>
              </w:rPr>
              <w:fldChar w:fldCharType="begin"/>
            </w:r>
            <w:r>
              <w:rPr>
                <w:noProof/>
              </w:rPr>
              <w:instrText xml:space="preserve"> STYLEREF 1 \s </w:instrText>
            </w:r>
            <w:r>
              <w:rPr>
                <w:noProof/>
              </w:rPr>
              <w:fldChar w:fldCharType="separate"/>
            </w:r>
            <w:r w:rsidR="00CB7456">
              <w:rPr>
                <w:noProof/>
              </w:rPr>
              <w:t>13</w:t>
            </w:r>
            <w:r>
              <w:rPr>
                <w:noProof/>
              </w:rPr>
              <w:fldChar w:fldCharType="end"/>
            </w:r>
            <w:r>
              <w:rPr>
                <w:noProof/>
              </w:rPr>
              <w:t>.</w:t>
            </w:r>
            <w:r>
              <w:rPr>
                <w:noProof/>
              </w:rPr>
              <w:fldChar w:fldCharType="begin"/>
            </w:r>
            <w:r>
              <w:rPr>
                <w:noProof/>
              </w:rPr>
              <w:instrText xml:space="preserve"> SEQ Equation \* ARABIC \s 1 </w:instrText>
            </w:r>
            <w:r>
              <w:rPr>
                <w:noProof/>
              </w:rPr>
              <w:fldChar w:fldCharType="separate"/>
            </w:r>
            <w:r w:rsidR="00CB7456">
              <w:rPr>
                <w:noProof/>
              </w:rPr>
              <w:t>24</w:t>
            </w:r>
            <w:r>
              <w:rPr>
                <w:noProof/>
              </w:rPr>
              <w:fldChar w:fldCharType="end"/>
            </w:r>
            <w:bookmarkEnd w:id="1018"/>
          </w:p>
        </w:tc>
      </w:tr>
    </w:tbl>
    <w:p w14:paraId="73C75A20" w14:textId="77777777" w:rsidR="00A7521D" w:rsidRDefault="00A7521D" w:rsidP="00A7521D">
      <w:pPr>
        <w:rPr>
          <w:iCs/>
        </w:rPr>
      </w:pPr>
    </w:p>
    <w:p w14:paraId="41D969BF" w14:textId="77777777" w:rsidR="00A7521D" w:rsidRDefault="00C73E04" w:rsidP="00A7521D">
      <w:pPr>
        <w:pStyle w:val="NoSpacing"/>
      </w:pPr>
      <m:oMath>
        <m:sSub>
          <m:sSubPr>
            <m:ctrlPr>
              <w:rPr>
                <w:rFonts w:ascii="Cambria Math" w:hAnsi="Cambria Math"/>
                <w:i/>
              </w:rPr>
            </m:ctrlPr>
          </m:sSubPr>
          <m:e>
            <m:r>
              <w:rPr>
                <w:rFonts w:ascii="Cambria Math" w:hAnsi="Cambria Math"/>
              </w:rPr>
              <m:t>Re</m:t>
            </m:r>
          </m:e>
          <m:sub>
            <m:r>
              <w:rPr>
                <w:rFonts w:ascii="Cambria Math" w:hAnsi="Cambria Math"/>
              </w:rPr>
              <m:t>s</m:t>
            </m:r>
          </m:sub>
        </m:sSub>
      </m:oMath>
      <w:r w:rsidR="00A7521D">
        <w:t xml:space="preserve"> was the shell side Reynolds number,</w:t>
      </w:r>
    </w:p>
    <w:p w14:paraId="4CBAA26C" w14:textId="2E6813CD" w:rsidR="00A7521D" w:rsidRDefault="00C73E04" w:rsidP="00A7521D">
      <w:pPr>
        <w:rPr>
          <w:iCs/>
        </w:rPr>
      </w:pPr>
      <m:oMath>
        <m:sSub>
          <m:sSubPr>
            <m:ctrlPr>
              <w:rPr>
                <w:rFonts w:ascii="Cambria Math" w:hAnsi="Cambria Math"/>
                <w:i/>
                <w:iCs/>
              </w:rPr>
            </m:ctrlPr>
          </m:sSubPr>
          <m:e>
            <m:r>
              <w:rPr>
                <w:rFonts w:ascii="Cambria Math" w:hAnsi="Cambria Math"/>
              </w:rPr>
              <m:t>μ</m:t>
            </m:r>
          </m:e>
          <m:sub>
            <m:r>
              <w:rPr>
                <w:rFonts w:ascii="Cambria Math" w:hAnsi="Cambria Math"/>
              </w:rPr>
              <m:t>s</m:t>
            </m:r>
          </m:sub>
        </m:sSub>
      </m:oMath>
      <w:r w:rsidR="00A7521D">
        <w:rPr>
          <w:iCs/>
        </w:rPr>
        <w:t xml:space="preserve"> was the shell side viscosity (Pas).</w:t>
      </w:r>
    </w:p>
    <w:p w14:paraId="6214FDBA" w14:textId="43556361" w:rsidR="00781EB9" w:rsidRDefault="00781EB9" w:rsidP="00781EB9">
      <w:pPr>
        <w:rPr>
          <w:iCs/>
        </w:rPr>
      </w:pPr>
      <w:r>
        <w:rPr>
          <w:iCs/>
        </w:rPr>
        <w:t xml:space="preserve">The shell side Reynolds number was dependent on the </w:t>
      </w:r>
      <w:r>
        <w:t>shell side linear velocity</w:t>
      </w:r>
      <w:r>
        <w:rPr>
          <w:iCs/>
        </w:rPr>
        <w:t>, the equivalent pipe diameter and the shell side viscosity. The viscosity was dependent on the operating conditions and the shell side fluid.</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37"/>
        <w:gridCol w:w="239"/>
        <w:gridCol w:w="822"/>
      </w:tblGrid>
      <w:tr w:rsidR="00A7521D" w14:paraId="21C7EEB7" w14:textId="77777777" w:rsidTr="00A7521D">
        <w:tc>
          <w:tcPr>
            <w:tcW w:w="7137" w:type="dxa"/>
            <w:hideMark/>
          </w:tcPr>
          <w:p w14:paraId="2EF5E180" w14:textId="77777777" w:rsidR="00A7521D" w:rsidRDefault="00C73E04" w:rsidP="00A7521D">
            <w:pPr>
              <w:keepNext/>
              <w:rPr>
                <w:color w:val="FFFFFF"/>
              </w:rPr>
            </w:pPr>
            <m:oMathPara>
              <m:oMathParaPr>
                <m:jc m:val="left"/>
              </m:oMathParaPr>
              <m:oMath>
                <m:sSub>
                  <m:sSubPr>
                    <m:ctrlPr>
                      <w:rPr>
                        <w:rFonts w:ascii="Cambria Math" w:hAnsi="Cambria Math"/>
                        <w:i/>
                        <w:iCs/>
                      </w:rPr>
                    </m:ctrlPr>
                  </m:sSubPr>
                  <m:e>
                    <m:r>
                      <w:rPr>
                        <w:rFonts w:ascii="Cambria Math" w:hAnsi="Cambria Math"/>
                      </w:rPr>
                      <m:t>Pr</m:t>
                    </m:r>
                  </m:e>
                  <m:sub>
                    <m:r>
                      <w:rPr>
                        <w:rFonts w:ascii="Cambria Math" w:hAnsi="Cambria Math"/>
                      </w:rPr>
                      <m:t>s</m:t>
                    </m:r>
                  </m:sub>
                </m:sSub>
                <m:r>
                  <w:rPr>
                    <w:rFonts w:ascii="Cambria Math" w:hAnsi="Cambria Math"/>
                  </w:rPr>
                  <m:t>=</m:t>
                </m:r>
                <m:f>
                  <m:fPr>
                    <m:ctrlPr>
                      <w:rPr>
                        <w:rFonts w:ascii="Cambria Math" w:hAnsi="Cambria Math"/>
                        <w:i/>
                        <w:iCs/>
                      </w:rPr>
                    </m:ctrlPr>
                  </m:fPr>
                  <m:num>
                    <m:sSub>
                      <m:sSubPr>
                        <m:ctrlPr>
                          <w:rPr>
                            <w:rFonts w:ascii="Cambria Math" w:hAnsi="Cambria Math"/>
                            <w:i/>
                            <w:iCs/>
                          </w:rPr>
                        </m:ctrlPr>
                      </m:sSubPr>
                      <m:e>
                        <m:r>
                          <w:rPr>
                            <w:rFonts w:ascii="Cambria Math" w:hAnsi="Cambria Math"/>
                          </w:rPr>
                          <m:t>c</m:t>
                        </m:r>
                      </m:e>
                      <m:sub>
                        <m:r>
                          <w:rPr>
                            <w:rFonts w:ascii="Cambria Math" w:hAnsi="Cambria Math"/>
                          </w:rPr>
                          <m:t>p,s</m:t>
                        </m:r>
                      </m:sub>
                    </m:sSub>
                    <m:sSub>
                      <m:sSubPr>
                        <m:ctrlPr>
                          <w:rPr>
                            <w:rFonts w:ascii="Cambria Math" w:hAnsi="Cambria Math"/>
                            <w:i/>
                            <w:iCs/>
                          </w:rPr>
                        </m:ctrlPr>
                      </m:sSubPr>
                      <m:e>
                        <m:r>
                          <w:rPr>
                            <w:rFonts w:ascii="Cambria Math" w:hAnsi="Cambria Math"/>
                          </w:rPr>
                          <m:t>μ</m:t>
                        </m:r>
                      </m:e>
                      <m:sub>
                        <m:r>
                          <w:rPr>
                            <w:rFonts w:ascii="Cambria Math" w:hAnsi="Cambria Math"/>
                          </w:rPr>
                          <m:t>s</m:t>
                        </m:r>
                      </m:sub>
                    </m:sSub>
                  </m:num>
                  <m:den>
                    <m:sSub>
                      <m:sSubPr>
                        <m:ctrlPr>
                          <w:rPr>
                            <w:rFonts w:ascii="Cambria Math" w:hAnsi="Cambria Math"/>
                            <w:i/>
                            <w:iCs/>
                          </w:rPr>
                        </m:ctrlPr>
                      </m:sSubPr>
                      <m:e>
                        <m:r>
                          <w:rPr>
                            <w:rFonts w:ascii="Cambria Math" w:hAnsi="Cambria Math"/>
                          </w:rPr>
                          <m:t>k</m:t>
                        </m:r>
                      </m:e>
                      <m:sub>
                        <m:r>
                          <w:rPr>
                            <w:rFonts w:ascii="Cambria Math" w:hAnsi="Cambria Math"/>
                          </w:rPr>
                          <m:t>f,s</m:t>
                        </m:r>
                      </m:sub>
                    </m:sSub>
                  </m:den>
                </m:f>
              </m:oMath>
            </m:oMathPara>
          </w:p>
        </w:tc>
        <w:tc>
          <w:tcPr>
            <w:tcW w:w="239" w:type="dxa"/>
            <w:hideMark/>
          </w:tcPr>
          <w:p w14:paraId="29D8C44B" w14:textId="77777777" w:rsidR="00A7521D" w:rsidRDefault="00A7521D" w:rsidP="00A7521D">
            <w:pPr>
              <w:pStyle w:val="Caption"/>
              <w:jc w:val="right"/>
            </w:pPr>
            <w:r>
              <w:t xml:space="preserve"> </w:t>
            </w:r>
          </w:p>
        </w:tc>
        <w:bookmarkStart w:id="1019" w:name="_Ref531165501"/>
        <w:tc>
          <w:tcPr>
            <w:tcW w:w="822" w:type="dxa"/>
            <w:vAlign w:val="center"/>
            <w:hideMark/>
          </w:tcPr>
          <w:p w14:paraId="7BEF2E16" w14:textId="3B2B979B" w:rsidR="00A7521D" w:rsidRDefault="00A7521D" w:rsidP="00A7521D">
            <w:pPr>
              <w:pStyle w:val="Caption"/>
              <w:jc w:val="right"/>
              <w:rPr>
                <w:b w:val="0"/>
              </w:rPr>
            </w:pPr>
            <w:r>
              <w:rPr>
                <w:noProof/>
              </w:rPr>
              <w:fldChar w:fldCharType="begin"/>
            </w:r>
            <w:r>
              <w:rPr>
                <w:noProof/>
              </w:rPr>
              <w:instrText xml:space="preserve"> STYLEREF 1 \s </w:instrText>
            </w:r>
            <w:r>
              <w:rPr>
                <w:noProof/>
              </w:rPr>
              <w:fldChar w:fldCharType="separate"/>
            </w:r>
            <w:r w:rsidR="00CB7456">
              <w:rPr>
                <w:noProof/>
              </w:rPr>
              <w:t>13</w:t>
            </w:r>
            <w:r>
              <w:rPr>
                <w:noProof/>
              </w:rPr>
              <w:fldChar w:fldCharType="end"/>
            </w:r>
            <w:r>
              <w:rPr>
                <w:noProof/>
              </w:rPr>
              <w:t>.</w:t>
            </w:r>
            <w:r>
              <w:rPr>
                <w:noProof/>
              </w:rPr>
              <w:fldChar w:fldCharType="begin"/>
            </w:r>
            <w:r>
              <w:rPr>
                <w:noProof/>
              </w:rPr>
              <w:instrText xml:space="preserve"> SEQ Equation \* ARABIC \s 1 </w:instrText>
            </w:r>
            <w:r>
              <w:rPr>
                <w:noProof/>
              </w:rPr>
              <w:fldChar w:fldCharType="separate"/>
            </w:r>
            <w:r w:rsidR="00CB7456">
              <w:rPr>
                <w:noProof/>
              </w:rPr>
              <w:t>25</w:t>
            </w:r>
            <w:r>
              <w:rPr>
                <w:noProof/>
              </w:rPr>
              <w:fldChar w:fldCharType="end"/>
            </w:r>
            <w:bookmarkEnd w:id="1019"/>
          </w:p>
        </w:tc>
      </w:tr>
    </w:tbl>
    <w:p w14:paraId="0E1DAB8A" w14:textId="77777777" w:rsidR="00A7521D" w:rsidRDefault="00A7521D" w:rsidP="00A7521D">
      <w:pPr>
        <w:rPr>
          <w:iCs/>
        </w:rPr>
      </w:pPr>
    </w:p>
    <w:p w14:paraId="234A846F" w14:textId="77777777" w:rsidR="00A7521D" w:rsidRDefault="00C73E04" w:rsidP="00A7521D">
      <w:pPr>
        <w:pStyle w:val="NoSpacing"/>
      </w:pPr>
      <m:oMath>
        <m:sSub>
          <m:sSubPr>
            <m:ctrlPr>
              <w:rPr>
                <w:rFonts w:ascii="Cambria Math" w:hAnsi="Cambria Math"/>
                <w:i/>
              </w:rPr>
            </m:ctrlPr>
          </m:sSubPr>
          <m:e>
            <m:r>
              <w:rPr>
                <w:rFonts w:ascii="Cambria Math" w:hAnsi="Cambria Math"/>
              </w:rPr>
              <m:t>Pr</m:t>
            </m:r>
          </m:e>
          <m:sub>
            <m:r>
              <w:rPr>
                <w:rFonts w:ascii="Cambria Math" w:hAnsi="Cambria Math"/>
              </w:rPr>
              <m:t>s</m:t>
            </m:r>
          </m:sub>
        </m:sSub>
      </m:oMath>
      <w:r w:rsidR="00A7521D">
        <w:t xml:space="preserve"> was the shell side Prandtl number,</w:t>
      </w:r>
    </w:p>
    <w:p w14:paraId="7CC74BBF" w14:textId="77777777" w:rsidR="00A7521D" w:rsidRDefault="00C73E04" w:rsidP="00A7521D">
      <w:pPr>
        <w:pStyle w:val="NoSpacing"/>
      </w:pPr>
      <m:oMath>
        <m:sSub>
          <m:sSubPr>
            <m:ctrlPr>
              <w:rPr>
                <w:rFonts w:ascii="Cambria Math" w:hAnsi="Cambria Math"/>
                <w:i/>
              </w:rPr>
            </m:ctrlPr>
          </m:sSubPr>
          <m:e>
            <m:r>
              <w:rPr>
                <w:rFonts w:ascii="Cambria Math" w:hAnsi="Cambria Math"/>
              </w:rPr>
              <m:t>c</m:t>
            </m:r>
          </m:e>
          <m:sub>
            <m:r>
              <w:rPr>
                <w:rFonts w:ascii="Cambria Math" w:hAnsi="Cambria Math"/>
              </w:rPr>
              <m:t>p,s</m:t>
            </m:r>
          </m:sub>
        </m:sSub>
      </m:oMath>
      <w:r w:rsidR="00A7521D">
        <w:t xml:space="preserve"> was the shell side fluid specific heat capacity (kJ/[kg°C]),</w:t>
      </w:r>
    </w:p>
    <w:p w14:paraId="04B1CBC9" w14:textId="1C806C62" w:rsidR="00A7521D" w:rsidRDefault="00C73E04" w:rsidP="00A7521D">
      <w:pPr>
        <w:rPr>
          <w:iCs/>
        </w:rPr>
      </w:pPr>
      <m:oMath>
        <m:sSub>
          <m:sSubPr>
            <m:ctrlPr>
              <w:rPr>
                <w:rFonts w:ascii="Cambria Math" w:hAnsi="Cambria Math"/>
                <w:i/>
                <w:iCs/>
              </w:rPr>
            </m:ctrlPr>
          </m:sSubPr>
          <m:e>
            <m:r>
              <w:rPr>
                <w:rFonts w:ascii="Cambria Math" w:hAnsi="Cambria Math"/>
              </w:rPr>
              <m:t>k</m:t>
            </m:r>
          </m:e>
          <m:sub>
            <m:r>
              <w:rPr>
                <w:rFonts w:ascii="Cambria Math" w:hAnsi="Cambria Math"/>
              </w:rPr>
              <m:t>f,s</m:t>
            </m:r>
          </m:sub>
        </m:sSub>
      </m:oMath>
      <w:r w:rsidR="00A7521D">
        <w:rPr>
          <w:iCs/>
        </w:rPr>
        <w:t xml:space="preserve"> was the shell side fluid thermal conductivity (W/[mK]).</w:t>
      </w:r>
    </w:p>
    <w:p w14:paraId="05CAAE24" w14:textId="1ACEF233" w:rsidR="00781EB9" w:rsidRDefault="00781EB9" w:rsidP="00A7521D">
      <w:pPr>
        <w:rPr>
          <w:iCs/>
        </w:rPr>
      </w:pPr>
      <w:r>
        <w:rPr>
          <w:iCs/>
        </w:rPr>
        <w:t>The tube side Prandtl number was dependent on the shell side specific heat capacity, thermal conductivity and viscosity. The specific heat capacity and the thermal conductivities were dependent on the operating conditions and the shell side fluid.</w:t>
      </w:r>
    </w:p>
    <w:tbl>
      <w:tblPr>
        <w:tblStyle w:val="TableGrid"/>
        <w:tblW w:w="5095"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84"/>
        <w:gridCol w:w="785"/>
        <w:gridCol w:w="785"/>
      </w:tblGrid>
      <w:tr w:rsidR="00A7521D" w14:paraId="4CC69F5B" w14:textId="77777777" w:rsidTr="00A7521D">
        <w:tc>
          <w:tcPr>
            <w:tcW w:w="6783" w:type="dxa"/>
            <w:hideMark/>
          </w:tcPr>
          <w:p w14:paraId="33E398FD" w14:textId="06B24670" w:rsidR="00A7521D" w:rsidRDefault="00C73E04" w:rsidP="00A7521D">
            <w:pPr>
              <w:keepNext/>
              <w:rPr>
                <w:color w:val="FFFFFF"/>
              </w:rPr>
            </w:pPr>
            <m:oMathPara>
              <m:oMathParaPr>
                <m:jc m:val="left"/>
              </m:oMathParaPr>
              <m:oMath>
                <m:sSub>
                  <m:sSubPr>
                    <m:ctrlPr>
                      <w:rPr>
                        <w:rFonts w:ascii="Cambria Math" w:hAnsi="Cambria Math"/>
                        <w:i/>
                        <w:iCs/>
                      </w:rPr>
                    </m:ctrlPr>
                  </m:sSubPr>
                  <m:e>
                    <m:r>
                      <w:rPr>
                        <w:rFonts w:ascii="Cambria Math" w:hAnsi="Cambria Math"/>
                      </w:rPr>
                      <m:t>Nu</m:t>
                    </m:r>
                  </m:e>
                  <m:sub>
                    <m:r>
                      <w:rPr>
                        <w:rFonts w:ascii="Cambria Math" w:hAnsi="Cambria Math"/>
                      </w:rPr>
                      <m:t>s</m:t>
                    </m:r>
                  </m:sub>
                </m:sSub>
                <m:r>
                  <w:rPr>
                    <w:rFonts w:ascii="Cambria Math" w:hAnsi="Cambria Math"/>
                  </w:rPr>
                  <m:t>=</m:t>
                </m:r>
                <m:f>
                  <m:fPr>
                    <m:ctrlPr>
                      <w:rPr>
                        <w:rFonts w:ascii="Cambria Math" w:hAnsi="Cambria Math"/>
                        <w:i/>
                        <w:iCs/>
                      </w:rPr>
                    </m:ctrlPr>
                  </m:fPr>
                  <m:num>
                    <m:sSub>
                      <m:sSubPr>
                        <m:ctrlPr>
                          <w:rPr>
                            <w:rFonts w:ascii="Cambria Math" w:hAnsi="Cambria Math"/>
                            <w:i/>
                            <w:iCs/>
                          </w:rPr>
                        </m:ctrlPr>
                      </m:sSubPr>
                      <m:e>
                        <m:r>
                          <w:rPr>
                            <w:rFonts w:ascii="Cambria Math" w:hAnsi="Cambria Math"/>
                          </w:rPr>
                          <m:t>h</m:t>
                        </m:r>
                      </m:e>
                      <m:sub>
                        <m:r>
                          <w:rPr>
                            <w:rFonts w:ascii="Cambria Math" w:hAnsi="Cambria Math"/>
                          </w:rPr>
                          <m:t>s</m:t>
                        </m:r>
                      </m:sub>
                    </m:sSub>
                    <m:sSub>
                      <m:sSubPr>
                        <m:ctrlPr>
                          <w:rPr>
                            <w:rFonts w:ascii="Cambria Math" w:hAnsi="Cambria Math"/>
                            <w:i/>
                            <w:iCs/>
                          </w:rPr>
                        </m:ctrlPr>
                      </m:sSubPr>
                      <m:e>
                        <m:r>
                          <w:rPr>
                            <w:rFonts w:ascii="Cambria Math" w:hAnsi="Cambria Math"/>
                          </w:rPr>
                          <m:t>D</m:t>
                        </m:r>
                      </m:e>
                      <m:sub>
                        <m:r>
                          <w:rPr>
                            <w:rFonts w:ascii="Cambria Math" w:hAnsi="Cambria Math"/>
                          </w:rPr>
                          <m:t>e</m:t>
                        </m:r>
                      </m:sub>
                    </m:sSub>
                  </m:num>
                  <m:den>
                    <m:sSub>
                      <m:sSubPr>
                        <m:ctrlPr>
                          <w:rPr>
                            <w:rFonts w:ascii="Cambria Math" w:hAnsi="Cambria Math"/>
                            <w:i/>
                            <w:iCs/>
                          </w:rPr>
                        </m:ctrlPr>
                      </m:sSubPr>
                      <m:e>
                        <m:r>
                          <w:rPr>
                            <w:rFonts w:ascii="Cambria Math" w:hAnsi="Cambria Math"/>
                          </w:rPr>
                          <m:t>k</m:t>
                        </m:r>
                      </m:e>
                      <m:sub>
                        <m:r>
                          <w:rPr>
                            <w:rFonts w:ascii="Cambria Math" w:hAnsi="Cambria Math"/>
                          </w:rPr>
                          <m:t>f,s</m:t>
                        </m:r>
                      </m:sub>
                    </m:sSub>
                  </m:den>
                </m:f>
                <m:r>
                  <w:rPr>
                    <w:rFonts w:ascii="Cambria Math" w:hAnsi="Cambria Math"/>
                  </w:rPr>
                  <m:t>=</m:t>
                </m:r>
                <m:sSub>
                  <m:sSubPr>
                    <m:ctrlPr>
                      <w:rPr>
                        <w:rFonts w:ascii="Cambria Math" w:hAnsi="Cambria Math"/>
                        <w:i/>
                        <w:iCs/>
                      </w:rPr>
                    </m:ctrlPr>
                  </m:sSubPr>
                  <m:e>
                    <m:r>
                      <w:rPr>
                        <w:rFonts w:ascii="Cambria Math" w:hAnsi="Cambria Math"/>
                      </w:rPr>
                      <m:t>j</m:t>
                    </m:r>
                  </m:e>
                  <m:sub>
                    <m:r>
                      <w:rPr>
                        <w:rFonts w:ascii="Cambria Math" w:hAnsi="Cambria Math"/>
                      </w:rPr>
                      <m:t>s</m:t>
                    </m:r>
                  </m:sub>
                </m:sSub>
                <m:sSub>
                  <m:sSubPr>
                    <m:ctrlPr>
                      <w:rPr>
                        <w:rFonts w:ascii="Cambria Math" w:hAnsi="Cambria Math"/>
                        <w:i/>
                        <w:iCs/>
                      </w:rPr>
                    </m:ctrlPr>
                  </m:sSubPr>
                  <m:e>
                    <m:r>
                      <w:rPr>
                        <w:rFonts w:ascii="Cambria Math" w:hAnsi="Cambria Math"/>
                      </w:rPr>
                      <m:t>Re</m:t>
                    </m:r>
                  </m:e>
                  <m:sub>
                    <m:r>
                      <w:rPr>
                        <w:rFonts w:ascii="Cambria Math" w:hAnsi="Cambria Math"/>
                      </w:rPr>
                      <m:t>s</m:t>
                    </m:r>
                  </m:sub>
                </m:sSub>
                <m:sSubSup>
                  <m:sSubSupPr>
                    <m:ctrlPr>
                      <w:rPr>
                        <w:rFonts w:ascii="Cambria Math" w:hAnsi="Cambria Math"/>
                        <w:i/>
                        <w:iCs/>
                      </w:rPr>
                    </m:ctrlPr>
                  </m:sSubSupPr>
                  <m:e>
                    <m:r>
                      <w:rPr>
                        <w:rFonts w:ascii="Cambria Math" w:hAnsi="Cambria Math"/>
                      </w:rPr>
                      <m:t>Pr</m:t>
                    </m:r>
                  </m:e>
                  <m:sub>
                    <m:r>
                      <w:rPr>
                        <w:rFonts w:ascii="Cambria Math" w:hAnsi="Cambria Math"/>
                      </w:rPr>
                      <m:t>s</m:t>
                    </m:r>
                  </m:sub>
                  <m:sup>
                    <m:f>
                      <m:fPr>
                        <m:type m:val="skw"/>
                        <m:ctrlPr>
                          <w:rPr>
                            <w:rFonts w:ascii="Cambria Math" w:hAnsi="Cambria Math"/>
                            <w:i/>
                            <w:iCs/>
                          </w:rPr>
                        </m:ctrlPr>
                      </m:fPr>
                      <m:num>
                        <m:r>
                          <w:rPr>
                            <w:rFonts w:ascii="Cambria Math" w:hAnsi="Cambria Math"/>
                          </w:rPr>
                          <m:t>1</m:t>
                        </m:r>
                      </m:num>
                      <m:den>
                        <m:r>
                          <w:rPr>
                            <w:rFonts w:ascii="Cambria Math" w:hAnsi="Cambria Math"/>
                          </w:rPr>
                          <m:t>3</m:t>
                        </m:r>
                      </m:den>
                    </m:f>
                  </m:sup>
                </m:sSubSup>
              </m:oMath>
            </m:oMathPara>
          </w:p>
        </w:tc>
        <w:tc>
          <w:tcPr>
            <w:tcW w:w="785" w:type="dxa"/>
            <w:vAlign w:val="center"/>
            <w:hideMark/>
          </w:tcPr>
          <w:p w14:paraId="3D70F9E0" w14:textId="77777777" w:rsidR="00A7521D" w:rsidRDefault="00A7521D" w:rsidP="00A7521D">
            <w:pPr>
              <w:pStyle w:val="Caption"/>
              <w:jc w:val="right"/>
              <w:rPr>
                <w:b w:val="0"/>
              </w:rPr>
            </w:pPr>
          </w:p>
        </w:tc>
        <w:tc>
          <w:tcPr>
            <w:tcW w:w="785" w:type="dxa"/>
            <w:vAlign w:val="center"/>
          </w:tcPr>
          <w:p w14:paraId="322EE9A8" w14:textId="4D0B1DED" w:rsidR="00A7521D" w:rsidRDefault="00A7521D" w:rsidP="00A7521D">
            <w:pPr>
              <w:pStyle w:val="Caption"/>
              <w:jc w:val="right"/>
              <w:rPr>
                <w:b w:val="0"/>
              </w:rPr>
            </w:pPr>
            <w:r>
              <w:t xml:space="preserve"> </w:t>
            </w:r>
            <w:r>
              <w:rPr>
                <w:noProof/>
              </w:rPr>
              <w:fldChar w:fldCharType="begin"/>
            </w:r>
            <w:r>
              <w:rPr>
                <w:noProof/>
              </w:rPr>
              <w:instrText xml:space="preserve"> STYLEREF 1 \s </w:instrText>
            </w:r>
            <w:r>
              <w:rPr>
                <w:noProof/>
              </w:rPr>
              <w:fldChar w:fldCharType="separate"/>
            </w:r>
            <w:r w:rsidR="00CB7456">
              <w:rPr>
                <w:noProof/>
              </w:rPr>
              <w:t>13</w:t>
            </w:r>
            <w:r>
              <w:rPr>
                <w:noProof/>
              </w:rPr>
              <w:fldChar w:fldCharType="end"/>
            </w:r>
            <w:r>
              <w:t>.</w:t>
            </w:r>
            <w:r>
              <w:rPr>
                <w:noProof/>
              </w:rPr>
              <w:fldChar w:fldCharType="begin"/>
            </w:r>
            <w:r>
              <w:rPr>
                <w:noProof/>
              </w:rPr>
              <w:instrText xml:space="preserve"> SEQ Equation \* ARABIC \s 1 </w:instrText>
            </w:r>
            <w:r>
              <w:rPr>
                <w:noProof/>
              </w:rPr>
              <w:fldChar w:fldCharType="separate"/>
            </w:r>
            <w:r w:rsidR="00CB7456">
              <w:rPr>
                <w:noProof/>
              </w:rPr>
              <w:t>26</w:t>
            </w:r>
            <w:r>
              <w:rPr>
                <w:noProof/>
              </w:rPr>
              <w:fldChar w:fldCharType="end"/>
            </w:r>
          </w:p>
        </w:tc>
      </w:tr>
    </w:tbl>
    <w:p w14:paraId="7ADC5147" w14:textId="77777777" w:rsidR="00A7521D" w:rsidRDefault="00A7521D" w:rsidP="00A7521D">
      <w:pPr>
        <w:rPr>
          <w:iCs/>
        </w:rPr>
      </w:pPr>
    </w:p>
    <w:p w14:paraId="71270E38" w14:textId="77777777" w:rsidR="00A7521D" w:rsidRDefault="00C73E04" w:rsidP="00A7521D">
      <w:pPr>
        <w:pStyle w:val="NoSpacing"/>
      </w:pPr>
      <m:oMath>
        <m:sSub>
          <m:sSubPr>
            <m:ctrlPr>
              <w:rPr>
                <w:rFonts w:ascii="Cambria Math" w:hAnsi="Cambria Math"/>
                <w:i/>
              </w:rPr>
            </m:ctrlPr>
          </m:sSubPr>
          <m:e>
            <m:r>
              <w:rPr>
                <w:rFonts w:ascii="Cambria Math" w:hAnsi="Cambria Math"/>
              </w:rPr>
              <m:t>Nu</m:t>
            </m:r>
          </m:e>
          <m:sub>
            <m:r>
              <w:rPr>
                <w:rFonts w:ascii="Cambria Math" w:hAnsi="Cambria Math"/>
              </w:rPr>
              <m:t>s</m:t>
            </m:r>
          </m:sub>
        </m:sSub>
      </m:oMath>
      <w:r w:rsidR="00A7521D">
        <w:t xml:space="preserve"> was the shell side Nusselt num</w:t>
      </w:r>
      <w:proofErr w:type="spellStart"/>
      <w:r w:rsidR="00A7521D">
        <w:t>ber</w:t>
      </w:r>
      <w:proofErr w:type="spellEnd"/>
      <w:r w:rsidR="00A7521D">
        <w:t>,</w:t>
      </w:r>
    </w:p>
    <w:p w14:paraId="02597D3F" w14:textId="77777777" w:rsidR="00A7521D" w:rsidRDefault="00C73E04" w:rsidP="00A7521D">
      <w:pPr>
        <w:pStyle w:val="NoSpacing"/>
      </w:pPr>
      <m:oMath>
        <m:sSub>
          <m:sSubPr>
            <m:ctrlPr>
              <w:rPr>
                <w:rFonts w:ascii="Cambria Math" w:hAnsi="Cambria Math"/>
                <w:i/>
              </w:rPr>
            </m:ctrlPr>
          </m:sSubPr>
          <m:e>
            <m:r>
              <w:rPr>
                <w:rFonts w:ascii="Cambria Math" w:hAnsi="Cambria Math"/>
              </w:rPr>
              <m:t>h</m:t>
            </m:r>
          </m:e>
          <m:sub>
            <m:r>
              <w:rPr>
                <w:rFonts w:ascii="Cambria Math" w:hAnsi="Cambria Math"/>
              </w:rPr>
              <m:t>s</m:t>
            </m:r>
          </m:sub>
        </m:sSub>
      </m:oMath>
      <w:r w:rsidR="00A7521D">
        <w:t xml:space="preserve"> was the shell coefficient (W/[m</w:t>
      </w:r>
      <w:r w:rsidR="00A7521D">
        <w:rPr>
          <w:vertAlign w:val="superscript"/>
        </w:rPr>
        <w:t>2</w:t>
      </w:r>
      <w:r w:rsidR="00A7521D">
        <w:t>°C]),</w:t>
      </w:r>
    </w:p>
    <w:p w14:paraId="3E2699F3" w14:textId="4CE2B3E2" w:rsidR="00A7521D" w:rsidRDefault="00C73E04" w:rsidP="00A7521D">
      <w:pPr>
        <w:rPr>
          <w:iCs/>
        </w:rPr>
      </w:pPr>
      <m:oMath>
        <m:sSub>
          <m:sSubPr>
            <m:ctrlPr>
              <w:rPr>
                <w:rFonts w:ascii="Cambria Math" w:hAnsi="Cambria Math"/>
                <w:i/>
                <w:iCs/>
              </w:rPr>
            </m:ctrlPr>
          </m:sSubPr>
          <m:e>
            <m:r>
              <w:rPr>
                <w:rFonts w:ascii="Cambria Math" w:hAnsi="Cambria Math"/>
              </w:rPr>
              <m:t>j</m:t>
            </m:r>
          </m:e>
          <m:sub>
            <m:r>
              <w:rPr>
                <w:rFonts w:ascii="Cambria Math" w:hAnsi="Cambria Math"/>
              </w:rPr>
              <m:t>s</m:t>
            </m:r>
          </m:sub>
        </m:sSub>
      </m:oMath>
      <w:r w:rsidR="00A7521D">
        <w:rPr>
          <w:iCs/>
        </w:rPr>
        <w:t xml:space="preserve"> was the shell side friction factor.</w:t>
      </w:r>
    </w:p>
    <w:p w14:paraId="69ECE4BB" w14:textId="3909067A" w:rsidR="00A7521D" w:rsidRDefault="00781EB9" w:rsidP="00A7521D">
      <w:pPr>
        <w:rPr>
          <w:iCs/>
        </w:rPr>
      </w:pPr>
      <w:r>
        <w:rPr>
          <w:iCs/>
        </w:rPr>
        <w:t xml:space="preserve">The tube side Nusselt number was dependent on the shell coefficient, the shell side thermal conductivity and the equivalent pipe diameter. Alternatively, it was dependent on the shell side friction factor, Reynolds and Prandtl numbers. The shell side friction factor was found using </w:t>
      </w:r>
      <w:r w:rsidR="00A7521D">
        <w:rPr>
          <w:iCs/>
        </w:rPr>
        <w:t xml:space="preserve">Figure 12.29 </w:t>
      </w:r>
      <w:r w:rsidR="00A7521D">
        <w:fldChar w:fldCharType="begin" w:fldLock="1"/>
      </w:r>
      <w:r w:rsidR="002A6A73">
        <w:instrText>ADDIN CSL_CITATION {"citationItems":[{"id":"ITEM-1","itemData":{"ISBN":"978-0-7506-6538-4","author":[{"dropping-particle":"","family":"Sinnott","given":"R.K.","non-dropping-particle":"","parse-names":false,"suffix":""}],"edition":"4","id":"ITEM-1","issued":{"date-parts":[["2005"]]},"number-of-pages":"60 - 132","publisher":"Elsevier","publisher-place":"Oxford, England","title":"Coulson and Richardson's Chemical Engineering Volume 6 - Chemical Engineering Design","type":"book"},"uris":["http://www.mendeley.com/documents/?uuid=8e00b24b-1ea1-4b70-9865-3b5bcae659ed"]}],"mendeley":{"formattedCitation":"(Sinnott, 2005b)","plainTextFormattedCitation":"(Sinnott, 2005b)","previouslyFormattedCitation":"(Sinnott, 2005b)"},"properties":{"noteIndex":0},"schema":"https://github.com/citation-style-language/schema/raw/master/csl-citation.json"}</w:instrText>
      </w:r>
      <w:r w:rsidR="00A7521D">
        <w:fldChar w:fldCharType="separate"/>
      </w:r>
      <w:r w:rsidR="002A6A73" w:rsidRPr="002A6A73">
        <w:rPr>
          <w:noProof/>
        </w:rPr>
        <w:t>(Sinnott, 2005b)</w:t>
      </w:r>
      <w:r w:rsidR="00A7521D">
        <w:fldChar w:fldCharType="end"/>
      </w:r>
      <w:r w:rsidR="00A7521D">
        <w:rPr>
          <w:iCs/>
        </w:rPr>
        <w:t>.</w:t>
      </w:r>
    </w:p>
    <w:tbl>
      <w:tblPr>
        <w:tblStyle w:val="TableGrid"/>
        <w:tblW w:w="5095"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84"/>
        <w:gridCol w:w="785"/>
        <w:gridCol w:w="785"/>
      </w:tblGrid>
      <w:tr w:rsidR="00A7521D" w14:paraId="60B336A2" w14:textId="77777777" w:rsidTr="00A7521D">
        <w:tc>
          <w:tcPr>
            <w:tcW w:w="6783" w:type="dxa"/>
            <w:hideMark/>
          </w:tcPr>
          <w:p w14:paraId="400FC887" w14:textId="77777777" w:rsidR="00A7521D" w:rsidRDefault="00C73E04" w:rsidP="00A7521D">
            <w:pPr>
              <w:keepNext/>
              <w:rPr>
                <w:color w:val="FFFFFF"/>
              </w:rPr>
            </w:pPr>
            <m:oMathPara>
              <m:oMathParaPr>
                <m:jc m:val="left"/>
              </m:oMathParaPr>
              <m:oMath>
                <m:f>
                  <m:fPr>
                    <m:ctrlPr>
                      <w:rPr>
                        <w:rFonts w:ascii="Cambria Math" w:hAnsi="Cambria Math"/>
                        <w:i/>
                        <w:iCs/>
                      </w:rPr>
                    </m:ctrlPr>
                  </m:fPr>
                  <m:num>
                    <m:r>
                      <w:rPr>
                        <w:rFonts w:ascii="Cambria Math" w:hAnsi="Cambria Math"/>
                      </w:rPr>
                      <m:t>1</m:t>
                    </m:r>
                  </m:num>
                  <m:den>
                    <m:r>
                      <w:rPr>
                        <w:rFonts w:ascii="Cambria Math" w:hAnsi="Cambria Math"/>
                      </w:rPr>
                      <m:t>U</m:t>
                    </m:r>
                  </m:den>
                </m:f>
                <m:r>
                  <w:rPr>
                    <w:rFonts w:ascii="Cambria Math" w:hAnsi="Cambria Math"/>
                  </w:rPr>
                  <m:t>=</m:t>
                </m:r>
                <m:f>
                  <m:fPr>
                    <m:ctrlPr>
                      <w:rPr>
                        <w:rFonts w:ascii="Cambria Math" w:hAnsi="Cambria Math"/>
                        <w:i/>
                        <w:iCs/>
                      </w:rPr>
                    </m:ctrlPr>
                  </m:fPr>
                  <m:num>
                    <m:r>
                      <w:rPr>
                        <w:rFonts w:ascii="Cambria Math" w:hAnsi="Cambria Math"/>
                      </w:rPr>
                      <m:t>1</m:t>
                    </m:r>
                  </m:num>
                  <m:den>
                    <m:sSub>
                      <m:sSubPr>
                        <m:ctrlPr>
                          <w:rPr>
                            <w:rFonts w:ascii="Cambria Math" w:hAnsi="Cambria Math"/>
                            <w:i/>
                            <w:iCs/>
                          </w:rPr>
                        </m:ctrlPr>
                      </m:sSubPr>
                      <m:e>
                        <m:r>
                          <w:rPr>
                            <w:rFonts w:ascii="Cambria Math" w:hAnsi="Cambria Math"/>
                          </w:rPr>
                          <m:t>h</m:t>
                        </m:r>
                      </m:e>
                      <m:sub>
                        <m:r>
                          <w:rPr>
                            <w:rFonts w:ascii="Cambria Math" w:hAnsi="Cambria Math"/>
                          </w:rPr>
                          <m:t>s</m:t>
                        </m:r>
                      </m:sub>
                    </m:sSub>
                  </m:den>
                </m:f>
                <m:r>
                  <w:rPr>
                    <w:rFonts w:ascii="Cambria Math" w:hAnsi="Cambria Math"/>
                  </w:rPr>
                  <m:t>+</m:t>
                </m:r>
                <m:f>
                  <m:fPr>
                    <m:ctrlPr>
                      <w:rPr>
                        <w:rFonts w:ascii="Cambria Math" w:hAnsi="Cambria Math"/>
                        <w:i/>
                        <w:iCs/>
                      </w:rPr>
                    </m:ctrlPr>
                  </m:fPr>
                  <m:num>
                    <m:r>
                      <w:rPr>
                        <w:rFonts w:ascii="Cambria Math" w:hAnsi="Cambria Math"/>
                      </w:rPr>
                      <m:t>1</m:t>
                    </m:r>
                  </m:num>
                  <m:den>
                    <m:sSub>
                      <m:sSubPr>
                        <m:ctrlPr>
                          <w:rPr>
                            <w:rFonts w:ascii="Cambria Math" w:hAnsi="Cambria Math"/>
                            <w:i/>
                            <w:iCs/>
                          </w:rPr>
                        </m:ctrlPr>
                      </m:sSubPr>
                      <m:e>
                        <m:r>
                          <w:rPr>
                            <w:rFonts w:ascii="Cambria Math" w:hAnsi="Cambria Math"/>
                          </w:rPr>
                          <m:t>h</m:t>
                        </m:r>
                      </m:e>
                      <m:sub>
                        <m:r>
                          <w:rPr>
                            <w:rFonts w:ascii="Cambria Math" w:hAnsi="Cambria Math"/>
                          </w:rPr>
                          <m:t>od</m:t>
                        </m:r>
                      </m:sub>
                    </m:sSub>
                  </m:den>
                </m:f>
                <m:r>
                  <w:rPr>
                    <w:rFonts w:ascii="Cambria Math" w:hAnsi="Cambria Math"/>
                  </w:rPr>
                  <m:t>+</m:t>
                </m:r>
                <m:f>
                  <m:fPr>
                    <m:ctrlPr>
                      <w:rPr>
                        <w:rFonts w:ascii="Cambria Math" w:hAnsi="Cambria Math"/>
                        <w:i/>
                        <w:iCs/>
                      </w:rPr>
                    </m:ctrlPr>
                  </m:fPr>
                  <m:num>
                    <m:sSub>
                      <m:sSubPr>
                        <m:ctrlPr>
                          <w:rPr>
                            <w:rFonts w:ascii="Cambria Math" w:hAnsi="Cambria Math"/>
                            <w:i/>
                            <w:iCs/>
                          </w:rPr>
                        </m:ctrlPr>
                      </m:sSubPr>
                      <m:e>
                        <m:r>
                          <w:rPr>
                            <w:rFonts w:ascii="Cambria Math" w:hAnsi="Cambria Math"/>
                          </w:rPr>
                          <m:t>D</m:t>
                        </m:r>
                      </m:e>
                      <m:sub>
                        <m:r>
                          <w:rPr>
                            <w:rFonts w:ascii="Cambria Math" w:hAnsi="Cambria Math"/>
                          </w:rPr>
                          <m:t>o</m:t>
                        </m:r>
                      </m:sub>
                    </m:sSub>
                    <m:r>
                      <m:rPr>
                        <m:nor/>
                      </m:rPr>
                      <w:rPr>
                        <w:iCs/>
                      </w:rPr>
                      <m:t>ln</m:t>
                    </m:r>
                    <m:d>
                      <m:dPr>
                        <m:ctrlPr>
                          <w:rPr>
                            <w:rFonts w:ascii="Cambria Math" w:hAnsi="Cambria Math"/>
                            <w:i/>
                            <w:iCs/>
                          </w:rPr>
                        </m:ctrlPr>
                      </m:dPr>
                      <m:e>
                        <m:f>
                          <m:fPr>
                            <m:ctrlPr>
                              <w:rPr>
                                <w:rFonts w:ascii="Cambria Math" w:hAnsi="Cambria Math"/>
                                <w:i/>
                                <w:iCs/>
                              </w:rPr>
                            </m:ctrlPr>
                          </m:fPr>
                          <m:num>
                            <m:sSub>
                              <m:sSubPr>
                                <m:ctrlPr>
                                  <w:rPr>
                                    <w:rFonts w:ascii="Cambria Math" w:hAnsi="Cambria Math"/>
                                    <w:i/>
                                    <w:iCs/>
                                  </w:rPr>
                                </m:ctrlPr>
                              </m:sSubPr>
                              <m:e>
                                <m:r>
                                  <w:rPr>
                                    <w:rFonts w:ascii="Cambria Math" w:hAnsi="Cambria Math"/>
                                  </w:rPr>
                                  <m:t>D</m:t>
                                </m:r>
                              </m:e>
                              <m:sub>
                                <m:r>
                                  <w:rPr>
                                    <w:rFonts w:ascii="Cambria Math" w:hAnsi="Cambria Math"/>
                                  </w:rPr>
                                  <m:t>o</m:t>
                                </m:r>
                              </m:sub>
                            </m:sSub>
                          </m:num>
                          <m:den>
                            <m:sSub>
                              <m:sSubPr>
                                <m:ctrlPr>
                                  <w:rPr>
                                    <w:rFonts w:ascii="Cambria Math" w:hAnsi="Cambria Math"/>
                                    <w:i/>
                                    <w:iCs/>
                                  </w:rPr>
                                </m:ctrlPr>
                              </m:sSubPr>
                              <m:e>
                                <m:r>
                                  <w:rPr>
                                    <w:rFonts w:ascii="Cambria Math" w:hAnsi="Cambria Math"/>
                                  </w:rPr>
                                  <m:t>D</m:t>
                                </m:r>
                              </m:e>
                              <m:sub>
                                <m:r>
                                  <w:rPr>
                                    <w:rFonts w:ascii="Cambria Math" w:hAnsi="Cambria Math"/>
                                  </w:rPr>
                                  <m:t>i</m:t>
                                </m:r>
                              </m:sub>
                            </m:sSub>
                          </m:den>
                        </m:f>
                      </m:e>
                    </m:d>
                  </m:num>
                  <m:den>
                    <m:r>
                      <w:rPr>
                        <w:rFonts w:ascii="Cambria Math" w:hAnsi="Cambria Math"/>
                      </w:rPr>
                      <m:t>2</m:t>
                    </m:r>
                    <m:sSub>
                      <m:sSubPr>
                        <m:ctrlPr>
                          <w:rPr>
                            <w:rFonts w:ascii="Cambria Math" w:hAnsi="Cambria Math"/>
                            <w:i/>
                            <w:iCs/>
                          </w:rPr>
                        </m:ctrlPr>
                      </m:sSubPr>
                      <m:e>
                        <m:r>
                          <w:rPr>
                            <w:rFonts w:ascii="Cambria Math" w:hAnsi="Cambria Math"/>
                          </w:rPr>
                          <m:t>k</m:t>
                        </m:r>
                      </m:e>
                      <m:sub>
                        <m:r>
                          <w:rPr>
                            <w:rFonts w:ascii="Cambria Math" w:hAnsi="Cambria Math"/>
                          </w:rPr>
                          <m:t>w</m:t>
                        </m:r>
                      </m:sub>
                    </m:sSub>
                  </m:den>
                </m:f>
                <m:r>
                  <w:rPr>
                    <w:rFonts w:ascii="Cambria Math" w:hAnsi="Cambria Math"/>
                  </w:rPr>
                  <m:t>+</m:t>
                </m:r>
                <m:f>
                  <m:fPr>
                    <m:ctrlPr>
                      <w:rPr>
                        <w:rFonts w:ascii="Cambria Math" w:hAnsi="Cambria Math"/>
                        <w:i/>
                        <w:iCs/>
                      </w:rPr>
                    </m:ctrlPr>
                  </m:fPr>
                  <m:num>
                    <m:sSub>
                      <m:sSubPr>
                        <m:ctrlPr>
                          <w:rPr>
                            <w:rFonts w:ascii="Cambria Math" w:hAnsi="Cambria Math"/>
                            <w:i/>
                            <w:iCs/>
                          </w:rPr>
                        </m:ctrlPr>
                      </m:sSubPr>
                      <m:e>
                        <m:r>
                          <w:rPr>
                            <w:rFonts w:ascii="Cambria Math" w:hAnsi="Cambria Math"/>
                          </w:rPr>
                          <m:t>D</m:t>
                        </m:r>
                      </m:e>
                      <m:sub>
                        <m:r>
                          <w:rPr>
                            <w:rFonts w:ascii="Cambria Math" w:hAnsi="Cambria Math"/>
                          </w:rPr>
                          <m:t>o</m:t>
                        </m:r>
                      </m:sub>
                    </m:sSub>
                  </m:num>
                  <m:den>
                    <m:sSub>
                      <m:sSubPr>
                        <m:ctrlPr>
                          <w:rPr>
                            <w:rFonts w:ascii="Cambria Math" w:hAnsi="Cambria Math"/>
                            <w:i/>
                            <w:iCs/>
                          </w:rPr>
                        </m:ctrlPr>
                      </m:sSubPr>
                      <m:e>
                        <m:r>
                          <w:rPr>
                            <w:rFonts w:ascii="Cambria Math" w:hAnsi="Cambria Math"/>
                          </w:rPr>
                          <m:t>D</m:t>
                        </m:r>
                      </m:e>
                      <m:sub>
                        <m:r>
                          <w:rPr>
                            <w:rFonts w:ascii="Cambria Math" w:hAnsi="Cambria Math"/>
                          </w:rPr>
                          <m:t>i</m:t>
                        </m:r>
                      </m:sub>
                    </m:sSub>
                  </m:den>
                </m:f>
                <m:f>
                  <m:fPr>
                    <m:ctrlPr>
                      <w:rPr>
                        <w:rFonts w:ascii="Cambria Math" w:hAnsi="Cambria Math"/>
                        <w:i/>
                        <w:iCs/>
                      </w:rPr>
                    </m:ctrlPr>
                  </m:fPr>
                  <m:num>
                    <m:r>
                      <w:rPr>
                        <w:rFonts w:ascii="Cambria Math" w:hAnsi="Cambria Math"/>
                      </w:rPr>
                      <m:t>1</m:t>
                    </m:r>
                  </m:num>
                  <m:den>
                    <m:sSub>
                      <m:sSubPr>
                        <m:ctrlPr>
                          <w:rPr>
                            <w:rFonts w:ascii="Cambria Math" w:hAnsi="Cambria Math"/>
                            <w:i/>
                            <w:iCs/>
                          </w:rPr>
                        </m:ctrlPr>
                      </m:sSubPr>
                      <m:e>
                        <m:r>
                          <w:rPr>
                            <w:rFonts w:ascii="Cambria Math" w:hAnsi="Cambria Math"/>
                          </w:rPr>
                          <m:t>h</m:t>
                        </m:r>
                      </m:e>
                      <m:sub>
                        <m:r>
                          <w:rPr>
                            <w:rFonts w:ascii="Cambria Math" w:hAnsi="Cambria Math"/>
                          </w:rPr>
                          <m:t>id</m:t>
                        </m:r>
                      </m:sub>
                    </m:sSub>
                  </m:den>
                </m:f>
                <m:r>
                  <w:rPr>
                    <w:rFonts w:ascii="Cambria Math" w:hAnsi="Cambria Math"/>
                  </w:rPr>
                  <m:t>+</m:t>
                </m:r>
                <m:f>
                  <m:fPr>
                    <m:ctrlPr>
                      <w:rPr>
                        <w:rFonts w:ascii="Cambria Math" w:hAnsi="Cambria Math"/>
                        <w:i/>
                        <w:iCs/>
                      </w:rPr>
                    </m:ctrlPr>
                  </m:fPr>
                  <m:num>
                    <m:sSub>
                      <m:sSubPr>
                        <m:ctrlPr>
                          <w:rPr>
                            <w:rFonts w:ascii="Cambria Math" w:hAnsi="Cambria Math"/>
                            <w:i/>
                            <w:iCs/>
                          </w:rPr>
                        </m:ctrlPr>
                      </m:sSubPr>
                      <m:e>
                        <m:r>
                          <w:rPr>
                            <w:rFonts w:ascii="Cambria Math" w:hAnsi="Cambria Math"/>
                          </w:rPr>
                          <m:t>D</m:t>
                        </m:r>
                      </m:e>
                      <m:sub>
                        <m:r>
                          <w:rPr>
                            <w:rFonts w:ascii="Cambria Math" w:hAnsi="Cambria Math"/>
                          </w:rPr>
                          <m:t>o</m:t>
                        </m:r>
                      </m:sub>
                    </m:sSub>
                  </m:num>
                  <m:den>
                    <m:sSub>
                      <m:sSubPr>
                        <m:ctrlPr>
                          <w:rPr>
                            <w:rFonts w:ascii="Cambria Math" w:hAnsi="Cambria Math"/>
                            <w:i/>
                            <w:iCs/>
                          </w:rPr>
                        </m:ctrlPr>
                      </m:sSubPr>
                      <m:e>
                        <m:r>
                          <w:rPr>
                            <w:rFonts w:ascii="Cambria Math" w:hAnsi="Cambria Math"/>
                          </w:rPr>
                          <m:t>D</m:t>
                        </m:r>
                      </m:e>
                      <m:sub>
                        <m:r>
                          <w:rPr>
                            <w:rFonts w:ascii="Cambria Math" w:hAnsi="Cambria Math"/>
                          </w:rPr>
                          <m:t>i</m:t>
                        </m:r>
                      </m:sub>
                    </m:sSub>
                  </m:den>
                </m:f>
                <m:f>
                  <m:fPr>
                    <m:ctrlPr>
                      <w:rPr>
                        <w:rFonts w:ascii="Cambria Math" w:hAnsi="Cambria Math"/>
                        <w:i/>
                        <w:iCs/>
                      </w:rPr>
                    </m:ctrlPr>
                  </m:fPr>
                  <m:num>
                    <m:r>
                      <w:rPr>
                        <w:rFonts w:ascii="Cambria Math" w:hAnsi="Cambria Math"/>
                      </w:rPr>
                      <m:t>1</m:t>
                    </m:r>
                  </m:num>
                  <m:den>
                    <m:sSub>
                      <m:sSubPr>
                        <m:ctrlPr>
                          <w:rPr>
                            <w:rFonts w:ascii="Cambria Math" w:hAnsi="Cambria Math"/>
                            <w:i/>
                            <w:iCs/>
                          </w:rPr>
                        </m:ctrlPr>
                      </m:sSubPr>
                      <m:e>
                        <m:r>
                          <w:rPr>
                            <w:rFonts w:ascii="Cambria Math" w:hAnsi="Cambria Math"/>
                          </w:rPr>
                          <m:t>h</m:t>
                        </m:r>
                      </m:e>
                      <m:sub>
                        <m:r>
                          <w:rPr>
                            <w:rFonts w:ascii="Cambria Math" w:hAnsi="Cambria Math"/>
                          </w:rPr>
                          <m:t>i</m:t>
                        </m:r>
                      </m:sub>
                    </m:sSub>
                  </m:den>
                </m:f>
              </m:oMath>
            </m:oMathPara>
          </w:p>
        </w:tc>
        <w:tc>
          <w:tcPr>
            <w:tcW w:w="785" w:type="dxa"/>
            <w:vAlign w:val="center"/>
            <w:hideMark/>
          </w:tcPr>
          <w:p w14:paraId="388CC0C7" w14:textId="77777777" w:rsidR="00A7521D" w:rsidRDefault="00A7521D" w:rsidP="00A7521D">
            <w:pPr>
              <w:pStyle w:val="Caption"/>
              <w:jc w:val="right"/>
              <w:rPr>
                <w:b w:val="0"/>
              </w:rPr>
            </w:pPr>
          </w:p>
        </w:tc>
        <w:bookmarkStart w:id="1020" w:name="_Ref531183341"/>
        <w:tc>
          <w:tcPr>
            <w:tcW w:w="785" w:type="dxa"/>
            <w:vAlign w:val="center"/>
          </w:tcPr>
          <w:p w14:paraId="0ACC750D" w14:textId="3589EFC5" w:rsidR="00A7521D" w:rsidRDefault="00A7521D" w:rsidP="00A7521D">
            <w:pPr>
              <w:pStyle w:val="Caption"/>
              <w:jc w:val="right"/>
              <w:rPr>
                <w:b w:val="0"/>
              </w:rPr>
            </w:pPr>
            <w:r>
              <w:rPr>
                <w:noProof/>
              </w:rPr>
              <w:fldChar w:fldCharType="begin"/>
            </w:r>
            <w:r>
              <w:rPr>
                <w:noProof/>
              </w:rPr>
              <w:instrText xml:space="preserve"> STYLEREF 1 \s </w:instrText>
            </w:r>
            <w:r>
              <w:rPr>
                <w:noProof/>
              </w:rPr>
              <w:fldChar w:fldCharType="separate"/>
            </w:r>
            <w:r w:rsidR="00CB7456">
              <w:rPr>
                <w:noProof/>
              </w:rPr>
              <w:t>13</w:t>
            </w:r>
            <w:r>
              <w:rPr>
                <w:noProof/>
              </w:rPr>
              <w:fldChar w:fldCharType="end"/>
            </w:r>
            <w:r>
              <w:rPr>
                <w:noProof/>
              </w:rPr>
              <w:t>.</w:t>
            </w:r>
            <w:r>
              <w:rPr>
                <w:noProof/>
              </w:rPr>
              <w:fldChar w:fldCharType="begin"/>
            </w:r>
            <w:r>
              <w:rPr>
                <w:noProof/>
              </w:rPr>
              <w:instrText xml:space="preserve"> SEQ Equation \* ARABIC \s 1 </w:instrText>
            </w:r>
            <w:r>
              <w:rPr>
                <w:noProof/>
              </w:rPr>
              <w:fldChar w:fldCharType="separate"/>
            </w:r>
            <w:r w:rsidR="00CB7456">
              <w:rPr>
                <w:noProof/>
              </w:rPr>
              <w:t>27</w:t>
            </w:r>
            <w:r>
              <w:rPr>
                <w:noProof/>
              </w:rPr>
              <w:fldChar w:fldCharType="end"/>
            </w:r>
            <w:bookmarkEnd w:id="1020"/>
          </w:p>
        </w:tc>
      </w:tr>
    </w:tbl>
    <w:p w14:paraId="5643C68F" w14:textId="77777777" w:rsidR="00A7521D" w:rsidRDefault="00A7521D" w:rsidP="00A7521D">
      <w:pPr>
        <w:keepNext/>
      </w:pPr>
    </w:p>
    <w:p w14:paraId="01253066" w14:textId="77777777" w:rsidR="00A7521D" w:rsidRDefault="00A7521D" w:rsidP="00A7521D">
      <w:pPr>
        <w:pStyle w:val="NoSpacing"/>
      </w:pPr>
      <m:oMath>
        <m:r>
          <w:rPr>
            <w:rFonts w:ascii="Cambria Math" w:hAnsi="Cambria Math"/>
          </w:rPr>
          <m:t>U</m:t>
        </m:r>
      </m:oMath>
      <w:r>
        <w:rPr>
          <w:iCs/>
        </w:rPr>
        <w:t xml:space="preserve"> was </w:t>
      </w:r>
      <w:r>
        <w:t>the overall HTC (W/[m</w:t>
      </w:r>
      <w:r>
        <w:rPr>
          <w:vertAlign w:val="superscript"/>
        </w:rPr>
        <w:t>2</w:t>
      </w:r>
      <w:r>
        <w:t>°C]),</w:t>
      </w:r>
    </w:p>
    <w:p w14:paraId="0ABE615F" w14:textId="77777777" w:rsidR="00A7521D" w:rsidRDefault="00C73E04" w:rsidP="00A7521D">
      <w:pPr>
        <w:pStyle w:val="NoSpacing"/>
      </w:pPr>
      <m:oMath>
        <m:sSub>
          <m:sSubPr>
            <m:ctrlPr>
              <w:rPr>
                <w:rFonts w:ascii="Cambria Math" w:hAnsi="Cambria Math"/>
                <w:i/>
              </w:rPr>
            </m:ctrlPr>
          </m:sSubPr>
          <m:e>
            <m:r>
              <w:rPr>
                <w:rFonts w:ascii="Cambria Math" w:hAnsi="Cambria Math"/>
              </w:rPr>
              <m:t>h</m:t>
            </m:r>
          </m:e>
          <m:sub>
            <m:r>
              <w:rPr>
                <w:rFonts w:ascii="Cambria Math" w:hAnsi="Cambria Math"/>
              </w:rPr>
              <m:t>od</m:t>
            </m:r>
          </m:sub>
        </m:sSub>
      </m:oMath>
      <w:r w:rsidR="00A7521D">
        <w:t xml:space="preserve"> was the outside dirt coefficient (W/[m</w:t>
      </w:r>
      <w:r w:rsidR="00A7521D">
        <w:rPr>
          <w:vertAlign w:val="superscript"/>
        </w:rPr>
        <w:t>2</w:t>
      </w:r>
      <w:r w:rsidR="00A7521D">
        <w:t>°C]),</w:t>
      </w:r>
    </w:p>
    <w:p w14:paraId="44AA2259" w14:textId="77777777" w:rsidR="00A7521D" w:rsidRDefault="00C73E04" w:rsidP="00A7521D">
      <w:pPr>
        <w:pStyle w:val="NoSpacing"/>
      </w:pPr>
      <m:oMath>
        <m:sSub>
          <m:sSubPr>
            <m:ctrlPr>
              <w:rPr>
                <w:rFonts w:ascii="Cambria Math" w:hAnsi="Cambria Math"/>
                <w:i/>
                <w:iCs/>
              </w:rPr>
            </m:ctrlPr>
          </m:sSubPr>
          <m:e>
            <m:r>
              <w:rPr>
                <w:rFonts w:ascii="Cambria Math" w:hAnsi="Cambria Math"/>
              </w:rPr>
              <m:t>k</m:t>
            </m:r>
          </m:e>
          <m:sub>
            <m:r>
              <w:rPr>
                <w:rFonts w:ascii="Cambria Math" w:hAnsi="Cambria Math"/>
              </w:rPr>
              <m:t>w</m:t>
            </m:r>
          </m:sub>
        </m:sSub>
      </m:oMath>
      <w:r w:rsidR="00A7521D">
        <w:rPr>
          <w:iCs/>
        </w:rPr>
        <w:t xml:space="preserve"> was the thermal conductivity of the wall material (W/[mK]),</w:t>
      </w:r>
    </w:p>
    <w:p w14:paraId="4DF49572" w14:textId="2A4A4572" w:rsidR="00A7521D" w:rsidRDefault="00C73E04" w:rsidP="00A7521D">
      <m:oMath>
        <m:sSub>
          <m:sSubPr>
            <m:ctrlPr>
              <w:rPr>
                <w:rFonts w:ascii="Cambria Math" w:hAnsi="Cambria Math"/>
                <w:i/>
              </w:rPr>
            </m:ctrlPr>
          </m:sSubPr>
          <m:e>
            <m:r>
              <w:rPr>
                <w:rFonts w:ascii="Cambria Math" w:hAnsi="Cambria Math"/>
              </w:rPr>
              <m:t>h</m:t>
            </m:r>
          </m:e>
          <m:sub>
            <m:r>
              <w:rPr>
                <w:rFonts w:ascii="Cambria Math" w:hAnsi="Cambria Math"/>
              </w:rPr>
              <m:t>id</m:t>
            </m:r>
          </m:sub>
        </m:sSub>
      </m:oMath>
      <w:r w:rsidR="00A7521D">
        <w:t xml:space="preserve"> was the inside dirt coefficient (W/[m</w:t>
      </w:r>
      <w:r w:rsidR="00A7521D">
        <w:rPr>
          <w:vertAlign w:val="superscript"/>
        </w:rPr>
        <w:t>2</w:t>
      </w:r>
      <w:r w:rsidR="00A7521D">
        <w:t>°C]).</w:t>
      </w:r>
    </w:p>
    <w:p w14:paraId="3B162828" w14:textId="66CDCDEF" w:rsidR="00A7521D" w:rsidRDefault="00781EB9" w:rsidP="00781EB9">
      <w:r>
        <w:t xml:space="preserve">The overall HTC was dependent on the coefficients of the shell, inside, outside dirt, thermal conductivity of the wall material and the inside dirt as well as the inner and the outer pipe </w:t>
      </w:r>
      <w:r>
        <w:lastRenderedPageBreak/>
        <w:t>diameters. The inside and outside dirt coefficients were found using</w:t>
      </w:r>
      <w:r w:rsidR="00A7521D">
        <w:t xml:space="preserve"> Table 12.2 </w:t>
      </w:r>
      <w:r w:rsidR="00A7521D">
        <w:fldChar w:fldCharType="begin" w:fldLock="1"/>
      </w:r>
      <w:r w:rsidR="002A6A73">
        <w:instrText>ADDIN CSL_CITATION {"citationItems":[{"id":"ITEM-1","itemData":{"ISBN":"978-0-7506-6538-4","author":[{"dropping-particle":"","family":"Sinnott","given":"R.K.","non-dropping-particle":"","parse-names":false,"suffix":""}],"edition":"4","id":"ITEM-1","issued":{"date-parts":[["2005"]]},"number-of-pages":"60 - 132","publisher":"Elsevier","publisher-place":"Oxford, England","title":"Coulson and Richardson's Chemical Engineering Volume 6 - Chemical Engineering Design","type":"book"},"uris":["http://www.mendeley.com/documents/?uuid=8e00b24b-1ea1-4b70-9865-3b5bcae659ed"]}],"mendeley":{"formattedCitation":"(Sinnott, 2005b)","plainTextFormattedCitation":"(Sinnott, 2005b)","previouslyFormattedCitation":"(Sinnott, 2005b)"},"properties":{"noteIndex":0},"schema":"https://github.com/citation-style-language/schema/raw/master/csl-citation.json"}</w:instrText>
      </w:r>
      <w:r w:rsidR="00A7521D">
        <w:fldChar w:fldCharType="separate"/>
      </w:r>
      <w:r w:rsidR="002A6A73" w:rsidRPr="002A6A73">
        <w:rPr>
          <w:noProof/>
        </w:rPr>
        <w:t>(Sinnott, 2005b)</w:t>
      </w:r>
      <w:r w:rsidR="00A7521D">
        <w:fldChar w:fldCharType="end"/>
      </w:r>
      <w:r w:rsidR="00A7521D">
        <w:t>.</w:t>
      </w:r>
    </w:p>
    <w:p w14:paraId="00622F82" w14:textId="478A904B" w:rsidR="00781EB9" w:rsidRDefault="00781EB9" w:rsidP="00781EB9">
      <w:r>
        <w:t xml:space="preserve">The overall HTC was compared to the assumed HTC. If the two HTCs differed by more than 10% the HTC calculated by Equation </w:t>
      </w:r>
      <w:r>
        <w:fldChar w:fldCharType="begin"/>
      </w:r>
      <w:r>
        <w:instrText xml:space="preserve"> REF _Ref531183341 \h </w:instrText>
      </w:r>
      <w:r>
        <w:fldChar w:fldCharType="separate"/>
      </w:r>
      <w:r w:rsidR="00CB7456">
        <w:rPr>
          <w:noProof/>
        </w:rPr>
        <w:t>13.27</w:t>
      </w:r>
      <w:r>
        <w:fldChar w:fldCharType="end"/>
      </w:r>
      <w:r>
        <w:t xml:space="preserve"> was used as an input in Equation </w:t>
      </w:r>
      <w:r>
        <w:fldChar w:fldCharType="begin"/>
      </w:r>
      <w:r>
        <w:instrText xml:space="preserve"> REF _Ref531105227 \h </w:instrText>
      </w:r>
      <w:r>
        <w:fldChar w:fldCharType="separate"/>
      </w:r>
      <w:r w:rsidR="00CB7456">
        <w:rPr>
          <w:noProof/>
        </w:rPr>
        <w:t>13</w:t>
      </w:r>
      <w:r w:rsidR="00CB7456">
        <w:t>.</w:t>
      </w:r>
      <w:r w:rsidR="00CB7456">
        <w:rPr>
          <w:noProof/>
        </w:rPr>
        <w:t>5</w:t>
      </w:r>
      <w:r>
        <w:fldChar w:fldCharType="end"/>
      </w:r>
      <w:r w:rsidR="0030111A">
        <w:t xml:space="preserve"> and Equations  </w:t>
      </w:r>
      <w:r w:rsidR="0030111A">
        <w:fldChar w:fldCharType="begin"/>
      </w:r>
      <w:r w:rsidR="0030111A">
        <w:instrText xml:space="preserve"> REF _Ref531105227 \h </w:instrText>
      </w:r>
      <w:r w:rsidR="0030111A">
        <w:fldChar w:fldCharType="separate"/>
      </w:r>
      <w:r w:rsidR="00CB7456">
        <w:rPr>
          <w:noProof/>
        </w:rPr>
        <w:t>13</w:t>
      </w:r>
      <w:r w:rsidR="00CB7456">
        <w:t>.</w:t>
      </w:r>
      <w:r w:rsidR="00CB7456">
        <w:rPr>
          <w:noProof/>
        </w:rPr>
        <w:t>5</w:t>
      </w:r>
      <w:r w:rsidR="0030111A">
        <w:fldChar w:fldCharType="end"/>
      </w:r>
      <w:r w:rsidR="0030111A">
        <w:t xml:space="preserve"> to </w:t>
      </w:r>
      <w:r w:rsidR="0030111A">
        <w:fldChar w:fldCharType="begin"/>
      </w:r>
      <w:r w:rsidR="0030111A">
        <w:instrText xml:space="preserve"> REF _Ref531183341 \h </w:instrText>
      </w:r>
      <w:r w:rsidR="0030111A">
        <w:fldChar w:fldCharType="separate"/>
      </w:r>
      <w:r w:rsidR="00CB7456">
        <w:rPr>
          <w:noProof/>
        </w:rPr>
        <w:t>13.27</w:t>
      </w:r>
      <w:r w:rsidR="0030111A">
        <w:fldChar w:fldCharType="end"/>
      </w:r>
      <w:r w:rsidR="0030111A">
        <w:t xml:space="preserve"> were repeated. If the two HTCs differed by less than 10% the calculated of the HEX-DP continued.</w:t>
      </w:r>
    </w:p>
    <w:tbl>
      <w:tblPr>
        <w:tblStyle w:val="TableGrid"/>
        <w:tblW w:w="5093"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84"/>
        <w:gridCol w:w="783"/>
        <w:gridCol w:w="783"/>
      </w:tblGrid>
      <w:tr w:rsidR="00A7521D" w14:paraId="40EE1979" w14:textId="77777777" w:rsidTr="00A7521D">
        <w:tc>
          <w:tcPr>
            <w:tcW w:w="6785" w:type="dxa"/>
            <w:hideMark/>
          </w:tcPr>
          <w:p w14:paraId="5C0F5607" w14:textId="0C709E6E" w:rsidR="00A7521D" w:rsidRDefault="00A7521D" w:rsidP="00A7521D">
            <w:pPr>
              <w:keepNext/>
              <w:rPr>
                <w:color w:val="FFFFFF"/>
              </w:rPr>
            </w:pPr>
            <m:oMathPara>
              <m:oMathParaPr>
                <m:jc m:val="left"/>
              </m:oMathParaPr>
              <m:oMath>
                <m:r>
                  <w:rPr>
                    <w:rFonts w:ascii="Cambria Math" w:hAnsi="Cambria Math"/>
                  </w:rPr>
                  <m:t>∆</m:t>
                </m:r>
                <m:sSub>
                  <m:sSubPr>
                    <m:ctrlPr>
                      <w:rPr>
                        <w:rFonts w:ascii="Cambria Math" w:hAnsi="Cambria Math"/>
                        <w:i/>
                        <w:iCs/>
                      </w:rPr>
                    </m:ctrlPr>
                  </m:sSubPr>
                  <m:e>
                    <m:r>
                      <w:rPr>
                        <w:rFonts w:ascii="Cambria Math" w:hAnsi="Cambria Math"/>
                      </w:rPr>
                      <m:t>P</m:t>
                    </m:r>
                  </m:e>
                  <m:sub>
                    <m:r>
                      <w:rPr>
                        <w:rFonts w:ascii="Cambria Math" w:hAnsi="Cambria Math"/>
                      </w:rPr>
                      <m:t>tu</m:t>
                    </m:r>
                  </m:sub>
                </m:sSub>
                <m:r>
                  <w:rPr>
                    <w:rFonts w:ascii="Cambria Math" w:hAnsi="Cambria Math"/>
                  </w:rPr>
                  <m:t>=</m:t>
                </m:r>
                <m:sSub>
                  <m:sSubPr>
                    <m:ctrlPr>
                      <w:rPr>
                        <w:rFonts w:ascii="Cambria Math" w:hAnsi="Cambria Math"/>
                        <w:i/>
                        <w:iCs/>
                      </w:rPr>
                    </m:ctrlPr>
                  </m:sSubPr>
                  <m:e>
                    <m:r>
                      <w:rPr>
                        <w:rFonts w:ascii="Cambria Math" w:hAnsi="Cambria Math"/>
                      </w:rPr>
                      <m:t>N</m:t>
                    </m:r>
                  </m:e>
                  <m:sub>
                    <m:r>
                      <w:rPr>
                        <w:rFonts w:ascii="Cambria Math" w:hAnsi="Cambria Math"/>
                      </w:rPr>
                      <m:t>p</m:t>
                    </m:r>
                    <m:r>
                      <w:rPr>
                        <w:rFonts w:ascii="Cambria Math" w:hAnsi="Cambria Math"/>
                      </w:rPr>
                      <m:t>ass</m:t>
                    </m:r>
                  </m:sub>
                </m:sSub>
                <m:d>
                  <m:dPr>
                    <m:begChr m:val="["/>
                    <m:endChr m:val="]"/>
                    <m:ctrlPr>
                      <w:rPr>
                        <w:rFonts w:ascii="Cambria Math" w:hAnsi="Cambria Math"/>
                        <w:i/>
                        <w:iCs/>
                      </w:rPr>
                    </m:ctrlPr>
                  </m:dPr>
                  <m:e>
                    <m:r>
                      <w:rPr>
                        <w:rFonts w:ascii="Cambria Math" w:hAnsi="Cambria Math"/>
                      </w:rPr>
                      <m:t>8</m:t>
                    </m:r>
                    <m:sSub>
                      <m:sSubPr>
                        <m:ctrlPr>
                          <w:rPr>
                            <w:rFonts w:ascii="Cambria Math" w:hAnsi="Cambria Math"/>
                            <w:i/>
                            <w:iCs/>
                          </w:rPr>
                        </m:ctrlPr>
                      </m:sSubPr>
                      <m:e>
                        <m:r>
                          <w:rPr>
                            <w:rFonts w:ascii="Cambria Math" w:hAnsi="Cambria Math"/>
                          </w:rPr>
                          <m:t>j</m:t>
                        </m:r>
                      </m:e>
                      <m:sub>
                        <m:r>
                          <w:rPr>
                            <w:rFonts w:ascii="Cambria Math" w:hAnsi="Cambria Math"/>
                          </w:rPr>
                          <m:t>f,t</m:t>
                        </m:r>
                      </m:sub>
                    </m:sSub>
                    <m:d>
                      <m:dPr>
                        <m:ctrlPr>
                          <w:rPr>
                            <w:rFonts w:ascii="Cambria Math" w:hAnsi="Cambria Math"/>
                            <w:i/>
                            <w:iCs/>
                          </w:rPr>
                        </m:ctrlPr>
                      </m:dPr>
                      <m:e>
                        <m:f>
                          <m:fPr>
                            <m:ctrlPr>
                              <w:rPr>
                                <w:rFonts w:ascii="Cambria Math" w:hAnsi="Cambria Math"/>
                                <w:i/>
                                <w:iCs/>
                              </w:rPr>
                            </m:ctrlPr>
                          </m:fPr>
                          <m:num>
                            <m:r>
                              <w:rPr>
                                <w:rFonts w:ascii="Cambria Math" w:hAnsi="Cambria Math"/>
                              </w:rPr>
                              <m:t>L</m:t>
                            </m:r>
                          </m:num>
                          <m:den>
                            <m:sSub>
                              <m:sSubPr>
                                <m:ctrlPr>
                                  <w:rPr>
                                    <w:rFonts w:ascii="Cambria Math" w:hAnsi="Cambria Math"/>
                                    <w:i/>
                                    <w:iCs/>
                                  </w:rPr>
                                </m:ctrlPr>
                              </m:sSubPr>
                              <m:e>
                                <m:r>
                                  <w:rPr>
                                    <w:rFonts w:ascii="Cambria Math" w:hAnsi="Cambria Math"/>
                                  </w:rPr>
                                  <m:t>D</m:t>
                                </m:r>
                              </m:e>
                              <m:sub>
                                <m:r>
                                  <w:rPr>
                                    <w:rFonts w:ascii="Cambria Math" w:hAnsi="Cambria Math"/>
                                  </w:rPr>
                                  <m:t>i</m:t>
                                </m:r>
                              </m:sub>
                            </m:sSub>
                          </m:den>
                        </m:f>
                      </m:e>
                    </m:d>
                    <m:r>
                      <w:rPr>
                        <w:rFonts w:ascii="Cambria Math" w:hAnsi="Cambria Math"/>
                      </w:rPr>
                      <m:t>+2.5</m:t>
                    </m:r>
                  </m:e>
                </m:d>
                <m:f>
                  <m:fPr>
                    <m:ctrlPr>
                      <w:rPr>
                        <w:rFonts w:ascii="Cambria Math" w:hAnsi="Cambria Math"/>
                        <w:i/>
                        <w:iCs/>
                      </w:rPr>
                    </m:ctrlPr>
                  </m:fPr>
                  <m:num>
                    <m:sSub>
                      <m:sSubPr>
                        <m:ctrlPr>
                          <w:rPr>
                            <w:rFonts w:ascii="Cambria Math" w:hAnsi="Cambria Math"/>
                            <w:i/>
                            <w:iCs/>
                          </w:rPr>
                        </m:ctrlPr>
                      </m:sSubPr>
                      <m:e>
                        <m:r>
                          <w:rPr>
                            <w:rFonts w:ascii="Cambria Math" w:hAnsi="Cambria Math"/>
                          </w:rPr>
                          <m:t>ρ</m:t>
                        </m:r>
                      </m:e>
                      <m:sub>
                        <m:r>
                          <w:rPr>
                            <w:rFonts w:ascii="Cambria Math" w:hAnsi="Cambria Math"/>
                          </w:rPr>
                          <m:t>tu</m:t>
                        </m:r>
                      </m:sub>
                    </m:sSub>
                    <m:sSubSup>
                      <m:sSubSupPr>
                        <m:ctrlPr>
                          <w:rPr>
                            <w:rFonts w:ascii="Cambria Math" w:hAnsi="Cambria Math"/>
                            <w:i/>
                            <w:iCs/>
                          </w:rPr>
                        </m:ctrlPr>
                      </m:sSubSupPr>
                      <m:e>
                        <m:r>
                          <w:rPr>
                            <w:rFonts w:ascii="Cambria Math" w:hAnsi="Cambria Math"/>
                          </w:rPr>
                          <m:t>v</m:t>
                        </m:r>
                      </m:e>
                      <m:sub>
                        <m:r>
                          <w:rPr>
                            <w:rFonts w:ascii="Cambria Math" w:hAnsi="Cambria Math"/>
                          </w:rPr>
                          <m:t>tu</m:t>
                        </m:r>
                      </m:sub>
                      <m:sup>
                        <m:r>
                          <w:rPr>
                            <w:rFonts w:ascii="Cambria Math" w:hAnsi="Cambria Math"/>
                          </w:rPr>
                          <m:t>2</m:t>
                        </m:r>
                      </m:sup>
                    </m:sSubSup>
                  </m:num>
                  <m:den>
                    <m:r>
                      <w:rPr>
                        <w:rFonts w:ascii="Cambria Math" w:hAnsi="Cambria Math"/>
                      </w:rPr>
                      <m:t>2</m:t>
                    </m:r>
                  </m:den>
                </m:f>
              </m:oMath>
            </m:oMathPara>
          </w:p>
        </w:tc>
        <w:tc>
          <w:tcPr>
            <w:tcW w:w="783" w:type="dxa"/>
            <w:vAlign w:val="center"/>
            <w:hideMark/>
          </w:tcPr>
          <w:p w14:paraId="53644008" w14:textId="77777777" w:rsidR="00A7521D" w:rsidRDefault="00A7521D" w:rsidP="00A7521D">
            <w:pPr>
              <w:pStyle w:val="Caption"/>
              <w:jc w:val="right"/>
              <w:rPr>
                <w:b w:val="0"/>
              </w:rPr>
            </w:pPr>
          </w:p>
        </w:tc>
        <w:bookmarkStart w:id="1021" w:name="_Ref531183286"/>
        <w:tc>
          <w:tcPr>
            <w:tcW w:w="783" w:type="dxa"/>
            <w:vAlign w:val="center"/>
          </w:tcPr>
          <w:p w14:paraId="47F9458D" w14:textId="55DAA5CE" w:rsidR="00A7521D" w:rsidRDefault="00A7521D" w:rsidP="00A7521D">
            <w:pPr>
              <w:pStyle w:val="Caption"/>
              <w:jc w:val="right"/>
              <w:rPr>
                <w:b w:val="0"/>
              </w:rPr>
            </w:pPr>
            <w:r>
              <w:rPr>
                <w:noProof/>
              </w:rPr>
              <w:fldChar w:fldCharType="begin"/>
            </w:r>
            <w:r>
              <w:rPr>
                <w:noProof/>
              </w:rPr>
              <w:instrText xml:space="preserve"> STYLEREF 1 \s </w:instrText>
            </w:r>
            <w:r>
              <w:rPr>
                <w:noProof/>
              </w:rPr>
              <w:fldChar w:fldCharType="separate"/>
            </w:r>
            <w:r w:rsidR="00CB7456">
              <w:rPr>
                <w:noProof/>
              </w:rPr>
              <w:t>13</w:t>
            </w:r>
            <w:r>
              <w:rPr>
                <w:noProof/>
              </w:rPr>
              <w:fldChar w:fldCharType="end"/>
            </w:r>
            <w:r>
              <w:rPr>
                <w:noProof/>
              </w:rPr>
              <w:t>.</w:t>
            </w:r>
            <w:r>
              <w:rPr>
                <w:noProof/>
              </w:rPr>
              <w:fldChar w:fldCharType="begin"/>
            </w:r>
            <w:r>
              <w:rPr>
                <w:noProof/>
              </w:rPr>
              <w:instrText xml:space="preserve"> SEQ Equation \* ARABIC \s 1 </w:instrText>
            </w:r>
            <w:r>
              <w:rPr>
                <w:noProof/>
              </w:rPr>
              <w:fldChar w:fldCharType="separate"/>
            </w:r>
            <w:r w:rsidR="00CB7456">
              <w:rPr>
                <w:noProof/>
              </w:rPr>
              <w:t>28</w:t>
            </w:r>
            <w:r>
              <w:rPr>
                <w:noProof/>
              </w:rPr>
              <w:fldChar w:fldCharType="end"/>
            </w:r>
            <w:bookmarkEnd w:id="1021"/>
          </w:p>
        </w:tc>
      </w:tr>
    </w:tbl>
    <w:p w14:paraId="09541C57" w14:textId="77777777" w:rsidR="00A7521D" w:rsidRDefault="00A7521D" w:rsidP="00A7521D">
      <w:pPr>
        <w:pStyle w:val="Caption"/>
      </w:pPr>
    </w:p>
    <w:p w14:paraId="7ACFDFDD" w14:textId="77777777" w:rsidR="00A7521D" w:rsidRDefault="00A7521D" w:rsidP="00A7521D">
      <w:pPr>
        <w:pStyle w:val="NoSpacing"/>
      </w:pPr>
      <m:oMath>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tu</m:t>
            </m:r>
          </m:sub>
        </m:sSub>
      </m:oMath>
      <w:r>
        <w:t xml:space="preserve"> was the tube side pressure drop (kPa),</w:t>
      </w:r>
    </w:p>
    <w:p w14:paraId="13CC0C36" w14:textId="0193D4DC" w:rsidR="00A7521D" w:rsidRDefault="00C73E04" w:rsidP="00A7521D">
      <w:pPr>
        <w:rPr>
          <w:iCs/>
        </w:rPr>
      </w:pPr>
      <m:oMath>
        <m:sSub>
          <m:sSubPr>
            <m:ctrlPr>
              <w:rPr>
                <w:rFonts w:ascii="Cambria Math" w:hAnsi="Cambria Math"/>
                <w:i/>
                <w:iCs/>
              </w:rPr>
            </m:ctrlPr>
          </m:sSubPr>
          <m:e>
            <m:r>
              <w:rPr>
                <w:rFonts w:ascii="Cambria Math" w:hAnsi="Cambria Math"/>
              </w:rPr>
              <m:t>j</m:t>
            </m:r>
          </m:e>
          <m:sub>
            <m:r>
              <w:rPr>
                <w:rFonts w:ascii="Cambria Math" w:hAnsi="Cambria Math"/>
              </w:rPr>
              <m:t>f,t</m:t>
            </m:r>
          </m:sub>
        </m:sSub>
      </m:oMath>
      <w:r w:rsidR="00A7521D">
        <w:rPr>
          <w:iCs/>
        </w:rPr>
        <w:t xml:space="preserve"> was the tube side friction factor.</w:t>
      </w:r>
    </w:p>
    <w:p w14:paraId="15FD2EE3" w14:textId="22CE05DE" w:rsidR="00A7521D" w:rsidRDefault="0030111A" w:rsidP="0030111A">
      <w:pPr>
        <w:rPr>
          <w:iCs/>
        </w:rPr>
      </w:pPr>
      <w:r>
        <w:rPr>
          <w:iCs/>
        </w:rPr>
        <w:t>The tube side pressure drop was dependent on the number of tube passes, the tube side friction factor</w:t>
      </w:r>
      <w:r w:rsidR="00694041">
        <w:rPr>
          <w:iCs/>
        </w:rPr>
        <w:t>,</w:t>
      </w:r>
      <w:r>
        <w:rPr>
          <w:iCs/>
        </w:rPr>
        <w:t xml:space="preserve"> the length of the tube, the inner pipe diameter, the density and velocity of the tube side fluids. The tube side friction factor</w:t>
      </w:r>
      <w:r w:rsidR="00A7521D">
        <w:rPr>
          <w:iCs/>
        </w:rPr>
        <w:t xml:space="preserve"> was found using Figure 12.24 </w:t>
      </w:r>
      <w:r w:rsidR="00A7521D">
        <w:fldChar w:fldCharType="begin" w:fldLock="1"/>
      </w:r>
      <w:r w:rsidR="002A6A73">
        <w:instrText>ADDIN CSL_CITATION {"citationItems":[{"id":"ITEM-1","itemData":{"ISBN":"978-0-7506-6538-4","author":[{"dropping-particle":"","family":"Sinnott","given":"R.K.","non-dropping-particle":"","parse-names":false,"suffix":""}],"edition":"4","id":"ITEM-1","issued":{"date-parts":[["2005"]]},"number-of-pages":"60 - 132","publisher":"Elsevier","publisher-place":"Oxford, England","title":"Coulson and Richardson's Chemical Engineering Volume 6 - Chemical Engineering Design","type":"book"},"uris":["http://www.mendeley.com/documents/?uuid=8e00b24b-1ea1-4b70-9865-3b5bcae659ed"]}],"mendeley":{"formattedCitation":"(Sinnott, 2005b)","plainTextFormattedCitation":"(Sinnott, 2005b)","previouslyFormattedCitation":"(Sinnott, 2005b)"},"properties":{"noteIndex":0},"schema":"https://github.com/citation-style-language/schema/raw/master/csl-citation.json"}</w:instrText>
      </w:r>
      <w:r w:rsidR="00A7521D">
        <w:fldChar w:fldCharType="separate"/>
      </w:r>
      <w:r w:rsidR="002A6A73" w:rsidRPr="002A6A73">
        <w:rPr>
          <w:noProof/>
        </w:rPr>
        <w:t>(Sinnott, 2005b)</w:t>
      </w:r>
      <w:r w:rsidR="00A7521D">
        <w:fldChar w:fldCharType="end"/>
      </w:r>
      <w:r w:rsidR="00A7521D">
        <w:rPr>
          <w:iCs/>
        </w:rPr>
        <w:t>.</w:t>
      </w:r>
    </w:p>
    <w:tbl>
      <w:tblPr>
        <w:tblStyle w:val="TableGrid"/>
        <w:tblW w:w="509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90"/>
        <w:gridCol w:w="778"/>
        <w:gridCol w:w="778"/>
      </w:tblGrid>
      <w:tr w:rsidR="00A7521D" w14:paraId="4F135FAB" w14:textId="77777777" w:rsidTr="00A7521D">
        <w:tc>
          <w:tcPr>
            <w:tcW w:w="6790" w:type="dxa"/>
            <w:hideMark/>
          </w:tcPr>
          <w:p w14:paraId="2CFC87F1" w14:textId="12B2D329" w:rsidR="00A7521D" w:rsidRDefault="00A7521D" w:rsidP="00A7521D">
            <w:pPr>
              <w:keepNext/>
              <w:rPr>
                <w:color w:val="FFFFFF"/>
              </w:rPr>
            </w:pPr>
            <m:oMathPara>
              <m:oMathParaPr>
                <m:jc m:val="left"/>
              </m:oMathParaPr>
              <m:oMath>
                <m:r>
                  <w:rPr>
                    <w:rFonts w:ascii="Cambria Math" w:hAnsi="Cambria Math"/>
                  </w:rPr>
                  <m:t>∆</m:t>
                </m:r>
                <m:sSub>
                  <m:sSubPr>
                    <m:ctrlPr>
                      <w:rPr>
                        <w:rFonts w:ascii="Cambria Math" w:hAnsi="Cambria Math"/>
                        <w:i/>
                        <w:iCs/>
                      </w:rPr>
                    </m:ctrlPr>
                  </m:sSubPr>
                  <m:e>
                    <m:r>
                      <w:rPr>
                        <w:rFonts w:ascii="Cambria Math" w:hAnsi="Cambria Math"/>
                      </w:rPr>
                      <m:t>P</m:t>
                    </m:r>
                  </m:e>
                  <m:sub>
                    <m:r>
                      <w:rPr>
                        <w:rFonts w:ascii="Cambria Math" w:hAnsi="Cambria Math"/>
                      </w:rPr>
                      <m:t>s</m:t>
                    </m:r>
                  </m:sub>
                </m:sSub>
                <m:r>
                  <w:rPr>
                    <w:rFonts w:ascii="Cambria Math" w:hAnsi="Cambria Math"/>
                  </w:rPr>
                  <m:t>=8</m:t>
                </m:r>
                <m:sSub>
                  <m:sSubPr>
                    <m:ctrlPr>
                      <w:rPr>
                        <w:rFonts w:ascii="Cambria Math" w:hAnsi="Cambria Math"/>
                        <w:i/>
                        <w:iCs/>
                      </w:rPr>
                    </m:ctrlPr>
                  </m:sSubPr>
                  <m:e>
                    <m:r>
                      <w:rPr>
                        <w:rFonts w:ascii="Cambria Math" w:hAnsi="Cambria Math"/>
                      </w:rPr>
                      <m:t>j</m:t>
                    </m:r>
                  </m:e>
                  <m:sub>
                    <m:r>
                      <w:rPr>
                        <w:rFonts w:ascii="Cambria Math" w:hAnsi="Cambria Math"/>
                      </w:rPr>
                      <m:t>f,s</m:t>
                    </m:r>
                  </m:sub>
                </m:sSub>
                <m:d>
                  <m:dPr>
                    <m:ctrlPr>
                      <w:rPr>
                        <w:rFonts w:ascii="Cambria Math" w:hAnsi="Cambria Math"/>
                        <w:i/>
                        <w:iCs/>
                      </w:rPr>
                    </m:ctrlPr>
                  </m:dPr>
                  <m:e>
                    <m:f>
                      <m:fPr>
                        <m:ctrlPr>
                          <w:rPr>
                            <w:rFonts w:ascii="Cambria Math" w:hAnsi="Cambria Math"/>
                            <w:i/>
                            <w:iCs/>
                          </w:rPr>
                        </m:ctrlPr>
                      </m:fPr>
                      <m:num>
                        <m:sSub>
                          <m:sSubPr>
                            <m:ctrlPr>
                              <w:rPr>
                                <w:rFonts w:ascii="Cambria Math" w:hAnsi="Cambria Math"/>
                                <w:i/>
                                <w:iCs/>
                              </w:rPr>
                            </m:ctrlPr>
                          </m:sSubPr>
                          <m:e>
                            <m:r>
                              <w:rPr>
                                <w:rFonts w:ascii="Cambria Math" w:hAnsi="Cambria Math"/>
                              </w:rPr>
                              <m:t>D</m:t>
                            </m:r>
                          </m:e>
                          <m:sub>
                            <m:r>
                              <w:rPr>
                                <w:rFonts w:ascii="Cambria Math" w:hAnsi="Cambria Math"/>
                              </w:rPr>
                              <m:t>s</m:t>
                            </m:r>
                          </m:sub>
                        </m:sSub>
                      </m:num>
                      <m:den>
                        <m:sSub>
                          <m:sSubPr>
                            <m:ctrlPr>
                              <w:rPr>
                                <w:rFonts w:ascii="Cambria Math" w:hAnsi="Cambria Math"/>
                                <w:i/>
                                <w:iCs/>
                              </w:rPr>
                            </m:ctrlPr>
                          </m:sSubPr>
                          <m:e>
                            <m:r>
                              <w:rPr>
                                <w:rFonts w:ascii="Cambria Math" w:hAnsi="Cambria Math"/>
                              </w:rPr>
                              <m:t>D</m:t>
                            </m:r>
                          </m:e>
                          <m:sub>
                            <m:r>
                              <w:rPr>
                                <w:rFonts w:ascii="Cambria Math" w:hAnsi="Cambria Math"/>
                              </w:rPr>
                              <m:t>e</m:t>
                            </m:r>
                          </m:sub>
                        </m:sSub>
                      </m:den>
                    </m:f>
                  </m:e>
                </m:d>
                <m:d>
                  <m:dPr>
                    <m:ctrlPr>
                      <w:rPr>
                        <w:rFonts w:ascii="Cambria Math" w:hAnsi="Cambria Math"/>
                        <w:i/>
                        <w:iCs/>
                      </w:rPr>
                    </m:ctrlPr>
                  </m:dPr>
                  <m:e>
                    <m:f>
                      <m:fPr>
                        <m:ctrlPr>
                          <w:rPr>
                            <w:rFonts w:ascii="Cambria Math" w:hAnsi="Cambria Math"/>
                            <w:i/>
                            <w:iCs/>
                          </w:rPr>
                        </m:ctrlPr>
                      </m:fPr>
                      <m:num>
                        <m:r>
                          <w:rPr>
                            <w:rFonts w:ascii="Cambria Math" w:hAnsi="Cambria Math"/>
                          </w:rPr>
                          <m:t>L</m:t>
                        </m:r>
                      </m:num>
                      <m:den>
                        <m:sSub>
                          <m:sSubPr>
                            <m:ctrlPr>
                              <w:rPr>
                                <w:rFonts w:ascii="Cambria Math" w:hAnsi="Cambria Math"/>
                                <w:i/>
                                <w:iCs/>
                              </w:rPr>
                            </m:ctrlPr>
                          </m:sSubPr>
                          <m:e>
                            <m:r>
                              <w:rPr>
                                <w:rFonts w:ascii="Cambria Math" w:hAnsi="Cambria Math"/>
                              </w:rPr>
                              <m:t>l</m:t>
                            </m:r>
                          </m:e>
                          <m:sub>
                            <m:r>
                              <w:rPr>
                                <w:rFonts w:ascii="Cambria Math" w:hAnsi="Cambria Math"/>
                              </w:rPr>
                              <m:t>Ba</m:t>
                            </m:r>
                          </m:sub>
                        </m:sSub>
                      </m:den>
                    </m:f>
                  </m:e>
                </m:d>
                <m:f>
                  <m:fPr>
                    <m:ctrlPr>
                      <w:rPr>
                        <w:rFonts w:ascii="Cambria Math" w:hAnsi="Cambria Math"/>
                        <w:i/>
                        <w:iCs/>
                      </w:rPr>
                    </m:ctrlPr>
                  </m:fPr>
                  <m:num>
                    <m:sSub>
                      <m:sSubPr>
                        <m:ctrlPr>
                          <w:rPr>
                            <w:rFonts w:ascii="Cambria Math" w:hAnsi="Cambria Math"/>
                            <w:i/>
                            <w:iCs/>
                          </w:rPr>
                        </m:ctrlPr>
                      </m:sSubPr>
                      <m:e>
                        <m:r>
                          <w:rPr>
                            <w:rFonts w:ascii="Cambria Math" w:hAnsi="Cambria Math"/>
                          </w:rPr>
                          <m:t>ρ</m:t>
                        </m:r>
                      </m:e>
                      <m:sub>
                        <m:r>
                          <w:rPr>
                            <w:rFonts w:ascii="Cambria Math" w:hAnsi="Cambria Math"/>
                          </w:rPr>
                          <m:t>s</m:t>
                        </m:r>
                      </m:sub>
                    </m:sSub>
                    <m:sSubSup>
                      <m:sSubSupPr>
                        <m:ctrlPr>
                          <w:rPr>
                            <w:rFonts w:ascii="Cambria Math" w:hAnsi="Cambria Math"/>
                            <w:i/>
                            <w:iCs/>
                          </w:rPr>
                        </m:ctrlPr>
                      </m:sSubSupPr>
                      <m:e>
                        <m:r>
                          <w:rPr>
                            <w:rFonts w:ascii="Cambria Math" w:hAnsi="Cambria Math"/>
                          </w:rPr>
                          <m:t>G</m:t>
                        </m:r>
                      </m:e>
                      <m:sub>
                        <m:r>
                          <w:rPr>
                            <w:rFonts w:ascii="Cambria Math" w:hAnsi="Cambria Math"/>
                          </w:rPr>
                          <m:t>s</m:t>
                        </m:r>
                      </m:sub>
                      <m:sup>
                        <m:r>
                          <w:rPr>
                            <w:rFonts w:ascii="Cambria Math" w:hAnsi="Cambria Math"/>
                          </w:rPr>
                          <m:t>2</m:t>
                        </m:r>
                      </m:sup>
                    </m:sSubSup>
                  </m:num>
                  <m:den>
                    <m:r>
                      <w:rPr>
                        <w:rFonts w:ascii="Cambria Math" w:hAnsi="Cambria Math"/>
                      </w:rPr>
                      <m:t>2</m:t>
                    </m:r>
                  </m:den>
                </m:f>
              </m:oMath>
            </m:oMathPara>
          </w:p>
        </w:tc>
        <w:tc>
          <w:tcPr>
            <w:tcW w:w="778" w:type="dxa"/>
            <w:vAlign w:val="center"/>
            <w:hideMark/>
          </w:tcPr>
          <w:p w14:paraId="6EF7FB58" w14:textId="77777777" w:rsidR="00A7521D" w:rsidRDefault="00A7521D" w:rsidP="00A7521D">
            <w:pPr>
              <w:pStyle w:val="Caption"/>
              <w:jc w:val="right"/>
              <w:rPr>
                <w:b w:val="0"/>
              </w:rPr>
            </w:pPr>
          </w:p>
        </w:tc>
        <w:bookmarkStart w:id="1022" w:name="_Ref531183233"/>
        <w:tc>
          <w:tcPr>
            <w:tcW w:w="778" w:type="dxa"/>
            <w:vAlign w:val="center"/>
          </w:tcPr>
          <w:p w14:paraId="3A725428" w14:textId="08213F11" w:rsidR="00A7521D" w:rsidRDefault="00A7521D" w:rsidP="00A7521D">
            <w:pPr>
              <w:pStyle w:val="Caption"/>
              <w:jc w:val="right"/>
              <w:rPr>
                <w:b w:val="0"/>
              </w:rPr>
            </w:pPr>
            <w:r>
              <w:rPr>
                <w:noProof/>
              </w:rPr>
              <w:fldChar w:fldCharType="begin"/>
            </w:r>
            <w:r>
              <w:rPr>
                <w:noProof/>
              </w:rPr>
              <w:instrText xml:space="preserve"> STYLEREF 1 \s </w:instrText>
            </w:r>
            <w:r>
              <w:rPr>
                <w:noProof/>
              </w:rPr>
              <w:fldChar w:fldCharType="separate"/>
            </w:r>
            <w:r w:rsidR="00CB7456">
              <w:rPr>
                <w:noProof/>
              </w:rPr>
              <w:t>13</w:t>
            </w:r>
            <w:r>
              <w:rPr>
                <w:noProof/>
              </w:rPr>
              <w:fldChar w:fldCharType="end"/>
            </w:r>
            <w:r>
              <w:rPr>
                <w:noProof/>
              </w:rPr>
              <w:t>.</w:t>
            </w:r>
            <w:r>
              <w:rPr>
                <w:noProof/>
              </w:rPr>
              <w:fldChar w:fldCharType="begin"/>
            </w:r>
            <w:r>
              <w:rPr>
                <w:noProof/>
              </w:rPr>
              <w:instrText xml:space="preserve"> SEQ Equation \* ARABIC \s 1 </w:instrText>
            </w:r>
            <w:r>
              <w:rPr>
                <w:noProof/>
              </w:rPr>
              <w:fldChar w:fldCharType="separate"/>
            </w:r>
            <w:r w:rsidR="00CB7456">
              <w:rPr>
                <w:noProof/>
              </w:rPr>
              <w:t>29</w:t>
            </w:r>
            <w:r>
              <w:rPr>
                <w:noProof/>
              </w:rPr>
              <w:fldChar w:fldCharType="end"/>
            </w:r>
            <w:bookmarkEnd w:id="1022"/>
          </w:p>
        </w:tc>
      </w:tr>
    </w:tbl>
    <w:p w14:paraId="3549F47F" w14:textId="77777777" w:rsidR="00A7521D" w:rsidRDefault="00A7521D" w:rsidP="00A7521D">
      <w:pPr>
        <w:rPr>
          <w:iCs/>
        </w:rPr>
      </w:pPr>
    </w:p>
    <w:p w14:paraId="713569A6" w14:textId="77777777" w:rsidR="00A7521D" w:rsidRDefault="00A7521D" w:rsidP="00A7521D">
      <w:pPr>
        <w:pStyle w:val="NoSpacing"/>
      </w:pPr>
      <m:oMath>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s</m:t>
            </m:r>
          </m:sub>
        </m:sSub>
      </m:oMath>
      <w:r>
        <w:t xml:space="preserve"> was the shell side pressure drop (kPa),</w:t>
      </w:r>
    </w:p>
    <w:p w14:paraId="29230A61" w14:textId="7A1D6D15" w:rsidR="00A7521D" w:rsidRDefault="00C73E04" w:rsidP="00A7521D">
      <w:pPr>
        <w:rPr>
          <w:iCs/>
        </w:rPr>
      </w:pPr>
      <m:oMath>
        <m:sSub>
          <m:sSubPr>
            <m:ctrlPr>
              <w:rPr>
                <w:rFonts w:ascii="Cambria Math" w:hAnsi="Cambria Math"/>
                <w:i/>
                <w:iCs/>
              </w:rPr>
            </m:ctrlPr>
          </m:sSubPr>
          <m:e>
            <m:r>
              <w:rPr>
                <w:rFonts w:ascii="Cambria Math" w:hAnsi="Cambria Math"/>
              </w:rPr>
              <m:t>j</m:t>
            </m:r>
          </m:e>
          <m:sub>
            <m:r>
              <w:rPr>
                <w:rFonts w:ascii="Cambria Math" w:hAnsi="Cambria Math"/>
              </w:rPr>
              <m:t>f,s</m:t>
            </m:r>
          </m:sub>
        </m:sSub>
      </m:oMath>
      <w:r w:rsidR="00A7521D">
        <w:rPr>
          <w:iCs/>
        </w:rPr>
        <w:t xml:space="preserve"> was the shell side friction factor.</w:t>
      </w:r>
    </w:p>
    <w:p w14:paraId="4051F57E" w14:textId="7DBA1356" w:rsidR="00A7521D" w:rsidRDefault="0030111A" w:rsidP="0030111A">
      <w:pPr>
        <w:rPr>
          <w:iCs/>
        </w:rPr>
      </w:pPr>
      <w:r>
        <w:rPr>
          <w:iCs/>
        </w:rPr>
        <w:t>The shell side pressure drop was dependent on the shell side friction factor, the shell diameter, the equivalent pipe diameter, the tube length, the baffle length and the density and velocity of the shell side fluids. The shell side friction factor was found using</w:t>
      </w:r>
      <w:r w:rsidR="00A7521D">
        <w:rPr>
          <w:iCs/>
        </w:rPr>
        <w:t xml:space="preserve"> Figure 12.30 </w:t>
      </w:r>
      <w:r w:rsidR="00A7521D">
        <w:fldChar w:fldCharType="begin" w:fldLock="1"/>
      </w:r>
      <w:r w:rsidR="002A6A73">
        <w:instrText>ADDIN CSL_CITATION {"citationItems":[{"id":"ITEM-1","itemData":{"ISBN":"978-0-7506-6538-4","author":[{"dropping-particle":"","family":"Sinnott","given":"R.K.","non-dropping-particle":"","parse-names":false,"suffix":""}],"edition":"4","id":"ITEM-1","issued":{"date-parts":[["2005"]]},"number-of-pages":"60 - 132","publisher":"Elsevier","publisher-place":"Oxford, England","title":"Coulson and Richardson's Chemical Engineering Volume 6 - Chemical Engineering Design","type":"book"},"uris":["http://www.mendeley.com/documents/?uuid=8e00b24b-1ea1-4b70-9865-3b5bcae659ed"]}],"mendeley":{"formattedCitation":"(Sinnott, 2005b)","plainTextFormattedCitation":"(Sinnott, 2005b)","previouslyFormattedCitation":"(Sinnott, 2005b)"},"properties":{"noteIndex":0},"schema":"https://github.com/citation-style-language/schema/raw/master/csl-citation.json"}</w:instrText>
      </w:r>
      <w:r w:rsidR="00A7521D">
        <w:fldChar w:fldCharType="separate"/>
      </w:r>
      <w:r w:rsidR="002A6A73" w:rsidRPr="002A6A73">
        <w:rPr>
          <w:noProof/>
        </w:rPr>
        <w:t>(Sinnott, 2005b)</w:t>
      </w:r>
      <w:r w:rsidR="00A7521D">
        <w:fldChar w:fldCharType="end"/>
      </w:r>
      <w:r w:rsidR="00A7521D">
        <w:rPr>
          <w:iCs/>
        </w:rPr>
        <w:t>.</w:t>
      </w:r>
    </w:p>
    <w:p w14:paraId="6684BFBA" w14:textId="40ABA2F0" w:rsidR="00DB7BD6" w:rsidRDefault="00DB7BD6" w:rsidP="0030111A">
      <w:pPr>
        <w:rPr>
          <w:iCs/>
        </w:rPr>
      </w:pPr>
      <w:r>
        <w:rPr>
          <w:iCs/>
        </w:rPr>
        <w:fldChar w:fldCharType="begin"/>
      </w:r>
      <w:r>
        <w:rPr>
          <w:iCs/>
        </w:rPr>
        <w:instrText xml:space="preserve"> REF _Ref7185323 \h </w:instrText>
      </w:r>
      <w:r>
        <w:rPr>
          <w:iCs/>
        </w:rPr>
      </w:r>
      <w:r>
        <w:rPr>
          <w:iCs/>
        </w:rPr>
        <w:fldChar w:fldCharType="separate"/>
      </w:r>
      <w:r w:rsidR="00CB7456">
        <w:t xml:space="preserve">Table </w:t>
      </w:r>
      <w:r w:rsidR="00CB7456">
        <w:rPr>
          <w:noProof/>
        </w:rPr>
        <w:t>13</w:t>
      </w:r>
      <w:r w:rsidR="00CB7456">
        <w:t>.</w:t>
      </w:r>
      <w:r w:rsidR="00CB7456">
        <w:rPr>
          <w:noProof/>
        </w:rPr>
        <w:t>8</w:t>
      </w:r>
      <w:r>
        <w:rPr>
          <w:iCs/>
        </w:rPr>
        <w:fldChar w:fldCharType="end"/>
      </w:r>
      <w:r>
        <w:rPr>
          <w:iCs/>
        </w:rPr>
        <w:t xml:space="preserve"> shows how the complex series of equations used in the modelling of the HEX-DP are linked to each other.</w:t>
      </w:r>
    </w:p>
    <w:p w14:paraId="204D0BA5" w14:textId="77777777" w:rsidR="00DB7BD6" w:rsidRDefault="00DB7BD6">
      <w:pPr>
        <w:jc w:val="left"/>
        <w:rPr>
          <w:b/>
          <w:bCs/>
          <w:sz w:val="18"/>
          <w:szCs w:val="18"/>
        </w:rPr>
      </w:pPr>
      <w:r>
        <w:br w:type="page"/>
      </w:r>
    </w:p>
    <w:p w14:paraId="78F347FE" w14:textId="7EA89588" w:rsidR="00DB7BD6" w:rsidRDefault="00DB7BD6" w:rsidP="00DB7BD6">
      <w:pPr>
        <w:pStyle w:val="Caption"/>
        <w:keepNext/>
      </w:pPr>
      <w:bookmarkStart w:id="1023" w:name="_Ref7185323"/>
      <w:bookmarkStart w:id="1024" w:name="_Toc7187725"/>
      <w:r>
        <w:lastRenderedPageBreak/>
        <w:t xml:space="preserve">Table </w:t>
      </w:r>
      <w:fldSimple w:instr=" STYLEREF 1 \s ">
        <w:r w:rsidR="00CB7456">
          <w:rPr>
            <w:noProof/>
          </w:rPr>
          <w:t>13</w:t>
        </w:r>
      </w:fldSimple>
      <w:r w:rsidR="009E1A67">
        <w:t>.</w:t>
      </w:r>
      <w:fldSimple w:instr=" SEQ Table \* ARABIC \s 1 ">
        <w:r w:rsidR="00CB7456">
          <w:rPr>
            <w:noProof/>
          </w:rPr>
          <w:t>8</w:t>
        </w:r>
      </w:fldSimple>
      <w:bookmarkEnd w:id="1023"/>
      <w:r>
        <w:t>: How the equations in the modelling of the HEX-DP are linked. Inputs in bold are outputs from other equations in the modelling of the DP-HEX.</w:t>
      </w:r>
      <w:bookmarkEnd w:id="1024"/>
    </w:p>
    <w:tbl>
      <w:tblPr>
        <w:tblStyle w:val="TableGrid"/>
        <w:tblW w:w="0" w:type="auto"/>
        <w:jc w:val="center"/>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26"/>
        <w:gridCol w:w="2516"/>
        <w:gridCol w:w="1052"/>
        <w:gridCol w:w="3205"/>
      </w:tblGrid>
      <w:tr w:rsidR="00DB7BD6" w14:paraId="04E21E21" w14:textId="77777777" w:rsidTr="00DB7BD6">
        <w:trPr>
          <w:jc w:val="center"/>
        </w:trPr>
        <w:tc>
          <w:tcPr>
            <w:tcW w:w="1126" w:type="dxa"/>
            <w:tcBorders>
              <w:bottom w:val="single" w:sz="4" w:space="0" w:color="auto"/>
            </w:tcBorders>
          </w:tcPr>
          <w:p w14:paraId="2B5D5A8A" w14:textId="77777777" w:rsidR="00DB7BD6" w:rsidRDefault="00DB7BD6" w:rsidP="00DB7BD6">
            <w:pPr>
              <w:jc w:val="center"/>
            </w:pPr>
            <w:r>
              <w:t>Equation</w:t>
            </w:r>
          </w:p>
        </w:tc>
        <w:tc>
          <w:tcPr>
            <w:tcW w:w="2516" w:type="dxa"/>
            <w:tcBorders>
              <w:bottom w:val="single" w:sz="4" w:space="0" w:color="auto"/>
            </w:tcBorders>
          </w:tcPr>
          <w:p w14:paraId="37672B70" w14:textId="77777777" w:rsidR="00DB7BD6" w:rsidRDefault="00DB7BD6" w:rsidP="00DB7BD6">
            <w:pPr>
              <w:jc w:val="center"/>
            </w:pPr>
            <w:r>
              <w:t>Inputs</w:t>
            </w:r>
          </w:p>
        </w:tc>
        <w:tc>
          <w:tcPr>
            <w:tcW w:w="1052" w:type="dxa"/>
            <w:tcBorders>
              <w:bottom w:val="single" w:sz="4" w:space="0" w:color="auto"/>
            </w:tcBorders>
          </w:tcPr>
          <w:p w14:paraId="0BFA3039" w14:textId="77777777" w:rsidR="00DB7BD6" w:rsidRDefault="00DB7BD6" w:rsidP="00DB7BD6">
            <w:pPr>
              <w:jc w:val="center"/>
            </w:pPr>
            <w:r>
              <w:t>Outputs</w:t>
            </w:r>
          </w:p>
        </w:tc>
        <w:tc>
          <w:tcPr>
            <w:tcW w:w="3205" w:type="dxa"/>
            <w:tcBorders>
              <w:bottom w:val="single" w:sz="4" w:space="0" w:color="auto"/>
            </w:tcBorders>
          </w:tcPr>
          <w:p w14:paraId="1818A798" w14:textId="77777777" w:rsidR="00DB7BD6" w:rsidRDefault="00DB7BD6" w:rsidP="00DB7BD6">
            <w:pPr>
              <w:jc w:val="center"/>
            </w:pPr>
            <w:r>
              <w:t>Linked to Equation</w:t>
            </w:r>
          </w:p>
        </w:tc>
      </w:tr>
      <w:tr w:rsidR="00DB7BD6" w14:paraId="370B2D3E" w14:textId="77777777" w:rsidTr="00DB7BD6">
        <w:trPr>
          <w:jc w:val="center"/>
        </w:trPr>
        <w:tc>
          <w:tcPr>
            <w:tcW w:w="1126" w:type="dxa"/>
            <w:tcBorders>
              <w:top w:val="single" w:sz="4" w:space="0" w:color="auto"/>
              <w:bottom w:val="nil"/>
            </w:tcBorders>
          </w:tcPr>
          <w:p w14:paraId="71AA9C65" w14:textId="77777777" w:rsidR="00DB7BD6" w:rsidRDefault="00DB7BD6" w:rsidP="00DB7BD6">
            <w:pPr>
              <w:jc w:val="center"/>
            </w:pPr>
            <w:r>
              <w:t>13.1</w:t>
            </w:r>
          </w:p>
        </w:tc>
        <w:tc>
          <w:tcPr>
            <w:tcW w:w="2516" w:type="dxa"/>
            <w:tcBorders>
              <w:top w:val="single" w:sz="4" w:space="0" w:color="auto"/>
              <w:bottom w:val="nil"/>
            </w:tcBorders>
          </w:tcPr>
          <w:p w14:paraId="393EC8AD" w14:textId="77777777" w:rsidR="00DB7BD6" w:rsidRDefault="00DB7BD6" w:rsidP="00DB7BD6">
            <w:pPr>
              <w:jc w:val="center"/>
            </w:pPr>
            <m:oMathPara>
              <m:oMath>
                <m:sSub>
                  <m:sSubPr>
                    <m:ctrlPr>
                      <w:rPr>
                        <w:rFonts w:ascii="Cambria Math" w:hAnsi="Cambria Math"/>
                        <w:i/>
                      </w:rPr>
                    </m:ctrlPr>
                  </m:sSubPr>
                  <m:e>
                    <m:r>
                      <w:rPr>
                        <w:rFonts w:ascii="Cambria Math" w:hAnsi="Cambria Math"/>
                      </w:rPr>
                      <m:t>T</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2</m:t>
                    </m:r>
                  </m:sub>
                </m:sSub>
              </m:oMath>
            </m:oMathPara>
          </w:p>
        </w:tc>
        <w:tc>
          <w:tcPr>
            <w:tcW w:w="1052" w:type="dxa"/>
            <w:tcBorders>
              <w:top w:val="single" w:sz="4" w:space="0" w:color="auto"/>
              <w:bottom w:val="nil"/>
            </w:tcBorders>
          </w:tcPr>
          <w:p w14:paraId="38A56399" w14:textId="77777777" w:rsidR="00DB7BD6" w:rsidRDefault="00DB7BD6" w:rsidP="00DB7BD6">
            <w:pPr>
              <w:jc w:val="center"/>
            </w:pPr>
            <m:oMathPara>
              <m:oMath>
                <m:r>
                  <w:rPr>
                    <w:rFonts w:ascii="Cambria Math" w:hAnsi="Cambria Math"/>
                  </w:rPr>
                  <m:t>R</m:t>
                </m:r>
              </m:oMath>
            </m:oMathPara>
          </w:p>
        </w:tc>
        <w:tc>
          <w:tcPr>
            <w:tcW w:w="3205" w:type="dxa"/>
            <w:tcBorders>
              <w:top w:val="single" w:sz="4" w:space="0" w:color="auto"/>
              <w:bottom w:val="nil"/>
            </w:tcBorders>
          </w:tcPr>
          <w:p w14:paraId="3BEABAC0" w14:textId="77777777" w:rsidR="00DB7BD6" w:rsidRDefault="00DB7BD6" w:rsidP="00DB7BD6">
            <w:pPr>
              <w:jc w:val="center"/>
            </w:pPr>
          </w:p>
        </w:tc>
      </w:tr>
      <w:tr w:rsidR="00DB7BD6" w14:paraId="2F9A993A" w14:textId="77777777" w:rsidTr="00DB7BD6">
        <w:trPr>
          <w:jc w:val="center"/>
        </w:trPr>
        <w:tc>
          <w:tcPr>
            <w:tcW w:w="1126" w:type="dxa"/>
            <w:tcBorders>
              <w:top w:val="nil"/>
            </w:tcBorders>
          </w:tcPr>
          <w:p w14:paraId="42D38707" w14:textId="77777777" w:rsidR="00DB7BD6" w:rsidRDefault="00DB7BD6" w:rsidP="00DB7BD6">
            <w:pPr>
              <w:jc w:val="center"/>
            </w:pPr>
            <w:r>
              <w:t>13.2</w:t>
            </w:r>
          </w:p>
        </w:tc>
        <w:tc>
          <w:tcPr>
            <w:tcW w:w="2516" w:type="dxa"/>
            <w:tcBorders>
              <w:top w:val="nil"/>
            </w:tcBorders>
          </w:tcPr>
          <w:p w14:paraId="47EFF9C6" w14:textId="77777777" w:rsidR="00DB7BD6" w:rsidRDefault="00DB7BD6" w:rsidP="00DB7BD6">
            <w:pPr>
              <w:jc w:val="center"/>
            </w:pPr>
            <m:oMathPara>
              <m:oMath>
                <m:sSub>
                  <m:sSubPr>
                    <m:ctrlPr>
                      <w:rPr>
                        <w:rFonts w:ascii="Cambria Math" w:hAnsi="Cambria Math"/>
                        <w:i/>
                      </w:rPr>
                    </m:ctrlPr>
                  </m:sSubPr>
                  <m:e>
                    <m:r>
                      <w:rPr>
                        <w:rFonts w:ascii="Cambria Math" w:hAnsi="Cambria Math"/>
                      </w:rPr>
                      <m:t>T</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2</m:t>
                    </m:r>
                  </m:sub>
                </m:sSub>
              </m:oMath>
            </m:oMathPara>
          </w:p>
        </w:tc>
        <w:tc>
          <w:tcPr>
            <w:tcW w:w="1052" w:type="dxa"/>
            <w:tcBorders>
              <w:top w:val="nil"/>
            </w:tcBorders>
          </w:tcPr>
          <w:p w14:paraId="5C4DFFCA" w14:textId="77777777" w:rsidR="00DB7BD6" w:rsidRDefault="00DB7BD6" w:rsidP="00DB7BD6">
            <w:pPr>
              <w:jc w:val="center"/>
            </w:pPr>
            <m:oMathPara>
              <m:oMath>
                <m:r>
                  <w:rPr>
                    <w:rFonts w:ascii="Cambria Math" w:hAnsi="Cambria Math"/>
                  </w:rPr>
                  <m:t>S</m:t>
                </m:r>
              </m:oMath>
            </m:oMathPara>
          </w:p>
        </w:tc>
        <w:tc>
          <w:tcPr>
            <w:tcW w:w="3205" w:type="dxa"/>
            <w:tcBorders>
              <w:top w:val="nil"/>
            </w:tcBorders>
          </w:tcPr>
          <w:p w14:paraId="375AC093" w14:textId="77777777" w:rsidR="00DB7BD6" w:rsidRDefault="00DB7BD6" w:rsidP="00DB7BD6">
            <w:pPr>
              <w:jc w:val="center"/>
            </w:pPr>
          </w:p>
        </w:tc>
      </w:tr>
      <w:tr w:rsidR="00DB7BD6" w14:paraId="1152CC6B" w14:textId="77777777" w:rsidTr="00DB7BD6">
        <w:trPr>
          <w:jc w:val="center"/>
        </w:trPr>
        <w:tc>
          <w:tcPr>
            <w:tcW w:w="1126" w:type="dxa"/>
          </w:tcPr>
          <w:p w14:paraId="58F50708" w14:textId="77777777" w:rsidR="00DB7BD6" w:rsidRDefault="00DB7BD6" w:rsidP="00DB7BD6">
            <w:pPr>
              <w:jc w:val="center"/>
            </w:pPr>
            <w:r>
              <w:t>13.3</w:t>
            </w:r>
          </w:p>
        </w:tc>
        <w:tc>
          <w:tcPr>
            <w:tcW w:w="2516" w:type="dxa"/>
          </w:tcPr>
          <w:p w14:paraId="4B1BAA41" w14:textId="77777777" w:rsidR="00DB7BD6" w:rsidRDefault="00DB7BD6" w:rsidP="00DB7BD6">
            <w:pPr>
              <w:jc w:val="center"/>
            </w:pPr>
            <m:oMathPara>
              <m:oMath>
                <m:sSub>
                  <m:sSubPr>
                    <m:ctrlPr>
                      <w:rPr>
                        <w:rFonts w:ascii="Cambria Math" w:hAnsi="Cambria Math"/>
                        <w:i/>
                      </w:rPr>
                    </m:ctrlPr>
                  </m:sSubPr>
                  <m:e>
                    <m:r>
                      <w:rPr>
                        <w:rFonts w:ascii="Cambria Math" w:hAnsi="Cambria Math"/>
                      </w:rPr>
                      <m:t>T</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2</m:t>
                    </m:r>
                  </m:sub>
                </m:sSub>
              </m:oMath>
            </m:oMathPara>
          </w:p>
        </w:tc>
        <w:tc>
          <w:tcPr>
            <w:tcW w:w="1052" w:type="dxa"/>
          </w:tcPr>
          <w:p w14:paraId="7F5F4C1D" w14:textId="77777777" w:rsidR="00DB7BD6" w:rsidRDefault="00DB7BD6" w:rsidP="00DB7BD6">
            <w:pPr>
              <w:jc w:val="center"/>
            </w:pPr>
            <m:oMathPara>
              <m:oMath>
                <m:sSub>
                  <m:sSubPr>
                    <m:ctrlPr>
                      <w:rPr>
                        <w:rFonts w:ascii="Cambria Math" w:hAnsi="Cambria Math"/>
                        <w:i/>
                      </w:rPr>
                    </m:ctrlPr>
                  </m:sSubPr>
                  <m:e>
                    <m:r>
                      <w:rPr>
                        <w:rFonts w:ascii="Cambria Math" w:hAnsi="Cambria Math"/>
                      </w:rPr>
                      <m:t>∆T</m:t>
                    </m:r>
                  </m:e>
                  <m:sub>
                    <m:r>
                      <w:rPr>
                        <w:rFonts w:ascii="Cambria Math" w:hAnsi="Cambria Math"/>
                      </w:rPr>
                      <m:t>lm</m:t>
                    </m:r>
                  </m:sub>
                </m:sSub>
              </m:oMath>
            </m:oMathPara>
          </w:p>
        </w:tc>
        <w:tc>
          <w:tcPr>
            <w:tcW w:w="3205" w:type="dxa"/>
          </w:tcPr>
          <w:p w14:paraId="05F7DFD6" w14:textId="77777777" w:rsidR="00DB7BD6" w:rsidRDefault="00DB7BD6" w:rsidP="00DB7BD6">
            <w:pPr>
              <w:jc w:val="center"/>
            </w:pPr>
            <w:proofErr w:type="spellStart"/>
            <w:r>
              <w:t>Eqn</w:t>
            </w:r>
            <w:proofErr w:type="spellEnd"/>
            <w:r>
              <w:t xml:space="preserve"> 13.4</w:t>
            </w:r>
          </w:p>
        </w:tc>
      </w:tr>
      <w:tr w:rsidR="00DB7BD6" w14:paraId="5677139C" w14:textId="77777777" w:rsidTr="00DB7BD6">
        <w:trPr>
          <w:jc w:val="center"/>
        </w:trPr>
        <w:tc>
          <w:tcPr>
            <w:tcW w:w="1126" w:type="dxa"/>
          </w:tcPr>
          <w:p w14:paraId="3078D6C6" w14:textId="77777777" w:rsidR="00DB7BD6" w:rsidRDefault="00DB7BD6" w:rsidP="00DB7BD6">
            <w:pPr>
              <w:jc w:val="center"/>
            </w:pPr>
            <w:r>
              <w:t>13.4</w:t>
            </w:r>
          </w:p>
        </w:tc>
        <w:tc>
          <w:tcPr>
            <w:tcW w:w="2516" w:type="dxa"/>
          </w:tcPr>
          <w:p w14:paraId="26D442B9" w14:textId="77777777" w:rsidR="00DB7BD6" w:rsidRDefault="00DB7BD6" w:rsidP="00DB7BD6">
            <w:pPr>
              <w:jc w:val="center"/>
            </w:pPr>
            <m:oMathPara>
              <m:oMath>
                <m:sSub>
                  <m:sSubPr>
                    <m:ctrlPr>
                      <w:rPr>
                        <w:rFonts w:ascii="Cambria Math" w:hAnsi="Cambria Math"/>
                        <w:b/>
                        <w:i/>
                      </w:rPr>
                    </m:ctrlPr>
                  </m:sSubPr>
                  <m:e>
                    <m:r>
                      <m:rPr>
                        <m:sty m:val="bi"/>
                      </m:rPr>
                      <w:rPr>
                        <w:rFonts w:ascii="Cambria Math" w:hAnsi="Cambria Math"/>
                      </w:rPr>
                      <m:t>∆T</m:t>
                    </m:r>
                  </m:e>
                  <m:sub>
                    <m:r>
                      <m:rPr>
                        <m:sty m:val="bi"/>
                      </m:rPr>
                      <w:rPr>
                        <w:rFonts w:ascii="Cambria Math" w:hAnsi="Cambria Math"/>
                      </w:rPr>
                      <m:t>lm</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t</m:t>
                    </m:r>
                  </m:sub>
                </m:sSub>
              </m:oMath>
            </m:oMathPara>
          </w:p>
        </w:tc>
        <w:tc>
          <w:tcPr>
            <w:tcW w:w="1052" w:type="dxa"/>
          </w:tcPr>
          <w:p w14:paraId="3810700D" w14:textId="77777777" w:rsidR="00DB7BD6" w:rsidRDefault="00DB7BD6" w:rsidP="00DB7BD6">
            <w:pPr>
              <w:jc w:val="center"/>
            </w:pPr>
            <m:oMathPara>
              <m:oMath>
                <m:sSub>
                  <m:sSubPr>
                    <m:ctrlPr>
                      <w:rPr>
                        <w:rFonts w:ascii="Cambria Math" w:hAnsi="Cambria Math"/>
                        <w:i/>
                      </w:rPr>
                    </m:ctrlPr>
                  </m:sSubPr>
                  <m:e>
                    <m:r>
                      <w:rPr>
                        <w:rFonts w:ascii="Cambria Math" w:hAnsi="Cambria Math"/>
                      </w:rPr>
                      <m:t>∆T</m:t>
                    </m:r>
                  </m:e>
                  <m:sub>
                    <m:r>
                      <w:rPr>
                        <w:rFonts w:ascii="Cambria Math" w:hAnsi="Cambria Math"/>
                      </w:rPr>
                      <m:t>m</m:t>
                    </m:r>
                  </m:sub>
                </m:sSub>
              </m:oMath>
            </m:oMathPara>
          </w:p>
        </w:tc>
        <w:tc>
          <w:tcPr>
            <w:tcW w:w="3205" w:type="dxa"/>
          </w:tcPr>
          <w:p w14:paraId="69A76914" w14:textId="77777777" w:rsidR="00DB7BD6" w:rsidRDefault="00DB7BD6" w:rsidP="00DB7BD6">
            <w:pPr>
              <w:jc w:val="center"/>
            </w:pPr>
            <w:proofErr w:type="spellStart"/>
            <w:r>
              <w:t>Eqn</w:t>
            </w:r>
            <w:proofErr w:type="spellEnd"/>
            <w:r>
              <w:t xml:space="preserve"> 13.5</w:t>
            </w:r>
          </w:p>
        </w:tc>
      </w:tr>
      <w:tr w:rsidR="00DB7BD6" w14:paraId="08200A27" w14:textId="77777777" w:rsidTr="00DB7BD6">
        <w:trPr>
          <w:jc w:val="center"/>
        </w:trPr>
        <w:tc>
          <w:tcPr>
            <w:tcW w:w="1126" w:type="dxa"/>
          </w:tcPr>
          <w:p w14:paraId="31381E5D" w14:textId="77777777" w:rsidR="00DB7BD6" w:rsidRDefault="00DB7BD6" w:rsidP="00DB7BD6">
            <w:pPr>
              <w:jc w:val="center"/>
            </w:pPr>
            <w:r>
              <w:t>13.5</w:t>
            </w:r>
          </w:p>
        </w:tc>
        <w:tc>
          <w:tcPr>
            <w:tcW w:w="2516" w:type="dxa"/>
          </w:tcPr>
          <w:p w14:paraId="50F1B5B1" w14:textId="77777777" w:rsidR="00DB7BD6" w:rsidRDefault="00DB7BD6" w:rsidP="00DB7BD6">
            <w:pPr>
              <w:jc w:val="center"/>
            </w:pPr>
            <m:oMathPara>
              <m:oMath>
                <m:sSub>
                  <m:sSubPr>
                    <m:ctrlPr>
                      <w:rPr>
                        <w:rFonts w:ascii="Cambria Math" w:hAnsi="Cambria Math"/>
                        <w:b/>
                        <w:i/>
                      </w:rPr>
                    </m:ctrlPr>
                  </m:sSubPr>
                  <m:e>
                    <m:r>
                      <m:rPr>
                        <m:sty m:val="bi"/>
                      </m:rPr>
                      <w:rPr>
                        <w:rFonts w:ascii="Cambria Math" w:hAnsi="Cambria Math"/>
                      </w:rPr>
                      <m:t>U,∆T</m:t>
                    </m:r>
                  </m:e>
                  <m:sub>
                    <m:r>
                      <m:rPr>
                        <m:sty m:val="bi"/>
                      </m:rPr>
                      <w:rPr>
                        <w:rFonts w:ascii="Cambria Math" w:hAnsi="Cambria Math"/>
                      </w:rPr>
                      <m:t>m</m:t>
                    </m:r>
                  </m:sub>
                </m:sSub>
                <m:r>
                  <w:rPr>
                    <w:rFonts w:ascii="Cambria Math" w:hAnsi="Cambria Math"/>
                  </w:rPr>
                  <m:t>,A,</m:t>
                </m:r>
                <m:sSub>
                  <m:sSubPr>
                    <m:ctrlPr>
                      <w:rPr>
                        <w:rFonts w:ascii="Cambria Math" w:hAnsi="Cambria Math"/>
                        <w:i/>
                      </w:rPr>
                    </m:ctrlPr>
                  </m:sSubPr>
                  <m:e>
                    <m:acc>
                      <m:accPr>
                        <m:chr m:val="̇"/>
                        <m:ctrlPr>
                          <w:rPr>
                            <w:rFonts w:ascii="Cambria Math" w:hAnsi="Cambria Math"/>
                            <w:i/>
                          </w:rPr>
                        </m:ctrlPr>
                      </m:accPr>
                      <m:e>
                        <m:r>
                          <w:rPr>
                            <w:rFonts w:ascii="Cambria Math" w:hAnsi="Cambria Math"/>
                          </w:rPr>
                          <m:t>m</m:t>
                        </m:r>
                      </m:e>
                    </m:acc>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p,s</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2</m:t>
                    </m:r>
                  </m:sub>
                </m:sSub>
              </m:oMath>
            </m:oMathPara>
          </w:p>
        </w:tc>
        <w:tc>
          <w:tcPr>
            <w:tcW w:w="1052" w:type="dxa"/>
          </w:tcPr>
          <w:p w14:paraId="63D43452" w14:textId="77777777" w:rsidR="00DB7BD6" w:rsidRDefault="00DB7BD6" w:rsidP="00DB7BD6">
            <w:pPr>
              <w:jc w:val="center"/>
            </w:pPr>
            <m:oMathPara>
              <m:oMath>
                <m:r>
                  <w:rPr>
                    <w:rFonts w:ascii="Cambria Math" w:hAnsi="Cambria Math"/>
                  </w:rPr>
                  <m:t>P</m:t>
                </m:r>
              </m:oMath>
            </m:oMathPara>
          </w:p>
        </w:tc>
        <w:tc>
          <w:tcPr>
            <w:tcW w:w="3205" w:type="dxa"/>
          </w:tcPr>
          <w:p w14:paraId="5EE812A4" w14:textId="77777777" w:rsidR="00DB7BD6" w:rsidRDefault="00DB7BD6" w:rsidP="00DB7BD6">
            <w:pPr>
              <w:jc w:val="center"/>
            </w:pPr>
          </w:p>
        </w:tc>
      </w:tr>
      <w:tr w:rsidR="00DB7BD6" w14:paraId="663DEDAC" w14:textId="77777777" w:rsidTr="00DB7BD6">
        <w:trPr>
          <w:jc w:val="center"/>
        </w:trPr>
        <w:tc>
          <w:tcPr>
            <w:tcW w:w="1126" w:type="dxa"/>
          </w:tcPr>
          <w:p w14:paraId="50323536" w14:textId="77777777" w:rsidR="00DB7BD6" w:rsidRDefault="00DB7BD6" w:rsidP="00DB7BD6">
            <w:pPr>
              <w:jc w:val="center"/>
            </w:pPr>
            <w:r>
              <w:t>13.6</w:t>
            </w:r>
          </w:p>
        </w:tc>
        <w:tc>
          <w:tcPr>
            <w:tcW w:w="2516" w:type="dxa"/>
          </w:tcPr>
          <w:p w14:paraId="3130378D" w14:textId="77777777" w:rsidR="00DB7BD6" w:rsidRDefault="00DB7BD6" w:rsidP="00DB7BD6">
            <w:pPr>
              <w:jc w:val="center"/>
            </w:pPr>
            <m:oMathPara>
              <m:oMath>
                <m:sSub>
                  <m:sSubPr>
                    <m:ctrlPr>
                      <w:rPr>
                        <w:rFonts w:ascii="Cambria Math" w:hAnsi="Cambria Math"/>
                        <w:i/>
                      </w:rPr>
                    </m:ctrlPr>
                  </m:sSubPr>
                  <m:e>
                    <m:r>
                      <w:rPr>
                        <w:rFonts w:ascii="Cambria Math" w:hAnsi="Cambria Math"/>
                      </w:rPr>
                      <m:t>D</m:t>
                    </m:r>
                  </m:e>
                  <m:sub>
                    <m:r>
                      <w:rPr>
                        <w:rFonts w:ascii="Cambria Math" w:hAnsi="Cambria Math"/>
                      </w:rPr>
                      <m:t>o</m:t>
                    </m:r>
                  </m:sub>
                </m:sSub>
                <m:r>
                  <w:rPr>
                    <w:rFonts w:ascii="Cambria Math" w:hAnsi="Cambria Math"/>
                  </w:rPr>
                  <m:t>,L</m:t>
                </m:r>
              </m:oMath>
            </m:oMathPara>
          </w:p>
        </w:tc>
        <w:tc>
          <w:tcPr>
            <w:tcW w:w="1052" w:type="dxa"/>
          </w:tcPr>
          <w:p w14:paraId="21CFFB62" w14:textId="77777777" w:rsidR="00DB7BD6" w:rsidRDefault="00DB7BD6" w:rsidP="00DB7BD6">
            <w:pPr>
              <w:jc w:val="center"/>
            </w:pPr>
            <m:oMathPara>
              <m:oMath>
                <m:sSub>
                  <m:sSubPr>
                    <m:ctrlPr>
                      <w:rPr>
                        <w:rFonts w:ascii="Cambria Math" w:hAnsi="Cambria Math"/>
                        <w:i/>
                      </w:rPr>
                    </m:ctrlPr>
                  </m:sSubPr>
                  <m:e>
                    <m:r>
                      <w:rPr>
                        <w:rFonts w:ascii="Cambria Math" w:hAnsi="Cambria Math"/>
                      </w:rPr>
                      <m:t>A</m:t>
                    </m:r>
                  </m:e>
                  <m:sub>
                    <m:r>
                      <w:rPr>
                        <w:rFonts w:ascii="Cambria Math" w:hAnsi="Cambria Math"/>
                      </w:rPr>
                      <m:t>SA</m:t>
                    </m:r>
                  </m:sub>
                </m:sSub>
              </m:oMath>
            </m:oMathPara>
          </w:p>
        </w:tc>
        <w:tc>
          <w:tcPr>
            <w:tcW w:w="3205" w:type="dxa"/>
          </w:tcPr>
          <w:p w14:paraId="42EBAC4D" w14:textId="77777777" w:rsidR="00DB7BD6" w:rsidRDefault="00DB7BD6" w:rsidP="00DB7BD6">
            <w:pPr>
              <w:jc w:val="center"/>
            </w:pPr>
            <w:proofErr w:type="spellStart"/>
            <w:r>
              <w:t>Eqn</w:t>
            </w:r>
            <w:proofErr w:type="spellEnd"/>
            <w:r>
              <w:t xml:space="preserve"> 13.7</w:t>
            </w:r>
          </w:p>
        </w:tc>
      </w:tr>
      <w:tr w:rsidR="00DB7BD6" w14:paraId="12D4160B" w14:textId="77777777" w:rsidTr="00DB7BD6">
        <w:trPr>
          <w:jc w:val="center"/>
        </w:trPr>
        <w:tc>
          <w:tcPr>
            <w:tcW w:w="1126" w:type="dxa"/>
          </w:tcPr>
          <w:p w14:paraId="70D3C84E" w14:textId="77777777" w:rsidR="00DB7BD6" w:rsidRDefault="00DB7BD6" w:rsidP="00DB7BD6">
            <w:pPr>
              <w:jc w:val="center"/>
            </w:pPr>
            <w:r>
              <w:t>13.7</w:t>
            </w:r>
          </w:p>
        </w:tc>
        <w:tc>
          <w:tcPr>
            <w:tcW w:w="2516" w:type="dxa"/>
          </w:tcPr>
          <w:p w14:paraId="07B85CF6" w14:textId="77777777" w:rsidR="00DB7BD6" w:rsidRDefault="00DB7BD6" w:rsidP="00DB7BD6">
            <w:pPr>
              <w:jc w:val="center"/>
            </w:pPr>
            <m:oMathPara>
              <m:oMath>
                <m:sSub>
                  <m:sSubPr>
                    <m:ctrlPr>
                      <w:rPr>
                        <w:rFonts w:ascii="Cambria Math" w:hAnsi="Cambria Math"/>
                        <w:b/>
                        <w:i/>
                      </w:rPr>
                    </m:ctrlPr>
                  </m:sSubPr>
                  <m:e>
                    <m:r>
                      <m:rPr>
                        <m:sty m:val="bi"/>
                      </m:rPr>
                      <w:rPr>
                        <w:rFonts w:ascii="Cambria Math" w:hAnsi="Cambria Math"/>
                      </w:rPr>
                      <m:t>A</m:t>
                    </m:r>
                  </m:e>
                  <m:sub>
                    <m:r>
                      <m:rPr>
                        <m:sty m:val="bi"/>
                      </m:rPr>
                      <w:rPr>
                        <w:rFonts w:ascii="Cambria Math" w:hAnsi="Cambria Math"/>
                      </w:rPr>
                      <m:t>SA</m:t>
                    </m:r>
                  </m:sub>
                </m:sSub>
                <m:r>
                  <w:rPr>
                    <w:rFonts w:ascii="Cambria Math" w:hAnsi="Cambria Math"/>
                  </w:rPr>
                  <m:t>,A</m:t>
                </m:r>
              </m:oMath>
            </m:oMathPara>
          </w:p>
        </w:tc>
        <w:tc>
          <w:tcPr>
            <w:tcW w:w="1052" w:type="dxa"/>
          </w:tcPr>
          <w:p w14:paraId="46D31053" w14:textId="77777777" w:rsidR="00DB7BD6" w:rsidRDefault="00DB7BD6" w:rsidP="00DB7BD6">
            <w:pPr>
              <w:jc w:val="center"/>
            </w:pPr>
            <m:oMathPara>
              <m:oMath>
                <m:sSub>
                  <m:sSubPr>
                    <m:ctrlPr>
                      <w:rPr>
                        <w:rFonts w:ascii="Cambria Math" w:hAnsi="Cambria Math"/>
                        <w:i/>
                      </w:rPr>
                    </m:ctrlPr>
                  </m:sSubPr>
                  <m:e>
                    <m:r>
                      <w:rPr>
                        <w:rFonts w:ascii="Cambria Math" w:hAnsi="Cambria Math"/>
                      </w:rPr>
                      <m:t>N</m:t>
                    </m:r>
                  </m:e>
                  <m:sub>
                    <m:r>
                      <w:rPr>
                        <w:rFonts w:ascii="Cambria Math" w:hAnsi="Cambria Math"/>
                      </w:rPr>
                      <m:t>tu</m:t>
                    </m:r>
                  </m:sub>
                </m:sSub>
              </m:oMath>
            </m:oMathPara>
          </w:p>
        </w:tc>
        <w:tc>
          <w:tcPr>
            <w:tcW w:w="3205" w:type="dxa"/>
          </w:tcPr>
          <w:p w14:paraId="2A261A84" w14:textId="77777777" w:rsidR="00DB7BD6" w:rsidRDefault="00DB7BD6" w:rsidP="00DB7BD6">
            <w:pPr>
              <w:jc w:val="center"/>
            </w:pPr>
            <w:proofErr w:type="spellStart"/>
            <w:r>
              <w:t>Eqn</w:t>
            </w:r>
            <w:proofErr w:type="spellEnd"/>
            <w:r>
              <w:t xml:space="preserve"> 13.8, </w:t>
            </w:r>
            <w:proofErr w:type="spellStart"/>
            <w:r>
              <w:t>Eqn</w:t>
            </w:r>
            <w:proofErr w:type="spellEnd"/>
            <w:r>
              <w:t xml:space="preserve"> 13.11</w:t>
            </w:r>
          </w:p>
        </w:tc>
      </w:tr>
      <w:tr w:rsidR="00DB7BD6" w14:paraId="73779D05" w14:textId="77777777" w:rsidTr="00DB7BD6">
        <w:trPr>
          <w:jc w:val="center"/>
        </w:trPr>
        <w:tc>
          <w:tcPr>
            <w:tcW w:w="1126" w:type="dxa"/>
          </w:tcPr>
          <w:p w14:paraId="6D5E6089" w14:textId="77777777" w:rsidR="00DB7BD6" w:rsidRDefault="00DB7BD6" w:rsidP="00DB7BD6">
            <w:pPr>
              <w:jc w:val="center"/>
            </w:pPr>
            <w:r>
              <w:t>13.8</w:t>
            </w:r>
          </w:p>
        </w:tc>
        <w:tc>
          <w:tcPr>
            <w:tcW w:w="2516" w:type="dxa"/>
          </w:tcPr>
          <w:p w14:paraId="58AA5EFB" w14:textId="77777777" w:rsidR="00DB7BD6" w:rsidRDefault="00DB7BD6" w:rsidP="00DB7BD6">
            <w:pPr>
              <w:jc w:val="center"/>
            </w:pPr>
            <m:oMathPara>
              <m:oMath>
                <m:sSub>
                  <m:sSubPr>
                    <m:ctrlPr>
                      <w:rPr>
                        <w:rFonts w:ascii="Cambria Math" w:hAnsi="Cambria Math"/>
                        <w:b/>
                        <w:i/>
                      </w:rPr>
                    </m:ctrlPr>
                  </m:sSubPr>
                  <m:e>
                    <m:r>
                      <m:rPr>
                        <m:sty m:val="bi"/>
                      </m:rPr>
                      <w:rPr>
                        <w:rFonts w:ascii="Cambria Math" w:hAnsi="Cambria Math"/>
                      </w:rPr>
                      <m:t>N</m:t>
                    </m:r>
                  </m:e>
                  <m:sub>
                    <m:r>
                      <m:rPr>
                        <m:sty m:val="bi"/>
                      </m:rPr>
                      <w:rPr>
                        <w:rFonts w:ascii="Cambria Math" w:hAnsi="Cambria Math"/>
                      </w:rPr>
                      <m:t>tu</m:t>
                    </m:r>
                  </m:sub>
                </m:sSub>
                <m:r>
                  <w:rPr>
                    <w:rFonts w:ascii="Cambria Math" w:hAnsi="Cambria Math"/>
                  </w:rPr>
                  <m:t>,</m:t>
                </m:r>
                <m:sSub>
                  <m:sSubPr>
                    <m:ctrlPr>
                      <w:rPr>
                        <w:rFonts w:ascii="Cambria Math" w:hAnsi="Cambria Math"/>
                        <w:i/>
                      </w:rPr>
                    </m:ctrlPr>
                  </m:sSubPr>
                  <m:e>
                    <m:r>
                      <w:rPr>
                        <w:rFonts w:ascii="Cambria Math" w:hAnsi="Cambria Math"/>
                      </w:rPr>
                      <m:t>D</m:t>
                    </m:r>
                  </m:e>
                  <m:sub>
                    <m:r>
                      <w:rPr>
                        <w:rFonts w:ascii="Cambria Math" w:hAnsi="Cambria Math"/>
                      </w:rPr>
                      <m:t>o</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1</m:t>
                    </m:r>
                  </m:sub>
                </m:sSub>
              </m:oMath>
            </m:oMathPara>
          </w:p>
        </w:tc>
        <w:tc>
          <w:tcPr>
            <w:tcW w:w="1052" w:type="dxa"/>
          </w:tcPr>
          <w:p w14:paraId="1B0A9CBA" w14:textId="77777777" w:rsidR="00DB7BD6" w:rsidRDefault="00DB7BD6" w:rsidP="00DB7BD6">
            <w:pPr>
              <w:jc w:val="center"/>
            </w:pPr>
            <m:oMathPara>
              <m:oMath>
                <m:sSub>
                  <m:sSubPr>
                    <m:ctrlPr>
                      <w:rPr>
                        <w:rFonts w:ascii="Cambria Math" w:hAnsi="Cambria Math"/>
                        <w:i/>
                      </w:rPr>
                    </m:ctrlPr>
                  </m:sSubPr>
                  <m:e>
                    <m:r>
                      <w:rPr>
                        <w:rFonts w:ascii="Cambria Math" w:hAnsi="Cambria Math"/>
                      </w:rPr>
                      <m:t>D</m:t>
                    </m:r>
                  </m:e>
                  <m:sub>
                    <m:r>
                      <w:rPr>
                        <w:rFonts w:ascii="Cambria Math" w:hAnsi="Cambria Math"/>
                      </w:rPr>
                      <m:t>bu</m:t>
                    </m:r>
                  </m:sub>
                </m:sSub>
              </m:oMath>
            </m:oMathPara>
          </w:p>
        </w:tc>
        <w:tc>
          <w:tcPr>
            <w:tcW w:w="3205" w:type="dxa"/>
          </w:tcPr>
          <w:p w14:paraId="012B415F" w14:textId="77777777" w:rsidR="00DB7BD6" w:rsidRDefault="00DB7BD6" w:rsidP="00DB7BD6">
            <w:pPr>
              <w:jc w:val="center"/>
            </w:pPr>
            <w:proofErr w:type="spellStart"/>
            <w:r>
              <w:t>Eqn</w:t>
            </w:r>
            <w:proofErr w:type="spellEnd"/>
            <w:r>
              <w:t xml:space="preserve"> 13.18</w:t>
            </w:r>
          </w:p>
        </w:tc>
      </w:tr>
      <w:tr w:rsidR="00DB7BD6" w14:paraId="20ED746F" w14:textId="77777777" w:rsidTr="00DB7BD6">
        <w:trPr>
          <w:jc w:val="center"/>
        </w:trPr>
        <w:tc>
          <w:tcPr>
            <w:tcW w:w="1126" w:type="dxa"/>
          </w:tcPr>
          <w:p w14:paraId="4ECFBBE8" w14:textId="77777777" w:rsidR="00DB7BD6" w:rsidRDefault="00DB7BD6" w:rsidP="00DB7BD6">
            <w:pPr>
              <w:jc w:val="center"/>
            </w:pPr>
            <w:r>
              <w:t>13.9</w:t>
            </w:r>
          </w:p>
        </w:tc>
        <w:tc>
          <w:tcPr>
            <w:tcW w:w="2516" w:type="dxa"/>
          </w:tcPr>
          <w:p w14:paraId="126898AA" w14:textId="77777777" w:rsidR="00DB7BD6" w:rsidRDefault="00DB7BD6" w:rsidP="00DB7BD6">
            <w:pPr>
              <w:jc w:val="center"/>
            </w:pPr>
            <m:oMathPara>
              <m:oMath>
                <m:sSub>
                  <m:sSubPr>
                    <m:ctrlPr>
                      <w:rPr>
                        <w:rFonts w:ascii="Cambria Math" w:hAnsi="Cambria Math"/>
                        <w:i/>
                      </w:rPr>
                    </m:ctrlPr>
                  </m:sSubPr>
                  <m:e>
                    <m:r>
                      <w:rPr>
                        <w:rFonts w:ascii="Cambria Math" w:hAnsi="Cambria Math"/>
                      </w:rPr>
                      <m:t>D</m:t>
                    </m:r>
                  </m:e>
                  <m:sub>
                    <m:r>
                      <w:rPr>
                        <w:rFonts w:ascii="Cambria Math" w:hAnsi="Cambria Math"/>
                      </w:rPr>
                      <m:t>o</m:t>
                    </m:r>
                  </m:sub>
                </m:sSub>
              </m:oMath>
            </m:oMathPara>
          </w:p>
        </w:tc>
        <w:tc>
          <w:tcPr>
            <w:tcW w:w="1052" w:type="dxa"/>
          </w:tcPr>
          <w:p w14:paraId="51B55C04" w14:textId="77777777" w:rsidR="00DB7BD6" w:rsidRDefault="00DB7BD6" w:rsidP="00DB7BD6">
            <w:pPr>
              <w:jc w:val="center"/>
            </w:pPr>
            <m:oMathPara>
              <m:oMath>
                <m:sSub>
                  <m:sSubPr>
                    <m:ctrlPr>
                      <w:rPr>
                        <w:rFonts w:ascii="Cambria Math" w:hAnsi="Cambria Math"/>
                        <w:i/>
                      </w:rPr>
                    </m:ctrlPr>
                  </m:sSubPr>
                  <m:e>
                    <m:r>
                      <w:rPr>
                        <w:rFonts w:ascii="Cambria Math" w:hAnsi="Cambria Math"/>
                      </w:rPr>
                      <m:t>p</m:t>
                    </m:r>
                  </m:e>
                  <m:sub>
                    <m:r>
                      <w:rPr>
                        <w:rFonts w:ascii="Cambria Math" w:hAnsi="Cambria Math"/>
                      </w:rPr>
                      <m:t>tu</m:t>
                    </m:r>
                  </m:sub>
                </m:sSub>
              </m:oMath>
            </m:oMathPara>
          </w:p>
        </w:tc>
        <w:tc>
          <w:tcPr>
            <w:tcW w:w="3205" w:type="dxa"/>
          </w:tcPr>
          <w:p w14:paraId="3597F060" w14:textId="77777777" w:rsidR="00DB7BD6" w:rsidRDefault="00DB7BD6" w:rsidP="00DB7BD6">
            <w:pPr>
              <w:jc w:val="center"/>
            </w:pPr>
            <w:proofErr w:type="spellStart"/>
            <w:r>
              <w:t>Eqn</w:t>
            </w:r>
            <w:proofErr w:type="spellEnd"/>
            <w:r>
              <w:t xml:space="preserve"> 13.20</w:t>
            </w:r>
          </w:p>
        </w:tc>
      </w:tr>
      <w:tr w:rsidR="00DB7BD6" w14:paraId="3186E9F0" w14:textId="77777777" w:rsidTr="00DB7BD6">
        <w:trPr>
          <w:jc w:val="center"/>
        </w:trPr>
        <w:tc>
          <w:tcPr>
            <w:tcW w:w="1126" w:type="dxa"/>
          </w:tcPr>
          <w:p w14:paraId="50988CD5" w14:textId="77777777" w:rsidR="00DB7BD6" w:rsidRDefault="00DB7BD6" w:rsidP="00DB7BD6">
            <w:pPr>
              <w:jc w:val="center"/>
            </w:pPr>
            <w:r>
              <w:t>13.10</w:t>
            </w:r>
          </w:p>
        </w:tc>
        <w:tc>
          <w:tcPr>
            <w:tcW w:w="2516" w:type="dxa"/>
          </w:tcPr>
          <w:p w14:paraId="075F9E4D" w14:textId="77777777" w:rsidR="00DB7BD6" w:rsidRDefault="00DB7BD6" w:rsidP="00DB7BD6">
            <w:pPr>
              <w:jc w:val="center"/>
            </w:pPr>
            <m:oMathPara>
              <m:oMath>
                <m:sSub>
                  <m:sSubPr>
                    <m:ctrlPr>
                      <w:rPr>
                        <w:rFonts w:ascii="Cambria Math" w:hAnsi="Cambria Math"/>
                        <w:i/>
                      </w:rPr>
                    </m:ctrlPr>
                  </m:sSubPr>
                  <m:e>
                    <m:r>
                      <w:rPr>
                        <w:rFonts w:ascii="Cambria Math" w:hAnsi="Cambria Math"/>
                      </w:rPr>
                      <m:t>D</m:t>
                    </m:r>
                  </m:e>
                  <m:sub>
                    <m:r>
                      <w:rPr>
                        <w:rFonts w:ascii="Cambria Math" w:hAnsi="Cambria Math"/>
                      </w:rPr>
                      <m:t>i</m:t>
                    </m:r>
                  </m:sub>
                </m:sSub>
              </m:oMath>
            </m:oMathPara>
          </w:p>
        </w:tc>
        <w:tc>
          <w:tcPr>
            <w:tcW w:w="1052" w:type="dxa"/>
          </w:tcPr>
          <w:p w14:paraId="7A48980E" w14:textId="77777777" w:rsidR="00DB7BD6" w:rsidRDefault="00DB7BD6" w:rsidP="00DB7BD6">
            <w:pPr>
              <w:jc w:val="center"/>
            </w:pPr>
            <m:oMathPara>
              <m:oMath>
                <m:sSub>
                  <m:sSubPr>
                    <m:ctrlPr>
                      <w:rPr>
                        <w:rFonts w:ascii="Cambria Math" w:hAnsi="Cambria Math"/>
                        <w:i/>
                      </w:rPr>
                    </m:ctrlPr>
                  </m:sSubPr>
                  <m:e>
                    <m:r>
                      <w:rPr>
                        <w:rFonts w:ascii="Cambria Math" w:hAnsi="Cambria Math"/>
                      </w:rPr>
                      <m:t>A</m:t>
                    </m:r>
                  </m:e>
                  <m:sub>
                    <m:r>
                      <w:rPr>
                        <w:rFonts w:ascii="Cambria Math" w:hAnsi="Cambria Math"/>
                      </w:rPr>
                      <m:t>tu</m:t>
                    </m:r>
                  </m:sub>
                </m:sSub>
              </m:oMath>
            </m:oMathPara>
          </w:p>
        </w:tc>
        <w:tc>
          <w:tcPr>
            <w:tcW w:w="3205" w:type="dxa"/>
          </w:tcPr>
          <w:p w14:paraId="4DFE581B" w14:textId="77777777" w:rsidR="00DB7BD6" w:rsidRDefault="00DB7BD6" w:rsidP="00DB7BD6">
            <w:pPr>
              <w:jc w:val="center"/>
            </w:pPr>
            <w:proofErr w:type="spellStart"/>
            <w:r>
              <w:t>Eqn</w:t>
            </w:r>
            <w:proofErr w:type="spellEnd"/>
            <w:r>
              <w:t xml:space="preserve"> 13.12</w:t>
            </w:r>
          </w:p>
        </w:tc>
      </w:tr>
      <w:tr w:rsidR="00DB7BD6" w14:paraId="7053EC57" w14:textId="77777777" w:rsidTr="00DB7BD6">
        <w:trPr>
          <w:jc w:val="center"/>
        </w:trPr>
        <w:tc>
          <w:tcPr>
            <w:tcW w:w="1126" w:type="dxa"/>
          </w:tcPr>
          <w:p w14:paraId="1FC965C5" w14:textId="77777777" w:rsidR="00DB7BD6" w:rsidRDefault="00DB7BD6" w:rsidP="00DB7BD6">
            <w:pPr>
              <w:jc w:val="center"/>
            </w:pPr>
            <w:r>
              <w:t>13.11</w:t>
            </w:r>
          </w:p>
        </w:tc>
        <w:tc>
          <w:tcPr>
            <w:tcW w:w="2516" w:type="dxa"/>
          </w:tcPr>
          <w:p w14:paraId="0C51F848" w14:textId="77777777" w:rsidR="00DB7BD6" w:rsidRDefault="00DB7BD6" w:rsidP="00DB7BD6">
            <w:pPr>
              <w:jc w:val="center"/>
            </w:pPr>
            <m:oMathPara>
              <m:oMath>
                <m:sSub>
                  <m:sSubPr>
                    <m:ctrlPr>
                      <w:rPr>
                        <w:rFonts w:ascii="Cambria Math" w:hAnsi="Cambria Math"/>
                        <w:b/>
                        <w:i/>
                      </w:rPr>
                    </m:ctrlPr>
                  </m:sSubPr>
                  <m:e>
                    <m:r>
                      <m:rPr>
                        <m:sty m:val="bi"/>
                      </m:rPr>
                      <w:rPr>
                        <w:rFonts w:ascii="Cambria Math" w:hAnsi="Cambria Math"/>
                      </w:rPr>
                      <m:t>N</m:t>
                    </m:r>
                  </m:e>
                  <m:sub>
                    <m:r>
                      <m:rPr>
                        <m:sty m:val="bi"/>
                      </m:rPr>
                      <w:rPr>
                        <w:rFonts w:ascii="Cambria Math" w:hAnsi="Cambria Math"/>
                      </w:rPr>
                      <m:t>tu</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pass</m:t>
                    </m:r>
                  </m:sub>
                </m:sSub>
              </m:oMath>
            </m:oMathPara>
          </w:p>
        </w:tc>
        <w:tc>
          <w:tcPr>
            <w:tcW w:w="1052" w:type="dxa"/>
          </w:tcPr>
          <w:p w14:paraId="3FAEA119" w14:textId="77777777" w:rsidR="00DB7BD6" w:rsidRDefault="00DB7BD6" w:rsidP="00DB7BD6">
            <w:pPr>
              <w:jc w:val="center"/>
            </w:pPr>
            <m:oMathPara>
              <m:oMath>
                <m:sSub>
                  <m:sSubPr>
                    <m:ctrlPr>
                      <w:rPr>
                        <w:rFonts w:ascii="Cambria Math" w:hAnsi="Cambria Math"/>
                        <w:i/>
                      </w:rPr>
                    </m:ctrlPr>
                  </m:sSubPr>
                  <m:e>
                    <m:r>
                      <w:rPr>
                        <w:rFonts w:ascii="Cambria Math" w:hAnsi="Cambria Math"/>
                      </w:rPr>
                      <m:t>N</m:t>
                    </m:r>
                  </m:e>
                  <m:sub>
                    <m:r>
                      <w:rPr>
                        <w:rFonts w:ascii="Cambria Math" w:hAnsi="Cambria Math"/>
                      </w:rPr>
                      <m:t>tu,pass</m:t>
                    </m:r>
                  </m:sub>
                </m:sSub>
              </m:oMath>
            </m:oMathPara>
          </w:p>
        </w:tc>
        <w:tc>
          <w:tcPr>
            <w:tcW w:w="3205" w:type="dxa"/>
          </w:tcPr>
          <w:p w14:paraId="296705BD" w14:textId="77777777" w:rsidR="00DB7BD6" w:rsidRDefault="00DB7BD6" w:rsidP="00DB7BD6">
            <w:pPr>
              <w:jc w:val="center"/>
            </w:pPr>
            <w:proofErr w:type="spellStart"/>
            <w:r>
              <w:t>Eqn</w:t>
            </w:r>
            <w:proofErr w:type="spellEnd"/>
            <w:r>
              <w:t xml:space="preserve"> 13.12</w:t>
            </w:r>
          </w:p>
        </w:tc>
      </w:tr>
      <w:tr w:rsidR="00DB7BD6" w14:paraId="161A1B23" w14:textId="77777777" w:rsidTr="00DB7BD6">
        <w:trPr>
          <w:jc w:val="center"/>
        </w:trPr>
        <w:tc>
          <w:tcPr>
            <w:tcW w:w="1126" w:type="dxa"/>
          </w:tcPr>
          <w:p w14:paraId="5E9EA6C9" w14:textId="77777777" w:rsidR="00DB7BD6" w:rsidRDefault="00DB7BD6" w:rsidP="00DB7BD6">
            <w:pPr>
              <w:jc w:val="center"/>
            </w:pPr>
            <w:r>
              <w:t>13.12</w:t>
            </w:r>
          </w:p>
        </w:tc>
        <w:tc>
          <w:tcPr>
            <w:tcW w:w="2516" w:type="dxa"/>
          </w:tcPr>
          <w:p w14:paraId="07715D7E" w14:textId="77777777" w:rsidR="00DB7BD6" w:rsidRDefault="00DB7BD6" w:rsidP="00DB7BD6">
            <w:pPr>
              <w:jc w:val="center"/>
            </w:pPr>
            <m:oMathPara>
              <m:oMath>
                <m:sSub>
                  <m:sSubPr>
                    <m:ctrlPr>
                      <w:rPr>
                        <w:rFonts w:ascii="Cambria Math" w:hAnsi="Cambria Math"/>
                        <w:b/>
                        <w:i/>
                      </w:rPr>
                    </m:ctrlPr>
                  </m:sSubPr>
                  <m:e>
                    <m:r>
                      <m:rPr>
                        <m:sty m:val="bi"/>
                      </m:rPr>
                      <w:rPr>
                        <w:rFonts w:ascii="Cambria Math" w:hAnsi="Cambria Math"/>
                      </w:rPr>
                      <m:t>A</m:t>
                    </m:r>
                  </m:e>
                  <m:sub>
                    <m:r>
                      <m:rPr>
                        <m:sty m:val="bi"/>
                      </m:rPr>
                      <w:rPr>
                        <w:rFonts w:ascii="Cambria Math" w:hAnsi="Cambria Math"/>
                      </w:rPr>
                      <m:t>tu</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tu,pass</m:t>
                    </m:r>
                  </m:sub>
                </m:sSub>
              </m:oMath>
            </m:oMathPara>
          </w:p>
        </w:tc>
        <w:tc>
          <w:tcPr>
            <w:tcW w:w="1052" w:type="dxa"/>
          </w:tcPr>
          <w:p w14:paraId="231C508A" w14:textId="77777777" w:rsidR="00DB7BD6" w:rsidRDefault="00DB7BD6" w:rsidP="00DB7BD6">
            <w:pPr>
              <w:jc w:val="center"/>
            </w:pPr>
            <m:oMathPara>
              <m:oMath>
                <m:sSub>
                  <m:sSubPr>
                    <m:ctrlPr>
                      <w:rPr>
                        <w:rFonts w:ascii="Cambria Math" w:hAnsi="Cambria Math"/>
                        <w:i/>
                      </w:rPr>
                    </m:ctrlPr>
                  </m:sSubPr>
                  <m:e>
                    <m:r>
                      <w:rPr>
                        <w:rFonts w:ascii="Cambria Math" w:hAnsi="Cambria Math"/>
                      </w:rPr>
                      <m:t>A</m:t>
                    </m:r>
                  </m:e>
                  <m:sub>
                    <m:r>
                      <w:rPr>
                        <w:rFonts w:ascii="Cambria Math" w:hAnsi="Cambria Math"/>
                      </w:rPr>
                      <m:t>tot</m:t>
                    </m:r>
                  </m:sub>
                </m:sSub>
              </m:oMath>
            </m:oMathPara>
          </w:p>
        </w:tc>
        <w:tc>
          <w:tcPr>
            <w:tcW w:w="3205" w:type="dxa"/>
          </w:tcPr>
          <w:p w14:paraId="104A8697" w14:textId="77777777" w:rsidR="00DB7BD6" w:rsidRDefault="00DB7BD6" w:rsidP="00DB7BD6">
            <w:pPr>
              <w:jc w:val="center"/>
            </w:pPr>
            <w:proofErr w:type="spellStart"/>
            <w:r>
              <w:t>Eqn</w:t>
            </w:r>
            <w:proofErr w:type="spellEnd"/>
            <w:r>
              <w:t xml:space="preserve"> 13.13</w:t>
            </w:r>
          </w:p>
        </w:tc>
      </w:tr>
      <w:tr w:rsidR="00DB7BD6" w14:paraId="37978407" w14:textId="77777777" w:rsidTr="00DB7BD6">
        <w:trPr>
          <w:jc w:val="center"/>
        </w:trPr>
        <w:tc>
          <w:tcPr>
            <w:tcW w:w="1126" w:type="dxa"/>
          </w:tcPr>
          <w:p w14:paraId="028FBDBF" w14:textId="77777777" w:rsidR="00DB7BD6" w:rsidRDefault="00DB7BD6" w:rsidP="00DB7BD6">
            <w:pPr>
              <w:jc w:val="center"/>
            </w:pPr>
            <w:r>
              <w:t>13.13</w:t>
            </w:r>
          </w:p>
        </w:tc>
        <w:tc>
          <w:tcPr>
            <w:tcW w:w="2516" w:type="dxa"/>
          </w:tcPr>
          <w:p w14:paraId="5F6F0C6C" w14:textId="77777777" w:rsidR="00DB7BD6" w:rsidRDefault="00DB7BD6" w:rsidP="00DB7BD6">
            <w:pPr>
              <w:jc w:val="center"/>
            </w:pPr>
            <m:oMathPara>
              <m:oMath>
                <m:sSub>
                  <m:sSubPr>
                    <m:ctrlPr>
                      <w:rPr>
                        <w:rFonts w:ascii="Cambria Math" w:hAnsi="Cambria Math"/>
                        <w:b/>
                        <w:i/>
                      </w:rPr>
                    </m:ctrlPr>
                  </m:sSubPr>
                  <m:e>
                    <m:r>
                      <m:rPr>
                        <m:sty m:val="bi"/>
                      </m:rPr>
                      <w:rPr>
                        <w:rFonts w:ascii="Cambria Math" w:hAnsi="Cambria Math"/>
                      </w:rPr>
                      <m:t>A</m:t>
                    </m:r>
                  </m:e>
                  <m:sub>
                    <m:r>
                      <m:rPr>
                        <m:sty m:val="bi"/>
                      </m:rPr>
                      <w:rPr>
                        <w:rFonts w:ascii="Cambria Math" w:hAnsi="Cambria Math"/>
                      </w:rPr>
                      <m:t>tot</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m</m:t>
                        </m:r>
                      </m:e>
                    </m:acc>
                  </m:e>
                  <m:sub>
                    <m:r>
                      <w:rPr>
                        <w:rFonts w:ascii="Cambria Math" w:hAnsi="Cambria Math"/>
                      </w:rPr>
                      <m:t>tu</m:t>
                    </m:r>
                  </m:sub>
                </m:sSub>
              </m:oMath>
            </m:oMathPara>
          </w:p>
        </w:tc>
        <w:tc>
          <w:tcPr>
            <w:tcW w:w="1052" w:type="dxa"/>
          </w:tcPr>
          <w:p w14:paraId="423C6261" w14:textId="77777777" w:rsidR="00DB7BD6" w:rsidRDefault="00DB7BD6" w:rsidP="00DB7BD6">
            <w:pPr>
              <w:jc w:val="center"/>
            </w:pPr>
            <m:oMathPara>
              <m:oMath>
                <m:sSub>
                  <m:sSubPr>
                    <m:ctrlPr>
                      <w:rPr>
                        <w:rFonts w:ascii="Cambria Math" w:hAnsi="Cambria Math"/>
                        <w:i/>
                      </w:rPr>
                    </m:ctrlPr>
                  </m:sSubPr>
                  <m:e>
                    <m:r>
                      <w:rPr>
                        <w:rFonts w:ascii="Cambria Math" w:hAnsi="Cambria Math"/>
                      </w:rPr>
                      <m:t>G</m:t>
                    </m:r>
                  </m:e>
                  <m:sub>
                    <m:r>
                      <w:rPr>
                        <w:rFonts w:ascii="Cambria Math" w:hAnsi="Cambria Math"/>
                      </w:rPr>
                      <m:t>tu</m:t>
                    </m:r>
                  </m:sub>
                </m:sSub>
              </m:oMath>
            </m:oMathPara>
          </w:p>
        </w:tc>
        <w:tc>
          <w:tcPr>
            <w:tcW w:w="3205" w:type="dxa"/>
          </w:tcPr>
          <w:p w14:paraId="2196F73C" w14:textId="77777777" w:rsidR="00DB7BD6" w:rsidRDefault="00DB7BD6" w:rsidP="00DB7BD6">
            <w:pPr>
              <w:jc w:val="center"/>
            </w:pPr>
            <w:proofErr w:type="spellStart"/>
            <w:r>
              <w:t>Eqn</w:t>
            </w:r>
            <w:proofErr w:type="spellEnd"/>
            <w:r>
              <w:t xml:space="preserve"> 13.14</w:t>
            </w:r>
          </w:p>
        </w:tc>
      </w:tr>
      <w:tr w:rsidR="00DB7BD6" w14:paraId="0C465306" w14:textId="77777777" w:rsidTr="00DB7BD6">
        <w:trPr>
          <w:jc w:val="center"/>
        </w:trPr>
        <w:tc>
          <w:tcPr>
            <w:tcW w:w="1126" w:type="dxa"/>
          </w:tcPr>
          <w:p w14:paraId="4AB0C21B" w14:textId="77777777" w:rsidR="00DB7BD6" w:rsidRDefault="00DB7BD6" w:rsidP="00DB7BD6">
            <w:pPr>
              <w:jc w:val="center"/>
            </w:pPr>
            <w:r>
              <w:t>13.14</w:t>
            </w:r>
          </w:p>
        </w:tc>
        <w:tc>
          <w:tcPr>
            <w:tcW w:w="2516" w:type="dxa"/>
          </w:tcPr>
          <w:p w14:paraId="7A135D2C" w14:textId="77777777" w:rsidR="00DB7BD6" w:rsidRDefault="00DB7BD6" w:rsidP="00DB7BD6">
            <w:pPr>
              <w:jc w:val="center"/>
            </w:pPr>
            <m:oMathPara>
              <m:oMath>
                <m:sSub>
                  <m:sSubPr>
                    <m:ctrlPr>
                      <w:rPr>
                        <w:rFonts w:ascii="Cambria Math" w:hAnsi="Cambria Math"/>
                        <w:b/>
                        <w:i/>
                      </w:rPr>
                    </m:ctrlPr>
                  </m:sSubPr>
                  <m:e>
                    <m:r>
                      <m:rPr>
                        <m:sty m:val="bi"/>
                      </m:rPr>
                      <w:rPr>
                        <w:rFonts w:ascii="Cambria Math" w:hAnsi="Cambria Math"/>
                      </w:rPr>
                      <m:t>G</m:t>
                    </m:r>
                  </m:e>
                  <m:sub>
                    <m:r>
                      <m:rPr>
                        <m:sty m:val="bi"/>
                      </m:rPr>
                      <w:rPr>
                        <w:rFonts w:ascii="Cambria Math" w:hAnsi="Cambria Math"/>
                      </w:rPr>
                      <m:t>tu</m:t>
                    </m:r>
                  </m:sub>
                </m:sSub>
                <m:r>
                  <w:rPr>
                    <w:rFonts w:ascii="Cambria Math" w:hAnsi="Cambria Math"/>
                  </w:rPr>
                  <m:t>,</m:t>
                </m:r>
                <m:sSub>
                  <m:sSubPr>
                    <m:ctrlPr>
                      <w:rPr>
                        <w:rFonts w:ascii="Cambria Math" w:hAnsi="Cambria Math"/>
                        <w:i/>
                      </w:rPr>
                    </m:ctrlPr>
                  </m:sSubPr>
                  <m:e>
                    <m:r>
                      <w:rPr>
                        <w:rFonts w:ascii="Cambria Math" w:hAnsi="Cambria Math"/>
                      </w:rPr>
                      <m:t>ρ</m:t>
                    </m:r>
                  </m:e>
                  <m:sub>
                    <m:r>
                      <w:rPr>
                        <w:rFonts w:ascii="Cambria Math" w:hAnsi="Cambria Math"/>
                      </w:rPr>
                      <m:t>tu</m:t>
                    </m:r>
                  </m:sub>
                </m:sSub>
              </m:oMath>
            </m:oMathPara>
          </w:p>
        </w:tc>
        <w:tc>
          <w:tcPr>
            <w:tcW w:w="1052" w:type="dxa"/>
          </w:tcPr>
          <w:p w14:paraId="53EA593E" w14:textId="77777777" w:rsidR="00DB7BD6" w:rsidRDefault="00DB7BD6" w:rsidP="00DB7BD6">
            <w:pPr>
              <w:jc w:val="center"/>
            </w:pPr>
            <m:oMathPara>
              <m:oMath>
                <m:sSub>
                  <m:sSubPr>
                    <m:ctrlPr>
                      <w:rPr>
                        <w:rFonts w:ascii="Cambria Math" w:hAnsi="Cambria Math"/>
                        <w:i/>
                      </w:rPr>
                    </m:ctrlPr>
                  </m:sSubPr>
                  <m:e>
                    <m:r>
                      <w:rPr>
                        <w:rFonts w:ascii="Cambria Math" w:hAnsi="Cambria Math"/>
                      </w:rPr>
                      <m:t>v</m:t>
                    </m:r>
                  </m:e>
                  <m:sub>
                    <m:r>
                      <w:rPr>
                        <w:rFonts w:ascii="Cambria Math" w:hAnsi="Cambria Math"/>
                      </w:rPr>
                      <m:t>tu</m:t>
                    </m:r>
                  </m:sub>
                </m:sSub>
              </m:oMath>
            </m:oMathPara>
          </w:p>
        </w:tc>
        <w:tc>
          <w:tcPr>
            <w:tcW w:w="3205" w:type="dxa"/>
          </w:tcPr>
          <w:p w14:paraId="606E8DE4" w14:textId="77777777" w:rsidR="00DB7BD6" w:rsidRDefault="00DB7BD6" w:rsidP="00DB7BD6">
            <w:pPr>
              <w:jc w:val="center"/>
            </w:pPr>
            <w:proofErr w:type="spellStart"/>
            <w:r>
              <w:t>Eqn</w:t>
            </w:r>
            <w:proofErr w:type="spellEnd"/>
            <w:r>
              <w:t xml:space="preserve"> 13.15, </w:t>
            </w:r>
            <w:proofErr w:type="spellStart"/>
            <w:r>
              <w:t>Eqn</w:t>
            </w:r>
            <w:proofErr w:type="spellEnd"/>
            <w:r>
              <w:t xml:space="preserve"> 13.28</w:t>
            </w:r>
          </w:p>
        </w:tc>
      </w:tr>
      <w:tr w:rsidR="00DB7BD6" w14:paraId="407CA8AE" w14:textId="77777777" w:rsidTr="00DB7BD6">
        <w:trPr>
          <w:jc w:val="center"/>
        </w:trPr>
        <w:tc>
          <w:tcPr>
            <w:tcW w:w="1126" w:type="dxa"/>
          </w:tcPr>
          <w:p w14:paraId="00EBD5F0" w14:textId="77777777" w:rsidR="00DB7BD6" w:rsidRDefault="00DB7BD6" w:rsidP="00DB7BD6">
            <w:pPr>
              <w:jc w:val="center"/>
            </w:pPr>
            <w:r>
              <w:t>13.15</w:t>
            </w:r>
          </w:p>
        </w:tc>
        <w:tc>
          <w:tcPr>
            <w:tcW w:w="2516" w:type="dxa"/>
          </w:tcPr>
          <w:p w14:paraId="727B19F9" w14:textId="77777777" w:rsidR="00DB7BD6" w:rsidRDefault="00DB7BD6" w:rsidP="00DB7BD6">
            <w:pPr>
              <w:jc w:val="center"/>
            </w:pPr>
            <m:oMath>
              <m:sSub>
                <m:sSubPr>
                  <m:ctrlPr>
                    <w:rPr>
                      <w:rFonts w:ascii="Cambria Math" w:hAnsi="Cambria Math"/>
                      <w:b/>
                      <w:i/>
                    </w:rPr>
                  </m:ctrlPr>
                </m:sSubPr>
                <m:e>
                  <m:r>
                    <m:rPr>
                      <m:sty m:val="bi"/>
                    </m:rPr>
                    <w:rPr>
                      <w:rFonts w:ascii="Cambria Math" w:hAnsi="Cambria Math"/>
                    </w:rPr>
                    <m:t>v</m:t>
                  </m:r>
                </m:e>
                <m:sub>
                  <m:r>
                    <m:rPr>
                      <m:sty m:val="bi"/>
                    </m:rPr>
                    <w:rPr>
                      <w:rFonts w:ascii="Cambria Math" w:hAnsi="Cambria Math"/>
                    </w:rPr>
                    <m:t>tu</m:t>
                  </m:r>
                </m:sub>
              </m:sSub>
            </m:oMath>
            <w:r>
              <w:t>,</w:t>
            </w:r>
            <m:oMath>
              <m:r>
                <w:rPr>
                  <w:rFonts w:ascii="Cambria Math" w:hAnsi="Cambria Math"/>
                </w:rPr>
                <m:t xml:space="preserve"> </m:t>
              </m:r>
              <m:sSub>
                <m:sSubPr>
                  <m:ctrlPr>
                    <w:rPr>
                      <w:rFonts w:ascii="Cambria Math" w:hAnsi="Cambria Math"/>
                      <w:i/>
                    </w:rPr>
                  </m:ctrlPr>
                </m:sSubPr>
                <m:e>
                  <m:r>
                    <w:rPr>
                      <w:rFonts w:ascii="Cambria Math" w:hAnsi="Cambria Math"/>
                    </w:rPr>
                    <m:t>ρ</m:t>
                  </m:r>
                </m:e>
                <m:sub>
                  <m:r>
                    <w:rPr>
                      <w:rFonts w:ascii="Cambria Math" w:hAnsi="Cambria Math"/>
                    </w:rPr>
                    <m:t>tu</m:t>
                  </m:r>
                </m:sub>
              </m:sSub>
            </m:oMath>
            <w:r>
              <w:t>,</w:t>
            </w:r>
            <m:oMath>
              <m:r>
                <w:rPr>
                  <w:rFonts w:ascii="Cambria Math" w:hAnsi="Cambria Math"/>
                </w:rPr>
                <m:t xml:space="preserve"> </m:t>
              </m:r>
              <m:sSub>
                <m:sSubPr>
                  <m:ctrlPr>
                    <w:rPr>
                      <w:rFonts w:ascii="Cambria Math" w:hAnsi="Cambria Math"/>
                      <w:i/>
                    </w:rPr>
                  </m:ctrlPr>
                </m:sSubPr>
                <m:e>
                  <m:r>
                    <w:rPr>
                      <w:rFonts w:ascii="Cambria Math" w:hAnsi="Cambria Math"/>
                    </w:rPr>
                    <m:t>μ</m:t>
                  </m:r>
                </m:e>
                <m:sub>
                  <m:r>
                    <w:rPr>
                      <w:rFonts w:ascii="Cambria Math" w:hAnsi="Cambria Math"/>
                    </w:rPr>
                    <m:t>tu</m:t>
                  </m:r>
                </m:sub>
              </m:sSub>
            </m:oMath>
          </w:p>
        </w:tc>
        <w:tc>
          <w:tcPr>
            <w:tcW w:w="1052" w:type="dxa"/>
          </w:tcPr>
          <w:p w14:paraId="77A051BA" w14:textId="77777777" w:rsidR="00DB7BD6" w:rsidRDefault="00DB7BD6" w:rsidP="00DB7BD6">
            <w:pPr>
              <w:jc w:val="center"/>
            </w:pPr>
            <m:oMathPara>
              <m:oMath>
                <m:sSub>
                  <m:sSubPr>
                    <m:ctrlPr>
                      <w:rPr>
                        <w:rFonts w:ascii="Cambria Math" w:hAnsi="Cambria Math"/>
                        <w:i/>
                      </w:rPr>
                    </m:ctrlPr>
                  </m:sSubPr>
                  <m:e>
                    <m:r>
                      <w:rPr>
                        <w:rFonts w:ascii="Cambria Math" w:hAnsi="Cambria Math"/>
                      </w:rPr>
                      <m:t>Re</m:t>
                    </m:r>
                  </m:e>
                  <m:sub>
                    <m:r>
                      <w:rPr>
                        <w:rFonts w:ascii="Cambria Math" w:hAnsi="Cambria Math"/>
                      </w:rPr>
                      <m:t>tu</m:t>
                    </m:r>
                  </m:sub>
                </m:sSub>
              </m:oMath>
            </m:oMathPara>
          </w:p>
        </w:tc>
        <w:tc>
          <w:tcPr>
            <w:tcW w:w="3205" w:type="dxa"/>
          </w:tcPr>
          <w:p w14:paraId="5C6C4414" w14:textId="77777777" w:rsidR="00DB7BD6" w:rsidRDefault="00DB7BD6" w:rsidP="00DB7BD6">
            <w:pPr>
              <w:jc w:val="center"/>
            </w:pPr>
          </w:p>
        </w:tc>
      </w:tr>
      <w:tr w:rsidR="00DB7BD6" w14:paraId="5EA49892" w14:textId="77777777" w:rsidTr="00DB7BD6">
        <w:trPr>
          <w:jc w:val="center"/>
        </w:trPr>
        <w:tc>
          <w:tcPr>
            <w:tcW w:w="1126" w:type="dxa"/>
          </w:tcPr>
          <w:p w14:paraId="095FE6E4" w14:textId="77777777" w:rsidR="00DB7BD6" w:rsidRDefault="00DB7BD6" w:rsidP="00DB7BD6">
            <w:pPr>
              <w:jc w:val="center"/>
            </w:pPr>
            <w:r>
              <w:t>13.16</w:t>
            </w:r>
          </w:p>
        </w:tc>
        <w:tc>
          <w:tcPr>
            <w:tcW w:w="2516" w:type="dxa"/>
          </w:tcPr>
          <w:p w14:paraId="3F297DD6" w14:textId="77777777" w:rsidR="00DB7BD6" w:rsidRDefault="00DB7BD6" w:rsidP="00DB7BD6">
            <w:pPr>
              <w:jc w:val="center"/>
            </w:pPr>
            <m:oMathPara>
              <m:oMath>
                <m:sSub>
                  <m:sSubPr>
                    <m:ctrlPr>
                      <w:rPr>
                        <w:rFonts w:ascii="Cambria Math" w:hAnsi="Cambria Math"/>
                        <w:i/>
                      </w:rPr>
                    </m:ctrlPr>
                  </m:sSubPr>
                  <m:e>
                    <m:r>
                      <w:rPr>
                        <w:rFonts w:ascii="Cambria Math" w:hAnsi="Cambria Math"/>
                      </w:rPr>
                      <m:t>c</m:t>
                    </m:r>
                  </m:e>
                  <m:sub>
                    <m:r>
                      <w:rPr>
                        <w:rFonts w:ascii="Cambria Math" w:hAnsi="Cambria Math"/>
                      </w:rPr>
                      <m:t>p,tu</m:t>
                    </m:r>
                  </m:sub>
                </m:sSub>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tu</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f,tu</m:t>
                    </m:r>
                  </m:sub>
                </m:sSub>
              </m:oMath>
            </m:oMathPara>
          </w:p>
        </w:tc>
        <w:tc>
          <w:tcPr>
            <w:tcW w:w="1052" w:type="dxa"/>
          </w:tcPr>
          <w:p w14:paraId="35CD5FBF" w14:textId="77777777" w:rsidR="00DB7BD6" w:rsidRDefault="00DB7BD6" w:rsidP="00DB7BD6">
            <w:pPr>
              <w:jc w:val="center"/>
            </w:pPr>
            <m:oMathPara>
              <m:oMath>
                <m:sSub>
                  <m:sSubPr>
                    <m:ctrlPr>
                      <w:rPr>
                        <w:rFonts w:ascii="Cambria Math" w:hAnsi="Cambria Math"/>
                        <w:i/>
                      </w:rPr>
                    </m:ctrlPr>
                  </m:sSubPr>
                  <m:e>
                    <m:r>
                      <w:rPr>
                        <w:rFonts w:ascii="Cambria Math" w:hAnsi="Cambria Math"/>
                      </w:rPr>
                      <m:t>Pr</m:t>
                    </m:r>
                  </m:e>
                  <m:sub>
                    <m:r>
                      <w:rPr>
                        <w:rFonts w:ascii="Cambria Math" w:hAnsi="Cambria Math"/>
                      </w:rPr>
                      <m:t>tu</m:t>
                    </m:r>
                  </m:sub>
                </m:sSub>
              </m:oMath>
            </m:oMathPara>
          </w:p>
        </w:tc>
        <w:tc>
          <w:tcPr>
            <w:tcW w:w="3205" w:type="dxa"/>
          </w:tcPr>
          <w:p w14:paraId="22DEF689" w14:textId="77777777" w:rsidR="00DB7BD6" w:rsidRDefault="00DB7BD6" w:rsidP="00DB7BD6">
            <w:pPr>
              <w:jc w:val="center"/>
            </w:pPr>
          </w:p>
        </w:tc>
      </w:tr>
      <w:tr w:rsidR="00DB7BD6" w14:paraId="7881BE51" w14:textId="77777777" w:rsidTr="00DB7BD6">
        <w:trPr>
          <w:jc w:val="center"/>
        </w:trPr>
        <w:tc>
          <w:tcPr>
            <w:tcW w:w="1126" w:type="dxa"/>
          </w:tcPr>
          <w:p w14:paraId="6B7DF8B8" w14:textId="77777777" w:rsidR="00DB7BD6" w:rsidRDefault="00DB7BD6" w:rsidP="00DB7BD6">
            <w:pPr>
              <w:jc w:val="center"/>
            </w:pPr>
            <w:r>
              <w:t>13.17</w:t>
            </w:r>
          </w:p>
        </w:tc>
        <w:tc>
          <w:tcPr>
            <w:tcW w:w="2516" w:type="dxa"/>
          </w:tcPr>
          <w:p w14:paraId="5ABBA952" w14:textId="77777777" w:rsidR="00DB7BD6" w:rsidRDefault="00DB7BD6" w:rsidP="00DB7BD6">
            <w:pPr>
              <w:jc w:val="center"/>
            </w:pPr>
            <m:oMathPara>
              <m:oMath>
                <m:sSub>
                  <m:sSubPr>
                    <m:ctrlPr>
                      <w:rPr>
                        <w:rFonts w:ascii="Cambria Math" w:hAnsi="Cambria Math"/>
                        <w:i/>
                      </w:rPr>
                    </m:ctrlPr>
                  </m:sSubPr>
                  <m:e>
                    <m:r>
                      <w:rPr>
                        <w:rFonts w:ascii="Cambria Math" w:hAnsi="Cambria Math"/>
                      </w:rPr>
                      <m:t>h</m:t>
                    </m:r>
                  </m:e>
                  <m:sub>
                    <m:r>
                      <w:rPr>
                        <w:rFonts w:ascii="Cambria Math" w:hAnsi="Cambria Math"/>
                      </w:rPr>
                      <m:t>i</m:t>
                    </m:r>
                  </m:sub>
                </m:sSub>
                <m:r>
                  <w:rPr>
                    <w:rFonts w:ascii="Cambria Math" w:hAnsi="Cambria Math"/>
                  </w:rPr>
                  <m:t xml:space="preserve">, </m:t>
                </m:r>
                <m:sSub>
                  <m:sSubPr>
                    <m:ctrlPr>
                      <w:rPr>
                        <w:rFonts w:ascii="Cambria Math" w:hAnsi="Cambria Math"/>
                        <w:i/>
                      </w:rPr>
                    </m:ctrlPr>
                  </m:sSubPr>
                  <m:e>
                    <m:r>
                      <w:rPr>
                        <w:rFonts w:ascii="Cambria Math" w:hAnsi="Cambria Math"/>
                      </w:rPr>
                      <m:t>D</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f,tu</m:t>
                    </m:r>
                  </m:sub>
                </m:sSub>
              </m:oMath>
            </m:oMathPara>
          </w:p>
        </w:tc>
        <w:tc>
          <w:tcPr>
            <w:tcW w:w="1052" w:type="dxa"/>
          </w:tcPr>
          <w:p w14:paraId="6C5BA001" w14:textId="77777777" w:rsidR="00DB7BD6" w:rsidRDefault="00DB7BD6" w:rsidP="00DB7BD6">
            <w:pPr>
              <w:jc w:val="center"/>
            </w:pPr>
            <m:oMathPara>
              <m:oMath>
                <m:sSub>
                  <m:sSubPr>
                    <m:ctrlPr>
                      <w:rPr>
                        <w:rFonts w:ascii="Cambria Math" w:hAnsi="Cambria Math"/>
                        <w:i/>
                      </w:rPr>
                    </m:ctrlPr>
                  </m:sSubPr>
                  <m:e>
                    <m:r>
                      <w:rPr>
                        <w:rFonts w:ascii="Cambria Math" w:hAnsi="Cambria Math"/>
                      </w:rPr>
                      <m:t>Nu</m:t>
                    </m:r>
                  </m:e>
                  <m:sub>
                    <m:r>
                      <w:rPr>
                        <w:rFonts w:ascii="Cambria Math" w:hAnsi="Cambria Math"/>
                      </w:rPr>
                      <m:t>tu</m:t>
                    </m:r>
                  </m:sub>
                </m:sSub>
              </m:oMath>
            </m:oMathPara>
          </w:p>
        </w:tc>
        <w:tc>
          <w:tcPr>
            <w:tcW w:w="3205" w:type="dxa"/>
          </w:tcPr>
          <w:p w14:paraId="121631D0" w14:textId="77777777" w:rsidR="00DB7BD6" w:rsidRDefault="00DB7BD6" w:rsidP="00DB7BD6">
            <w:pPr>
              <w:jc w:val="center"/>
            </w:pPr>
          </w:p>
        </w:tc>
      </w:tr>
      <w:tr w:rsidR="00DB7BD6" w14:paraId="289BF7D7" w14:textId="77777777" w:rsidTr="00DB7BD6">
        <w:trPr>
          <w:jc w:val="center"/>
        </w:trPr>
        <w:tc>
          <w:tcPr>
            <w:tcW w:w="1126" w:type="dxa"/>
          </w:tcPr>
          <w:p w14:paraId="246F2DC0" w14:textId="77777777" w:rsidR="00DB7BD6" w:rsidRDefault="00DB7BD6" w:rsidP="00DB7BD6">
            <w:pPr>
              <w:jc w:val="center"/>
            </w:pPr>
            <w:r>
              <w:t>13.18</w:t>
            </w:r>
          </w:p>
        </w:tc>
        <w:tc>
          <w:tcPr>
            <w:tcW w:w="2516" w:type="dxa"/>
          </w:tcPr>
          <w:p w14:paraId="583AF032" w14:textId="77777777" w:rsidR="00DB7BD6" w:rsidRDefault="00DB7BD6" w:rsidP="00DB7BD6">
            <w:pPr>
              <w:jc w:val="center"/>
            </w:pPr>
            <m:oMathPara>
              <m:oMath>
                <m:sSub>
                  <m:sSubPr>
                    <m:ctrlPr>
                      <w:rPr>
                        <w:rFonts w:ascii="Cambria Math" w:hAnsi="Cambria Math"/>
                        <w:b/>
                        <w:i/>
                      </w:rPr>
                    </m:ctrlPr>
                  </m:sSubPr>
                  <m:e>
                    <m:r>
                      <m:rPr>
                        <m:sty m:val="bi"/>
                      </m:rPr>
                      <w:rPr>
                        <w:rFonts w:ascii="Cambria Math" w:hAnsi="Cambria Math"/>
                      </w:rPr>
                      <m:t>D</m:t>
                    </m:r>
                  </m:e>
                  <m:sub>
                    <m:r>
                      <m:rPr>
                        <m:sty m:val="bi"/>
                      </m:rPr>
                      <w:rPr>
                        <w:rFonts w:ascii="Cambria Math" w:hAnsi="Cambria Math"/>
                      </w:rPr>
                      <m:t>bu</m:t>
                    </m:r>
                  </m:sub>
                </m:sSub>
                <m:r>
                  <w:rPr>
                    <w:rFonts w:ascii="Cambria Math" w:hAnsi="Cambria Math"/>
                  </w:rPr>
                  <m:t>,</m:t>
                </m:r>
                <m:sSub>
                  <m:sSubPr>
                    <m:ctrlPr>
                      <w:rPr>
                        <w:rFonts w:ascii="Cambria Math" w:hAnsi="Cambria Math"/>
                        <w:i/>
                      </w:rPr>
                    </m:ctrlPr>
                  </m:sSubPr>
                  <m:e>
                    <m:r>
                      <w:rPr>
                        <w:rFonts w:ascii="Cambria Math" w:hAnsi="Cambria Math"/>
                      </w:rPr>
                      <m:t>D</m:t>
                    </m:r>
                  </m:e>
                  <m:sub>
                    <m:r>
                      <w:rPr>
                        <w:rFonts w:ascii="Cambria Math" w:hAnsi="Cambria Math"/>
                      </w:rPr>
                      <m:t>bu,s,cl</m:t>
                    </m:r>
                  </m:sub>
                </m:sSub>
              </m:oMath>
            </m:oMathPara>
          </w:p>
        </w:tc>
        <w:tc>
          <w:tcPr>
            <w:tcW w:w="1052" w:type="dxa"/>
          </w:tcPr>
          <w:p w14:paraId="681D9902" w14:textId="77777777" w:rsidR="00DB7BD6" w:rsidRDefault="00DB7BD6" w:rsidP="00DB7BD6">
            <w:pPr>
              <w:jc w:val="center"/>
            </w:pPr>
            <m:oMathPara>
              <m:oMath>
                <m:sSub>
                  <m:sSubPr>
                    <m:ctrlPr>
                      <w:rPr>
                        <w:rFonts w:ascii="Cambria Math" w:hAnsi="Cambria Math"/>
                        <w:i/>
                      </w:rPr>
                    </m:ctrlPr>
                  </m:sSubPr>
                  <m:e>
                    <m:r>
                      <w:rPr>
                        <w:rFonts w:ascii="Cambria Math" w:hAnsi="Cambria Math"/>
                      </w:rPr>
                      <m:t>D</m:t>
                    </m:r>
                  </m:e>
                  <m:sub>
                    <m:r>
                      <w:rPr>
                        <w:rFonts w:ascii="Cambria Math" w:hAnsi="Cambria Math"/>
                      </w:rPr>
                      <m:t>s</m:t>
                    </m:r>
                  </m:sub>
                </m:sSub>
              </m:oMath>
            </m:oMathPara>
          </w:p>
        </w:tc>
        <w:tc>
          <w:tcPr>
            <w:tcW w:w="3205" w:type="dxa"/>
          </w:tcPr>
          <w:p w14:paraId="5283E2AD" w14:textId="77777777" w:rsidR="00DB7BD6" w:rsidRDefault="00DB7BD6" w:rsidP="00DB7BD6">
            <w:pPr>
              <w:jc w:val="center"/>
            </w:pPr>
            <w:proofErr w:type="spellStart"/>
            <w:r>
              <w:t>Eqn</w:t>
            </w:r>
            <w:proofErr w:type="spellEnd"/>
            <w:r>
              <w:t xml:space="preserve"> 13.19, </w:t>
            </w:r>
            <w:proofErr w:type="spellStart"/>
            <w:r>
              <w:t>Eqn</w:t>
            </w:r>
            <w:proofErr w:type="spellEnd"/>
            <w:r>
              <w:t xml:space="preserve"> 13.20, </w:t>
            </w:r>
            <w:proofErr w:type="spellStart"/>
            <w:r>
              <w:t>Eqn</w:t>
            </w:r>
            <w:proofErr w:type="spellEnd"/>
            <w:r>
              <w:t xml:space="preserve"> 13.29</w:t>
            </w:r>
          </w:p>
        </w:tc>
      </w:tr>
      <w:tr w:rsidR="00DB7BD6" w14:paraId="3D2D7254" w14:textId="77777777" w:rsidTr="00DB7BD6">
        <w:trPr>
          <w:jc w:val="center"/>
        </w:trPr>
        <w:tc>
          <w:tcPr>
            <w:tcW w:w="1126" w:type="dxa"/>
          </w:tcPr>
          <w:p w14:paraId="027FC9A7" w14:textId="77777777" w:rsidR="00DB7BD6" w:rsidRDefault="00DB7BD6" w:rsidP="00DB7BD6">
            <w:pPr>
              <w:jc w:val="center"/>
            </w:pPr>
            <w:r>
              <w:t>13.19</w:t>
            </w:r>
          </w:p>
        </w:tc>
        <w:tc>
          <w:tcPr>
            <w:tcW w:w="2516" w:type="dxa"/>
          </w:tcPr>
          <w:p w14:paraId="7B67B746" w14:textId="77777777" w:rsidR="00DB7BD6" w:rsidRPr="001B794E" w:rsidRDefault="00DB7BD6" w:rsidP="00DB7BD6">
            <w:pPr>
              <w:jc w:val="center"/>
              <w:rPr>
                <w:b/>
              </w:rPr>
            </w:pPr>
            <m:oMathPara>
              <m:oMath>
                <m:sSub>
                  <m:sSubPr>
                    <m:ctrlPr>
                      <w:rPr>
                        <w:rFonts w:ascii="Cambria Math" w:hAnsi="Cambria Math"/>
                        <w:b/>
                        <w:i/>
                      </w:rPr>
                    </m:ctrlPr>
                  </m:sSubPr>
                  <m:e>
                    <m:r>
                      <m:rPr>
                        <m:sty m:val="bi"/>
                      </m:rPr>
                      <w:rPr>
                        <w:rFonts w:ascii="Cambria Math" w:hAnsi="Cambria Math"/>
                      </w:rPr>
                      <m:t>D</m:t>
                    </m:r>
                  </m:e>
                  <m:sub>
                    <m:r>
                      <m:rPr>
                        <m:sty m:val="bi"/>
                      </m:rPr>
                      <w:rPr>
                        <w:rFonts w:ascii="Cambria Math" w:hAnsi="Cambria Math"/>
                      </w:rPr>
                      <m:t>s</m:t>
                    </m:r>
                  </m:sub>
                </m:sSub>
              </m:oMath>
            </m:oMathPara>
          </w:p>
        </w:tc>
        <w:tc>
          <w:tcPr>
            <w:tcW w:w="1052" w:type="dxa"/>
          </w:tcPr>
          <w:p w14:paraId="54EEEDB2" w14:textId="77777777" w:rsidR="00DB7BD6" w:rsidRDefault="00DB7BD6" w:rsidP="00DB7BD6">
            <w:pPr>
              <w:jc w:val="center"/>
            </w:pPr>
            <m:oMathPara>
              <m:oMath>
                <m:sSub>
                  <m:sSubPr>
                    <m:ctrlPr>
                      <w:rPr>
                        <w:rFonts w:ascii="Cambria Math" w:hAnsi="Cambria Math"/>
                        <w:i/>
                      </w:rPr>
                    </m:ctrlPr>
                  </m:sSubPr>
                  <m:e>
                    <m:r>
                      <w:rPr>
                        <w:rFonts w:ascii="Cambria Math" w:hAnsi="Cambria Math"/>
                      </w:rPr>
                      <m:t>l</m:t>
                    </m:r>
                  </m:e>
                  <m:sub>
                    <m:r>
                      <w:rPr>
                        <w:rFonts w:ascii="Cambria Math" w:hAnsi="Cambria Math"/>
                      </w:rPr>
                      <m:t>Ba</m:t>
                    </m:r>
                  </m:sub>
                </m:sSub>
              </m:oMath>
            </m:oMathPara>
          </w:p>
        </w:tc>
        <w:tc>
          <w:tcPr>
            <w:tcW w:w="3205" w:type="dxa"/>
          </w:tcPr>
          <w:p w14:paraId="6D219A68" w14:textId="77777777" w:rsidR="00DB7BD6" w:rsidRDefault="00DB7BD6" w:rsidP="00DB7BD6">
            <w:pPr>
              <w:jc w:val="center"/>
            </w:pPr>
            <w:proofErr w:type="spellStart"/>
            <w:r>
              <w:t>Eqn</w:t>
            </w:r>
            <w:proofErr w:type="spellEnd"/>
            <w:r>
              <w:t xml:space="preserve"> 13.20, </w:t>
            </w:r>
            <w:proofErr w:type="spellStart"/>
            <w:r>
              <w:t>Eqn</w:t>
            </w:r>
            <w:proofErr w:type="spellEnd"/>
            <w:r>
              <w:t xml:space="preserve"> 13.29</w:t>
            </w:r>
          </w:p>
        </w:tc>
      </w:tr>
      <w:tr w:rsidR="00DB7BD6" w14:paraId="2B781014" w14:textId="77777777" w:rsidTr="00DB7BD6">
        <w:trPr>
          <w:jc w:val="center"/>
        </w:trPr>
        <w:tc>
          <w:tcPr>
            <w:tcW w:w="1126" w:type="dxa"/>
          </w:tcPr>
          <w:p w14:paraId="1387E5BF" w14:textId="77777777" w:rsidR="00DB7BD6" w:rsidRDefault="00DB7BD6" w:rsidP="00DB7BD6">
            <w:pPr>
              <w:jc w:val="center"/>
            </w:pPr>
            <w:r>
              <w:t>13.20</w:t>
            </w:r>
          </w:p>
        </w:tc>
        <w:tc>
          <w:tcPr>
            <w:tcW w:w="2516" w:type="dxa"/>
          </w:tcPr>
          <w:p w14:paraId="5F859312" w14:textId="77777777" w:rsidR="00DB7BD6" w:rsidRDefault="00DB7BD6" w:rsidP="00DB7BD6">
            <w:pPr>
              <w:jc w:val="center"/>
            </w:pPr>
            <m:oMathPara>
              <m:oMath>
                <m:sSub>
                  <m:sSubPr>
                    <m:ctrlPr>
                      <w:rPr>
                        <w:rFonts w:ascii="Cambria Math" w:hAnsi="Cambria Math"/>
                        <w:b/>
                        <w:i/>
                      </w:rPr>
                    </m:ctrlPr>
                  </m:sSubPr>
                  <m:e>
                    <m:r>
                      <m:rPr>
                        <m:sty m:val="bi"/>
                      </m:rPr>
                      <w:rPr>
                        <w:rFonts w:ascii="Cambria Math" w:hAnsi="Cambria Math"/>
                      </w:rPr>
                      <m:t>p</m:t>
                    </m:r>
                  </m:e>
                  <m:sub>
                    <m:r>
                      <m:rPr>
                        <m:sty m:val="bi"/>
                      </m:rPr>
                      <w:rPr>
                        <w:rFonts w:ascii="Cambria Math" w:hAnsi="Cambria Math"/>
                      </w:rPr>
                      <m:t>tu</m:t>
                    </m:r>
                  </m:sub>
                </m:sSub>
                <m:r>
                  <w:rPr>
                    <w:rFonts w:ascii="Cambria Math" w:hAnsi="Cambria Math"/>
                  </w:rPr>
                  <m:t>,</m:t>
                </m:r>
                <m:sSub>
                  <m:sSubPr>
                    <m:ctrlPr>
                      <w:rPr>
                        <w:rFonts w:ascii="Cambria Math" w:hAnsi="Cambria Math"/>
                        <w:b/>
                        <w:i/>
                      </w:rPr>
                    </m:ctrlPr>
                  </m:sSubPr>
                  <m:e>
                    <m:r>
                      <m:rPr>
                        <m:sty m:val="bi"/>
                      </m:rPr>
                      <w:rPr>
                        <w:rFonts w:ascii="Cambria Math" w:hAnsi="Cambria Math"/>
                      </w:rPr>
                      <m:t>D</m:t>
                    </m:r>
                  </m:e>
                  <m:sub>
                    <m:r>
                      <m:rPr>
                        <m:sty m:val="bi"/>
                      </m:rPr>
                      <w:rPr>
                        <w:rFonts w:ascii="Cambria Math" w:hAnsi="Cambria Math"/>
                      </w:rPr>
                      <m:t>s</m:t>
                    </m:r>
                  </m:sub>
                </m:sSub>
                <m:r>
                  <w:rPr>
                    <w:rFonts w:ascii="Cambria Math" w:hAnsi="Cambria Math"/>
                  </w:rPr>
                  <m:t>,</m:t>
                </m:r>
                <m:sSub>
                  <m:sSubPr>
                    <m:ctrlPr>
                      <w:rPr>
                        <w:rFonts w:ascii="Cambria Math" w:hAnsi="Cambria Math"/>
                        <w:b/>
                        <w:i/>
                      </w:rPr>
                    </m:ctrlPr>
                  </m:sSubPr>
                  <m:e>
                    <m:r>
                      <m:rPr>
                        <m:sty m:val="bi"/>
                      </m:rPr>
                      <w:rPr>
                        <w:rFonts w:ascii="Cambria Math" w:hAnsi="Cambria Math"/>
                      </w:rPr>
                      <m:t>l</m:t>
                    </m:r>
                  </m:e>
                  <m:sub>
                    <m:r>
                      <m:rPr>
                        <m:sty m:val="bi"/>
                      </m:rPr>
                      <w:rPr>
                        <w:rFonts w:ascii="Cambria Math" w:hAnsi="Cambria Math"/>
                      </w:rPr>
                      <m:t>Ba</m:t>
                    </m:r>
                  </m:sub>
                </m:sSub>
                <m:r>
                  <w:rPr>
                    <w:rFonts w:ascii="Cambria Math" w:hAnsi="Cambria Math"/>
                  </w:rPr>
                  <m:t>,</m:t>
                </m:r>
                <m:sSub>
                  <m:sSubPr>
                    <m:ctrlPr>
                      <w:rPr>
                        <w:rFonts w:ascii="Cambria Math" w:hAnsi="Cambria Math"/>
                        <w:i/>
                      </w:rPr>
                    </m:ctrlPr>
                  </m:sSubPr>
                  <m:e>
                    <m:r>
                      <w:rPr>
                        <w:rFonts w:ascii="Cambria Math" w:hAnsi="Cambria Math"/>
                      </w:rPr>
                      <m:t>D</m:t>
                    </m:r>
                  </m:e>
                  <m:sub>
                    <m:r>
                      <w:rPr>
                        <w:rFonts w:ascii="Cambria Math" w:hAnsi="Cambria Math"/>
                      </w:rPr>
                      <m:t>o</m:t>
                    </m:r>
                  </m:sub>
                </m:sSub>
              </m:oMath>
            </m:oMathPara>
          </w:p>
        </w:tc>
        <w:tc>
          <w:tcPr>
            <w:tcW w:w="1052" w:type="dxa"/>
          </w:tcPr>
          <w:p w14:paraId="22680CB5" w14:textId="77777777" w:rsidR="00DB7BD6" w:rsidRDefault="00DB7BD6" w:rsidP="00DB7BD6">
            <w:pPr>
              <w:jc w:val="center"/>
            </w:pPr>
            <m:oMathPara>
              <m:oMath>
                <m:sSub>
                  <m:sSubPr>
                    <m:ctrlPr>
                      <w:rPr>
                        <w:rFonts w:ascii="Cambria Math" w:hAnsi="Cambria Math"/>
                        <w:i/>
                      </w:rPr>
                    </m:ctrlPr>
                  </m:sSubPr>
                  <m:e>
                    <m:r>
                      <w:rPr>
                        <w:rFonts w:ascii="Cambria Math" w:hAnsi="Cambria Math"/>
                      </w:rPr>
                      <m:t>A</m:t>
                    </m:r>
                  </m:e>
                  <m:sub>
                    <m:r>
                      <w:rPr>
                        <w:rFonts w:ascii="Cambria Math" w:hAnsi="Cambria Math"/>
                      </w:rPr>
                      <m:t>s</m:t>
                    </m:r>
                  </m:sub>
                </m:sSub>
              </m:oMath>
            </m:oMathPara>
          </w:p>
        </w:tc>
        <w:tc>
          <w:tcPr>
            <w:tcW w:w="3205" w:type="dxa"/>
          </w:tcPr>
          <w:p w14:paraId="0CBC3634" w14:textId="77777777" w:rsidR="00DB7BD6" w:rsidRDefault="00DB7BD6" w:rsidP="00DB7BD6">
            <w:pPr>
              <w:jc w:val="center"/>
            </w:pPr>
            <w:proofErr w:type="spellStart"/>
            <w:r>
              <w:t>Eqn</w:t>
            </w:r>
            <w:proofErr w:type="spellEnd"/>
            <w:r>
              <w:t xml:space="preserve"> 13.21</w:t>
            </w:r>
          </w:p>
        </w:tc>
      </w:tr>
      <w:tr w:rsidR="00DB7BD6" w14:paraId="14C46360" w14:textId="77777777" w:rsidTr="00DB7BD6">
        <w:trPr>
          <w:jc w:val="center"/>
        </w:trPr>
        <w:tc>
          <w:tcPr>
            <w:tcW w:w="1126" w:type="dxa"/>
          </w:tcPr>
          <w:p w14:paraId="380DA908" w14:textId="77777777" w:rsidR="00DB7BD6" w:rsidRDefault="00DB7BD6" w:rsidP="00DB7BD6">
            <w:pPr>
              <w:jc w:val="center"/>
            </w:pPr>
            <w:r>
              <w:t>13.21</w:t>
            </w:r>
          </w:p>
        </w:tc>
        <w:tc>
          <w:tcPr>
            <w:tcW w:w="2516" w:type="dxa"/>
          </w:tcPr>
          <w:p w14:paraId="7F1A629B" w14:textId="77777777" w:rsidR="00DB7BD6" w:rsidRDefault="00DB7BD6" w:rsidP="00DB7BD6">
            <w:pPr>
              <w:jc w:val="center"/>
            </w:pPr>
            <m:oMathPara>
              <m:oMath>
                <m:sSub>
                  <m:sSubPr>
                    <m:ctrlPr>
                      <w:rPr>
                        <w:rFonts w:ascii="Cambria Math" w:hAnsi="Cambria Math"/>
                        <w:b/>
                        <w:i/>
                      </w:rPr>
                    </m:ctrlPr>
                  </m:sSubPr>
                  <m:e>
                    <m:r>
                      <m:rPr>
                        <m:sty m:val="bi"/>
                      </m:rPr>
                      <w:rPr>
                        <w:rFonts w:ascii="Cambria Math" w:hAnsi="Cambria Math"/>
                      </w:rPr>
                      <m:t>A</m:t>
                    </m:r>
                  </m:e>
                  <m:sub>
                    <m:r>
                      <m:rPr>
                        <m:sty m:val="bi"/>
                      </m:rPr>
                      <w:rPr>
                        <w:rFonts w:ascii="Cambria Math" w:hAnsi="Cambria Math"/>
                      </w:rPr>
                      <m:t>s</m:t>
                    </m:r>
                  </m:sub>
                </m:sSub>
                <m:r>
                  <w:rPr>
                    <w:rFonts w:ascii="Cambria Math" w:hAnsi="Cambria Math"/>
                  </w:rPr>
                  <m:t xml:space="preserve">, </m:t>
                </m:r>
                <m:sSub>
                  <m:sSubPr>
                    <m:ctrlPr>
                      <w:rPr>
                        <w:rFonts w:ascii="Cambria Math" w:hAnsi="Cambria Math"/>
                        <w:i/>
                      </w:rPr>
                    </m:ctrlPr>
                  </m:sSubPr>
                  <m:e>
                    <m:acc>
                      <m:accPr>
                        <m:chr m:val="̇"/>
                        <m:ctrlPr>
                          <w:rPr>
                            <w:rFonts w:ascii="Cambria Math" w:hAnsi="Cambria Math"/>
                            <w:i/>
                          </w:rPr>
                        </m:ctrlPr>
                      </m:accPr>
                      <m:e>
                        <m:r>
                          <w:rPr>
                            <w:rFonts w:ascii="Cambria Math" w:hAnsi="Cambria Math"/>
                          </w:rPr>
                          <m:t>m</m:t>
                        </m:r>
                      </m:e>
                    </m:acc>
                  </m:e>
                  <m:sub>
                    <m:r>
                      <w:rPr>
                        <w:rFonts w:ascii="Cambria Math" w:hAnsi="Cambria Math"/>
                      </w:rPr>
                      <m:t>s</m:t>
                    </m:r>
                  </m:sub>
                </m:sSub>
              </m:oMath>
            </m:oMathPara>
          </w:p>
        </w:tc>
        <w:tc>
          <w:tcPr>
            <w:tcW w:w="1052" w:type="dxa"/>
          </w:tcPr>
          <w:p w14:paraId="3245D82F" w14:textId="77777777" w:rsidR="00DB7BD6" w:rsidRDefault="00DB7BD6" w:rsidP="00DB7BD6">
            <w:pPr>
              <w:jc w:val="center"/>
            </w:pPr>
            <m:oMathPara>
              <m:oMath>
                <m:sSub>
                  <m:sSubPr>
                    <m:ctrlPr>
                      <w:rPr>
                        <w:rFonts w:ascii="Cambria Math" w:hAnsi="Cambria Math"/>
                        <w:i/>
                      </w:rPr>
                    </m:ctrlPr>
                  </m:sSubPr>
                  <m:e>
                    <m:r>
                      <w:rPr>
                        <w:rFonts w:ascii="Cambria Math" w:hAnsi="Cambria Math"/>
                      </w:rPr>
                      <m:t>G</m:t>
                    </m:r>
                  </m:e>
                  <m:sub>
                    <m:r>
                      <w:rPr>
                        <w:rFonts w:ascii="Cambria Math" w:hAnsi="Cambria Math"/>
                      </w:rPr>
                      <m:t>s</m:t>
                    </m:r>
                  </m:sub>
                </m:sSub>
              </m:oMath>
            </m:oMathPara>
          </w:p>
        </w:tc>
        <w:tc>
          <w:tcPr>
            <w:tcW w:w="3205" w:type="dxa"/>
          </w:tcPr>
          <w:p w14:paraId="3C8350ED" w14:textId="77777777" w:rsidR="00DB7BD6" w:rsidRDefault="00DB7BD6" w:rsidP="00DB7BD6">
            <w:pPr>
              <w:jc w:val="center"/>
            </w:pPr>
            <w:proofErr w:type="spellStart"/>
            <w:r>
              <w:t>Eqn</w:t>
            </w:r>
            <w:proofErr w:type="spellEnd"/>
            <w:r>
              <w:t xml:space="preserve"> 13.22, </w:t>
            </w:r>
            <w:proofErr w:type="spellStart"/>
            <w:r>
              <w:t>Eqn</w:t>
            </w:r>
            <w:proofErr w:type="spellEnd"/>
            <w:r>
              <w:t xml:space="preserve"> 13.29</w:t>
            </w:r>
          </w:p>
        </w:tc>
      </w:tr>
      <w:tr w:rsidR="00DB7BD6" w14:paraId="20BF2263" w14:textId="77777777" w:rsidTr="00DB7BD6">
        <w:trPr>
          <w:jc w:val="center"/>
        </w:trPr>
        <w:tc>
          <w:tcPr>
            <w:tcW w:w="1126" w:type="dxa"/>
          </w:tcPr>
          <w:p w14:paraId="4D251418" w14:textId="77777777" w:rsidR="00DB7BD6" w:rsidRDefault="00DB7BD6" w:rsidP="00DB7BD6">
            <w:pPr>
              <w:jc w:val="center"/>
            </w:pPr>
            <w:r>
              <w:t>13.22</w:t>
            </w:r>
          </w:p>
        </w:tc>
        <w:tc>
          <w:tcPr>
            <w:tcW w:w="2516" w:type="dxa"/>
          </w:tcPr>
          <w:p w14:paraId="2280BBBB" w14:textId="77777777" w:rsidR="00DB7BD6" w:rsidRDefault="00DB7BD6" w:rsidP="00DB7BD6">
            <w:pPr>
              <w:jc w:val="center"/>
            </w:pPr>
            <m:oMathPara>
              <m:oMath>
                <m:sSub>
                  <m:sSubPr>
                    <m:ctrlPr>
                      <w:rPr>
                        <w:rFonts w:ascii="Cambria Math" w:hAnsi="Cambria Math"/>
                        <w:b/>
                        <w:i/>
                      </w:rPr>
                    </m:ctrlPr>
                  </m:sSubPr>
                  <m:e>
                    <m:r>
                      <m:rPr>
                        <m:sty m:val="bi"/>
                      </m:rPr>
                      <w:rPr>
                        <w:rFonts w:ascii="Cambria Math" w:hAnsi="Cambria Math"/>
                      </w:rPr>
                      <m:t>G</m:t>
                    </m:r>
                  </m:e>
                  <m:sub>
                    <m:r>
                      <m:rPr>
                        <m:sty m:val="bi"/>
                      </m:rP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ρ</m:t>
                    </m:r>
                  </m:e>
                  <m:sub>
                    <m:r>
                      <w:rPr>
                        <w:rFonts w:ascii="Cambria Math" w:hAnsi="Cambria Math"/>
                      </w:rPr>
                      <m:t>s</m:t>
                    </m:r>
                  </m:sub>
                </m:sSub>
              </m:oMath>
            </m:oMathPara>
          </w:p>
        </w:tc>
        <w:tc>
          <w:tcPr>
            <w:tcW w:w="1052" w:type="dxa"/>
          </w:tcPr>
          <w:p w14:paraId="3FAEB4B3" w14:textId="77777777" w:rsidR="00DB7BD6" w:rsidRDefault="00DB7BD6" w:rsidP="00DB7BD6">
            <w:pPr>
              <w:jc w:val="center"/>
            </w:pPr>
            <m:oMathPara>
              <m:oMath>
                <m:sSub>
                  <m:sSubPr>
                    <m:ctrlPr>
                      <w:rPr>
                        <w:rFonts w:ascii="Cambria Math" w:hAnsi="Cambria Math"/>
                        <w:i/>
                      </w:rPr>
                    </m:ctrlPr>
                  </m:sSubPr>
                  <m:e>
                    <m:r>
                      <w:rPr>
                        <w:rFonts w:ascii="Cambria Math" w:hAnsi="Cambria Math"/>
                      </w:rPr>
                      <m:t>v</m:t>
                    </m:r>
                  </m:e>
                  <m:sub>
                    <m:r>
                      <w:rPr>
                        <w:rFonts w:ascii="Cambria Math" w:hAnsi="Cambria Math"/>
                      </w:rPr>
                      <m:t>s</m:t>
                    </m:r>
                  </m:sub>
                </m:sSub>
              </m:oMath>
            </m:oMathPara>
          </w:p>
        </w:tc>
        <w:tc>
          <w:tcPr>
            <w:tcW w:w="3205" w:type="dxa"/>
          </w:tcPr>
          <w:p w14:paraId="2C57009C" w14:textId="77777777" w:rsidR="00DB7BD6" w:rsidRDefault="00DB7BD6" w:rsidP="00DB7BD6">
            <w:pPr>
              <w:jc w:val="center"/>
            </w:pPr>
          </w:p>
        </w:tc>
      </w:tr>
      <w:tr w:rsidR="00DB7BD6" w14:paraId="14C72C69" w14:textId="77777777" w:rsidTr="00DB7BD6">
        <w:trPr>
          <w:jc w:val="center"/>
        </w:trPr>
        <w:tc>
          <w:tcPr>
            <w:tcW w:w="1126" w:type="dxa"/>
          </w:tcPr>
          <w:p w14:paraId="5F96EEE7" w14:textId="77777777" w:rsidR="00DB7BD6" w:rsidRDefault="00DB7BD6" w:rsidP="00DB7BD6">
            <w:pPr>
              <w:jc w:val="center"/>
            </w:pPr>
            <w:r>
              <w:t>13.23</w:t>
            </w:r>
          </w:p>
        </w:tc>
        <w:tc>
          <w:tcPr>
            <w:tcW w:w="2516" w:type="dxa"/>
          </w:tcPr>
          <w:p w14:paraId="3C5803F0" w14:textId="77777777" w:rsidR="00DB7BD6" w:rsidRDefault="00DB7BD6" w:rsidP="00DB7BD6">
            <w:pPr>
              <w:jc w:val="center"/>
            </w:pPr>
            <m:oMathPara>
              <m:oMath>
                <m:sSub>
                  <m:sSubPr>
                    <m:ctrlPr>
                      <w:rPr>
                        <w:rFonts w:ascii="Cambria Math" w:hAnsi="Cambria Math"/>
                        <w:i/>
                      </w:rPr>
                    </m:ctrlPr>
                  </m:sSubPr>
                  <m:e>
                    <m:r>
                      <w:rPr>
                        <w:rFonts w:ascii="Cambria Math" w:hAnsi="Cambria Math"/>
                      </w:rPr>
                      <m:t>D</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D</m:t>
                    </m:r>
                  </m:e>
                  <m:sub>
                    <m:r>
                      <w:rPr>
                        <w:rFonts w:ascii="Cambria Math" w:hAnsi="Cambria Math"/>
                      </w:rPr>
                      <m:t>0</m:t>
                    </m:r>
                  </m:sub>
                </m:sSub>
              </m:oMath>
            </m:oMathPara>
          </w:p>
        </w:tc>
        <w:tc>
          <w:tcPr>
            <w:tcW w:w="1052" w:type="dxa"/>
          </w:tcPr>
          <w:p w14:paraId="179BD6DF" w14:textId="77777777" w:rsidR="00DB7BD6" w:rsidRDefault="00DB7BD6" w:rsidP="00DB7BD6">
            <w:pPr>
              <w:jc w:val="center"/>
            </w:pPr>
            <m:oMathPara>
              <m:oMath>
                <m:sSub>
                  <m:sSubPr>
                    <m:ctrlPr>
                      <w:rPr>
                        <w:rFonts w:ascii="Cambria Math" w:hAnsi="Cambria Math"/>
                        <w:i/>
                      </w:rPr>
                    </m:ctrlPr>
                  </m:sSubPr>
                  <m:e>
                    <m:r>
                      <w:rPr>
                        <w:rFonts w:ascii="Cambria Math" w:hAnsi="Cambria Math"/>
                      </w:rPr>
                      <m:t>D</m:t>
                    </m:r>
                  </m:e>
                  <m:sub>
                    <m:r>
                      <w:rPr>
                        <w:rFonts w:ascii="Cambria Math" w:hAnsi="Cambria Math"/>
                      </w:rPr>
                      <m:t>e</m:t>
                    </m:r>
                  </m:sub>
                </m:sSub>
              </m:oMath>
            </m:oMathPara>
          </w:p>
        </w:tc>
        <w:tc>
          <w:tcPr>
            <w:tcW w:w="3205" w:type="dxa"/>
          </w:tcPr>
          <w:p w14:paraId="508EE3D4" w14:textId="77777777" w:rsidR="00DB7BD6" w:rsidRDefault="00DB7BD6" w:rsidP="00DB7BD6">
            <w:pPr>
              <w:jc w:val="center"/>
            </w:pPr>
            <w:proofErr w:type="spellStart"/>
            <w:r>
              <w:t>Eqn</w:t>
            </w:r>
            <w:proofErr w:type="spellEnd"/>
            <w:r>
              <w:t xml:space="preserve"> 13.24, </w:t>
            </w:r>
            <w:proofErr w:type="spellStart"/>
            <w:r>
              <w:t>Eqn</w:t>
            </w:r>
            <w:proofErr w:type="spellEnd"/>
            <w:r>
              <w:t xml:space="preserve"> 13.26, </w:t>
            </w:r>
            <w:proofErr w:type="spellStart"/>
            <w:r>
              <w:t>Eqn</w:t>
            </w:r>
            <w:proofErr w:type="spellEnd"/>
            <w:r>
              <w:t xml:space="preserve"> 13.29</w:t>
            </w:r>
          </w:p>
        </w:tc>
      </w:tr>
      <w:tr w:rsidR="00DB7BD6" w14:paraId="63CEAF96" w14:textId="77777777" w:rsidTr="00DB7BD6">
        <w:trPr>
          <w:jc w:val="center"/>
        </w:trPr>
        <w:tc>
          <w:tcPr>
            <w:tcW w:w="1126" w:type="dxa"/>
          </w:tcPr>
          <w:p w14:paraId="37FF7D4E" w14:textId="77777777" w:rsidR="00DB7BD6" w:rsidRDefault="00DB7BD6" w:rsidP="00DB7BD6">
            <w:pPr>
              <w:jc w:val="center"/>
            </w:pPr>
            <w:r>
              <w:t>13.24</w:t>
            </w:r>
          </w:p>
        </w:tc>
        <w:tc>
          <w:tcPr>
            <w:tcW w:w="2516" w:type="dxa"/>
          </w:tcPr>
          <w:p w14:paraId="5F76E5E9" w14:textId="77777777" w:rsidR="00DB7BD6" w:rsidRDefault="00DB7BD6" w:rsidP="00DB7BD6">
            <w:pPr>
              <w:jc w:val="center"/>
            </w:pPr>
            <m:oMath>
              <m:sSub>
                <m:sSubPr>
                  <m:ctrlPr>
                    <w:rPr>
                      <w:rFonts w:ascii="Cambria Math" w:hAnsi="Cambria Math"/>
                      <w:b/>
                      <w:i/>
                    </w:rPr>
                  </m:ctrlPr>
                </m:sSubPr>
                <m:e>
                  <m:r>
                    <m:rPr>
                      <m:sty m:val="bi"/>
                    </m:rPr>
                    <w:rPr>
                      <w:rFonts w:ascii="Cambria Math" w:hAnsi="Cambria Math"/>
                    </w:rPr>
                    <m:t>D</m:t>
                  </m:r>
                </m:e>
                <m:sub>
                  <m:r>
                    <m:rPr>
                      <m:sty m:val="bi"/>
                    </m:rPr>
                    <w:rPr>
                      <w:rFonts w:ascii="Cambria Math" w:hAnsi="Cambria Math"/>
                    </w:rPr>
                    <m:t>e</m:t>
                  </m:r>
                </m:sub>
              </m:sSub>
              <m:r>
                <w:rPr>
                  <w:rFonts w:ascii="Cambria Math" w:hAnsi="Cambria Math"/>
                </w:rPr>
                <m:t>,</m:t>
              </m:r>
              <m:sSub>
                <m:sSubPr>
                  <m:ctrlPr>
                    <w:rPr>
                      <w:rFonts w:ascii="Cambria Math" w:hAnsi="Cambria Math"/>
                      <w:i/>
                    </w:rPr>
                  </m:ctrlPr>
                </m:sSubPr>
                <m:e>
                  <m:r>
                    <w:rPr>
                      <w:rFonts w:ascii="Cambria Math" w:hAnsi="Cambria Math"/>
                    </w:rPr>
                    <m:t>G</m:t>
                  </m:r>
                </m:e>
                <m:sub>
                  <m:r>
                    <w:rPr>
                      <w:rFonts w:ascii="Cambria Math" w:hAnsi="Cambria Math"/>
                    </w:rPr>
                    <m:t>s</m:t>
                  </m:r>
                </m:sub>
              </m:sSub>
            </m:oMath>
            <w:r>
              <w:t>,</w:t>
            </w:r>
            <m:oMath>
              <m:r>
                <w:rPr>
                  <w:rFonts w:ascii="Cambria Math" w:hAnsi="Cambria Math"/>
                </w:rPr>
                <m:t xml:space="preserve"> </m:t>
              </m:r>
              <m:sSub>
                <m:sSubPr>
                  <m:ctrlPr>
                    <w:rPr>
                      <w:rFonts w:ascii="Cambria Math" w:hAnsi="Cambria Math"/>
                      <w:i/>
                    </w:rPr>
                  </m:ctrlPr>
                </m:sSubPr>
                <m:e>
                  <m:r>
                    <w:rPr>
                      <w:rFonts w:ascii="Cambria Math" w:hAnsi="Cambria Math"/>
                    </w:rPr>
                    <m:t>μ</m:t>
                  </m:r>
                </m:e>
                <m:sub>
                  <m:r>
                    <w:rPr>
                      <w:rFonts w:ascii="Cambria Math" w:hAnsi="Cambria Math"/>
                    </w:rPr>
                    <m:t>s</m:t>
                  </m:r>
                </m:sub>
              </m:sSub>
            </m:oMath>
          </w:p>
        </w:tc>
        <w:tc>
          <w:tcPr>
            <w:tcW w:w="1052" w:type="dxa"/>
          </w:tcPr>
          <w:p w14:paraId="6F5F0DE8" w14:textId="77777777" w:rsidR="00DB7BD6" w:rsidRDefault="00DB7BD6" w:rsidP="00DB7BD6">
            <w:pPr>
              <w:jc w:val="center"/>
            </w:pPr>
            <m:oMathPara>
              <m:oMath>
                <m:sSub>
                  <m:sSubPr>
                    <m:ctrlPr>
                      <w:rPr>
                        <w:rFonts w:ascii="Cambria Math" w:hAnsi="Cambria Math"/>
                        <w:i/>
                      </w:rPr>
                    </m:ctrlPr>
                  </m:sSubPr>
                  <m:e>
                    <m:r>
                      <w:rPr>
                        <w:rFonts w:ascii="Cambria Math" w:hAnsi="Cambria Math"/>
                      </w:rPr>
                      <m:t>Re</m:t>
                    </m:r>
                  </m:e>
                  <m:sub>
                    <m:r>
                      <w:rPr>
                        <w:rFonts w:ascii="Cambria Math" w:hAnsi="Cambria Math"/>
                      </w:rPr>
                      <m:t>s</m:t>
                    </m:r>
                  </m:sub>
                </m:sSub>
              </m:oMath>
            </m:oMathPara>
          </w:p>
        </w:tc>
        <w:tc>
          <w:tcPr>
            <w:tcW w:w="3205" w:type="dxa"/>
          </w:tcPr>
          <w:p w14:paraId="2CA57D8F" w14:textId="77777777" w:rsidR="00DB7BD6" w:rsidRDefault="00DB7BD6" w:rsidP="00DB7BD6">
            <w:pPr>
              <w:jc w:val="center"/>
            </w:pPr>
          </w:p>
        </w:tc>
      </w:tr>
      <w:tr w:rsidR="00DB7BD6" w14:paraId="7A71C982" w14:textId="77777777" w:rsidTr="00DB7BD6">
        <w:trPr>
          <w:jc w:val="center"/>
        </w:trPr>
        <w:tc>
          <w:tcPr>
            <w:tcW w:w="1126" w:type="dxa"/>
          </w:tcPr>
          <w:p w14:paraId="0B330921" w14:textId="77777777" w:rsidR="00DB7BD6" w:rsidRDefault="00DB7BD6" w:rsidP="00DB7BD6">
            <w:pPr>
              <w:jc w:val="center"/>
            </w:pPr>
            <w:r>
              <w:t>13.25</w:t>
            </w:r>
          </w:p>
        </w:tc>
        <w:tc>
          <w:tcPr>
            <w:tcW w:w="2516" w:type="dxa"/>
          </w:tcPr>
          <w:p w14:paraId="3FF1DF3A" w14:textId="77777777" w:rsidR="00DB7BD6" w:rsidRDefault="00DB7BD6" w:rsidP="00DB7BD6">
            <w:pPr>
              <w:jc w:val="center"/>
            </w:pPr>
            <m:oMathPara>
              <m:oMath>
                <m:sSub>
                  <m:sSubPr>
                    <m:ctrlPr>
                      <w:rPr>
                        <w:rFonts w:ascii="Cambria Math" w:hAnsi="Cambria Math"/>
                        <w:i/>
                      </w:rPr>
                    </m:ctrlPr>
                  </m:sSubPr>
                  <m:e>
                    <m:r>
                      <w:rPr>
                        <w:rFonts w:ascii="Cambria Math" w:hAnsi="Cambria Math"/>
                      </w:rPr>
                      <m:t>c</m:t>
                    </m:r>
                  </m:e>
                  <m:sub>
                    <m:r>
                      <w:rPr>
                        <w:rFonts w:ascii="Cambria Math" w:hAnsi="Cambria Math"/>
                      </w:rPr>
                      <m:t>p,s</m:t>
                    </m:r>
                  </m:sub>
                </m:sSub>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f,s</m:t>
                    </m:r>
                  </m:sub>
                </m:sSub>
              </m:oMath>
            </m:oMathPara>
          </w:p>
        </w:tc>
        <w:tc>
          <w:tcPr>
            <w:tcW w:w="1052" w:type="dxa"/>
          </w:tcPr>
          <w:p w14:paraId="3D0D7C4D" w14:textId="77777777" w:rsidR="00DB7BD6" w:rsidRDefault="00DB7BD6" w:rsidP="00DB7BD6">
            <w:pPr>
              <w:jc w:val="center"/>
            </w:pPr>
            <m:oMathPara>
              <m:oMath>
                <m:sSub>
                  <m:sSubPr>
                    <m:ctrlPr>
                      <w:rPr>
                        <w:rFonts w:ascii="Cambria Math" w:hAnsi="Cambria Math"/>
                        <w:i/>
                      </w:rPr>
                    </m:ctrlPr>
                  </m:sSubPr>
                  <m:e>
                    <m:r>
                      <w:rPr>
                        <w:rFonts w:ascii="Cambria Math" w:hAnsi="Cambria Math"/>
                      </w:rPr>
                      <m:t>Pr</m:t>
                    </m:r>
                  </m:e>
                  <m:sub>
                    <m:r>
                      <w:rPr>
                        <w:rFonts w:ascii="Cambria Math" w:hAnsi="Cambria Math"/>
                      </w:rPr>
                      <m:t>s</m:t>
                    </m:r>
                  </m:sub>
                </m:sSub>
              </m:oMath>
            </m:oMathPara>
          </w:p>
        </w:tc>
        <w:tc>
          <w:tcPr>
            <w:tcW w:w="3205" w:type="dxa"/>
          </w:tcPr>
          <w:p w14:paraId="496673B5" w14:textId="77777777" w:rsidR="00DB7BD6" w:rsidRDefault="00DB7BD6" w:rsidP="00DB7BD6">
            <w:pPr>
              <w:jc w:val="center"/>
            </w:pPr>
          </w:p>
        </w:tc>
      </w:tr>
      <w:tr w:rsidR="00DB7BD6" w14:paraId="5A86B5AF" w14:textId="77777777" w:rsidTr="00DB7BD6">
        <w:trPr>
          <w:jc w:val="center"/>
        </w:trPr>
        <w:tc>
          <w:tcPr>
            <w:tcW w:w="1126" w:type="dxa"/>
          </w:tcPr>
          <w:p w14:paraId="7A4C697F" w14:textId="77777777" w:rsidR="00DB7BD6" w:rsidRDefault="00DB7BD6" w:rsidP="00DB7BD6">
            <w:pPr>
              <w:jc w:val="center"/>
            </w:pPr>
            <w:r>
              <w:t>13.26</w:t>
            </w:r>
          </w:p>
        </w:tc>
        <w:tc>
          <w:tcPr>
            <w:tcW w:w="2516" w:type="dxa"/>
          </w:tcPr>
          <w:p w14:paraId="60783548" w14:textId="77777777" w:rsidR="00DB7BD6" w:rsidRDefault="00DB7BD6" w:rsidP="00DB7BD6">
            <w:pPr>
              <w:jc w:val="center"/>
            </w:pPr>
            <m:oMathPara>
              <m:oMath>
                <m:sSub>
                  <m:sSubPr>
                    <m:ctrlPr>
                      <w:rPr>
                        <w:rFonts w:ascii="Cambria Math" w:hAnsi="Cambria Math"/>
                        <w:b/>
                        <w:i/>
                      </w:rPr>
                    </m:ctrlPr>
                  </m:sSubPr>
                  <m:e>
                    <m:r>
                      <m:rPr>
                        <m:sty m:val="bi"/>
                      </m:rPr>
                      <w:rPr>
                        <w:rFonts w:ascii="Cambria Math" w:hAnsi="Cambria Math"/>
                      </w:rPr>
                      <m:t>D</m:t>
                    </m:r>
                  </m:e>
                  <m:sub>
                    <m:r>
                      <m:rPr>
                        <m:sty m:val="bi"/>
                      </m:rPr>
                      <w:rPr>
                        <w:rFonts w:ascii="Cambria Math" w:hAnsi="Cambria Math"/>
                      </w:rPr>
                      <m:t>e</m:t>
                    </m:r>
                  </m:sub>
                </m:sSub>
                <m:r>
                  <w:rPr>
                    <w:rFonts w:ascii="Cambria Math" w:hAnsi="Cambria Math"/>
                  </w:rPr>
                  <m:t>,</m:t>
                </m:r>
                <m:sSub>
                  <m:sSubPr>
                    <m:ctrlPr>
                      <w:rPr>
                        <w:rFonts w:ascii="Cambria Math" w:hAnsi="Cambria Math"/>
                        <w:i/>
                      </w:rPr>
                    </m:ctrlPr>
                  </m:sSubPr>
                  <m:e>
                    <m:r>
                      <w:rPr>
                        <w:rFonts w:ascii="Cambria Math" w:hAnsi="Cambria Math"/>
                      </w:rPr>
                      <m:t>h</m:t>
                    </m:r>
                  </m:e>
                  <m:sub>
                    <m:r>
                      <w:rPr>
                        <w:rFonts w:ascii="Cambria Math" w:hAnsi="Cambria Math"/>
                      </w:rPr>
                      <m:t>s</m:t>
                    </m:r>
                  </m:sub>
                </m:sSub>
                <m:r>
                  <w:rPr>
                    <w:rFonts w:ascii="Cambria Math" w:hAnsi="Cambria Math"/>
                  </w:rPr>
                  <m:t xml:space="preserve">, </m:t>
                </m:r>
                <m:sSub>
                  <m:sSubPr>
                    <m:ctrlPr>
                      <w:rPr>
                        <w:rFonts w:ascii="Cambria Math" w:hAnsi="Cambria Math"/>
                        <w:i/>
                      </w:rPr>
                    </m:ctrlPr>
                  </m:sSubPr>
                  <m:e>
                    <m:r>
                      <w:rPr>
                        <w:rFonts w:ascii="Cambria Math" w:hAnsi="Cambria Math"/>
                      </w:rPr>
                      <m:t>k</m:t>
                    </m:r>
                  </m:e>
                  <m:sub>
                    <m:r>
                      <w:rPr>
                        <w:rFonts w:ascii="Cambria Math" w:hAnsi="Cambria Math"/>
                      </w:rPr>
                      <m:t>f,s</m:t>
                    </m:r>
                  </m:sub>
                </m:sSub>
              </m:oMath>
            </m:oMathPara>
          </w:p>
        </w:tc>
        <w:tc>
          <w:tcPr>
            <w:tcW w:w="1052" w:type="dxa"/>
          </w:tcPr>
          <w:p w14:paraId="7EA0E6A4" w14:textId="77777777" w:rsidR="00DB7BD6" w:rsidRDefault="00DB7BD6" w:rsidP="00DB7BD6">
            <w:pPr>
              <w:jc w:val="center"/>
            </w:pPr>
            <m:oMathPara>
              <m:oMath>
                <m:sSub>
                  <m:sSubPr>
                    <m:ctrlPr>
                      <w:rPr>
                        <w:rFonts w:ascii="Cambria Math" w:hAnsi="Cambria Math"/>
                        <w:i/>
                      </w:rPr>
                    </m:ctrlPr>
                  </m:sSubPr>
                  <m:e>
                    <m:r>
                      <w:rPr>
                        <w:rFonts w:ascii="Cambria Math" w:hAnsi="Cambria Math"/>
                      </w:rPr>
                      <m:t>Nu</m:t>
                    </m:r>
                  </m:e>
                  <m:sub>
                    <m:r>
                      <w:rPr>
                        <w:rFonts w:ascii="Cambria Math" w:hAnsi="Cambria Math"/>
                      </w:rPr>
                      <m:t>s</m:t>
                    </m:r>
                  </m:sub>
                </m:sSub>
              </m:oMath>
            </m:oMathPara>
          </w:p>
        </w:tc>
        <w:tc>
          <w:tcPr>
            <w:tcW w:w="3205" w:type="dxa"/>
          </w:tcPr>
          <w:p w14:paraId="7DBD1976" w14:textId="77777777" w:rsidR="00DB7BD6" w:rsidRDefault="00DB7BD6" w:rsidP="00DB7BD6">
            <w:pPr>
              <w:jc w:val="center"/>
            </w:pPr>
          </w:p>
        </w:tc>
      </w:tr>
      <w:tr w:rsidR="00DB7BD6" w14:paraId="10D42EC9" w14:textId="77777777" w:rsidTr="00DB7BD6">
        <w:trPr>
          <w:jc w:val="center"/>
        </w:trPr>
        <w:tc>
          <w:tcPr>
            <w:tcW w:w="1126" w:type="dxa"/>
          </w:tcPr>
          <w:p w14:paraId="7CF4D11D" w14:textId="77777777" w:rsidR="00DB7BD6" w:rsidRDefault="00DB7BD6" w:rsidP="00DB7BD6">
            <w:pPr>
              <w:jc w:val="center"/>
            </w:pPr>
            <w:r>
              <w:t>13.27</w:t>
            </w:r>
          </w:p>
        </w:tc>
        <w:tc>
          <w:tcPr>
            <w:tcW w:w="2516" w:type="dxa"/>
          </w:tcPr>
          <w:p w14:paraId="57073DDE" w14:textId="77777777" w:rsidR="00DB7BD6" w:rsidRDefault="00DB7BD6" w:rsidP="00DB7BD6">
            <w:pPr>
              <w:jc w:val="center"/>
            </w:pPr>
            <m:oMath>
              <m:sSub>
                <m:sSubPr>
                  <m:ctrlPr>
                    <w:rPr>
                      <w:rFonts w:ascii="Cambria Math" w:hAnsi="Cambria Math"/>
                      <w:i/>
                    </w:rPr>
                  </m:ctrlPr>
                </m:sSubPr>
                <m:e>
                  <m:r>
                    <w:rPr>
                      <w:rFonts w:ascii="Cambria Math" w:hAnsi="Cambria Math"/>
                    </w:rPr>
                    <m:t>h</m:t>
                  </m:r>
                </m:e>
                <m:sub>
                  <m:r>
                    <w:rPr>
                      <w:rFonts w:ascii="Cambria Math" w:hAnsi="Cambria Math"/>
                    </w:rPr>
                    <m:t>s</m:t>
                  </m:r>
                </m:sub>
              </m:sSub>
            </m:oMath>
            <w:r>
              <w:t>,</w:t>
            </w:r>
            <m:oMath>
              <m:r>
                <w:rPr>
                  <w:rFonts w:ascii="Cambria Math" w:hAnsi="Cambria Math"/>
                </w:rPr>
                <m:t xml:space="preserve"> </m:t>
              </m:r>
              <m:sSub>
                <m:sSubPr>
                  <m:ctrlPr>
                    <w:rPr>
                      <w:rFonts w:ascii="Cambria Math" w:hAnsi="Cambria Math"/>
                      <w:i/>
                    </w:rPr>
                  </m:ctrlPr>
                </m:sSubPr>
                <m:e>
                  <m:r>
                    <w:rPr>
                      <w:rFonts w:ascii="Cambria Math" w:hAnsi="Cambria Math"/>
                    </w:rPr>
                    <m:t>h</m:t>
                  </m:r>
                </m:e>
                <m:sub>
                  <m:r>
                    <w:rPr>
                      <w:rFonts w:ascii="Cambria Math" w:hAnsi="Cambria Math"/>
                    </w:rPr>
                    <m:t>od</m:t>
                  </m:r>
                </m:sub>
              </m:sSub>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D</m:t>
                      </m:r>
                    </m:e>
                    <m:sub>
                      <m:r>
                        <w:rPr>
                          <w:rFonts w:ascii="Cambria Math" w:hAnsi="Cambria Math"/>
                        </w:rPr>
                        <m:t>o</m:t>
                      </m:r>
                    </m:sub>
                  </m:sSub>
                  <m:r>
                    <w:rPr>
                      <w:rFonts w:ascii="Cambria Math" w:hAnsi="Cambria Math"/>
                    </w:rPr>
                    <m:t>,</m:t>
                  </m:r>
                  <m:sSub>
                    <m:sSubPr>
                      <m:ctrlPr>
                        <w:rPr>
                          <w:rFonts w:ascii="Cambria Math" w:hAnsi="Cambria Math"/>
                          <w:i/>
                        </w:rPr>
                      </m:ctrlPr>
                    </m:sSubPr>
                    <m:e>
                      <m:r>
                        <w:rPr>
                          <w:rFonts w:ascii="Cambria Math" w:hAnsi="Cambria Math"/>
                        </w:rPr>
                        <m:t>D</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w</m:t>
                      </m:r>
                    </m:sub>
                  </m:sSub>
                  <m:r>
                    <w:rPr>
                      <w:rFonts w:ascii="Cambria Math" w:hAnsi="Cambria Math"/>
                    </w:rPr>
                    <m:t>,h</m:t>
                  </m:r>
                </m:e>
                <m:sub>
                  <m:r>
                    <w:rPr>
                      <w:rFonts w:ascii="Cambria Math" w:hAnsi="Cambria Math"/>
                    </w:rPr>
                    <m:t>id</m:t>
                  </m:r>
                </m:sub>
              </m:sSub>
              <m:r>
                <w:rPr>
                  <w:rFonts w:ascii="Cambria Math" w:hAnsi="Cambria Math"/>
                </w:rPr>
                <m:t>,</m:t>
              </m:r>
              <m:sSub>
                <m:sSubPr>
                  <m:ctrlPr>
                    <w:rPr>
                      <w:rFonts w:ascii="Cambria Math" w:hAnsi="Cambria Math"/>
                      <w:i/>
                    </w:rPr>
                  </m:ctrlPr>
                </m:sSubPr>
                <m:e>
                  <m:r>
                    <w:rPr>
                      <w:rFonts w:ascii="Cambria Math" w:hAnsi="Cambria Math"/>
                    </w:rPr>
                    <m:t>h</m:t>
                  </m:r>
                </m:e>
                <m:sub>
                  <m:r>
                    <w:rPr>
                      <w:rFonts w:ascii="Cambria Math" w:hAnsi="Cambria Math"/>
                    </w:rPr>
                    <m:t>i</m:t>
                  </m:r>
                </m:sub>
              </m:sSub>
            </m:oMath>
          </w:p>
        </w:tc>
        <w:tc>
          <w:tcPr>
            <w:tcW w:w="1052" w:type="dxa"/>
          </w:tcPr>
          <w:p w14:paraId="4BDD6310" w14:textId="77777777" w:rsidR="00DB7BD6" w:rsidRDefault="00DB7BD6" w:rsidP="00DB7BD6">
            <w:pPr>
              <w:jc w:val="center"/>
            </w:pPr>
            <w:r>
              <w:t>U</w:t>
            </w:r>
          </w:p>
        </w:tc>
        <w:tc>
          <w:tcPr>
            <w:tcW w:w="3205" w:type="dxa"/>
          </w:tcPr>
          <w:p w14:paraId="072E287E" w14:textId="77777777" w:rsidR="00DB7BD6" w:rsidRDefault="00DB7BD6" w:rsidP="00DB7BD6">
            <w:pPr>
              <w:jc w:val="center"/>
            </w:pPr>
          </w:p>
        </w:tc>
      </w:tr>
      <w:tr w:rsidR="00DB7BD6" w14:paraId="062F315E" w14:textId="77777777" w:rsidTr="00DB7BD6">
        <w:trPr>
          <w:jc w:val="center"/>
        </w:trPr>
        <w:tc>
          <w:tcPr>
            <w:tcW w:w="1126" w:type="dxa"/>
          </w:tcPr>
          <w:p w14:paraId="371393A9" w14:textId="77777777" w:rsidR="00DB7BD6" w:rsidRDefault="00DB7BD6" w:rsidP="00DB7BD6">
            <w:pPr>
              <w:jc w:val="center"/>
            </w:pPr>
            <w:r>
              <w:t>13.28</w:t>
            </w:r>
          </w:p>
        </w:tc>
        <w:tc>
          <w:tcPr>
            <w:tcW w:w="2516" w:type="dxa"/>
          </w:tcPr>
          <w:p w14:paraId="05148E8B" w14:textId="77777777" w:rsidR="00DB7BD6" w:rsidRPr="002A3525" w:rsidRDefault="00DB7BD6" w:rsidP="00DB7BD6">
            <w:pPr>
              <w:jc w:val="center"/>
              <w:rPr>
                <w:b/>
              </w:rPr>
            </w:pPr>
            <m:oMathPara>
              <m:oMath>
                <m:sSub>
                  <m:sSubPr>
                    <m:ctrlPr>
                      <w:rPr>
                        <w:rFonts w:ascii="Cambria Math" w:hAnsi="Cambria Math"/>
                        <w:b/>
                        <w:i/>
                      </w:rPr>
                    </m:ctrlPr>
                  </m:sSubPr>
                  <m:e>
                    <m:r>
                      <m:rPr>
                        <m:sty m:val="bi"/>
                      </m:rPr>
                      <w:rPr>
                        <w:rFonts w:ascii="Cambria Math" w:hAnsi="Cambria Math"/>
                      </w:rPr>
                      <m:t>v</m:t>
                    </m:r>
                  </m:e>
                  <m:sub>
                    <m:r>
                      <m:rPr>
                        <m:sty m:val="bi"/>
                      </m:rPr>
                      <w:rPr>
                        <w:rFonts w:ascii="Cambria Math" w:hAnsi="Cambria Math"/>
                      </w:rPr>
                      <m:t>tu</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pass</m:t>
                    </m:r>
                  </m:sub>
                </m:sSub>
                <m:r>
                  <w:rPr>
                    <w:rFonts w:ascii="Cambria Math" w:hAnsi="Cambria Math"/>
                  </w:rPr>
                  <m:t>,</m:t>
                </m:r>
                <m:sSub>
                  <m:sSubPr>
                    <m:ctrlPr>
                      <w:rPr>
                        <w:rFonts w:ascii="Cambria Math" w:hAnsi="Cambria Math"/>
                        <w:i/>
                      </w:rPr>
                    </m:ctrlPr>
                  </m:sSubPr>
                  <m:e>
                    <m:r>
                      <w:rPr>
                        <w:rFonts w:ascii="Cambria Math" w:hAnsi="Cambria Math"/>
                      </w:rPr>
                      <m:t>j</m:t>
                    </m:r>
                  </m:e>
                  <m:sub>
                    <m:r>
                      <w:rPr>
                        <w:rFonts w:ascii="Cambria Math" w:hAnsi="Cambria Math"/>
                      </w:rPr>
                      <m:t>tu</m:t>
                    </m:r>
                  </m:sub>
                </m:sSub>
                <m:r>
                  <w:rPr>
                    <w:rFonts w:ascii="Cambria Math" w:hAnsi="Cambria Math"/>
                  </w:rPr>
                  <m:t>,L,</m:t>
                </m:r>
                <m:sSub>
                  <m:sSubPr>
                    <m:ctrlPr>
                      <w:rPr>
                        <w:rFonts w:ascii="Cambria Math" w:hAnsi="Cambria Math"/>
                        <w:i/>
                      </w:rPr>
                    </m:ctrlPr>
                  </m:sSubPr>
                  <m:e>
                    <m:r>
                      <w:rPr>
                        <w:rFonts w:ascii="Cambria Math" w:hAnsi="Cambria Math"/>
                      </w:rPr>
                      <m:t>D</m:t>
                    </m:r>
                  </m:e>
                  <m:sub>
                    <m:r>
                      <w:rPr>
                        <w:rFonts w:ascii="Cambria Math" w:hAnsi="Cambria Math"/>
                      </w:rPr>
                      <m:t>i,</m:t>
                    </m:r>
                  </m:sub>
                </m:sSub>
                <m:sSub>
                  <m:sSubPr>
                    <m:ctrlPr>
                      <w:rPr>
                        <w:rFonts w:ascii="Cambria Math" w:hAnsi="Cambria Math"/>
                        <w:i/>
                      </w:rPr>
                    </m:ctrlPr>
                  </m:sSubPr>
                  <m:e>
                    <m:r>
                      <w:rPr>
                        <w:rFonts w:ascii="Cambria Math" w:hAnsi="Cambria Math"/>
                      </w:rPr>
                      <m:t>ρ</m:t>
                    </m:r>
                  </m:e>
                  <m:sub>
                    <m:r>
                      <w:rPr>
                        <w:rFonts w:ascii="Cambria Math" w:hAnsi="Cambria Math"/>
                      </w:rPr>
                      <m:t>tu</m:t>
                    </m:r>
                  </m:sub>
                </m:sSub>
              </m:oMath>
            </m:oMathPara>
          </w:p>
        </w:tc>
        <w:tc>
          <w:tcPr>
            <w:tcW w:w="1052" w:type="dxa"/>
          </w:tcPr>
          <w:p w14:paraId="00AD1D4D" w14:textId="77777777" w:rsidR="00DB7BD6" w:rsidRDefault="00DB7BD6" w:rsidP="00DB7BD6">
            <w:pPr>
              <w:jc w:val="center"/>
            </w:pPr>
            <m:oMathPara>
              <m:oMath>
                <m:sSub>
                  <m:sSubPr>
                    <m:ctrlPr>
                      <w:rPr>
                        <w:rFonts w:ascii="Cambria Math" w:hAnsi="Cambria Math"/>
                        <w:i/>
                      </w:rPr>
                    </m:ctrlPr>
                  </m:sSubPr>
                  <m:e>
                    <m:r>
                      <w:rPr>
                        <w:rFonts w:ascii="Cambria Math" w:hAnsi="Cambria Math"/>
                      </w:rPr>
                      <m:t>∆P</m:t>
                    </m:r>
                  </m:e>
                  <m:sub>
                    <m:r>
                      <w:rPr>
                        <w:rFonts w:ascii="Cambria Math" w:hAnsi="Cambria Math"/>
                      </w:rPr>
                      <m:t>tu</m:t>
                    </m:r>
                  </m:sub>
                </m:sSub>
              </m:oMath>
            </m:oMathPara>
          </w:p>
        </w:tc>
        <w:tc>
          <w:tcPr>
            <w:tcW w:w="3205" w:type="dxa"/>
          </w:tcPr>
          <w:p w14:paraId="0C49CC4C" w14:textId="77777777" w:rsidR="00DB7BD6" w:rsidRDefault="00DB7BD6" w:rsidP="00DB7BD6">
            <w:pPr>
              <w:jc w:val="center"/>
            </w:pPr>
            <w:r>
              <w:t xml:space="preserve"> </w:t>
            </w:r>
          </w:p>
        </w:tc>
      </w:tr>
      <w:tr w:rsidR="00DB7BD6" w14:paraId="50A453B8" w14:textId="77777777" w:rsidTr="00DB7BD6">
        <w:trPr>
          <w:jc w:val="center"/>
        </w:trPr>
        <w:tc>
          <w:tcPr>
            <w:tcW w:w="1126" w:type="dxa"/>
          </w:tcPr>
          <w:p w14:paraId="5B859323" w14:textId="77777777" w:rsidR="00DB7BD6" w:rsidRDefault="00DB7BD6" w:rsidP="00DB7BD6">
            <w:pPr>
              <w:jc w:val="center"/>
            </w:pPr>
            <w:r>
              <w:t>13.29</w:t>
            </w:r>
          </w:p>
        </w:tc>
        <w:tc>
          <w:tcPr>
            <w:tcW w:w="2516" w:type="dxa"/>
          </w:tcPr>
          <w:p w14:paraId="2E6A9FD0" w14:textId="77777777" w:rsidR="00DB7BD6" w:rsidRDefault="00DB7BD6" w:rsidP="00DB7BD6">
            <w:pPr>
              <w:jc w:val="center"/>
            </w:pPr>
            <m:oMathPara>
              <m:oMath>
                <m:sSub>
                  <m:sSubPr>
                    <m:ctrlPr>
                      <w:rPr>
                        <w:rFonts w:ascii="Cambria Math" w:hAnsi="Cambria Math"/>
                        <w:b/>
                        <w:i/>
                      </w:rPr>
                    </m:ctrlPr>
                  </m:sSubPr>
                  <m:e>
                    <m:sSub>
                      <m:sSubPr>
                        <m:ctrlPr>
                          <w:rPr>
                            <w:rFonts w:ascii="Cambria Math" w:hAnsi="Cambria Math"/>
                            <w:b/>
                            <w:i/>
                          </w:rPr>
                        </m:ctrlPr>
                      </m:sSubPr>
                      <m:e>
                        <m:r>
                          <m:rPr>
                            <m:sty m:val="bi"/>
                          </m:rPr>
                          <w:rPr>
                            <w:rFonts w:ascii="Cambria Math" w:hAnsi="Cambria Math"/>
                          </w:rPr>
                          <m:t>D</m:t>
                        </m:r>
                      </m:e>
                      <m:sub>
                        <m:r>
                          <m:rPr>
                            <m:sty m:val="bi"/>
                          </m:rPr>
                          <w:rPr>
                            <w:rFonts w:ascii="Cambria Math" w:hAnsi="Cambria Math"/>
                          </w:rPr>
                          <m:t>s</m:t>
                        </m:r>
                      </m:sub>
                    </m:sSub>
                    <m:r>
                      <w:rPr>
                        <w:rFonts w:ascii="Cambria Math" w:hAnsi="Cambria Math"/>
                      </w:rPr>
                      <m:t>,</m:t>
                    </m:r>
                    <m:r>
                      <m:rPr>
                        <m:sty m:val="bi"/>
                      </m:rPr>
                      <w:rPr>
                        <w:rFonts w:ascii="Cambria Math" w:hAnsi="Cambria Math"/>
                      </w:rPr>
                      <m:t>G</m:t>
                    </m:r>
                  </m:e>
                  <m:sub>
                    <m:r>
                      <m:rPr>
                        <m:sty m:val="bi"/>
                      </m:rPr>
                      <w:rPr>
                        <w:rFonts w:ascii="Cambria Math" w:hAnsi="Cambria Math"/>
                      </w:rPr>
                      <m:t>s</m:t>
                    </m:r>
                  </m:sub>
                </m:sSub>
                <m:r>
                  <m:rPr>
                    <m:sty m:val="bi"/>
                  </m:rPr>
                  <w:rPr>
                    <w:rFonts w:ascii="Cambria Math" w:hAnsi="Cambria Math"/>
                  </w:rPr>
                  <m:t>,</m:t>
                </m:r>
                <m:sSub>
                  <m:sSubPr>
                    <m:ctrlPr>
                      <w:rPr>
                        <w:rFonts w:ascii="Cambria Math" w:hAnsi="Cambria Math"/>
                        <w:b/>
                        <w:i/>
                      </w:rPr>
                    </m:ctrlPr>
                  </m:sSubPr>
                  <m:e>
                    <m:sSub>
                      <m:sSubPr>
                        <m:ctrlPr>
                          <w:rPr>
                            <w:rFonts w:ascii="Cambria Math" w:hAnsi="Cambria Math"/>
                            <w:b/>
                            <w:i/>
                          </w:rPr>
                        </m:ctrlPr>
                      </m:sSubPr>
                      <m:e>
                        <m:r>
                          <m:rPr>
                            <m:sty m:val="bi"/>
                          </m:rPr>
                          <w:rPr>
                            <w:rFonts w:ascii="Cambria Math" w:hAnsi="Cambria Math"/>
                          </w:rPr>
                          <m:t>l</m:t>
                        </m:r>
                      </m:e>
                      <m:sub>
                        <m:r>
                          <m:rPr>
                            <m:sty m:val="bi"/>
                          </m:rPr>
                          <w:rPr>
                            <w:rFonts w:ascii="Cambria Math" w:hAnsi="Cambria Math"/>
                          </w:rPr>
                          <m:t>Ba</m:t>
                        </m:r>
                      </m:sub>
                    </m:sSub>
                    <m:r>
                      <m:rPr>
                        <m:sty m:val="bi"/>
                      </m:rPr>
                      <w:rPr>
                        <w:rFonts w:ascii="Cambria Math" w:hAnsi="Cambria Math"/>
                      </w:rPr>
                      <m:t>,D</m:t>
                    </m:r>
                  </m:e>
                  <m:sub>
                    <m:r>
                      <m:rPr>
                        <m:sty m:val="bi"/>
                      </m:rPr>
                      <w:rPr>
                        <w:rFonts w:ascii="Cambria Math" w:hAnsi="Cambria Math"/>
                      </w:rPr>
                      <m:t>e</m:t>
                    </m:r>
                  </m:sub>
                </m:sSub>
                <m:r>
                  <w:rPr>
                    <w:rFonts w:ascii="Cambria Math" w:hAnsi="Cambria Math"/>
                  </w:rPr>
                  <m:t>,</m:t>
                </m:r>
                <m:sSub>
                  <m:sSubPr>
                    <m:ctrlPr>
                      <w:rPr>
                        <w:rFonts w:ascii="Cambria Math" w:hAnsi="Cambria Math"/>
                        <w:i/>
                      </w:rPr>
                    </m:ctrlPr>
                  </m:sSubPr>
                  <m:e>
                    <m:r>
                      <w:rPr>
                        <w:rFonts w:ascii="Cambria Math" w:hAnsi="Cambria Math"/>
                      </w:rPr>
                      <m:t>j</m:t>
                    </m:r>
                  </m:e>
                  <m:sub>
                    <m:r>
                      <w:rPr>
                        <w:rFonts w:ascii="Cambria Math" w:hAnsi="Cambria Math"/>
                      </w:rPr>
                      <m:t>f,s</m:t>
                    </m:r>
                  </m:sub>
                </m:sSub>
                <m:r>
                  <w:rPr>
                    <w:rFonts w:ascii="Cambria Math" w:hAnsi="Cambria Math"/>
                  </w:rPr>
                  <m:t>,L,</m:t>
                </m:r>
                <m:sSub>
                  <m:sSubPr>
                    <m:ctrlPr>
                      <w:rPr>
                        <w:rFonts w:ascii="Cambria Math" w:hAnsi="Cambria Math"/>
                        <w:i/>
                      </w:rPr>
                    </m:ctrlPr>
                  </m:sSubPr>
                  <m:e>
                    <m:r>
                      <w:rPr>
                        <w:rFonts w:ascii="Cambria Math" w:hAnsi="Cambria Math"/>
                      </w:rPr>
                      <m:t>ρ</m:t>
                    </m:r>
                  </m:e>
                  <m:sub>
                    <m:r>
                      <w:rPr>
                        <w:rFonts w:ascii="Cambria Math" w:hAnsi="Cambria Math"/>
                      </w:rPr>
                      <m:t>s</m:t>
                    </m:r>
                  </m:sub>
                </m:sSub>
              </m:oMath>
            </m:oMathPara>
          </w:p>
        </w:tc>
        <w:tc>
          <w:tcPr>
            <w:tcW w:w="1052" w:type="dxa"/>
          </w:tcPr>
          <w:p w14:paraId="4B81B48C" w14:textId="77777777" w:rsidR="00DB7BD6" w:rsidRDefault="00DB7BD6" w:rsidP="00DB7BD6">
            <w:pPr>
              <w:jc w:val="center"/>
            </w:pPr>
            <m:oMathPara>
              <m:oMath>
                <m:sSub>
                  <m:sSubPr>
                    <m:ctrlPr>
                      <w:rPr>
                        <w:rFonts w:ascii="Cambria Math" w:hAnsi="Cambria Math"/>
                        <w:i/>
                      </w:rPr>
                    </m:ctrlPr>
                  </m:sSubPr>
                  <m:e>
                    <m:r>
                      <w:rPr>
                        <w:rFonts w:ascii="Cambria Math" w:hAnsi="Cambria Math"/>
                      </w:rPr>
                      <m:t>∆P</m:t>
                    </m:r>
                  </m:e>
                  <m:sub>
                    <m:r>
                      <w:rPr>
                        <w:rFonts w:ascii="Cambria Math" w:hAnsi="Cambria Math"/>
                      </w:rPr>
                      <m:t>s</m:t>
                    </m:r>
                  </m:sub>
                </m:sSub>
              </m:oMath>
            </m:oMathPara>
          </w:p>
        </w:tc>
        <w:tc>
          <w:tcPr>
            <w:tcW w:w="3205" w:type="dxa"/>
          </w:tcPr>
          <w:p w14:paraId="49F82B5C" w14:textId="77777777" w:rsidR="00DB7BD6" w:rsidRDefault="00DB7BD6" w:rsidP="00DB7BD6">
            <w:pPr>
              <w:jc w:val="center"/>
            </w:pPr>
          </w:p>
        </w:tc>
      </w:tr>
    </w:tbl>
    <w:p w14:paraId="5CC8017A" w14:textId="77777777" w:rsidR="00DB7BD6" w:rsidRDefault="00DB7BD6" w:rsidP="0030111A">
      <w:pPr>
        <w:rPr>
          <w:iCs/>
        </w:rPr>
      </w:pPr>
    </w:p>
    <w:p w14:paraId="2343BCD7" w14:textId="77777777" w:rsidR="00A7521D" w:rsidRDefault="00A7521D" w:rsidP="00A7521D">
      <w:pPr>
        <w:pStyle w:val="Heading2"/>
      </w:pPr>
      <w:bookmarkStart w:id="1025" w:name="_Toc525230056"/>
      <w:bookmarkStart w:id="1026" w:name="_Ref531344027"/>
      <w:bookmarkStart w:id="1027" w:name="_Toc7187604"/>
      <w:r>
        <w:t>Shell and Tube Heat Exchanger Equations</w:t>
      </w:r>
      <w:bookmarkEnd w:id="1025"/>
      <w:bookmarkEnd w:id="1026"/>
      <w:bookmarkEnd w:id="1027"/>
    </w:p>
    <w:p w14:paraId="78B04451" w14:textId="35093E66" w:rsidR="00A7521D" w:rsidRDefault="00A7521D" w:rsidP="00A7521D">
      <w:r>
        <w:t xml:space="preserve">The equations used in the modelling of the HEX-ST, as calculated in section </w:t>
      </w:r>
      <w:r w:rsidR="00D82F1A">
        <w:fldChar w:fldCharType="begin"/>
      </w:r>
      <w:r w:rsidR="00D82F1A">
        <w:instrText xml:space="preserve"> REF _Ref531345377 \n \h </w:instrText>
      </w:r>
      <w:r w:rsidR="00D82F1A">
        <w:fldChar w:fldCharType="separate"/>
      </w:r>
      <w:r w:rsidR="00CB7456">
        <w:t>5.1.1.2</w:t>
      </w:r>
      <w:r w:rsidR="00D82F1A">
        <w:fldChar w:fldCharType="end"/>
      </w:r>
      <w:r>
        <w:t xml:space="preserve">, are shown below. All equations came from Coulson and Richardson's Chemical Engineering Volume 6 - Chemical Engineering Design </w:t>
      </w:r>
      <w:r>
        <w:fldChar w:fldCharType="begin" w:fldLock="1"/>
      </w:r>
      <w:r w:rsidR="002A6A73">
        <w:instrText>ADDIN CSL_CITATION {"citationItems":[{"id":"ITEM-1","itemData":{"ISBN":"978-0-7506-6538-4","author":[{"dropping-particle":"","family":"Sinnott","given":"R.K.","non-dropping-particle":"","parse-names":false,"suffix":""}],"edition":"4","id":"ITEM-1","issued":{"date-parts":[["2005"]]},"number-of-pages":"60 - 132","publisher":"Elsevier","publisher-place":"Oxford, England","title":"Coulson and Richardson's Chemical Engineering Volume 6 - Chemical Engineering Design","type":"book"},"uris":["http://www.mendeley.com/documents/?uuid=8e00b24b-1ea1-4b70-9865-3b5bcae659ed"]}],"mendeley":{"formattedCitation":"(Sinnott, 2005b)","plainTextFormattedCitation":"(Sinnott, 2005b)","previouslyFormattedCitation":"(Sinnott, 2005b)"},"properties":{"noteIndex":0},"schema":"https://github.com/citation-style-language/schema/raw/master/csl-citation.json"}</w:instrText>
      </w:r>
      <w:r>
        <w:fldChar w:fldCharType="separate"/>
      </w:r>
      <w:r w:rsidR="002A6A73" w:rsidRPr="002A6A73">
        <w:rPr>
          <w:noProof/>
        </w:rPr>
        <w:t>(Sinnott, 2005b)</w:t>
      </w:r>
      <w:r>
        <w:fldChar w:fldCharType="end"/>
      </w:r>
      <w:r>
        <w:t xml:space="preserve">. The modelling process used Equation </w:t>
      </w:r>
      <w:r>
        <w:fldChar w:fldCharType="begin"/>
      </w:r>
      <w:r>
        <w:instrText xml:space="preserve"> REF _Ref531104888 \h </w:instrText>
      </w:r>
      <w:r>
        <w:fldChar w:fldCharType="separate"/>
      </w:r>
      <w:r w:rsidR="00CB7456">
        <w:rPr>
          <w:noProof/>
        </w:rPr>
        <w:t>13</w:t>
      </w:r>
      <w:r w:rsidR="00CB7456">
        <w:t>.</w:t>
      </w:r>
      <w:r w:rsidR="00CB7456">
        <w:rPr>
          <w:noProof/>
        </w:rPr>
        <w:t>1</w:t>
      </w:r>
      <w:r>
        <w:fldChar w:fldCharType="end"/>
      </w:r>
      <w:r>
        <w:t xml:space="preserve"> to Equation </w:t>
      </w:r>
      <w:r>
        <w:fldChar w:fldCharType="begin"/>
      </w:r>
      <w:r>
        <w:instrText xml:space="preserve"> REF _Ref531165407 \h </w:instrText>
      </w:r>
      <w:r>
        <w:fldChar w:fldCharType="separate"/>
      </w:r>
      <w:r w:rsidR="00CB7456">
        <w:rPr>
          <w:noProof/>
        </w:rPr>
        <w:t>13.22</w:t>
      </w:r>
      <w:r>
        <w:fldChar w:fldCharType="end"/>
      </w:r>
      <w:r>
        <w:t xml:space="preserve"> from the modelling process of the HEX-DP.</w:t>
      </w:r>
    </w:p>
    <w:p w14:paraId="2A973450" w14:textId="3E260589" w:rsidR="00283376" w:rsidRDefault="00283376" w:rsidP="00A7521D">
      <w:r>
        <w:t>The modelling of a HEX-ST only differed from the modelling of a HEX-DP in the calculation of the equivalent shell diameter.</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37"/>
        <w:gridCol w:w="239"/>
        <w:gridCol w:w="822"/>
      </w:tblGrid>
      <w:tr w:rsidR="00A7521D" w14:paraId="2A7DA713" w14:textId="77777777" w:rsidTr="00A7521D">
        <w:tc>
          <w:tcPr>
            <w:tcW w:w="7137" w:type="dxa"/>
            <w:hideMark/>
          </w:tcPr>
          <w:p w14:paraId="1D39CAD1" w14:textId="77777777" w:rsidR="00A7521D" w:rsidRDefault="00C73E04" w:rsidP="00A7521D">
            <w:pPr>
              <w:keepNext/>
              <w:rPr>
                <w:color w:val="FFFFFF"/>
              </w:rPr>
            </w:pPr>
            <m:oMathPara>
              <m:oMathParaPr>
                <m:jc m:val="left"/>
              </m:oMathParaPr>
              <m:oMath>
                <m:sSub>
                  <m:sSubPr>
                    <m:ctrlPr>
                      <w:rPr>
                        <w:rFonts w:ascii="Cambria Math" w:hAnsi="Cambria Math"/>
                        <w:i/>
                        <w:iCs/>
                      </w:rPr>
                    </m:ctrlPr>
                  </m:sSubPr>
                  <m:e>
                    <m:r>
                      <w:rPr>
                        <w:rFonts w:ascii="Cambria Math" w:hAnsi="Cambria Math"/>
                      </w:rPr>
                      <m:t>D</m:t>
                    </m:r>
                  </m:e>
                  <m:sub>
                    <m:r>
                      <w:rPr>
                        <w:rFonts w:ascii="Cambria Math" w:hAnsi="Cambria Math"/>
                      </w:rPr>
                      <m:t>e</m:t>
                    </m:r>
                  </m:sub>
                </m:sSub>
                <m:r>
                  <w:rPr>
                    <w:rFonts w:ascii="Cambria Math" w:hAnsi="Cambria Math"/>
                  </w:rPr>
                  <m:t>=</m:t>
                </m:r>
                <m:f>
                  <m:fPr>
                    <m:ctrlPr>
                      <w:rPr>
                        <w:rFonts w:ascii="Cambria Math" w:hAnsi="Cambria Math"/>
                        <w:i/>
                        <w:iCs/>
                      </w:rPr>
                    </m:ctrlPr>
                  </m:fPr>
                  <m:num>
                    <m:r>
                      <w:rPr>
                        <w:rFonts w:ascii="Cambria Math" w:hAnsi="Cambria Math"/>
                      </w:rPr>
                      <m:t>1.10</m:t>
                    </m:r>
                  </m:num>
                  <m:den>
                    <m:sSub>
                      <m:sSubPr>
                        <m:ctrlPr>
                          <w:rPr>
                            <w:rFonts w:ascii="Cambria Math" w:hAnsi="Cambria Math"/>
                            <w:i/>
                            <w:iCs/>
                          </w:rPr>
                        </m:ctrlPr>
                      </m:sSubPr>
                      <m:e>
                        <m:r>
                          <w:rPr>
                            <w:rFonts w:ascii="Cambria Math" w:hAnsi="Cambria Math"/>
                          </w:rPr>
                          <m:t>D</m:t>
                        </m:r>
                      </m:e>
                      <m:sub>
                        <m:r>
                          <w:rPr>
                            <w:rFonts w:ascii="Cambria Math" w:hAnsi="Cambria Math"/>
                          </w:rPr>
                          <m:t>o</m:t>
                        </m:r>
                      </m:sub>
                    </m:sSub>
                  </m:den>
                </m:f>
                <m:d>
                  <m:dPr>
                    <m:ctrlPr>
                      <w:rPr>
                        <w:rFonts w:ascii="Cambria Math" w:hAnsi="Cambria Math"/>
                        <w:i/>
                        <w:iCs/>
                      </w:rPr>
                    </m:ctrlPr>
                  </m:dPr>
                  <m:e>
                    <m:sSup>
                      <m:sSupPr>
                        <m:ctrlPr>
                          <w:rPr>
                            <w:rFonts w:ascii="Cambria Math" w:hAnsi="Cambria Math"/>
                            <w:i/>
                            <w:iCs/>
                          </w:rPr>
                        </m:ctrlPr>
                      </m:sSupPr>
                      <m:e>
                        <m:sSub>
                          <m:sSubPr>
                            <m:ctrlPr>
                              <w:rPr>
                                <w:rFonts w:ascii="Cambria Math" w:hAnsi="Cambria Math"/>
                                <w:i/>
                                <w:iCs/>
                              </w:rPr>
                            </m:ctrlPr>
                          </m:sSubPr>
                          <m:e>
                            <m:r>
                              <w:rPr>
                                <w:rFonts w:ascii="Cambria Math" w:hAnsi="Cambria Math"/>
                              </w:rPr>
                              <m:t>p</m:t>
                            </m:r>
                          </m:e>
                          <m:sub>
                            <m:r>
                              <w:rPr>
                                <w:rFonts w:ascii="Cambria Math" w:hAnsi="Cambria Math"/>
                              </w:rPr>
                              <m:t>tu</m:t>
                            </m:r>
                          </m:sub>
                        </m:sSub>
                      </m:e>
                      <m:sup>
                        <m:r>
                          <w:rPr>
                            <w:rFonts w:ascii="Cambria Math" w:hAnsi="Cambria Math"/>
                          </w:rPr>
                          <m:t>2</m:t>
                        </m:r>
                      </m:sup>
                    </m:sSup>
                    <m:r>
                      <w:rPr>
                        <w:rFonts w:ascii="Cambria Math" w:hAnsi="Cambria Math"/>
                      </w:rPr>
                      <m:t>-0.917</m:t>
                    </m:r>
                    <m:sSup>
                      <m:sSupPr>
                        <m:ctrlPr>
                          <w:rPr>
                            <w:rFonts w:ascii="Cambria Math" w:hAnsi="Cambria Math"/>
                            <w:i/>
                            <w:iCs/>
                          </w:rPr>
                        </m:ctrlPr>
                      </m:sSupPr>
                      <m:e>
                        <m:sSub>
                          <m:sSubPr>
                            <m:ctrlPr>
                              <w:rPr>
                                <w:rFonts w:ascii="Cambria Math" w:hAnsi="Cambria Math"/>
                                <w:i/>
                                <w:iCs/>
                              </w:rPr>
                            </m:ctrlPr>
                          </m:sSubPr>
                          <m:e>
                            <m:r>
                              <w:rPr>
                                <w:rFonts w:ascii="Cambria Math" w:hAnsi="Cambria Math"/>
                              </w:rPr>
                              <m:t>D</m:t>
                            </m:r>
                          </m:e>
                          <m:sub>
                            <m:r>
                              <w:rPr>
                                <w:rFonts w:ascii="Cambria Math" w:hAnsi="Cambria Math"/>
                              </w:rPr>
                              <m:t>o</m:t>
                            </m:r>
                          </m:sub>
                        </m:sSub>
                      </m:e>
                      <m:sup>
                        <m:r>
                          <w:rPr>
                            <w:rFonts w:ascii="Cambria Math" w:hAnsi="Cambria Math"/>
                          </w:rPr>
                          <m:t>2</m:t>
                        </m:r>
                      </m:sup>
                    </m:sSup>
                  </m:e>
                </m:d>
              </m:oMath>
            </m:oMathPara>
          </w:p>
        </w:tc>
        <w:tc>
          <w:tcPr>
            <w:tcW w:w="239" w:type="dxa"/>
            <w:vAlign w:val="center"/>
            <w:hideMark/>
          </w:tcPr>
          <w:p w14:paraId="4D268346" w14:textId="77777777" w:rsidR="00A7521D" w:rsidRDefault="00A7521D" w:rsidP="00A7521D">
            <w:pPr>
              <w:pStyle w:val="Caption"/>
              <w:jc w:val="right"/>
            </w:pPr>
          </w:p>
        </w:tc>
        <w:bookmarkStart w:id="1028" w:name="_Ref531183255"/>
        <w:tc>
          <w:tcPr>
            <w:tcW w:w="822" w:type="dxa"/>
            <w:vAlign w:val="center"/>
            <w:hideMark/>
          </w:tcPr>
          <w:p w14:paraId="5986FBFB" w14:textId="6CE9B40E" w:rsidR="00A7521D" w:rsidRDefault="00A7521D" w:rsidP="00A7521D">
            <w:pPr>
              <w:pStyle w:val="Caption"/>
              <w:jc w:val="right"/>
              <w:rPr>
                <w:b w:val="0"/>
              </w:rPr>
            </w:pPr>
            <w:r>
              <w:rPr>
                <w:noProof/>
              </w:rPr>
              <w:fldChar w:fldCharType="begin"/>
            </w:r>
            <w:r>
              <w:rPr>
                <w:noProof/>
              </w:rPr>
              <w:instrText xml:space="preserve"> STYLEREF 1 \s </w:instrText>
            </w:r>
            <w:r>
              <w:rPr>
                <w:noProof/>
              </w:rPr>
              <w:fldChar w:fldCharType="separate"/>
            </w:r>
            <w:r w:rsidR="00CB7456">
              <w:rPr>
                <w:noProof/>
              </w:rPr>
              <w:t>13</w:t>
            </w:r>
            <w:r>
              <w:rPr>
                <w:noProof/>
              </w:rPr>
              <w:fldChar w:fldCharType="end"/>
            </w:r>
            <w:r>
              <w:rPr>
                <w:noProof/>
              </w:rPr>
              <w:t>.</w:t>
            </w:r>
            <w:r>
              <w:rPr>
                <w:noProof/>
              </w:rPr>
              <w:fldChar w:fldCharType="begin"/>
            </w:r>
            <w:r>
              <w:rPr>
                <w:noProof/>
              </w:rPr>
              <w:instrText xml:space="preserve"> SEQ Equation \* ARABIC \s 1 </w:instrText>
            </w:r>
            <w:r>
              <w:rPr>
                <w:noProof/>
              </w:rPr>
              <w:fldChar w:fldCharType="separate"/>
            </w:r>
            <w:r w:rsidR="00CB7456">
              <w:rPr>
                <w:noProof/>
              </w:rPr>
              <w:t>30</w:t>
            </w:r>
            <w:r>
              <w:rPr>
                <w:noProof/>
              </w:rPr>
              <w:fldChar w:fldCharType="end"/>
            </w:r>
            <w:bookmarkEnd w:id="1028"/>
          </w:p>
        </w:tc>
      </w:tr>
    </w:tbl>
    <w:p w14:paraId="317F440B" w14:textId="77777777" w:rsidR="00A7521D" w:rsidRDefault="00A7521D" w:rsidP="00A7521D">
      <w:pPr>
        <w:keepNext/>
        <w:rPr>
          <w:iCs/>
        </w:rPr>
      </w:pPr>
    </w:p>
    <w:p w14:paraId="788F52EB" w14:textId="44C186EA" w:rsidR="00283376" w:rsidRDefault="00C73E04" w:rsidP="00A7521D">
      <w:pPr>
        <w:rPr>
          <w:iCs/>
        </w:rPr>
      </w:pPr>
      <m:oMath>
        <m:sSub>
          <m:sSubPr>
            <m:ctrlPr>
              <w:rPr>
                <w:rFonts w:ascii="Cambria Math" w:hAnsi="Cambria Math"/>
                <w:i/>
                <w:iCs/>
              </w:rPr>
            </m:ctrlPr>
          </m:sSubPr>
          <m:e>
            <m:r>
              <w:rPr>
                <w:rFonts w:ascii="Cambria Math" w:hAnsi="Cambria Math"/>
              </w:rPr>
              <m:t>D</m:t>
            </m:r>
          </m:e>
          <m:sub>
            <m:r>
              <w:rPr>
                <w:rFonts w:ascii="Cambria Math" w:hAnsi="Cambria Math"/>
              </w:rPr>
              <m:t>e</m:t>
            </m:r>
          </m:sub>
        </m:sSub>
      </m:oMath>
      <w:r w:rsidR="00A7521D">
        <w:rPr>
          <w:iCs/>
        </w:rPr>
        <w:t xml:space="preserve"> was the equivalent shell diameter (m</w:t>
      </w:r>
      <w:r w:rsidR="00A7521D">
        <w:rPr>
          <w:iCs/>
          <w:vertAlign w:val="superscript"/>
        </w:rPr>
        <w:t>2</w:t>
      </w:r>
      <w:r w:rsidR="00A7521D">
        <w:rPr>
          <w:iCs/>
        </w:rPr>
        <w:t>).</w:t>
      </w:r>
    </w:p>
    <w:p w14:paraId="4F61A4E9" w14:textId="114257DB" w:rsidR="00694041" w:rsidRDefault="00694041" w:rsidP="00A7521D">
      <w:pPr>
        <w:rPr>
          <w:iCs/>
        </w:rPr>
      </w:pPr>
      <w:r>
        <w:rPr>
          <w:iCs/>
        </w:rPr>
        <w:t>The equivalent shell diameter was dependent on the outer diameter and the tube pitch.</w:t>
      </w:r>
    </w:p>
    <w:p w14:paraId="21748C8F" w14:textId="68068E5C" w:rsidR="00A7521D" w:rsidRDefault="00A7521D" w:rsidP="00A7521D">
      <w:r>
        <w:lastRenderedPageBreak/>
        <w:t xml:space="preserve">The modelling process also used Equation </w:t>
      </w:r>
      <w:r>
        <w:fldChar w:fldCharType="begin"/>
      </w:r>
      <w:r>
        <w:instrText xml:space="preserve"> REF _Ref531165447 \h </w:instrText>
      </w:r>
      <w:r>
        <w:fldChar w:fldCharType="separate"/>
      </w:r>
      <w:r w:rsidR="00CB7456">
        <w:rPr>
          <w:noProof/>
        </w:rPr>
        <w:t>13.23</w:t>
      </w:r>
      <w:r>
        <w:fldChar w:fldCharType="end"/>
      </w:r>
      <w:r>
        <w:t xml:space="preserve"> to Equation </w:t>
      </w:r>
      <w:r>
        <w:fldChar w:fldCharType="begin"/>
      </w:r>
      <w:r>
        <w:instrText xml:space="preserve"> REF _Ref531183233 \h </w:instrText>
      </w:r>
      <w:r>
        <w:fldChar w:fldCharType="separate"/>
      </w:r>
      <w:r w:rsidR="00CB7456">
        <w:rPr>
          <w:noProof/>
        </w:rPr>
        <w:t>13.29</w:t>
      </w:r>
      <w:r>
        <w:fldChar w:fldCharType="end"/>
      </w:r>
      <w:r>
        <w:t xml:space="preserve"> from the modelling process of the HEX</w:t>
      </w:r>
      <w:r>
        <w:noBreakHyphen/>
        <w:t>DP.</w:t>
      </w:r>
    </w:p>
    <w:p w14:paraId="62CB1275" w14:textId="01029B45" w:rsidR="00DB7BD6" w:rsidRDefault="00DB7BD6" w:rsidP="00DB7BD6">
      <w:pPr>
        <w:rPr>
          <w:b/>
          <w:bCs/>
          <w:sz w:val="18"/>
          <w:szCs w:val="18"/>
        </w:rPr>
      </w:pPr>
      <w:r>
        <w:rPr>
          <w:iCs/>
        </w:rPr>
        <w:fldChar w:fldCharType="begin"/>
      </w:r>
      <w:r>
        <w:rPr>
          <w:iCs/>
        </w:rPr>
        <w:instrText xml:space="preserve"> REF _Ref7185484 \h </w:instrText>
      </w:r>
      <w:r>
        <w:rPr>
          <w:iCs/>
        </w:rPr>
      </w:r>
      <w:r>
        <w:rPr>
          <w:iCs/>
        </w:rPr>
        <w:fldChar w:fldCharType="separate"/>
      </w:r>
      <w:r w:rsidR="00CB7456">
        <w:t xml:space="preserve">Table </w:t>
      </w:r>
      <w:r w:rsidR="00CB7456">
        <w:rPr>
          <w:noProof/>
        </w:rPr>
        <w:t>13</w:t>
      </w:r>
      <w:r w:rsidR="00CB7456">
        <w:t>.</w:t>
      </w:r>
      <w:r w:rsidR="00CB7456">
        <w:rPr>
          <w:noProof/>
        </w:rPr>
        <w:t>9</w:t>
      </w:r>
      <w:r>
        <w:rPr>
          <w:iCs/>
        </w:rPr>
        <w:fldChar w:fldCharType="end"/>
      </w:r>
      <w:r>
        <w:rPr>
          <w:iCs/>
        </w:rPr>
        <w:t xml:space="preserve"> shows how the complex series of equations used in the modelling of the HEX-ST are linked to each other.</w:t>
      </w:r>
    </w:p>
    <w:p w14:paraId="6BA40787" w14:textId="6C64F080" w:rsidR="00DB7BD6" w:rsidRDefault="00DB7BD6" w:rsidP="00DB7BD6">
      <w:pPr>
        <w:pStyle w:val="Caption"/>
        <w:keepNext/>
      </w:pPr>
      <w:bookmarkStart w:id="1029" w:name="_Ref7185484"/>
      <w:bookmarkStart w:id="1030" w:name="_Toc7187726"/>
      <w:r>
        <w:t xml:space="preserve">Table </w:t>
      </w:r>
      <w:fldSimple w:instr=" STYLEREF 1 \s ">
        <w:r w:rsidR="00CB7456">
          <w:rPr>
            <w:noProof/>
          </w:rPr>
          <w:t>13</w:t>
        </w:r>
      </w:fldSimple>
      <w:r w:rsidR="009E1A67">
        <w:t>.</w:t>
      </w:r>
      <w:fldSimple w:instr=" SEQ Table \* ARABIC \s 1 ">
        <w:r w:rsidR="00CB7456">
          <w:rPr>
            <w:noProof/>
          </w:rPr>
          <w:t>9</w:t>
        </w:r>
      </w:fldSimple>
      <w:bookmarkEnd w:id="1029"/>
      <w:r>
        <w:t>: How the equations in the modelling of the HEX-ST are linked. Inputs in bold are outputs from other equations in the modelling of the HEX-ST, input in grey come from the modelling of the other WHR components.</w:t>
      </w:r>
      <w:bookmarkEnd w:id="1030"/>
    </w:p>
    <w:tbl>
      <w:tblPr>
        <w:tblStyle w:val="TableGrid"/>
        <w:tblW w:w="0" w:type="auto"/>
        <w:jc w:val="center"/>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26"/>
        <w:gridCol w:w="2516"/>
        <w:gridCol w:w="1052"/>
        <w:gridCol w:w="3205"/>
      </w:tblGrid>
      <w:tr w:rsidR="00DB7BD6" w14:paraId="6E35F6E2" w14:textId="77777777" w:rsidTr="00DB7BD6">
        <w:trPr>
          <w:jc w:val="center"/>
        </w:trPr>
        <w:tc>
          <w:tcPr>
            <w:tcW w:w="1126" w:type="dxa"/>
            <w:tcBorders>
              <w:bottom w:val="single" w:sz="4" w:space="0" w:color="auto"/>
            </w:tcBorders>
          </w:tcPr>
          <w:p w14:paraId="35ED8BA2" w14:textId="77777777" w:rsidR="00DB7BD6" w:rsidRDefault="00DB7BD6" w:rsidP="00DB7BD6">
            <w:pPr>
              <w:jc w:val="center"/>
            </w:pPr>
            <w:r>
              <w:t>Equation</w:t>
            </w:r>
          </w:p>
        </w:tc>
        <w:tc>
          <w:tcPr>
            <w:tcW w:w="2516" w:type="dxa"/>
            <w:tcBorders>
              <w:bottom w:val="single" w:sz="4" w:space="0" w:color="auto"/>
            </w:tcBorders>
          </w:tcPr>
          <w:p w14:paraId="7512A77B" w14:textId="77777777" w:rsidR="00DB7BD6" w:rsidRDefault="00DB7BD6" w:rsidP="00DB7BD6">
            <w:pPr>
              <w:jc w:val="center"/>
            </w:pPr>
            <w:r>
              <w:t>Inputs</w:t>
            </w:r>
          </w:p>
        </w:tc>
        <w:tc>
          <w:tcPr>
            <w:tcW w:w="1052" w:type="dxa"/>
            <w:tcBorders>
              <w:bottom w:val="single" w:sz="4" w:space="0" w:color="auto"/>
            </w:tcBorders>
          </w:tcPr>
          <w:p w14:paraId="67B00D85" w14:textId="77777777" w:rsidR="00DB7BD6" w:rsidRDefault="00DB7BD6" w:rsidP="00DB7BD6">
            <w:pPr>
              <w:jc w:val="center"/>
            </w:pPr>
            <w:r>
              <w:t>Outputs</w:t>
            </w:r>
          </w:p>
        </w:tc>
        <w:tc>
          <w:tcPr>
            <w:tcW w:w="3205" w:type="dxa"/>
            <w:tcBorders>
              <w:bottom w:val="single" w:sz="4" w:space="0" w:color="auto"/>
            </w:tcBorders>
          </w:tcPr>
          <w:p w14:paraId="6803A0A0" w14:textId="77777777" w:rsidR="00DB7BD6" w:rsidRDefault="00DB7BD6" w:rsidP="00DB7BD6">
            <w:pPr>
              <w:jc w:val="center"/>
            </w:pPr>
            <w:r>
              <w:t>Linked to Equation</w:t>
            </w:r>
          </w:p>
        </w:tc>
      </w:tr>
      <w:tr w:rsidR="00DB7BD6" w14:paraId="183AB63B" w14:textId="77777777" w:rsidTr="00DB7BD6">
        <w:trPr>
          <w:jc w:val="center"/>
        </w:trPr>
        <w:tc>
          <w:tcPr>
            <w:tcW w:w="1126" w:type="dxa"/>
            <w:tcBorders>
              <w:top w:val="single" w:sz="4" w:space="0" w:color="auto"/>
              <w:bottom w:val="nil"/>
            </w:tcBorders>
          </w:tcPr>
          <w:p w14:paraId="274D375C" w14:textId="77777777" w:rsidR="00DB7BD6" w:rsidRPr="003A69B5" w:rsidRDefault="00DB7BD6" w:rsidP="00DB7BD6">
            <w:pPr>
              <w:jc w:val="center"/>
              <w:rPr>
                <w:color w:val="404040" w:themeColor="text1" w:themeTint="BF"/>
              </w:rPr>
            </w:pPr>
            <w:r w:rsidRPr="003A69B5">
              <w:rPr>
                <w:color w:val="404040" w:themeColor="text1" w:themeTint="BF"/>
              </w:rPr>
              <w:t>13.1</w:t>
            </w:r>
          </w:p>
        </w:tc>
        <w:tc>
          <w:tcPr>
            <w:tcW w:w="2516" w:type="dxa"/>
            <w:tcBorders>
              <w:top w:val="single" w:sz="4" w:space="0" w:color="auto"/>
              <w:bottom w:val="nil"/>
            </w:tcBorders>
          </w:tcPr>
          <w:p w14:paraId="5851969E" w14:textId="77777777" w:rsidR="00DB7BD6" w:rsidRPr="003A69B5" w:rsidRDefault="00DB7BD6" w:rsidP="00DB7BD6">
            <w:pPr>
              <w:jc w:val="center"/>
              <w:rPr>
                <w:color w:val="404040" w:themeColor="text1" w:themeTint="BF"/>
              </w:rPr>
            </w:pPr>
            <m:oMathPara>
              <m:oMath>
                <m:sSub>
                  <m:sSubPr>
                    <m:ctrlPr>
                      <w:rPr>
                        <w:rFonts w:ascii="Cambria Math" w:hAnsi="Cambria Math"/>
                        <w:i/>
                        <w:color w:val="404040" w:themeColor="text1" w:themeTint="BF"/>
                      </w:rPr>
                    </m:ctrlPr>
                  </m:sSubPr>
                  <m:e>
                    <m:r>
                      <w:rPr>
                        <w:rFonts w:ascii="Cambria Math" w:hAnsi="Cambria Math"/>
                        <w:color w:val="404040" w:themeColor="text1" w:themeTint="BF"/>
                      </w:rPr>
                      <m:t>T</m:t>
                    </m:r>
                  </m:e>
                  <m:sub>
                    <m:r>
                      <w:rPr>
                        <w:rFonts w:ascii="Cambria Math" w:hAnsi="Cambria Math"/>
                        <w:color w:val="404040" w:themeColor="text1" w:themeTint="BF"/>
                      </w:rPr>
                      <m:t>1</m:t>
                    </m:r>
                  </m:sub>
                </m:sSub>
                <m:r>
                  <w:rPr>
                    <w:rFonts w:ascii="Cambria Math" w:hAnsi="Cambria Math"/>
                    <w:color w:val="404040" w:themeColor="text1" w:themeTint="BF"/>
                  </w:rPr>
                  <m:t>,</m:t>
                </m:r>
                <m:sSub>
                  <m:sSubPr>
                    <m:ctrlPr>
                      <w:rPr>
                        <w:rFonts w:ascii="Cambria Math" w:hAnsi="Cambria Math"/>
                        <w:i/>
                        <w:color w:val="404040" w:themeColor="text1" w:themeTint="BF"/>
                      </w:rPr>
                    </m:ctrlPr>
                  </m:sSubPr>
                  <m:e>
                    <m:r>
                      <w:rPr>
                        <w:rFonts w:ascii="Cambria Math" w:hAnsi="Cambria Math"/>
                        <w:color w:val="404040" w:themeColor="text1" w:themeTint="BF"/>
                      </w:rPr>
                      <m:t>T</m:t>
                    </m:r>
                  </m:e>
                  <m:sub>
                    <m:r>
                      <w:rPr>
                        <w:rFonts w:ascii="Cambria Math" w:hAnsi="Cambria Math"/>
                        <w:color w:val="404040" w:themeColor="text1" w:themeTint="BF"/>
                      </w:rPr>
                      <m:t>2</m:t>
                    </m:r>
                  </m:sub>
                </m:sSub>
                <m:r>
                  <w:rPr>
                    <w:rFonts w:ascii="Cambria Math" w:hAnsi="Cambria Math"/>
                    <w:color w:val="404040" w:themeColor="text1" w:themeTint="BF"/>
                  </w:rPr>
                  <m:t>,</m:t>
                </m:r>
                <m:sSub>
                  <m:sSubPr>
                    <m:ctrlPr>
                      <w:rPr>
                        <w:rFonts w:ascii="Cambria Math" w:hAnsi="Cambria Math"/>
                        <w:i/>
                        <w:color w:val="404040" w:themeColor="text1" w:themeTint="BF"/>
                      </w:rPr>
                    </m:ctrlPr>
                  </m:sSubPr>
                  <m:e>
                    <m:r>
                      <w:rPr>
                        <w:rFonts w:ascii="Cambria Math" w:hAnsi="Cambria Math"/>
                        <w:color w:val="404040" w:themeColor="text1" w:themeTint="BF"/>
                      </w:rPr>
                      <m:t>t</m:t>
                    </m:r>
                  </m:e>
                  <m:sub>
                    <m:r>
                      <w:rPr>
                        <w:rFonts w:ascii="Cambria Math" w:hAnsi="Cambria Math"/>
                        <w:color w:val="404040" w:themeColor="text1" w:themeTint="BF"/>
                      </w:rPr>
                      <m:t>1</m:t>
                    </m:r>
                  </m:sub>
                </m:sSub>
                <m:r>
                  <w:rPr>
                    <w:rFonts w:ascii="Cambria Math" w:hAnsi="Cambria Math"/>
                    <w:color w:val="404040" w:themeColor="text1" w:themeTint="BF"/>
                  </w:rPr>
                  <m:t>,</m:t>
                </m:r>
                <m:sSub>
                  <m:sSubPr>
                    <m:ctrlPr>
                      <w:rPr>
                        <w:rFonts w:ascii="Cambria Math" w:hAnsi="Cambria Math"/>
                        <w:i/>
                        <w:color w:val="404040" w:themeColor="text1" w:themeTint="BF"/>
                      </w:rPr>
                    </m:ctrlPr>
                  </m:sSubPr>
                  <m:e>
                    <m:r>
                      <w:rPr>
                        <w:rFonts w:ascii="Cambria Math" w:hAnsi="Cambria Math"/>
                        <w:color w:val="404040" w:themeColor="text1" w:themeTint="BF"/>
                      </w:rPr>
                      <m:t>t</m:t>
                    </m:r>
                  </m:e>
                  <m:sub>
                    <m:r>
                      <w:rPr>
                        <w:rFonts w:ascii="Cambria Math" w:hAnsi="Cambria Math"/>
                        <w:color w:val="404040" w:themeColor="text1" w:themeTint="BF"/>
                      </w:rPr>
                      <m:t>2</m:t>
                    </m:r>
                  </m:sub>
                </m:sSub>
              </m:oMath>
            </m:oMathPara>
          </w:p>
        </w:tc>
        <w:tc>
          <w:tcPr>
            <w:tcW w:w="1052" w:type="dxa"/>
            <w:tcBorders>
              <w:top w:val="single" w:sz="4" w:space="0" w:color="auto"/>
              <w:bottom w:val="nil"/>
            </w:tcBorders>
          </w:tcPr>
          <w:p w14:paraId="4D0C0F34" w14:textId="77777777" w:rsidR="00DB7BD6" w:rsidRPr="003A69B5" w:rsidRDefault="00DB7BD6" w:rsidP="00DB7BD6">
            <w:pPr>
              <w:jc w:val="center"/>
              <w:rPr>
                <w:color w:val="404040" w:themeColor="text1" w:themeTint="BF"/>
              </w:rPr>
            </w:pPr>
            <m:oMathPara>
              <m:oMath>
                <m:r>
                  <w:rPr>
                    <w:rFonts w:ascii="Cambria Math" w:hAnsi="Cambria Math"/>
                    <w:color w:val="404040" w:themeColor="text1" w:themeTint="BF"/>
                  </w:rPr>
                  <m:t>R</m:t>
                </m:r>
              </m:oMath>
            </m:oMathPara>
          </w:p>
        </w:tc>
        <w:tc>
          <w:tcPr>
            <w:tcW w:w="3205" w:type="dxa"/>
            <w:tcBorders>
              <w:top w:val="single" w:sz="4" w:space="0" w:color="auto"/>
              <w:bottom w:val="nil"/>
            </w:tcBorders>
          </w:tcPr>
          <w:p w14:paraId="62B015A1" w14:textId="77777777" w:rsidR="00DB7BD6" w:rsidRPr="003A69B5" w:rsidRDefault="00DB7BD6" w:rsidP="00DB7BD6">
            <w:pPr>
              <w:jc w:val="center"/>
              <w:rPr>
                <w:color w:val="404040" w:themeColor="text1" w:themeTint="BF"/>
              </w:rPr>
            </w:pPr>
          </w:p>
        </w:tc>
      </w:tr>
      <w:tr w:rsidR="00DB7BD6" w14:paraId="442F452F" w14:textId="77777777" w:rsidTr="00DB7BD6">
        <w:trPr>
          <w:jc w:val="center"/>
        </w:trPr>
        <w:tc>
          <w:tcPr>
            <w:tcW w:w="1126" w:type="dxa"/>
            <w:tcBorders>
              <w:top w:val="nil"/>
            </w:tcBorders>
          </w:tcPr>
          <w:p w14:paraId="1F6DA8C3" w14:textId="77777777" w:rsidR="00DB7BD6" w:rsidRPr="003A69B5" w:rsidRDefault="00DB7BD6" w:rsidP="00DB7BD6">
            <w:pPr>
              <w:jc w:val="center"/>
              <w:rPr>
                <w:color w:val="404040" w:themeColor="text1" w:themeTint="BF"/>
              </w:rPr>
            </w:pPr>
            <w:r w:rsidRPr="003A69B5">
              <w:rPr>
                <w:color w:val="404040" w:themeColor="text1" w:themeTint="BF"/>
              </w:rPr>
              <w:t>13.2</w:t>
            </w:r>
          </w:p>
        </w:tc>
        <w:tc>
          <w:tcPr>
            <w:tcW w:w="2516" w:type="dxa"/>
            <w:tcBorders>
              <w:top w:val="nil"/>
            </w:tcBorders>
          </w:tcPr>
          <w:p w14:paraId="4CF00493" w14:textId="77777777" w:rsidR="00DB7BD6" w:rsidRPr="003A69B5" w:rsidRDefault="00DB7BD6" w:rsidP="00DB7BD6">
            <w:pPr>
              <w:jc w:val="center"/>
              <w:rPr>
                <w:color w:val="404040" w:themeColor="text1" w:themeTint="BF"/>
              </w:rPr>
            </w:pPr>
            <m:oMathPara>
              <m:oMath>
                <m:sSub>
                  <m:sSubPr>
                    <m:ctrlPr>
                      <w:rPr>
                        <w:rFonts w:ascii="Cambria Math" w:hAnsi="Cambria Math"/>
                        <w:i/>
                        <w:color w:val="404040" w:themeColor="text1" w:themeTint="BF"/>
                      </w:rPr>
                    </m:ctrlPr>
                  </m:sSubPr>
                  <m:e>
                    <m:r>
                      <w:rPr>
                        <w:rFonts w:ascii="Cambria Math" w:hAnsi="Cambria Math"/>
                        <w:color w:val="404040" w:themeColor="text1" w:themeTint="BF"/>
                      </w:rPr>
                      <m:t>T</m:t>
                    </m:r>
                  </m:e>
                  <m:sub>
                    <m:r>
                      <w:rPr>
                        <w:rFonts w:ascii="Cambria Math" w:hAnsi="Cambria Math"/>
                        <w:color w:val="404040" w:themeColor="text1" w:themeTint="BF"/>
                      </w:rPr>
                      <m:t>1</m:t>
                    </m:r>
                  </m:sub>
                </m:sSub>
                <m:r>
                  <w:rPr>
                    <w:rFonts w:ascii="Cambria Math" w:hAnsi="Cambria Math"/>
                    <w:color w:val="404040" w:themeColor="text1" w:themeTint="BF"/>
                  </w:rPr>
                  <m:t>,</m:t>
                </m:r>
                <m:sSub>
                  <m:sSubPr>
                    <m:ctrlPr>
                      <w:rPr>
                        <w:rFonts w:ascii="Cambria Math" w:hAnsi="Cambria Math"/>
                        <w:i/>
                        <w:color w:val="404040" w:themeColor="text1" w:themeTint="BF"/>
                      </w:rPr>
                    </m:ctrlPr>
                  </m:sSubPr>
                  <m:e>
                    <m:r>
                      <w:rPr>
                        <w:rFonts w:ascii="Cambria Math" w:hAnsi="Cambria Math"/>
                        <w:color w:val="404040" w:themeColor="text1" w:themeTint="BF"/>
                      </w:rPr>
                      <m:t>T</m:t>
                    </m:r>
                  </m:e>
                  <m:sub>
                    <m:r>
                      <w:rPr>
                        <w:rFonts w:ascii="Cambria Math" w:hAnsi="Cambria Math"/>
                        <w:color w:val="404040" w:themeColor="text1" w:themeTint="BF"/>
                      </w:rPr>
                      <m:t>2</m:t>
                    </m:r>
                  </m:sub>
                </m:sSub>
                <m:r>
                  <w:rPr>
                    <w:rFonts w:ascii="Cambria Math" w:hAnsi="Cambria Math"/>
                    <w:color w:val="404040" w:themeColor="text1" w:themeTint="BF"/>
                  </w:rPr>
                  <m:t>,</m:t>
                </m:r>
                <m:sSub>
                  <m:sSubPr>
                    <m:ctrlPr>
                      <w:rPr>
                        <w:rFonts w:ascii="Cambria Math" w:hAnsi="Cambria Math"/>
                        <w:i/>
                        <w:color w:val="404040" w:themeColor="text1" w:themeTint="BF"/>
                      </w:rPr>
                    </m:ctrlPr>
                  </m:sSubPr>
                  <m:e>
                    <m:r>
                      <w:rPr>
                        <w:rFonts w:ascii="Cambria Math" w:hAnsi="Cambria Math"/>
                        <w:color w:val="404040" w:themeColor="text1" w:themeTint="BF"/>
                      </w:rPr>
                      <m:t>t</m:t>
                    </m:r>
                  </m:e>
                  <m:sub>
                    <m:r>
                      <w:rPr>
                        <w:rFonts w:ascii="Cambria Math" w:hAnsi="Cambria Math"/>
                        <w:color w:val="404040" w:themeColor="text1" w:themeTint="BF"/>
                      </w:rPr>
                      <m:t>1</m:t>
                    </m:r>
                  </m:sub>
                </m:sSub>
                <m:r>
                  <w:rPr>
                    <w:rFonts w:ascii="Cambria Math" w:hAnsi="Cambria Math"/>
                    <w:color w:val="404040" w:themeColor="text1" w:themeTint="BF"/>
                  </w:rPr>
                  <m:t>,</m:t>
                </m:r>
                <m:sSub>
                  <m:sSubPr>
                    <m:ctrlPr>
                      <w:rPr>
                        <w:rFonts w:ascii="Cambria Math" w:hAnsi="Cambria Math"/>
                        <w:i/>
                        <w:color w:val="404040" w:themeColor="text1" w:themeTint="BF"/>
                      </w:rPr>
                    </m:ctrlPr>
                  </m:sSubPr>
                  <m:e>
                    <m:r>
                      <w:rPr>
                        <w:rFonts w:ascii="Cambria Math" w:hAnsi="Cambria Math"/>
                        <w:color w:val="404040" w:themeColor="text1" w:themeTint="BF"/>
                      </w:rPr>
                      <m:t>t</m:t>
                    </m:r>
                  </m:e>
                  <m:sub>
                    <m:r>
                      <w:rPr>
                        <w:rFonts w:ascii="Cambria Math" w:hAnsi="Cambria Math"/>
                        <w:color w:val="404040" w:themeColor="text1" w:themeTint="BF"/>
                      </w:rPr>
                      <m:t>2</m:t>
                    </m:r>
                  </m:sub>
                </m:sSub>
              </m:oMath>
            </m:oMathPara>
          </w:p>
        </w:tc>
        <w:tc>
          <w:tcPr>
            <w:tcW w:w="1052" w:type="dxa"/>
            <w:tcBorders>
              <w:top w:val="nil"/>
            </w:tcBorders>
          </w:tcPr>
          <w:p w14:paraId="2EEC5D09" w14:textId="77777777" w:rsidR="00DB7BD6" w:rsidRPr="003A69B5" w:rsidRDefault="00DB7BD6" w:rsidP="00DB7BD6">
            <w:pPr>
              <w:jc w:val="center"/>
              <w:rPr>
                <w:color w:val="404040" w:themeColor="text1" w:themeTint="BF"/>
              </w:rPr>
            </w:pPr>
            <m:oMathPara>
              <m:oMath>
                <m:r>
                  <w:rPr>
                    <w:rFonts w:ascii="Cambria Math" w:hAnsi="Cambria Math"/>
                    <w:color w:val="404040" w:themeColor="text1" w:themeTint="BF"/>
                  </w:rPr>
                  <m:t>S</m:t>
                </m:r>
              </m:oMath>
            </m:oMathPara>
          </w:p>
        </w:tc>
        <w:tc>
          <w:tcPr>
            <w:tcW w:w="3205" w:type="dxa"/>
            <w:tcBorders>
              <w:top w:val="nil"/>
            </w:tcBorders>
          </w:tcPr>
          <w:p w14:paraId="3CB9EFBF" w14:textId="77777777" w:rsidR="00DB7BD6" w:rsidRPr="003A69B5" w:rsidRDefault="00DB7BD6" w:rsidP="00DB7BD6">
            <w:pPr>
              <w:jc w:val="center"/>
              <w:rPr>
                <w:color w:val="404040" w:themeColor="text1" w:themeTint="BF"/>
              </w:rPr>
            </w:pPr>
          </w:p>
        </w:tc>
      </w:tr>
      <w:tr w:rsidR="00DB7BD6" w14:paraId="2CFF8D92" w14:textId="77777777" w:rsidTr="00DB7BD6">
        <w:trPr>
          <w:jc w:val="center"/>
        </w:trPr>
        <w:tc>
          <w:tcPr>
            <w:tcW w:w="1126" w:type="dxa"/>
          </w:tcPr>
          <w:p w14:paraId="647DEAE6" w14:textId="77777777" w:rsidR="00DB7BD6" w:rsidRPr="003A69B5" w:rsidRDefault="00DB7BD6" w:rsidP="00DB7BD6">
            <w:pPr>
              <w:jc w:val="center"/>
              <w:rPr>
                <w:color w:val="404040" w:themeColor="text1" w:themeTint="BF"/>
              </w:rPr>
            </w:pPr>
            <w:r w:rsidRPr="003A69B5">
              <w:rPr>
                <w:color w:val="404040" w:themeColor="text1" w:themeTint="BF"/>
              </w:rPr>
              <w:t>13.3</w:t>
            </w:r>
          </w:p>
        </w:tc>
        <w:tc>
          <w:tcPr>
            <w:tcW w:w="2516" w:type="dxa"/>
          </w:tcPr>
          <w:p w14:paraId="4DA956B1" w14:textId="77777777" w:rsidR="00DB7BD6" w:rsidRPr="003A69B5" w:rsidRDefault="00DB7BD6" w:rsidP="00DB7BD6">
            <w:pPr>
              <w:jc w:val="center"/>
              <w:rPr>
                <w:color w:val="404040" w:themeColor="text1" w:themeTint="BF"/>
              </w:rPr>
            </w:pPr>
            <m:oMathPara>
              <m:oMath>
                <m:sSub>
                  <m:sSubPr>
                    <m:ctrlPr>
                      <w:rPr>
                        <w:rFonts w:ascii="Cambria Math" w:hAnsi="Cambria Math"/>
                        <w:i/>
                        <w:color w:val="404040" w:themeColor="text1" w:themeTint="BF"/>
                      </w:rPr>
                    </m:ctrlPr>
                  </m:sSubPr>
                  <m:e>
                    <m:r>
                      <w:rPr>
                        <w:rFonts w:ascii="Cambria Math" w:hAnsi="Cambria Math"/>
                        <w:color w:val="404040" w:themeColor="text1" w:themeTint="BF"/>
                      </w:rPr>
                      <m:t>T</m:t>
                    </m:r>
                  </m:e>
                  <m:sub>
                    <m:r>
                      <w:rPr>
                        <w:rFonts w:ascii="Cambria Math" w:hAnsi="Cambria Math"/>
                        <w:color w:val="404040" w:themeColor="text1" w:themeTint="BF"/>
                      </w:rPr>
                      <m:t>1</m:t>
                    </m:r>
                  </m:sub>
                </m:sSub>
                <m:r>
                  <w:rPr>
                    <w:rFonts w:ascii="Cambria Math" w:hAnsi="Cambria Math"/>
                    <w:color w:val="404040" w:themeColor="text1" w:themeTint="BF"/>
                  </w:rPr>
                  <m:t>,</m:t>
                </m:r>
                <m:sSub>
                  <m:sSubPr>
                    <m:ctrlPr>
                      <w:rPr>
                        <w:rFonts w:ascii="Cambria Math" w:hAnsi="Cambria Math"/>
                        <w:i/>
                        <w:color w:val="404040" w:themeColor="text1" w:themeTint="BF"/>
                      </w:rPr>
                    </m:ctrlPr>
                  </m:sSubPr>
                  <m:e>
                    <m:r>
                      <w:rPr>
                        <w:rFonts w:ascii="Cambria Math" w:hAnsi="Cambria Math"/>
                        <w:color w:val="404040" w:themeColor="text1" w:themeTint="BF"/>
                      </w:rPr>
                      <m:t>T</m:t>
                    </m:r>
                  </m:e>
                  <m:sub>
                    <m:r>
                      <w:rPr>
                        <w:rFonts w:ascii="Cambria Math" w:hAnsi="Cambria Math"/>
                        <w:color w:val="404040" w:themeColor="text1" w:themeTint="BF"/>
                      </w:rPr>
                      <m:t>2</m:t>
                    </m:r>
                  </m:sub>
                </m:sSub>
                <m:r>
                  <w:rPr>
                    <w:rFonts w:ascii="Cambria Math" w:hAnsi="Cambria Math"/>
                    <w:color w:val="404040" w:themeColor="text1" w:themeTint="BF"/>
                  </w:rPr>
                  <m:t>,</m:t>
                </m:r>
                <m:sSub>
                  <m:sSubPr>
                    <m:ctrlPr>
                      <w:rPr>
                        <w:rFonts w:ascii="Cambria Math" w:hAnsi="Cambria Math"/>
                        <w:i/>
                        <w:color w:val="404040" w:themeColor="text1" w:themeTint="BF"/>
                      </w:rPr>
                    </m:ctrlPr>
                  </m:sSubPr>
                  <m:e>
                    <m:r>
                      <w:rPr>
                        <w:rFonts w:ascii="Cambria Math" w:hAnsi="Cambria Math"/>
                        <w:color w:val="404040" w:themeColor="text1" w:themeTint="BF"/>
                      </w:rPr>
                      <m:t>t</m:t>
                    </m:r>
                  </m:e>
                  <m:sub>
                    <m:r>
                      <w:rPr>
                        <w:rFonts w:ascii="Cambria Math" w:hAnsi="Cambria Math"/>
                        <w:color w:val="404040" w:themeColor="text1" w:themeTint="BF"/>
                      </w:rPr>
                      <m:t>1</m:t>
                    </m:r>
                  </m:sub>
                </m:sSub>
                <m:r>
                  <w:rPr>
                    <w:rFonts w:ascii="Cambria Math" w:hAnsi="Cambria Math"/>
                    <w:color w:val="404040" w:themeColor="text1" w:themeTint="BF"/>
                  </w:rPr>
                  <m:t>,</m:t>
                </m:r>
                <m:sSub>
                  <m:sSubPr>
                    <m:ctrlPr>
                      <w:rPr>
                        <w:rFonts w:ascii="Cambria Math" w:hAnsi="Cambria Math"/>
                        <w:i/>
                        <w:color w:val="404040" w:themeColor="text1" w:themeTint="BF"/>
                      </w:rPr>
                    </m:ctrlPr>
                  </m:sSubPr>
                  <m:e>
                    <m:r>
                      <w:rPr>
                        <w:rFonts w:ascii="Cambria Math" w:hAnsi="Cambria Math"/>
                        <w:color w:val="404040" w:themeColor="text1" w:themeTint="BF"/>
                      </w:rPr>
                      <m:t>t</m:t>
                    </m:r>
                  </m:e>
                  <m:sub>
                    <m:r>
                      <w:rPr>
                        <w:rFonts w:ascii="Cambria Math" w:hAnsi="Cambria Math"/>
                        <w:color w:val="404040" w:themeColor="text1" w:themeTint="BF"/>
                      </w:rPr>
                      <m:t>2</m:t>
                    </m:r>
                  </m:sub>
                </m:sSub>
              </m:oMath>
            </m:oMathPara>
          </w:p>
        </w:tc>
        <w:tc>
          <w:tcPr>
            <w:tcW w:w="1052" w:type="dxa"/>
          </w:tcPr>
          <w:p w14:paraId="746F95AC" w14:textId="77777777" w:rsidR="00DB7BD6" w:rsidRPr="003A69B5" w:rsidRDefault="00DB7BD6" w:rsidP="00DB7BD6">
            <w:pPr>
              <w:jc w:val="center"/>
              <w:rPr>
                <w:color w:val="404040" w:themeColor="text1" w:themeTint="BF"/>
              </w:rPr>
            </w:pPr>
            <m:oMathPara>
              <m:oMath>
                <m:sSub>
                  <m:sSubPr>
                    <m:ctrlPr>
                      <w:rPr>
                        <w:rFonts w:ascii="Cambria Math" w:hAnsi="Cambria Math"/>
                        <w:i/>
                        <w:color w:val="404040" w:themeColor="text1" w:themeTint="BF"/>
                      </w:rPr>
                    </m:ctrlPr>
                  </m:sSubPr>
                  <m:e>
                    <m:r>
                      <w:rPr>
                        <w:rFonts w:ascii="Cambria Math" w:hAnsi="Cambria Math"/>
                        <w:color w:val="404040" w:themeColor="text1" w:themeTint="BF"/>
                      </w:rPr>
                      <m:t>∆T</m:t>
                    </m:r>
                  </m:e>
                  <m:sub>
                    <m:r>
                      <w:rPr>
                        <w:rFonts w:ascii="Cambria Math" w:hAnsi="Cambria Math"/>
                        <w:color w:val="404040" w:themeColor="text1" w:themeTint="BF"/>
                      </w:rPr>
                      <m:t>lm</m:t>
                    </m:r>
                  </m:sub>
                </m:sSub>
              </m:oMath>
            </m:oMathPara>
          </w:p>
        </w:tc>
        <w:tc>
          <w:tcPr>
            <w:tcW w:w="3205" w:type="dxa"/>
          </w:tcPr>
          <w:p w14:paraId="77CDCB5C" w14:textId="77777777" w:rsidR="00DB7BD6" w:rsidRPr="003A69B5" w:rsidRDefault="00DB7BD6" w:rsidP="00DB7BD6">
            <w:pPr>
              <w:jc w:val="center"/>
              <w:rPr>
                <w:color w:val="404040" w:themeColor="text1" w:themeTint="BF"/>
              </w:rPr>
            </w:pPr>
            <w:proofErr w:type="spellStart"/>
            <w:r w:rsidRPr="003A69B5">
              <w:rPr>
                <w:color w:val="404040" w:themeColor="text1" w:themeTint="BF"/>
              </w:rPr>
              <w:t>Eqn</w:t>
            </w:r>
            <w:proofErr w:type="spellEnd"/>
            <w:r w:rsidRPr="003A69B5">
              <w:rPr>
                <w:color w:val="404040" w:themeColor="text1" w:themeTint="BF"/>
              </w:rPr>
              <w:t xml:space="preserve"> 13.4</w:t>
            </w:r>
          </w:p>
        </w:tc>
      </w:tr>
      <w:tr w:rsidR="00DB7BD6" w14:paraId="5C010853" w14:textId="77777777" w:rsidTr="00DB7BD6">
        <w:trPr>
          <w:jc w:val="center"/>
        </w:trPr>
        <w:tc>
          <w:tcPr>
            <w:tcW w:w="1126" w:type="dxa"/>
          </w:tcPr>
          <w:p w14:paraId="62E6EB56" w14:textId="77777777" w:rsidR="00DB7BD6" w:rsidRPr="003A69B5" w:rsidRDefault="00DB7BD6" w:rsidP="00DB7BD6">
            <w:pPr>
              <w:jc w:val="center"/>
              <w:rPr>
                <w:color w:val="404040" w:themeColor="text1" w:themeTint="BF"/>
              </w:rPr>
            </w:pPr>
            <w:r w:rsidRPr="003A69B5">
              <w:rPr>
                <w:color w:val="404040" w:themeColor="text1" w:themeTint="BF"/>
              </w:rPr>
              <w:t>13.4</w:t>
            </w:r>
          </w:p>
        </w:tc>
        <w:tc>
          <w:tcPr>
            <w:tcW w:w="2516" w:type="dxa"/>
          </w:tcPr>
          <w:p w14:paraId="4FDF1F27" w14:textId="77777777" w:rsidR="00DB7BD6" w:rsidRPr="003A69B5" w:rsidRDefault="00DB7BD6" w:rsidP="00DB7BD6">
            <w:pPr>
              <w:jc w:val="center"/>
              <w:rPr>
                <w:color w:val="404040" w:themeColor="text1" w:themeTint="BF"/>
              </w:rPr>
            </w:pPr>
            <m:oMathPara>
              <m:oMath>
                <m:sSub>
                  <m:sSubPr>
                    <m:ctrlPr>
                      <w:rPr>
                        <w:rFonts w:ascii="Cambria Math" w:hAnsi="Cambria Math"/>
                        <w:b/>
                        <w:i/>
                        <w:color w:val="404040" w:themeColor="text1" w:themeTint="BF"/>
                      </w:rPr>
                    </m:ctrlPr>
                  </m:sSubPr>
                  <m:e>
                    <m:r>
                      <m:rPr>
                        <m:sty m:val="bi"/>
                      </m:rPr>
                      <w:rPr>
                        <w:rFonts w:ascii="Cambria Math" w:hAnsi="Cambria Math"/>
                        <w:color w:val="404040" w:themeColor="text1" w:themeTint="BF"/>
                      </w:rPr>
                      <m:t>∆T</m:t>
                    </m:r>
                  </m:e>
                  <m:sub>
                    <m:r>
                      <m:rPr>
                        <m:sty m:val="bi"/>
                      </m:rPr>
                      <w:rPr>
                        <w:rFonts w:ascii="Cambria Math" w:hAnsi="Cambria Math"/>
                        <w:color w:val="404040" w:themeColor="text1" w:themeTint="BF"/>
                      </w:rPr>
                      <m:t>lm</m:t>
                    </m:r>
                  </m:sub>
                </m:sSub>
                <m:r>
                  <w:rPr>
                    <w:rFonts w:ascii="Cambria Math" w:hAnsi="Cambria Math"/>
                    <w:color w:val="404040" w:themeColor="text1" w:themeTint="BF"/>
                  </w:rPr>
                  <m:t>,</m:t>
                </m:r>
                <m:sSub>
                  <m:sSubPr>
                    <m:ctrlPr>
                      <w:rPr>
                        <w:rFonts w:ascii="Cambria Math" w:hAnsi="Cambria Math"/>
                        <w:i/>
                        <w:color w:val="404040" w:themeColor="text1" w:themeTint="BF"/>
                      </w:rPr>
                    </m:ctrlPr>
                  </m:sSubPr>
                  <m:e>
                    <m:r>
                      <w:rPr>
                        <w:rFonts w:ascii="Cambria Math" w:hAnsi="Cambria Math"/>
                        <w:color w:val="404040" w:themeColor="text1" w:themeTint="BF"/>
                      </w:rPr>
                      <m:t>F</m:t>
                    </m:r>
                  </m:e>
                  <m:sub>
                    <m:r>
                      <w:rPr>
                        <w:rFonts w:ascii="Cambria Math" w:hAnsi="Cambria Math"/>
                        <w:color w:val="404040" w:themeColor="text1" w:themeTint="BF"/>
                      </w:rPr>
                      <m:t>t</m:t>
                    </m:r>
                  </m:sub>
                </m:sSub>
              </m:oMath>
            </m:oMathPara>
          </w:p>
        </w:tc>
        <w:tc>
          <w:tcPr>
            <w:tcW w:w="1052" w:type="dxa"/>
          </w:tcPr>
          <w:p w14:paraId="3DBAFE00" w14:textId="77777777" w:rsidR="00DB7BD6" w:rsidRPr="003A69B5" w:rsidRDefault="00DB7BD6" w:rsidP="00DB7BD6">
            <w:pPr>
              <w:jc w:val="center"/>
              <w:rPr>
                <w:color w:val="404040" w:themeColor="text1" w:themeTint="BF"/>
              </w:rPr>
            </w:pPr>
            <m:oMathPara>
              <m:oMath>
                <m:sSub>
                  <m:sSubPr>
                    <m:ctrlPr>
                      <w:rPr>
                        <w:rFonts w:ascii="Cambria Math" w:hAnsi="Cambria Math"/>
                        <w:i/>
                        <w:color w:val="404040" w:themeColor="text1" w:themeTint="BF"/>
                      </w:rPr>
                    </m:ctrlPr>
                  </m:sSubPr>
                  <m:e>
                    <m:r>
                      <w:rPr>
                        <w:rFonts w:ascii="Cambria Math" w:hAnsi="Cambria Math"/>
                        <w:color w:val="404040" w:themeColor="text1" w:themeTint="BF"/>
                      </w:rPr>
                      <m:t>∆T</m:t>
                    </m:r>
                  </m:e>
                  <m:sub>
                    <m:r>
                      <w:rPr>
                        <w:rFonts w:ascii="Cambria Math" w:hAnsi="Cambria Math"/>
                        <w:color w:val="404040" w:themeColor="text1" w:themeTint="BF"/>
                      </w:rPr>
                      <m:t>m</m:t>
                    </m:r>
                  </m:sub>
                </m:sSub>
              </m:oMath>
            </m:oMathPara>
          </w:p>
        </w:tc>
        <w:tc>
          <w:tcPr>
            <w:tcW w:w="3205" w:type="dxa"/>
          </w:tcPr>
          <w:p w14:paraId="49AF0FE1" w14:textId="77777777" w:rsidR="00DB7BD6" w:rsidRPr="003A69B5" w:rsidRDefault="00DB7BD6" w:rsidP="00DB7BD6">
            <w:pPr>
              <w:jc w:val="center"/>
              <w:rPr>
                <w:color w:val="404040" w:themeColor="text1" w:themeTint="BF"/>
              </w:rPr>
            </w:pPr>
            <w:proofErr w:type="spellStart"/>
            <w:r w:rsidRPr="003A69B5">
              <w:rPr>
                <w:color w:val="404040" w:themeColor="text1" w:themeTint="BF"/>
              </w:rPr>
              <w:t>Eqn</w:t>
            </w:r>
            <w:proofErr w:type="spellEnd"/>
            <w:r w:rsidRPr="003A69B5">
              <w:rPr>
                <w:color w:val="404040" w:themeColor="text1" w:themeTint="BF"/>
              </w:rPr>
              <w:t xml:space="preserve"> 13.5</w:t>
            </w:r>
          </w:p>
        </w:tc>
      </w:tr>
      <w:tr w:rsidR="00DB7BD6" w14:paraId="1E3AF358" w14:textId="77777777" w:rsidTr="00DB7BD6">
        <w:trPr>
          <w:jc w:val="center"/>
        </w:trPr>
        <w:tc>
          <w:tcPr>
            <w:tcW w:w="1126" w:type="dxa"/>
          </w:tcPr>
          <w:p w14:paraId="2EA92CF9" w14:textId="77777777" w:rsidR="00DB7BD6" w:rsidRPr="003A69B5" w:rsidRDefault="00DB7BD6" w:rsidP="00DB7BD6">
            <w:pPr>
              <w:jc w:val="center"/>
              <w:rPr>
                <w:color w:val="404040" w:themeColor="text1" w:themeTint="BF"/>
              </w:rPr>
            </w:pPr>
            <w:r w:rsidRPr="003A69B5">
              <w:rPr>
                <w:color w:val="404040" w:themeColor="text1" w:themeTint="BF"/>
              </w:rPr>
              <w:t>13.5</w:t>
            </w:r>
          </w:p>
        </w:tc>
        <w:tc>
          <w:tcPr>
            <w:tcW w:w="2516" w:type="dxa"/>
          </w:tcPr>
          <w:p w14:paraId="2B2F179D" w14:textId="77777777" w:rsidR="00DB7BD6" w:rsidRPr="003A69B5" w:rsidRDefault="00DB7BD6" w:rsidP="00DB7BD6">
            <w:pPr>
              <w:jc w:val="center"/>
              <w:rPr>
                <w:color w:val="404040" w:themeColor="text1" w:themeTint="BF"/>
              </w:rPr>
            </w:pPr>
            <m:oMathPara>
              <m:oMath>
                <m:sSub>
                  <m:sSubPr>
                    <m:ctrlPr>
                      <w:rPr>
                        <w:rFonts w:ascii="Cambria Math" w:hAnsi="Cambria Math"/>
                        <w:b/>
                        <w:i/>
                        <w:color w:val="404040" w:themeColor="text1" w:themeTint="BF"/>
                      </w:rPr>
                    </m:ctrlPr>
                  </m:sSubPr>
                  <m:e>
                    <m:r>
                      <m:rPr>
                        <m:sty m:val="bi"/>
                      </m:rPr>
                      <w:rPr>
                        <w:rFonts w:ascii="Cambria Math" w:hAnsi="Cambria Math"/>
                        <w:color w:val="404040" w:themeColor="text1" w:themeTint="BF"/>
                      </w:rPr>
                      <m:t>U,∆T</m:t>
                    </m:r>
                  </m:e>
                  <m:sub>
                    <m:r>
                      <m:rPr>
                        <m:sty m:val="bi"/>
                      </m:rPr>
                      <w:rPr>
                        <w:rFonts w:ascii="Cambria Math" w:hAnsi="Cambria Math"/>
                        <w:color w:val="404040" w:themeColor="text1" w:themeTint="BF"/>
                      </w:rPr>
                      <m:t>m</m:t>
                    </m:r>
                  </m:sub>
                </m:sSub>
                <m:r>
                  <w:rPr>
                    <w:rFonts w:ascii="Cambria Math" w:hAnsi="Cambria Math"/>
                    <w:color w:val="404040" w:themeColor="text1" w:themeTint="BF"/>
                  </w:rPr>
                  <m:t>,A,</m:t>
                </m:r>
                <m:sSub>
                  <m:sSubPr>
                    <m:ctrlPr>
                      <w:rPr>
                        <w:rFonts w:ascii="Cambria Math" w:hAnsi="Cambria Math"/>
                        <w:i/>
                        <w:color w:val="404040" w:themeColor="text1" w:themeTint="BF"/>
                      </w:rPr>
                    </m:ctrlPr>
                  </m:sSubPr>
                  <m:e>
                    <m:acc>
                      <m:accPr>
                        <m:chr m:val="̇"/>
                        <m:ctrlPr>
                          <w:rPr>
                            <w:rFonts w:ascii="Cambria Math" w:hAnsi="Cambria Math"/>
                            <w:i/>
                            <w:color w:val="404040" w:themeColor="text1" w:themeTint="BF"/>
                          </w:rPr>
                        </m:ctrlPr>
                      </m:accPr>
                      <m:e>
                        <m:r>
                          <w:rPr>
                            <w:rFonts w:ascii="Cambria Math" w:hAnsi="Cambria Math"/>
                            <w:color w:val="404040" w:themeColor="text1" w:themeTint="BF"/>
                          </w:rPr>
                          <m:t>m</m:t>
                        </m:r>
                      </m:e>
                    </m:acc>
                  </m:e>
                  <m:sub>
                    <m:r>
                      <w:rPr>
                        <w:rFonts w:ascii="Cambria Math" w:hAnsi="Cambria Math"/>
                        <w:color w:val="404040" w:themeColor="text1" w:themeTint="BF"/>
                      </w:rPr>
                      <m:t>s</m:t>
                    </m:r>
                  </m:sub>
                </m:sSub>
                <m:r>
                  <w:rPr>
                    <w:rFonts w:ascii="Cambria Math" w:hAnsi="Cambria Math"/>
                    <w:color w:val="404040" w:themeColor="text1" w:themeTint="BF"/>
                  </w:rPr>
                  <m:t>,</m:t>
                </m:r>
                <m:sSub>
                  <m:sSubPr>
                    <m:ctrlPr>
                      <w:rPr>
                        <w:rFonts w:ascii="Cambria Math" w:hAnsi="Cambria Math"/>
                        <w:i/>
                        <w:color w:val="404040" w:themeColor="text1" w:themeTint="BF"/>
                      </w:rPr>
                    </m:ctrlPr>
                  </m:sSubPr>
                  <m:e>
                    <m:r>
                      <w:rPr>
                        <w:rFonts w:ascii="Cambria Math" w:hAnsi="Cambria Math"/>
                        <w:color w:val="404040" w:themeColor="text1" w:themeTint="BF"/>
                      </w:rPr>
                      <m:t>c</m:t>
                    </m:r>
                  </m:e>
                  <m:sub>
                    <m:r>
                      <w:rPr>
                        <w:rFonts w:ascii="Cambria Math" w:hAnsi="Cambria Math"/>
                        <w:color w:val="404040" w:themeColor="text1" w:themeTint="BF"/>
                      </w:rPr>
                      <m:t>p,s</m:t>
                    </m:r>
                  </m:sub>
                </m:sSub>
                <m:r>
                  <w:rPr>
                    <w:rFonts w:ascii="Cambria Math" w:hAnsi="Cambria Math"/>
                    <w:color w:val="404040" w:themeColor="text1" w:themeTint="BF"/>
                  </w:rPr>
                  <m:t>,</m:t>
                </m:r>
                <m:sSub>
                  <m:sSubPr>
                    <m:ctrlPr>
                      <w:rPr>
                        <w:rFonts w:ascii="Cambria Math" w:hAnsi="Cambria Math"/>
                        <w:i/>
                        <w:color w:val="404040" w:themeColor="text1" w:themeTint="BF"/>
                      </w:rPr>
                    </m:ctrlPr>
                  </m:sSubPr>
                  <m:e>
                    <m:r>
                      <w:rPr>
                        <w:rFonts w:ascii="Cambria Math" w:hAnsi="Cambria Math"/>
                        <w:color w:val="404040" w:themeColor="text1" w:themeTint="BF"/>
                      </w:rPr>
                      <m:t>T</m:t>
                    </m:r>
                  </m:e>
                  <m:sub>
                    <m:r>
                      <w:rPr>
                        <w:rFonts w:ascii="Cambria Math" w:hAnsi="Cambria Math"/>
                        <w:color w:val="404040" w:themeColor="text1" w:themeTint="BF"/>
                      </w:rPr>
                      <m:t>1</m:t>
                    </m:r>
                  </m:sub>
                </m:sSub>
                <m:r>
                  <w:rPr>
                    <w:rFonts w:ascii="Cambria Math" w:hAnsi="Cambria Math"/>
                    <w:color w:val="404040" w:themeColor="text1" w:themeTint="BF"/>
                  </w:rPr>
                  <m:t>,</m:t>
                </m:r>
                <m:sSub>
                  <m:sSubPr>
                    <m:ctrlPr>
                      <w:rPr>
                        <w:rFonts w:ascii="Cambria Math" w:hAnsi="Cambria Math"/>
                        <w:i/>
                        <w:color w:val="404040" w:themeColor="text1" w:themeTint="BF"/>
                      </w:rPr>
                    </m:ctrlPr>
                  </m:sSubPr>
                  <m:e>
                    <m:r>
                      <w:rPr>
                        <w:rFonts w:ascii="Cambria Math" w:hAnsi="Cambria Math"/>
                        <w:color w:val="404040" w:themeColor="text1" w:themeTint="BF"/>
                      </w:rPr>
                      <m:t>T</m:t>
                    </m:r>
                  </m:e>
                  <m:sub>
                    <m:r>
                      <w:rPr>
                        <w:rFonts w:ascii="Cambria Math" w:hAnsi="Cambria Math"/>
                        <w:color w:val="404040" w:themeColor="text1" w:themeTint="BF"/>
                      </w:rPr>
                      <m:t>2</m:t>
                    </m:r>
                  </m:sub>
                </m:sSub>
              </m:oMath>
            </m:oMathPara>
          </w:p>
        </w:tc>
        <w:tc>
          <w:tcPr>
            <w:tcW w:w="1052" w:type="dxa"/>
          </w:tcPr>
          <w:p w14:paraId="48A99CA1" w14:textId="77777777" w:rsidR="00DB7BD6" w:rsidRPr="003A69B5" w:rsidRDefault="00DB7BD6" w:rsidP="00DB7BD6">
            <w:pPr>
              <w:jc w:val="center"/>
              <w:rPr>
                <w:color w:val="404040" w:themeColor="text1" w:themeTint="BF"/>
              </w:rPr>
            </w:pPr>
            <m:oMathPara>
              <m:oMath>
                <m:r>
                  <w:rPr>
                    <w:rFonts w:ascii="Cambria Math" w:hAnsi="Cambria Math"/>
                    <w:color w:val="404040" w:themeColor="text1" w:themeTint="BF"/>
                  </w:rPr>
                  <m:t>P</m:t>
                </m:r>
              </m:oMath>
            </m:oMathPara>
          </w:p>
        </w:tc>
        <w:tc>
          <w:tcPr>
            <w:tcW w:w="3205" w:type="dxa"/>
          </w:tcPr>
          <w:p w14:paraId="2DEAA7FA" w14:textId="77777777" w:rsidR="00DB7BD6" w:rsidRPr="003A69B5" w:rsidRDefault="00DB7BD6" w:rsidP="00DB7BD6">
            <w:pPr>
              <w:jc w:val="center"/>
              <w:rPr>
                <w:color w:val="404040" w:themeColor="text1" w:themeTint="BF"/>
              </w:rPr>
            </w:pPr>
          </w:p>
        </w:tc>
      </w:tr>
      <w:tr w:rsidR="00DB7BD6" w14:paraId="3C4E09D9" w14:textId="77777777" w:rsidTr="00DB7BD6">
        <w:trPr>
          <w:jc w:val="center"/>
        </w:trPr>
        <w:tc>
          <w:tcPr>
            <w:tcW w:w="1126" w:type="dxa"/>
          </w:tcPr>
          <w:p w14:paraId="5696426C" w14:textId="77777777" w:rsidR="00DB7BD6" w:rsidRPr="003A69B5" w:rsidRDefault="00DB7BD6" w:rsidP="00DB7BD6">
            <w:pPr>
              <w:jc w:val="center"/>
              <w:rPr>
                <w:color w:val="404040" w:themeColor="text1" w:themeTint="BF"/>
              </w:rPr>
            </w:pPr>
            <w:r w:rsidRPr="003A69B5">
              <w:rPr>
                <w:color w:val="404040" w:themeColor="text1" w:themeTint="BF"/>
              </w:rPr>
              <w:t>13.6</w:t>
            </w:r>
          </w:p>
        </w:tc>
        <w:tc>
          <w:tcPr>
            <w:tcW w:w="2516" w:type="dxa"/>
          </w:tcPr>
          <w:p w14:paraId="5D7EFFB3" w14:textId="77777777" w:rsidR="00DB7BD6" w:rsidRPr="003A69B5" w:rsidRDefault="00DB7BD6" w:rsidP="00DB7BD6">
            <w:pPr>
              <w:jc w:val="center"/>
              <w:rPr>
                <w:color w:val="404040" w:themeColor="text1" w:themeTint="BF"/>
              </w:rPr>
            </w:pPr>
            <m:oMathPara>
              <m:oMath>
                <m:sSub>
                  <m:sSubPr>
                    <m:ctrlPr>
                      <w:rPr>
                        <w:rFonts w:ascii="Cambria Math" w:hAnsi="Cambria Math"/>
                        <w:i/>
                        <w:color w:val="404040" w:themeColor="text1" w:themeTint="BF"/>
                      </w:rPr>
                    </m:ctrlPr>
                  </m:sSubPr>
                  <m:e>
                    <m:r>
                      <w:rPr>
                        <w:rFonts w:ascii="Cambria Math" w:hAnsi="Cambria Math"/>
                        <w:color w:val="404040" w:themeColor="text1" w:themeTint="BF"/>
                      </w:rPr>
                      <m:t>D</m:t>
                    </m:r>
                  </m:e>
                  <m:sub>
                    <m:r>
                      <w:rPr>
                        <w:rFonts w:ascii="Cambria Math" w:hAnsi="Cambria Math"/>
                        <w:color w:val="404040" w:themeColor="text1" w:themeTint="BF"/>
                      </w:rPr>
                      <m:t>o</m:t>
                    </m:r>
                  </m:sub>
                </m:sSub>
                <m:r>
                  <w:rPr>
                    <w:rFonts w:ascii="Cambria Math" w:hAnsi="Cambria Math"/>
                    <w:color w:val="404040" w:themeColor="text1" w:themeTint="BF"/>
                  </w:rPr>
                  <m:t>,L</m:t>
                </m:r>
              </m:oMath>
            </m:oMathPara>
          </w:p>
        </w:tc>
        <w:tc>
          <w:tcPr>
            <w:tcW w:w="1052" w:type="dxa"/>
          </w:tcPr>
          <w:p w14:paraId="6C246764" w14:textId="77777777" w:rsidR="00DB7BD6" w:rsidRPr="003A69B5" w:rsidRDefault="00DB7BD6" w:rsidP="00DB7BD6">
            <w:pPr>
              <w:jc w:val="center"/>
              <w:rPr>
                <w:color w:val="404040" w:themeColor="text1" w:themeTint="BF"/>
              </w:rPr>
            </w:pPr>
            <m:oMathPara>
              <m:oMath>
                <m:sSub>
                  <m:sSubPr>
                    <m:ctrlPr>
                      <w:rPr>
                        <w:rFonts w:ascii="Cambria Math" w:hAnsi="Cambria Math"/>
                        <w:i/>
                        <w:color w:val="404040" w:themeColor="text1" w:themeTint="BF"/>
                      </w:rPr>
                    </m:ctrlPr>
                  </m:sSubPr>
                  <m:e>
                    <m:r>
                      <w:rPr>
                        <w:rFonts w:ascii="Cambria Math" w:hAnsi="Cambria Math"/>
                        <w:color w:val="404040" w:themeColor="text1" w:themeTint="BF"/>
                      </w:rPr>
                      <m:t>A</m:t>
                    </m:r>
                  </m:e>
                  <m:sub>
                    <m:r>
                      <w:rPr>
                        <w:rFonts w:ascii="Cambria Math" w:hAnsi="Cambria Math"/>
                        <w:color w:val="404040" w:themeColor="text1" w:themeTint="BF"/>
                      </w:rPr>
                      <m:t>SA</m:t>
                    </m:r>
                  </m:sub>
                </m:sSub>
              </m:oMath>
            </m:oMathPara>
          </w:p>
        </w:tc>
        <w:tc>
          <w:tcPr>
            <w:tcW w:w="3205" w:type="dxa"/>
          </w:tcPr>
          <w:p w14:paraId="4B9F60B6" w14:textId="77777777" w:rsidR="00DB7BD6" w:rsidRPr="003A69B5" w:rsidRDefault="00DB7BD6" w:rsidP="00DB7BD6">
            <w:pPr>
              <w:jc w:val="center"/>
              <w:rPr>
                <w:color w:val="404040" w:themeColor="text1" w:themeTint="BF"/>
              </w:rPr>
            </w:pPr>
            <w:proofErr w:type="spellStart"/>
            <w:r w:rsidRPr="003A69B5">
              <w:rPr>
                <w:color w:val="404040" w:themeColor="text1" w:themeTint="BF"/>
              </w:rPr>
              <w:t>Eqn</w:t>
            </w:r>
            <w:proofErr w:type="spellEnd"/>
            <w:r w:rsidRPr="003A69B5">
              <w:rPr>
                <w:color w:val="404040" w:themeColor="text1" w:themeTint="BF"/>
              </w:rPr>
              <w:t xml:space="preserve"> 13.7</w:t>
            </w:r>
          </w:p>
        </w:tc>
      </w:tr>
      <w:tr w:rsidR="00DB7BD6" w14:paraId="7BCA5678" w14:textId="77777777" w:rsidTr="00DB7BD6">
        <w:trPr>
          <w:jc w:val="center"/>
        </w:trPr>
        <w:tc>
          <w:tcPr>
            <w:tcW w:w="1126" w:type="dxa"/>
          </w:tcPr>
          <w:p w14:paraId="18DC9A9C" w14:textId="77777777" w:rsidR="00DB7BD6" w:rsidRPr="003A69B5" w:rsidRDefault="00DB7BD6" w:rsidP="00DB7BD6">
            <w:pPr>
              <w:jc w:val="center"/>
              <w:rPr>
                <w:color w:val="404040" w:themeColor="text1" w:themeTint="BF"/>
              </w:rPr>
            </w:pPr>
            <w:r w:rsidRPr="003A69B5">
              <w:rPr>
                <w:color w:val="404040" w:themeColor="text1" w:themeTint="BF"/>
              </w:rPr>
              <w:t>13.7</w:t>
            </w:r>
          </w:p>
        </w:tc>
        <w:tc>
          <w:tcPr>
            <w:tcW w:w="2516" w:type="dxa"/>
          </w:tcPr>
          <w:p w14:paraId="6223FECE" w14:textId="77777777" w:rsidR="00DB7BD6" w:rsidRPr="003A69B5" w:rsidRDefault="00DB7BD6" w:rsidP="00DB7BD6">
            <w:pPr>
              <w:jc w:val="center"/>
              <w:rPr>
                <w:color w:val="404040" w:themeColor="text1" w:themeTint="BF"/>
              </w:rPr>
            </w:pPr>
            <m:oMathPara>
              <m:oMath>
                <m:sSub>
                  <m:sSubPr>
                    <m:ctrlPr>
                      <w:rPr>
                        <w:rFonts w:ascii="Cambria Math" w:hAnsi="Cambria Math"/>
                        <w:b/>
                        <w:i/>
                        <w:color w:val="404040" w:themeColor="text1" w:themeTint="BF"/>
                      </w:rPr>
                    </m:ctrlPr>
                  </m:sSubPr>
                  <m:e>
                    <m:r>
                      <m:rPr>
                        <m:sty m:val="bi"/>
                      </m:rPr>
                      <w:rPr>
                        <w:rFonts w:ascii="Cambria Math" w:hAnsi="Cambria Math"/>
                        <w:color w:val="404040" w:themeColor="text1" w:themeTint="BF"/>
                      </w:rPr>
                      <m:t>A</m:t>
                    </m:r>
                  </m:e>
                  <m:sub>
                    <m:r>
                      <m:rPr>
                        <m:sty m:val="bi"/>
                      </m:rPr>
                      <w:rPr>
                        <w:rFonts w:ascii="Cambria Math" w:hAnsi="Cambria Math"/>
                        <w:color w:val="404040" w:themeColor="text1" w:themeTint="BF"/>
                      </w:rPr>
                      <m:t>SA</m:t>
                    </m:r>
                  </m:sub>
                </m:sSub>
                <m:r>
                  <w:rPr>
                    <w:rFonts w:ascii="Cambria Math" w:hAnsi="Cambria Math"/>
                    <w:color w:val="404040" w:themeColor="text1" w:themeTint="BF"/>
                  </w:rPr>
                  <m:t>,A</m:t>
                </m:r>
              </m:oMath>
            </m:oMathPara>
          </w:p>
        </w:tc>
        <w:tc>
          <w:tcPr>
            <w:tcW w:w="1052" w:type="dxa"/>
          </w:tcPr>
          <w:p w14:paraId="19F2FE27" w14:textId="77777777" w:rsidR="00DB7BD6" w:rsidRPr="003A69B5" w:rsidRDefault="00DB7BD6" w:rsidP="00DB7BD6">
            <w:pPr>
              <w:jc w:val="center"/>
              <w:rPr>
                <w:color w:val="404040" w:themeColor="text1" w:themeTint="BF"/>
              </w:rPr>
            </w:pPr>
            <m:oMathPara>
              <m:oMath>
                <m:sSub>
                  <m:sSubPr>
                    <m:ctrlPr>
                      <w:rPr>
                        <w:rFonts w:ascii="Cambria Math" w:hAnsi="Cambria Math"/>
                        <w:i/>
                        <w:color w:val="404040" w:themeColor="text1" w:themeTint="BF"/>
                      </w:rPr>
                    </m:ctrlPr>
                  </m:sSubPr>
                  <m:e>
                    <m:r>
                      <w:rPr>
                        <w:rFonts w:ascii="Cambria Math" w:hAnsi="Cambria Math"/>
                        <w:color w:val="404040" w:themeColor="text1" w:themeTint="BF"/>
                      </w:rPr>
                      <m:t>N</m:t>
                    </m:r>
                  </m:e>
                  <m:sub>
                    <m:r>
                      <w:rPr>
                        <w:rFonts w:ascii="Cambria Math" w:hAnsi="Cambria Math"/>
                        <w:color w:val="404040" w:themeColor="text1" w:themeTint="BF"/>
                      </w:rPr>
                      <m:t>tu</m:t>
                    </m:r>
                  </m:sub>
                </m:sSub>
              </m:oMath>
            </m:oMathPara>
          </w:p>
        </w:tc>
        <w:tc>
          <w:tcPr>
            <w:tcW w:w="3205" w:type="dxa"/>
          </w:tcPr>
          <w:p w14:paraId="1A0CE56D" w14:textId="77777777" w:rsidR="00DB7BD6" w:rsidRPr="003A69B5" w:rsidRDefault="00DB7BD6" w:rsidP="00DB7BD6">
            <w:pPr>
              <w:jc w:val="center"/>
              <w:rPr>
                <w:color w:val="404040" w:themeColor="text1" w:themeTint="BF"/>
              </w:rPr>
            </w:pPr>
            <w:proofErr w:type="spellStart"/>
            <w:r w:rsidRPr="003A69B5">
              <w:rPr>
                <w:color w:val="404040" w:themeColor="text1" w:themeTint="BF"/>
              </w:rPr>
              <w:t>Eqn</w:t>
            </w:r>
            <w:proofErr w:type="spellEnd"/>
            <w:r w:rsidRPr="003A69B5">
              <w:rPr>
                <w:color w:val="404040" w:themeColor="text1" w:themeTint="BF"/>
              </w:rPr>
              <w:t xml:space="preserve"> 13.8, </w:t>
            </w:r>
            <w:proofErr w:type="spellStart"/>
            <w:r w:rsidRPr="003A69B5">
              <w:rPr>
                <w:color w:val="404040" w:themeColor="text1" w:themeTint="BF"/>
              </w:rPr>
              <w:t>Eqn</w:t>
            </w:r>
            <w:proofErr w:type="spellEnd"/>
            <w:r w:rsidRPr="003A69B5">
              <w:rPr>
                <w:color w:val="404040" w:themeColor="text1" w:themeTint="BF"/>
              </w:rPr>
              <w:t xml:space="preserve"> 13.11</w:t>
            </w:r>
          </w:p>
        </w:tc>
      </w:tr>
      <w:tr w:rsidR="00DB7BD6" w14:paraId="78D50A56" w14:textId="77777777" w:rsidTr="00DB7BD6">
        <w:trPr>
          <w:jc w:val="center"/>
        </w:trPr>
        <w:tc>
          <w:tcPr>
            <w:tcW w:w="1126" w:type="dxa"/>
          </w:tcPr>
          <w:p w14:paraId="1C642B90" w14:textId="77777777" w:rsidR="00DB7BD6" w:rsidRPr="003A69B5" w:rsidRDefault="00DB7BD6" w:rsidP="00DB7BD6">
            <w:pPr>
              <w:jc w:val="center"/>
              <w:rPr>
                <w:color w:val="404040" w:themeColor="text1" w:themeTint="BF"/>
              </w:rPr>
            </w:pPr>
            <w:r w:rsidRPr="003A69B5">
              <w:rPr>
                <w:color w:val="404040" w:themeColor="text1" w:themeTint="BF"/>
              </w:rPr>
              <w:t>13.8</w:t>
            </w:r>
          </w:p>
        </w:tc>
        <w:tc>
          <w:tcPr>
            <w:tcW w:w="2516" w:type="dxa"/>
          </w:tcPr>
          <w:p w14:paraId="49E7F16E" w14:textId="77777777" w:rsidR="00DB7BD6" w:rsidRPr="003A69B5" w:rsidRDefault="00DB7BD6" w:rsidP="00DB7BD6">
            <w:pPr>
              <w:jc w:val="center"/>
              <w:rPr>
                <w:color w:val="404040" w:themeColor="text1" w:themeTint="BF"/>
              </w:rPr>
            </w:pPr>
            <m:oMathPara>
              <m:oMath>
                <m:sSub>
                  <m:sSubPr>
                    <m:ctrlPr>
                      <w:rPr>
                        <w:rFonts w:ascii="Cambria Math" w:hAnsi="Cambria Math"/>
                        <w:b/>
                        <w:i/>
                        <w:color w:val="404040" w:themeColor="text1" w:themeTint="BF"/>
                      </w:rPr>
                    </m:ctrlPr>
                  </m:sSubPr>
                  <m:e>
                    <m:r>
                      <m:rPr>
                        <m:sty m:val="bi"/>
                      </m:rPr>
                      <w:rPr>
                        <w:rFonts w:ascii="Cambria Math" w:hAnsi="Cambria Math"/>
                        <w:color w:val="404040" w:themeColor="text1" w:themeTint="BF"/>
                      </w:rPr>
                      <m:t>N</m:t>
                    </m:r>
                  </m:e>
                  <m:sub>
                    <m:r>
                      <m:rPr>
                        <m:sty m:val="bi"/>
                      </m:rPr>
                      <w:rPr>
                        <w:rFonts w:ascii="Cambria Math" w:hAnsi="Cambria Math"/>
                        <w:color w:val="404040" w:themeColor="text1" w:themeTint="BF"/>
                      </w:rPr>
                      <m:t>tu</m:t>
                    </m:r>
                  </m:sub>
                </m:sSub>
                <m:r>
                  <w:rPr>
                    <w:rFonts w:ascii="Cambria Math" w:hAnsi="Cambria Math"/>
                    <w:color w:val="404040" w:themeColor="text1" w:themeTint="BF"/>
                  </w:rPr>
                  <m:t>,</m:t>
                </m:r>
                <m:sSub>
                  <m:sSubPr>
                    <m:ctrlPr>
                      <w:rPr>
                        <w:rFonts w:ascii="Cambria Math" w:hAnsi="Cambria Math"/>
                        <w:i/>
                        <w:color w:val="404040" w:themeColor="text1" w:themeTint="BF"/>
                      </w:rPr>
                    </m:ctrlPr>
                  </m:sSubPr>
                  <m:e>
                    <m:r>
                      <w:rPr>
                        <w:rFonts w:ascii="Cambria Math" w:hAnsi="Cambria Math"/>
                        <w:color w:val="404040" w:themeColor="text1" w:themeTint="BF"/>
                      </w:rPr>
                      <m:t>D</m:t>
                    </m:r>
                  </m:e>
                  <m:sub>
                    <m:r>
                      <w:rPr>
                        <w:rFonts w:ascii="Cambria Math" w:hAnsi="Cambria Math"/>
                        <w:color w:val="404040" w:themeColor="text1" w:themeTint="BF"/>
                      </w:rPr>
                      <m:t>o</m:t>
                    </m:r>
                  </m:sub>
                </m:sSub>
                <m:r>
                  <w:rPr>
                    <w:rFonts w:ascii="Cambria Math" w:hAnsi="Cambria Math"/>
                    <w:color w:val="404040" w:themeColor="text1" w:themeTint="BF"/>
                  </w:rPr>
                  <m:t>,</m:t>
                </m:r>
                <m:sSub>
                  <m:sSubPr>
                    <m:ctrlPr>
                      <w:rPr>
                        <w:rFonts w:ascii="Cambria Math" w:hAnsi="Cambria Math"/>
                        <w:i/>
                        <w:color w:val="404040" w:themeColor="text1" w:themeTint="BF"/>
                      </w:rPr>
                    </m:ctrlPr>
                  </m:sSubPr>
                  <m:e>
                    <m:r>
                      <w:rPr>
                        <w:rFonts w:ascii="Cambria Math" w:hAnsi="Cambria Math"/>
                        <w:color w:val="404040" w:themeColor="text1" w:themeTint="BF"/>
                      </w:rPr>
                      <m:t>K</m:t>
                    </m:r>
                  </m:e>
                  <m:sub>
                    <m:r>
                      <w:rPr>
                        <w:rFonts w:ascii="Cambria Math" w:hAnsi="Cambria Math"/>
                        <w:color w:val="404040" w:themeColor="text1" w:themeTint="BF"/>
                      </w:rPr>
                      <m:t>1</m:t>
                    </m:r>
                  </m:sub>
                </m:sSub>
                <m:r>
                  <w:rPr>
                    <w:rFonts w:ascii="Cambria Math" w:hAnsi="Cambria Math"/>
                    <w:color w:val="404040" w:themeColor="text1" w:themeTint="BF"/>
                  </w:rPr>
                  <m:t>,</m:t>
                </m:r>
                <m:sSub>
                  <m:sSubPr>
                    <m:ctrlPr>
                      <w:rPr>
                        <w:rFonts w:ascii="Cambria Math" w:hAnsi="Cambria Math"/>
                        <w:i/>
                        <w:color w:val="404040" w:themeColor="text1" w:themeTint="BF"/>
                      </w:rPr>
                    </m:ctrlPr>
                  </m:sSubPr>
                  <m:e>
                    <m:r>
                      <w:rPr>
                        <w:rFonts w:ascii="Cambria Math" w:hAnsi="Cambria Math"/>
                        <w:color w:val="404040" w:themeColor="text1" w:themeTint="BF"/>
                      </w:rPr>
                      <m:t>n</m:t>
                    </m:r>
                  </m:e>
                  <m:sub>
                    <m:r>
                      <w:rPr>
                        <w:rFonts w:ascii="Cambria Math" w:hAnsi="Cambria Math"/>
                        <w:color w:val="404040" w:themeColor="text1" w:themeTint="BF"/>
                      </w:rPr>
                      <m:t>1</m:t>
                    </m:r>
                  </m:sub>
                </m:sSub>
              </m:oMath>
            </m:oMathPara>
          </w:p>
        </w:tc>
        <w:tc>
          <w:tcPr>
            <w:tcW w:w="1052" w:type="dxa"/>
          </w:tcPr>
          <w:p w14:paraId="6225D2B0" w14:textId="77777777" w:rsidR="00DB7BD6" w:rsidRPr="003A69B5" w:rsidRDefault="00DB7BD6" w:rsidP="00DB7BD6">
            <w:pPr>
              <w:jc w:val="center"/>
              <w:rPr>
                <w:color w:val="404040" w:themeColor="text1" w:themeTint="BF"/>
              </w:rPr>
            </w:pPr>
            <m:oMathPara>
              <m:oMath>
                <m:sSub>
                  <m:sSubPr>
                    <m:ctrlPr>
                      <w:rPr>
                        <w:rFonts w:ascii="Cambria Math" w:hAnsi="Cambria Math"/>
                        <w:i/>
                        <w:color w:val="404040" w:themeColor="text1" w:themeTint="BF"/>
                      </w:rPr>
                    </m:ctrlPr>
                  </m:sSubPr>
                  <m:e>
                    <m:r>
                      <w:rPr>
                        <w:rFonts w:ascii="Cambria Math" w:hAnsi="Cambria Math"/>
                        <w:color w:val="404040" w:themeColor="text1" w:themeTint="BF"/>
                      </w:rPr>
                      <m:t>D</m:t>
                    </m:r>
                  </m:e>
                  <m:sub>
                    <m:r>
                      <w:rPr>
                        <w:rFonts w:ascii="Cambria Math" w:hAnsi="Cambria Math"/>
                        <w:color w:val="404040" w:themeColor="text1" w:themeTint="BF"/>
                      </w:rPr>
                      <m:t>bu</m:t>
                    </m:r>
                  </m:sub>
                </m:sSub>
              </m:oMath>
            </m:oMathPara>
          </w:p>
        </w:tc>
        <w:tc>
          <w:tcPr>
            <w:tcW w:w="3205" w:type="dxa"/>
          </w:tcPr>
          <w:p w14:paraId="60109FF3" w14:textId="77777777" w:rsidR="00DB7BD6" w:rsidRPr="003A69B5" w:rsidRDefault="00DB7BD6" w:rsidP="00DB7BD6">
            <w:pPr>
              <w:jc w:val="center"/>
              <w:rPr>
                <w:color w:val="404040" w:themeColor="text1" w:themeTint="BF"/>
              </w:rPr>
            </w:pPr>
            <w:proofErr w:type="spellStart"/>
            <w:r w:rsidRPr="003A69B5">
              <w:rPr>
                <w:color w:val="404040" w:themeColor="text1" w:themeTint="BF"/>
              </w:rPr>
              <w:t>Eqn</w:t>
            </w:r>
            <w:proofErr w:type="spellEnd"/>
            <w:r w:rsidRPr="003A69B5">
              <w:rPr>
                <w:color w:val="404040" w:themeColor="text1" w:themeTint="BF"/>
              </w:rPr>
              <w:t xml:space="preserve"> 13.18</w:t>
            </w:r>
          </w:p>
        </w:tc>
      </w:tr>
      <w:tr w:rsidR="00DB7BD6" w14:paraId="4CAB2108" w14:textId="77777777" w:rsidTr="00DB7BD6">
        <w:trPr>
          <w:jc w:val="center"/>
        </w:trPr>
        <w:tc>
          <w:tcPr>
            <w:tcW w:w="1126" w:type="dxa"/>
          </w:tcPr>
          <w:p w14:paraId="1FFA7603" w14:textId="77777777" w:rsidR="00DB7BD6" w:rsidRPr="003A69B5" w:rsidRDefault="00DB7BD6" w:rsidP="00DB7BD6">
            <w:pPr>
              <w:jc w:val="center"/>
              <w:rPr>
                <w:color w:val="404040" w:themeColor="text1" w:themeTint="BF"/>
              </w:rPr>
            </w:pPr>
            <w:r w:rsidRPr="003A69B5">
              <w:rPr>
                <w:color w:val="404040" w:themeColor="text1" w:themeTint="BF"/>
              </w:rPr>
              <w:t>13.9</w:t>
            </w:r>
          </w:p>
        </w:tc>
        <w:tc>
          <w:tcPr>
            <w:tcW w:w="2516" w:type="dxa"/>
          </w:tcPr>
          <w:p w14:paraId="668E12CD" w14:textId="77777777" w:rsidR="00DB7BD6" w:rsidRPr="003A69B5" w:rsidRDefault="00DB7BD6" w:rsidP="00DB7BD6">
            <w:pPr>
              <w:jc w:val="center"/>
              <w:rPr>
                <w:color w:val="404040" w:themeColor="text1" w:themeTint="BF"/>
              </w:rPr>
            </w:pPr>
            <m:oMathPara>
              <m:oMath>
                <m:sSub>
                  <m:sSubPr>
                    <m:ctrlPr>
                      <w:rPr>
                        <w:rFonts w:ascii="Cambria Math" w:hAnsi="Cambria Math"/>
                        <w:i/>
                        <w:color w:val="404040" w:themeColor="text1" w:themeTint="BF"/>
                      </w:rPr>
                    </m:ctrlPr>
                  </m:sSubPr>
                  <m:e>
                    <m:r>
                      <w:rPr>
                        <w:rFonts w:ascii="Cambria Math" w:hAnsi="Cambria Math"/>
                        <w:color w:val="404040" w:themeColor="text1" w:themeTint="BF"/>
                      </w:rPr>
                      <m:t>D</m:t>
                    </m:r>
                  </m:e>
                  <m:sub>
                    <m:r>
                      <w:rPr>
                        <w:rFonts w:ascii="Cambria Math" w:hAnsi="Cambria Math"/>
                        <w:color w:val="404040" w:themeColor="text1" w:themeTint="BF"/>
                      </w:rPr>
                      <m:t>o</m:t>
                    </m:r>
                  </m:sub>
                </m:sSub>
              </m:oMath>
            </m:oMathPara>
          </w:p>
        </w:tc>
        <w:tc>
          <w:tcPr>
            <w:tcW w:w="1052" w:type="dxa"/>
          </w:tcPr>
          <w:p w14:paraId="737427C6" w14:textId="77777777" w:rsidR="00DB7BD6" w:rsidRPr="003A69B5" w:rsidRDefault="00DB7BD6" w:rsidP="00DB7BD6">
            <w:pPr>
              <w:jc w:val="center"/>
              <w:rPr>
                <w:color w:val="404040" w:themeColor="text1" w:themeTint="BF"/>
              </w:rPr>
            </w:pPr>
            <m:oMathPara>
              <m:oMath>
                <m:sSub>
                  <m:sSubPr>
                    <m:ctrlPr>
                      <w:rPr>
                        <w:rFonts w:ascii="Cambria Math" w:hAnsi="Cambria Math"/>
                        <w:i/>
                        <w:color w:val="404040" w:themeColor="text1" w:themeTint="BF"/>
                      </w:rPr>
                    </m:ctrlPr>
                  </m:sSubPr>
                  <m:e>
                    <m:r>
                      <w:rPr>
                        <w:rFonts w:ascii="Cambria Math" w:hAnsi="Cambria Math"/>
                        <w:color w:val="404040" w:themeColor="text1" w:themeTint="BF"/>
                      </w:rPr>
                      <m:t>p</m:t>
                    </m:r>
                  </m:e>
                  <m:sub>
                    <m:r>
                      <w:rPr>
                        <w:rFonts w:ascii="Cambria Math" w:hAnsi="Cambria Math"/>
                        <w:color w:val="404040" w:themeColor="text1" w:themeTint="BF"/>
                      </w:rPr>
                      <m:t>tu</m:t>
                    </m:r>
                  </m:sub>
                </m:sSub>
              </m:oMath>
            </m:oMathPara>
          </w:p>
        </w:tc>
        <w:tc>
          <w:tcPr>
            <w:tcW w:w="3205" w:type="dxa"/>
          </w:tcPr>
          <w:p w14:paraId="4A26C6F2" w14:textId="77777777" w:rsidR="00DB7BD6" w:rsidRPr="003A69B5" w:rsidRDefault="00DB7BD6" w:rsidP="00DB7BD6">
            <w:pPr>
              <w:jc w:val="center"/>
              <w:rPr>
                <w:color w:val="404040" w:themeColor="text1" w:themeTint="BF"/>
              </w:rPr>
            </w:pPr>
            <w:proofErr w:type="spellStart"/>
            <w:r w:rsidRPr="003A69B5">
              <w:rPr>
                <w:color w:val="404040" w:themeColor="text1" w:themeTint="BF"/>
              </w:rPr>
              <w:t>Eqn</w:t>
            </w:r>
            <w:proofErr w:type="spellEnd"/>
            <w:r w:rsidRPr="003A69B5">
              <w:rPr>
                <w:color w:val="404040" w:themeColor="text1" w:themeTint="BF"/>
              </w:rPr>
              <w:t xml:space="preserve"> 13.20, </w:t>
            </w:r>
            <w:proofErr w:type="spellStart"/>
            <w:r w:rsidRPr="003A69B5">
              <w:rPr>
                <w:color w:val="404040" w:themeColor="text1" w:themeTint="BF"/>
              </w:rPr>
              <w:t>Eqn</w:t>
            </w:r>
            <w:proofErr w:type="spellEnd"/>
            <w:r w:rsidRPr="003A69B5">
              <w:rPr>
                <w:color w:val="404040" w:themeColor="text1" w:themeTint="BF"/>
              </w:rPr>
              <w:t xml:space="preserve"> 13.30</w:t>
            </w:r>
          </w:p>
        </w:tc>
      </w:tr>
      <w:tr w:rsidR="00DB7BD6" w14:paraId="43F7CC1C" w14:textId="77777777" w:rsidTr="00DB7BD6">
        <w:trPr>
          <w:jc w:val="center"/>
        </w:trPr>
        <w:tc>
          <w:tcPr>
            <w:tcW w:w="1126" w:type="dxa"/>
          </w:tcPr>
          <w:p w14:paraId="5C1F180E" w14:textId="77777777" w:rsidR="00DB7BD6" w:rsidRPr="003A69B5" w:rsidRDefault="00DB7BD6" w:rsidP="00DB7BD6">
            <w:pPr>
              <w:jc w:val="center"/>
              <w:rPr>
                <w:color w:val="404040" w:themeColor="text1" w:themeTint="BF"/>
              </w:rPr>
            </w:pPr>
            <w:r w:rsidRPr="003A69B5">
              <w:rPr>
                <w:color w:val="404040" w:themeColor="text1" w:themeTint="BF"/>
              </w:rPr>
              <w:t>13.10</w:t>
            </w:r>
          </w:p>
        </w:tc>
        <w:tc>
          <w:tcPr>
            <w:tcW w:w="2516" w:type="dxa"/>
          </w:tcPr>
          <w:p w14:paraId="2FEABD5C" w14:textId="77777777" w:rsidR="00DB7BD6" w:rsidRPr="003A69B5" w:rsidRDefault="00DB7BD6" w:rsidP="00DB7BD6">
            <w:pPr>
              <w:jc w:val="center"/>
              <w:rPr>
                <w:color w:val="404040" w:themeColor="text1" w:themeTint="BF"/>
              </w:rPr>
            </w:pPr>
            <m:oMathPara>
              <m:oMath>
                <m:sSub>
                  <m:sSubPr>
                    <m:ctrlPr>
                      <w:rPr>
                        <w:rFonts w:ascii="Cambria Math" w:hAnsi="Cambria Math"/>
                        <w:i/>
                        <w:color w:val="404040" w:themeColor="text1" w:themeTint="BF"/>
                      </w:rPr>
                    </m:ctrlPr>
                  </m:sSubPr>
                  <m:e>
                    <m:r>
                      <w:rPr>
                        <w:rFonts w:ascii="Cambria Math" w:hAnsi="Cambria Math"/>
                        <w:color w:val="404040" w:themeColor="text1" w:themeTint="BF"/>
                      </w:rPr>
                      <m:t>D</m:t>
                    </m:r>
                  </m:e>
                  <m:sub>
                    <m:r>
                      <w:rPr>
                        <w:rFonts w:ascii="Cambria Math" w:hAnsi="Cambria Math"/>
                        <w:color w:val="404040" w:themeColor="text1" w:themeTint="BF"/>
                      </w:rPr>
                      <m:t>i</m:t>
                    </m:r>
                  </m:sub>
                </m:sSub>
              </m:oMath>
            </m:oMathPara>
          </w:p>
        </w:tc>
        <w:tc>
          <w:tcPr>
            <w:tcW w:w="1052" w:type="dxa"/>
          </w:tcPr>
          <w:p w14:paraId="5B6F37F4" w14:textId="77777777" w:rsidR="00DB7BD6" w:rsidRPr="003A69B5" w:rsidRDefault="00DB7BD6" w:rsidP="00DB7BD6">
            <w:pPr>
              <w:jc w:val="center"/>
              <w:rPr>
                <w:color w:val="404040" w:themeColor="text1" w:themeTint="BF"/>
              </w:rPr>
            </w:pPr>
            <m:oMathPara>
              <m:oMath>
                <m:sSub>
                  <m:sSubPr>
                    <m:ctrlPr>
                      <w:rPr>
                        <w:rFonts w:ascii="Cambria Math" w:hAnsi="Cambria Math"/>
                        <w:i/>
                        <w:color w:val="404040" w:themeColor="text1" w:themeTint="BF"/>
                      </w:rPr>
                    </m:ctrlPr>
                  </m:sSubPr>
                  <m:e>
                    <m:r>
                      <w:rPr>
                        <w:rFonts w:ascii="Cambria Math" w:hAnsi="Cambria Math"/>
                        <w:color w:val="404040" w:themeColor="text1" w:themeTint="BF"/>
                      </w:rPr>
                      <m:t>A</m:t>
                    </m:r>
                  </m:e>
                  <m:sub>
                    <m:r>
                      <w:rPr>
                        <w:rFonts w:ascii="Cambria Math" w:hAnsi="Cambria Math"/>
                        <w:color w:val="404040" w:themeColor="text1" w:themeTint="BF"/>
                      </w:rPr>
                      <m:t>tu</m:t>
                    </m:r>
                  </m:sub>
                </m:sSub>
              </m:oMath>
            </m:oMathPara>
          </w:p>
        </w:tc>
        <w:tc>
          <w:tcPr>
            <w:tcW w:w="3205" w:type="dxa"/>
          </w:tcPr>
          <w:p w14:paraId="54C27B0F" w14:textId="77777777" w:rsidR="00DB7BD6" w:rsidRPr="003A69B5" w:rsidRDefault="00DB7BD6" w:rsidP="00DB7BD6">
            <w:pPr>
              <w:jc w:val="center"/>
              <w:rPr>
                <w:color w:val="404040" w:themeColor="text1" w:themeTint="BF"/>
              </w:rPr>
            </w:pPr>
            <w:proofErr w:type="spellStart"/>
            <w:r w:rsidRPr="003A69B5">
              <w:rPr>
                <w:color w:val="404040" w:themeColor="text1" w:themeTint="BF"/>
              </w:rPr>
              <w:t>Eqn</w:t>
            </w:r>
            <w:proofErr w:type="spellEnd"/>
            <w:r w:rsidRPr="003A69B5">
              <w:rPr>
                <w:color w:val="404040" w:themeColor="text1" w:themeTint="BF"/>
              </w:rPr>
              <w:t xml:space="preserve"> 13.12</w:t>
            </w:r>
          </w:p>
        </w:tc>
      </w:tr>
      <w:tr w:rsidR="00DB7BD6" w14:paraId="1984EDB0" w14:textId="77777777" w:rsidTr="00DB7BD6">
        <w:trPr>
          <w:jc w:val="center"/>
        </w:trPr>
        <w:tc>
          <w:tcPr>
            <w:tcW w:w="1126" w:type="dxa"/>
          </w:tcPr>
          <w:p w14:paraId="145E29F6" w14:textId="77777777" w:rsidR="00DB7BD6" w:rsidRPr="003A69B5" w:rsidRDefault="00DB7BD6" w:rsidP="00DB7BD6">
            <w:pPr>
              <w:jc w:val="center"/>
              <w:rPr>
                <w:color w:val="404040" w:themeColor="text1" w:themeTint="BF"/>
              </w:rPr>
            </w:pPr>
            <w:r w:rsidRPr="003A69B5">
              <w:rPr>
                <w:color w:val="404040" w:themeColor="text1" w:themeTint="BF"/>
              </w:rPr>
              <w:t>13.11</w:t>
            </w:r>
          </w:p>
        </w:tc>
        <w:tc>
          <w:tcPr>
            <w:tcW w:w="2516" w:type="dxa"/>
          </w:tcPr>
          <w:p w14:paraId="7B7C8965" w14:textId="77777777" w:rsidR="00DB7BD6" w:rsidRPr="003A69B5" w:rsidRDefault="00DB7BD6" w:rsidP="00DB7BD6">
            <w:pPr>
              <w:jc w:val="center"/>
              <w:rPr>
                <w:color w:val="404040" w:themeColor="text1" w:themeTint="BF"/>
              </w:rPr>
            </w:pPr>
            <m:oMathPara>
              <m:oMath>
                <m:sSub>
                  <m:sSubPr>
                    <m:ctrlPr>
                      <w:rPr>
                        <w:rFonts w:ascii="Cambria Math" w:hAnsi="Cambria Math"/>
                        <w:b/>
                        <w:i/>
                        <w:color w:val="404040" w:themeColor="text1" w:themeTint="BF"/>
                      </w:rPr>
                    </m:ctrlPr>
                  </m:sSubPr>
                  <m:e>
                    <m:r>
                      <m:rPr>
                        <m:sty m:val="bi"/>
                      </m:rPr>
                      <w:rPr>
                        <w:rFonts w:ascii="Cambria Math" w:hAnsi="Cambria Math"/>
                        <w:color w:val="404040" w:themeColor="text1" w:themeTint="BF"/>
                      </w:rPr>
                      <m:t>N</m:t>
                    </m:r>
                  </m:e>
                  <m:sub>
                    <m:r>
                      <m:rPr>
                        <m:sty m:val="bi"/>
                      </m:rPr>
                      <w:rPr>
                        <w:rFonts w:ascii="Cambria Math" w:hAnsi="Cambria Math"/>
                        <w:color w:val="404040" w:themeColor="text1" w:themeTint="BF"/>
                      </w:rPr>
                      <m:t>tu</m:t>
                    </m:r>
                  </m:sub>
                </m:sSub>
                <m:r>
                  <w:rPr>
                    <w:rFonts w:ascii="Cambria Math" w:hAnsi="Cambria Math"/>
                    <w:color w:val="404040" w:themeColor="text1" w:themeTint="BF"/>
                  </w:rPr>
                  <m:t>,</m:t>
                </m:r>
                <m:sSub>
                  <m:sSubPr>
                    <m:ctrlPr>
                      <w:rPr>
                        <w:rFonts w:ascii="Cambria Math" w:hAnsi="Cambria Math"/>
                        <w:i/>
                        <w:color w:val="404040" w:themeColor="text1" w:themeTint="BF"/>
                      </w:rPr>
                    </m:ctrlPr>
                  </m:sSubPr>
                  <m:e>
                    <m:r>
                      <w:rPr>
                        <w:rFonts w:ascii="Cambria Math" w:hAnsi="Cambria Math"/>
                        <w:color w:val="404040" w:themeColor="text1" w:themeTint="BF"/>
                      </w:rPr>
                      <m:t>N</m:t>
                    </m:r>
                  </m:e>
                  <m:sub>
                    <m:r>
                      <w:rPr>
                        <w:rFonts w:ascii="Cambria Math" w:hAnsi="Cambria Math"/>
                        <w:color w:val="404040" w:themeColor="text1" w:themeTint="BF"/>
                      </w:rPr>
                      <m:t>pass</m:t>
                    </m:r>
                  </m:sub>
                </m:sSub>
              </m:oMath>
            </m:oMathPara>
          </w:p>
        </w:tc>
        <w:tc>
          <w:tcPr>
            <w:tcW w:w="1052" w:type="dxa"/>
          </w:tcPr>
          <w:p w14:paraId="73AFEF62" w14:textId="77777777" w:rsidR="00DB7BD6" w:rsidRPr="003A69B5" w:rsidRDefault="00DB7BD6" w:rsidP="00DB7BD6">
            <w:pPr>
              <w:jc w:val="center"/>
              <w:rPr>
                <w:color w:val="404040" w:themeColor="text1" w:themeTint="BF"/>
              </w:rPr>
            </w:pPr>
            <m:oMathPara>
              <m:oMath>
                <m:sSub>
                  <m:sSubPr>
                    <m:ctrlPr>
                      <w:rPr>
                        <w:rFonts w:ascii="Cambria Math" w:hAnsi="Cambria Math"/>
                        <w:i/>
                        <w:color w:val="404040" w:themeColor="text1" w:themeTint="BF"/>
                      </w:rPr>
                    </m:ctrlPr>
                  </m:sSubPr>
                  <m:e>
                    <m:r>
                      <w:rPr>
                        <w:rFonts w:ascii="Cambria Math" w:hAnsi="Cambria Math"/>
                        <w:color w:val="404040" w:themeColor="text1" w:themeTint="BF"/>
                      </w:rPr>
                      <m:t>N</m:t>
                    </m:r>
                  </m:e>
                  <m:sub>
                    <m:r>
                      <w:rPr>
                        <w:rFonts w:ascii="Cambria Math" w:hAnsi="Cambria Math"/>
                        <w:color w:val="404040" w:themeColor="text1" w:themeTint="BF"/>
                      </w:rPr>
                      <m:t>tu,pass</m:t>
                    </m:r>
                  </m:sub>
                </m:sSub>
              </m:oMath>
            </m:oMathPara>
          </w:p>
        </w:tc>
        <w:tc>
          <w:tcPr>
            <w:tcW w:w="3205" w:type="dxa"/>
          </w:tcPr>
          <w:p w14:paraId="3F7F8102" w14:textId="77777777" w:rsidR="00DB7BD6" w:rsidRPr="003A69B5" w:rsidRDefault="00DB7BD6" w:rsidP="00DB7BD6">
            <w:pPr>
              <w:jc w:val="center"/>
              <w:rPr>
                <w:color w:val="404040" w:themeColor="text1" w:themeTint="BF"/>
              </w:rPr>
            </w:pPr>
            <w:proofErr w:type="spellStart"/>
            <w:r w:rsidRPr="003A69B5">
              <w:rPr>
                <w:color w:val="404040" w:themeColor="text1" w:themeTint="BF"/>
              </w:rPr>
              <w:t>Eqn</w:t>
            </w:r>
            <w:proofErr w:type="spellEnd"/>
            <w:r w:rsidRPr="003A69B5">
              <w:rPr>
                <w:color w:val="404040" w:themeColor="text1" w:themeTint="BF"/>
              </w:rPr>
              <w:t xml:space="preserve"> 13.12</w:t>
            </w:r>
          </w:p>
        </w:tc>
      </w:tr>
      <w:tr w:rsidR="00DB7BD6" w14:paraId="55086D90" w14:textId="77777777" w:rsidTr="00DB7BD6">
        <w:trPr>
          <w:jc w:val="center"/>
        </w:trPr>
        <w:tc>
          <w:tcPr>
            <w:tcW w:w="1126" w:type="dxa"/>
          </w:tcPr>
          <w:p w14:paraId="1B9F491D" w14:textId="77777777" w:rsidR="00DB7BD6" w:rsidRPr="003A69B5" w:rsidRDefault="00DB7BD6" w:rsidP="00DB7BD6">
            <w:pPr>
              <w:jc w:val="center"/>
              <w:rPr>
                <w:color w:val="404040" w:themeColor="text1" w:themeTint="BF"/>
              </w:rPr>
            </w:pPr>
            <w:r w:rsidRPr="003A69B5">
              <w:rPr>
                <w:color w:val="404040" w:themeColor="text1" w:themeTint="BF"/>
              </w:rPr>
              <w:t>13.12</w:t>
            </w:r>
          </w:p>
        </w:tc>
        <w:tc>
          <w:tcPr>
            <w:tcW w:w="2516" w:type="dxa"/>
          </w:tcPr>
          <w:p w14:paraId="48C49EA6" w14:textId="77777777" w:rsidR="00DB7BD6" w:rsidRPr="003A69B5" w:rsidRDefault="00DB7BD6" w:rsidP="00DB7BD6">
            <w:pPr>
              <w:jc w:val="center"/>
              <w:rPr>
                <w:color w:val="404040" w:themeColor="text1" w:themeTint="BF"/>
              </w:rPr>
            </w:pPr>
            <m:oMathPara>
              <m:oMath>
                <m:sSub>
                  <m:sSubPr>
                    <m:ctrlPr>
                      <w:rPr>
                        <w:rFonts w:ascii="Cambria Math" w:hAnsi="Cambria Math"/>
                        <w:b/>
                        <w:i/>
                        <w:color w:val="404040" w:themeColor="text1" w:themeTint="BF"/>
                      </w:rPr>
                    </m:ctrlPr>
                  </m:sSubPr>
                  <m:e>
                    <m:r>
                      <m:rPr>
                        <m:sty m:val="bi"/>
                      </m:rPr>
                      <w:rPr>
                        <w:rFonts w:ascii="Cambria Math" w:hAnsi="Cambria Math"/>
                        <w:color w:val="404040" w:themeColor="text1" w:themeTint="BF"/>
                      </w:rPr>
                      <m:t>A</m:t>
                    </m:r>
                  </m:e>
                  <m:sub>
                    <m:r>
                      <m:rPr>
                        <m:sty m:val="bi"/>
                      </m:rPr>
                      <w:rPr>
                        <w:rFonts w:ascii="Cambria Math" w:hAnsi="Cambria Math"/>
                        <w:color w:val="404040" w:themeColor="text1" w:themeTint="BF"/>
                      </w:rPr>
                      <m:t>tu</m:t>
                    </m:r>
                  </m:sub>
                </m:sSub>
                <m:r>
                  <w:rPr>
                    <w:rFonts w:ascii="Cambria Math" w:hAnsi="Cambria Math"/>
                    <w:color w:val="404040" w:themeColor="text1" w:themeTint="BF"/>
                  </w:rPr>
                  <m:t>,</m:t>
                </m:r>
                <m:sSub>
                  <m:sSubPr>
                    <m:ctrlPr>
                      <w:rPr>
                        <w:rFonts w:ascii="Cambria Math" w:hAnsi="Cambria Math"/>
                        <w:b/>
                        <w:i/>
                        <w:color w:val="404040" w:themeColor="text1" w:themeTint="BF"/>
                      </w:rPr>
                    </m:ctrlPr>
                  </m:sSubPr>
                  <m:e>
                    <m:r>
                      <m:rPr>
                        <m:sty m:val="bi"/>
                      </m:rPr>
                      <w:rPr>
                        <w:rFonts w:ascii="Cambria Math" w:hAnsi="Cambria Math"/>
                        <w:color w:val="404040" w:themeColor="text1" w:themeTint="BF"/>
                      </w:rPr>
                      <m:t>N</m:t>
                    </m:r>
                  </m:e>
                  <m:sub>
                    <m:r>
                      <m:rPr>
                        <m:sty m:val="bi"/>
                      </m:rPr>
                      <w:rPr>
                        <w:rFonts w:ascii="Cambria Math" w:hAnsi="Cambria Math"/>
                        <w:color w:val="404040" w:themeColor="text1" w:themeTint="BF"/>
                      </w:rPr>
                      <m:t>tu,pass</m:t>
                    </m:r>
                  </m:sub>
                </m:sSub>
              </m:oMath>
            </m:oMathPara>
          </w:p>
        </w:tc>
        <w:tc>
          <w:tcPr>
            <w:tcW w:w="1052" w:type="dxa"/>
          </w:tcPr>
          <w:p w14:paraId="3A071A3A" w14:textId="77777777" w:rsidR="00DB7BD6" w:rsidRPr="003A69B5" w:rsidRDefault="00DB7BD6" w:rsidP="00DB7BD6">
            <w:pPr>
              <w:jc w:val="center"/>
              <w:rPr>
                <w:color w:val="404040" w:themeColor="text1" w:themeTint="BF"/>
              </w:rPr>
            </w:pPr>
            <m:oMathPara>
              <m:oMath>
                <m:sSub>
                  <m:sSubPr>
                    <m:ctrlPr>
                      <w:rPr>
                        <w:rFonts w:ascii="Cambria Math" w:hAnsi="Cambria Math"/>
                        <w:i/>
                        <w:color w:val="404040" w:themeColor="text1" w:themeTint="BF"/>
                      </w:rPr>
                    </m:ctrlPr>
                  </m:sSubPr>
                  <m:e>
                    <m:r>
                      <w:rPr>
                        <w:rFonts w:ascii="Cambria Math" w:hAnsi="Cambria Math"/>
                        <w:color w:val="404040" w:themeColor="text1" w:themeTint="BF"/>
                      </w:rPr>
                      <m:t>A</m:t>
                    </m:r>
                  </m:e>
                  <m:sub>
                    <m:r>
                      <w:rPr>
                        <w:rFonts w:ascii="Cambria Math" w:hAnsi="Cambria Math"/>
                        <w:color w:val="404040" w:themeColor="text1" w:themeTint="BF"/>
                      </w:rPr>
                      <m:t>tot</m:t>
                    </m:r>
                  </m:sub>
                </m:sSub>
              </m:oMath>
            </m:oMathPara>
          </w:p>
        </w:tc>
        <w:tc>
          <w:tcPr>
            <w:tcW w:w="3205" w:type="dxa"/>
          </w:tcPr>
          <w:p w14:paraId="3D85E755" w14:textId="77777777" w:rsidR="00DB7BD6" w:rsidRPr="003A69B5" w:rsidRDefault="00DB7BD6" w:rsidP="00DB7BD6">
            <w:pPr>
              <w:jc w:val="center"/>
              <w:rPr>
                <w:color w:val="404040" w:themeColor="text1" w:themeTint="BF"/>
              </w:rPr>
            </w:pPr>
            <w:proofErr w:type="spellStart"/>
            <w:r w:rsidRPr="003A69B5">
              <w:rPr>
                <w:color w:val="404040" w:themeColor="text1" w:themeTint="BF"/>
              </w:rPr>
              <w:t>Eqn</w:t>
            </w:r>
            <w:proofErr w:type="spellEnd"/>
            <w:r w:rsidRPr="003A69B5">
              <w:rPr>
                <w:color w:val="404040" w:themeColor="text1" w:themeTint="BF"/>
              </w:rPr>
              <w:t xml:space="preserve"> 13.13</w:t>
            </w:r>
          </w:p>
        </w:tc>
      </w:tr>
      <w:tr w:rsidR="00DB7BD6" w14:paraId="251ADE85" w14:textId="77777777" w:rsidTr="00DB7BD6">
        <w:trPr>
          <w:jc w:val="center"/>
        </w:trPr>
        <w:tc>
          <w:tcPr>
            <w:tcW w:w="1126" w:type="dxa"/>
          </w:tcPr>
          <w:p w14:paraId="3F60044E" w14:textId="77777777" w:rsidR="00DB7BD6" w:rsidRPr="003A69B5" w:rsidRDefault="00DB7BD6" w:rsidP="00DB7BD6">
            <w:pPr>
              <w:jc w:val="center"/>
              <w:rPr>
                <w:color w:val="404040" w:themeColor="text1" w:themeTint="BF"/>
              </w:rPr>
            </w:pPr>
            <w:r w:rsidRPr="003A69B5">
              <w:rPr>
                <w:color w:val="404040" w:themeColor="text1" w:themeTint="BF"/>
              </w:rPr>
              <w:t>13.13</w:t>
            </w:r>
          </w:p>
        </w:tc>
        <w:tc>
          <w:tcPr>
            <w:tcW w:w="2516" w:type="dxa"/>
          </w:tcPr>
          <w:p w14:paraId="6191F9C1" w14:textId="77777777" w:rsidR="00DB7BD6" w:rsidRPr="003A69B5" w:rsidRDefault="00DB7BD6" w:rsidP="00DB7BD6">
            <w:pPr>
              <w:jc w:val="center"/>
              <w:rPr>
                <w:color w:val="404040" w:themeColor="text1" w:themeTint="BF"/>
              </w:rPr>
            </w:pPr>
            <m:oMathPara>
              <m:oMath>
                <m:sSub>
                  <m:sSubPr>
                    <m:ctrlPr>
                      <w:rPr>
                        <w:rFonts w:ascii="Cambria Math" w:hAnsi="Cambria Math"/>
                        <w:b/>
                        <w:i/>
                        <w:color w:val="404040" w:themeColor="text1" w:themeTint="BF"/>
                      </w:rPr>
                    </m:ctrlPr>
                  </m:sSubPr>
                  <m:e>
                    <m:r>
                      <m:rPr>
                        <m:sty m:val="bi"/>
                      </m:rPr>
                      <w:rPr>
                        <w:rFonts w:ascii="Cambria Math" w:hAnsi="Cambria Math"/>
                        <w:color w:val="404040" w:themeColor="text1" w:themeTint="BF"/>
                      </w:rPr>
                      <m:t>A</m:t>
                    </m:r>
                  </m:e>
                  <m:sub>
                    <m:r>
                      <m:rPr>
                        <m:sty m:val="bi"/>
                      </m:rPr>
                      <w:rPr>
                        <w:rFonts w:ascii="Cambria Math" w:hAnsi="Cambria Math"/>
                        <w:color w:val="404040" w:themeColor="text1" w:themeTint="BF"/>
                      </w:rPr>
                      <m:t>tot</m:t>
                    </m:r>
                  </m:sub>
                </m:sSub>
                <m:r>
                  <w:rPr>
                    <w:rFonts w:ascii="Cambria Math" w:hAnsi="Cambria Math"/>
                    <w:color w:val="404040" w:themeColor="text1" w:themeTint="BF"/>
                  </w:rPr>
                  <m:t>,</m:t>
                </m:r>
                <m:sSub>
                  <m:sSubPr>
                    <m:ctrlPr>
                      <w:rPr>
                        <w:rFonts w:ascii="Cambria Math" w:hAnsi="Cambria Math"/>
                        <w:i/>
                        <w:color w:val="404040" w:themeColor="text1" w:themeTint="BF"/>
                      </w:rPr>
                    </m:ctrlPr>
                  </m:sSubPr>
                  <m:e>
                    <m:acc>
                      <m:accPr>
                        <m:chr m:val="̇"/>
                        <m:ctrlPr>
                          <w:rPr>
                            <w:rFonts w:ascii="Cambria Math" w:hAnsi="Cambria Math"/>
                            <w:i/>
                            <w:color w:val="404040" w:themeColor="text1" w:themeTint="BF"/>
                          </w:rPr>
                        </m:ctrlPr>
                      </m:accPr>
                      <m:e>
                        <m:r>
                          <w:rPr>
                            <w:rFonts w:ascii="Cambria Math" w:hAnsi="Cambria Math"/>
                            <w:color w:val="404040" w:themeColor="text1" w:themeTint="BF"/>
                          </w:rPr>
                          <m:t>m</m:t>
                        </m:r>
                      </m:e>
                    </m:acc>
                  </m:e>
                  <m:sub>
                    <m:r>
                      <w:rPr>
                        <w:rFonts w:ascii="Cambria Math" w:hAnsi="Cambria Math"/>
                        <w:color w:val="404040" w:themeColor="text1" w:themeTint="BF"/>
                      </w:rPr>
                      <m:t>tu</m:t>
                    </m:r>
                  </m:sub>
                </m:sSub>
              </m:oMath>
            </m:oMathPara>
          </w:p>
        </w:tc>
        <w:tc>
          <w:tcPr>
            <w:tcW w:w="1052" w:type="dxa"/>
          </w:tcPr>
          <w:p w14:paraId="38273DA7" w14:textId="77777777" w:rsidR="00DB7BD6" w:rsidRPr="003A69B5" w:rsidRDefault="00DB7BD6" w:rsidP="00DB7BD6">
            <w:pPr>
              <w:jc w:val="center"/>
              <w:rPr>
                <w:color w:val="404040" w:themeColor="text1" w:themeTint="BF"/>
              </w:rPr>
            </w:pPr>
            <m:oMathPara>
              <m:oMath>
                <m:sSub>
                  <m:sSubPr>
                    <m:ctrlPr>
                      <w:rPr>
                        <w:rFonts w:ascii="Cambria Math" w:hAnsi="Cambria Math"/>
                        <w:i/>
                        <w:color w:val="404040" w:themeColor="text1" w:themeTint="BF"/>
                      </w:rPr>
                    </m:ctrlPr>
                  </m:sSubPr>
                  <m:e>
                    <m:r>
                      <w:rPr>
                        <w:rFonts w:ascii="Cambria Math" w:hAnsi="Cambria Math"/>
                        <w:color w:val="404040" w:themeColor="text1" w:themeTint="BF"/>
                      </w:rPr>
                      <m:t>G</m:t>
                    </m:r>
                  </m:e>
                  <m:sub>
                    <m:r>
                      <w:rPr>
                        <w:rFonts w:ascii="Cambria Math" w:hAnsi="Cambria Math"/>
                        <w:color w:val="404040" w:themeColor="text1" w:themeTint="BF"/>
                      </w:rPr>
                      <m:t>tu</m:t>
                    </m:r>
                  </m:sub>
                </m:sSub>
              </m:oMath>
            </m:oMathPara>
          </w:p>
        </w:tc>
        <w:tc>
          <w:tcPr>
            <w:tcW w:w="3205" w:type="dxa"/>
          </w:tcPr>
          <w:p w14:paraId="5474EFA8" w14:textId="77777777" w:rsidR="00DB7BD6" w:rsidRPr="003A69B5" w:rsidRDefault="00DB7BD6" w:rsidP="00DB7BD6">
            <w:pPr>
              <w:jc w:val="center"/>
              <w:rPr>
                <w:color w:val="404040" w:themeColor="text1" w:themeTint="BF"/>
              </w:rPr>
            </w:pPr>
            <w:proofErr w:type="spellStart"/>
            <w:r w:rsidRPr="003A69B5">
              <w:rPr>
                <w:color w:val="404040" w:themeColor="text1" w:themeTint="BF"/>
              </w:rPr>
              <w:t>Eqn</w:t>
            </w:r>
            <w:proofErr w:type="spellEnd"/>
            <w:r w:rsidRPr="003A69B5">
              <w:rPr>
                <w:color w:val="404040" w:themeColor="text1" w:themeTint="BF"/>
              </w:rPr>
              <w:t xml:space="preserve"> 13.14</w:t>
            </w:r>
          </w:p>
        </w:tc>
      </w:tr>
      <w:tr w:rsidR="00DB7BD6" w14:paraId="2C8DA0A8" w14:textId="77777777" w:rsidTr="00DB7BD6">
        <w:trPr>
          <w:jc w:val="center"/>
        </w:trPr>
        <w:tc>
          <w:tcPr>
            <w:tcW w:w="1126" w:type="dxa"/>
          </w:tcPr>
          <w:p w14:paraId="12D749AB" w14:textId="77777777" w:rsidR="00DB7BD6" w:rsidRPr="003A69B5" w:rsidRDefault="00DB7BD6" w:rsidP="00DB7BD6">
            <w:pPr>
              <w:jc w:val="center"/>
              <w:rPr>
                <w:color w:val="404040" w:themeColor="text1" w:themeTint="BF"/>
              </w:rPr>
            </w:pPr>
            <w:r w:rsidRPr="003A69B5">
              <w:rPr>
                <w:color w:val="404040" w:themeColor="text1" w:themeTint="BF"/>
              </w:rPr>
              <w:t>13.14</w:t>
            </w:r>
          </w:p>
        </w:tc>
        <w:tc>
          <w:tcPr>
            <w:tcW w:w="2516" w:type="dxa"/>
          </w:tcPr>
          <w:p w14:paraId="6831E52F" w14:textId="77777777" w:rsidR="00DB7BD6" w:rsidRPr="003A69B5" w:rsidRDefault="00DB7BD6" w:rsidP="00DB7BD6">
            <w:pPr>
              <w:jc w:val="center"/>
              <w:rPr>
                <w:color w:val="404040" w:themeColor="text1" w:themeTint="BF"/>
              </w:rPr>
            </w:pPr>
            <m:oMathPara>
              <m:oMath>
                <m:sSub>
                  <m:sSubPr>
                    <m:ctrlPr>
                      <w:rPr>
                        <w:rFonts w:ascii="Cambria Math" w:hAnsi="Cambria Math"/>
                        <w:b/>
                        <w:i/>
                        <w:color w:val="404040" w:themeColor="text1" w:themeTint="BF"/>
                      </w:rPr>
                    </m:ctrlPr>
                  </m:sSubPr>
                  <m:e>
                    <m:r>
                      <m:rPr>
                        <m:sty m:val="bi"/>
                      </m:rPr>
                      <w:rPr>
                        <w:rFonts w:ascii="Cambria Math" w:hAnsi="Cambria Math"/>
                        <w:color w:val="404040" w:themeColor="text1" w:themeTint="BF"/>
                      </w:rPr>
                      <m:t>G</m:t>
                    </m:r>
                  </m:e>
                  <m:sub>
                    <m:r>
                      <m:rPr>
                        <m:sty m:val="bi"/>
                      </m:rPr>
                      <w:rPr>
                        <w:rFonts w:ascii="Cambria Math" w:hAnsi="Cambria Math"/>
                        <w:color w:val="404040" w:themeColor="text1" w:themeTint="BF"/>
                      </w:rPr>
                      <m:t>tu</m:t>
                    </m:r>
                  </m:sub>
                </m:sSub>
                <m:r>
                  <w:rPr>
                    <w:rFonts w:ascii="Cambria Math" w:hAnsi="Cambria Math"/>
                    <w:color w:val="404040" w:themeColor="text1" w:themeTint="BF"/>
                  </w:rPr>
                  <m:t>,</m:t>
                </m:r>
                <m:sSub>
                  <m:sSubPr>
                    <m:ctrlPr>
                      <w:rPr>
                        <w:rFonts w:ascii="Cambria Math" w:hAnsi="Cambria Math"/>
                        <w:i/>
                        <w:color w:val="404040" w:themeColor="text1" w:themeTint="BF"/>
                      </w:rPr>
                    </m:ctrlPr>
                  </m:sSubPr>
                  <m:e>
                    <m:r>
                      <w:rPr>
                        <w:rFonts w:ascii="Cambria Math" w:hAnsi="Cambria Math"/>
                        <w:color w:val="404040" w:themeColor="text1" w:themeTint="BF"/>
                      </w:rPr>
                      <m:t>ρ</m:t>
                    </m:r>
                  </m:e>
                  <m:sub>
                    <m:r>
                      <w:rPr>
                        <w:rFonts w:ascii="Cambria Math" w:hAnsi="Cambria Math"/>
                        <w:color w:val="404040" w:themeColor="text1" w:themeTint="BF"/>
                      </w:rPr>
                      <m:t>tu</m:t>
                    </m:r>
                  </m:sub>
                </m:sSub>
              </m:oMath>
            </m:oMathPara>
          </w:p>
        </w:tc>
        <w:tc>
          <w:tcPr>
            <w:tcW w:w="1052" w:type="dxa"/>
          </w:tcPr>
          <w:p w14:paraId="5D322187" w14:textId="77777777" w:rsidR="00DB7BD6" w:rsidRPr="003A69B5" w:rsidRDefault="00DB7BD6" w:rsidP="00DB7BD6">
            <w:pPr>
              <w:jc w:val="center"/>
              <w:rPr>
                <w:color w:val="404040" w:themeColor="text1" w:themeTint="BF"/>
              </w:rPr>
            </w:pPr>
            <m:oMathPara>
              <m:oMath>
                <m:sSub>
                  <m:sSubPr>
                    <m:ctrlPr>
                      <w:rPr>
                        <w:rFonts w:ascii="Cambria Math" w:hAnsi="Cambria Math"/>
                        <w:i/>
                        <w:color w:val="404040" w:themeColor="text1" w:themeTint="BF"/>
                      </w:rPr>
                    </m:ctrlPr>
                  </m:sSubPr>
                  <m:e>
                    <m:r>
                      <w:rPr>
                        <w:rFonts w:ascii="Cambria Math" w:hAnsi="Cambria Math"/>
                        <w:color w:val="404040" w:themeColor="text1" w:themeTint="BF"/>
                      </w:rPr>
                      <m:t>v</m:t>
                    </m:r>
                  </m:e>
                  <m:sub>
                    <m:r>
                      <w:rPr>
                        <w:rFonts w:ascii="Cambria Math" w:hAnsi="Cambria Math"/>
                        <w:color w:val="404040" w:themeColor="text1" w:themeTint="BF"/>
                      </w:rPr>
                      <m:t>tu</m:t>
                    </m:r>
                  </m:sub>
                </m:sSub>
              </m:oMath>
            </m:oMathPara>
          </w:p>
        </w:tc>
        <w:tc>
          <w:tcPr>
            <w:tcW w:w="3205" w:type="dxa"/>
          </w:tcPr>
          <w:p w14:paraId="673D0FA2" w14:textId="77777777" w:rsidR="00DB7BD6" w:rsidRPr="003A69B5" w:rsidRDefault="00DB7BD6" w:rsidP="00DB7BD6">
            <w:pPr>
              <w:jc w:val="center"/>
              <w:rPr>
                <w:color w:val="404040" w:themeColor="text1" w:themeTint="BF"/>
              </w:rPr>
            </w:pPr>
            <w:proofErr w:type="spellStart"/>
            <w:r w:rsidRPr="003A69B5">
              <w:rPr>
                <w:color w:val="404040" w:themeColor="text1" w:themeTint="BF"/>
              </w:rPr>
              <w:t>Eqn</w:t>
            </w:r>
            <w:proofErr w:type="spellEnd"/>
            <w:r w:rsidRPr="003A69B5">
              <w:rPr>
                <w:color w:val="404040" w:themeColor="text1" w:themeTint="BF"/>
              </w:rPr>
              <w:t xml:space="preserve"> 13.15, </w:t>
            </w:r>
            <w:proofErr w:type="spellStart"/>
            <w:r w:rsidRPr="003A69B5">
              <w:rPr>
                <w:color w:val="404040" w:themeColor="text1" w:themeTint="BF"/>
              </w:rPr>
              <w:t>Eqn</w:t>
            </w:r>
            <w:proofErr w:type="spellEnd"/>
            <w:r w:rsidRPr="003A69B5">
              <w:rPr>
                <w:color w:val="404040" w:themeColor="text1" w:themeTint="BF"/>
              </w:rPr>
              <w:t xml:space="preserve"> 13.28</w:t>
            </w:r>
          </w:p>
        </w:tc>
      </w:tr>
      <w:tr w:rsidR="00DB7BD6" w14:paraId="554CF9AF" w14:textId="77777777" w:rsidTr="00DB7BD6">
        <w:trPr>
          <w:jc w:val="center"/>
        </w:trPr>
        <w:tc>
          <w:tcPr>
            <w:tcW w:w="1126" w:type="dxa"/>
          </w:tcPr>
          <w:p w14:paraId="50590899" w14:textId="77777777" w:rsidR="00DB7BD6" w:rsidRPr="003A69B5" w:rsidRDefault="00DB7BD6" w:rsidP="00DB7BD6">
            <w:pPr>
              <w:jc w:val="center"/>
              <w:rPr>
                <w:color w:val="404040" w:themeColor="text1" w:themeTint="BF"/>
              </w:rPr>
            </w:pPr>
            <w:r w:rsidRPr="003A69B5">
              <w:rPr>
                <w:color w:val="404040" w:themeColor="text1" w:themeTint="BF"/>
              </w:rPr>
              <w:t>13.15</w:t>
            </w:r>
          </w:p>
        </w:tc>
        <w:tc>
          <w:tcPr>
            <w:tcW w:w="2516" w:type="dxa"/>
          </w:tcPr>
          <w:p w14:paraId="02ABBEEF" w14:textId="77777777" w:rsidR="00DB7BD6" w:rsidRPr="003A69B5" w:rsidRDefault="00DB7BD6" w:rsidP="00DB7BD6">
            <w:pPr>
              <w:jc w:val="center"/>
              <w:rPr>
                <w:color w:val="404040" w:themeColor="text1" w:themeTint="BF"/>
              </w:rPr>
            </w:pPr>
            <m:oMath>
              <m:sSub>
                <m:sSubPr>
                  <m:ctrlPr>
                    <w:rPr>
                      <w:rFonts w:ascii="Cambria Math" w:hAnsi="Cambria Math"/>
                      <w:b/>
                      <w:i/>
                      <w:color w:val="404040" w:themeColor="text1" w:themeTint="BF"/>
                    </w:rPr>
                  </m:ctrlPr>
                </m:sSubPr>
                <m:e>
                  <m:r>
                    <m:rPr>
                      <m:sty m:val="bi"/>
                    </m:rPr>
                    <w:rPr>
                      <w:rFonts w:ascii="Cambria Math" w:hAnsi="Cambria Math"/>
                      <w:color w:val="404040" w:themeColor="text1" w:themeTint="BF"/>
                    </w:rPr>
                    <m:t>v</m:t>
                  </m:r>
                </m:e>
                <m:sub>
                  <m:r>
                    <m:rPr>
                      <m:sty m:val="bi"/>
                    </m:rPr>
                    <w:rPr>
                      <w:rFonts w:ascii="Cambria Math" w:hAnsi="Cambria Math"/>
                      <w:color w:val="404040" w:themeColor="text1" w:themeTint="BF"/>
                    </w:rPr>
                    <m:t>tu</m:t>
                  </m:r>
                </m:sub>
              </m:sSub>
            </m:oMath>
            <w:r w:rsidRPr="003A69B5">
              <w:rPr>
                <w:color w:val="404040" w:themeColor="text1" w:themeTint="BF"/>
              </w:rPr>
              <w:t>,</w:t>
            </w:r>
            <m:oMath>
              <m:r>
                <w:rPr>
                  <w:rFonts w:ascii="Cambria Math" w:hAnsi="Cambria Math"/>
                  <w:color w:val="404040" w:themeColor="text1" w:themeTint="BF"/>
                </w:rPr>
                <m:t xml:space="preserve"> </m:t>
              </m:r>
              <m:sSub>
                <m:sSubPr>
                  <m:ctrlPr>
                    <w:rPr>
                      <w:rFonts w:ascii="Cambria Math" w:hAnsi="Cambria Math"/>
                      <w:i/>
                      <w:color w:val="404040" w:themeColor="text1" w:themeTint="BF"/>
                    </w:rPr>
                  </m:ctrlPr>
                </m:sSubPr>
                <m:e>
                  <m:r>
                    <w:rPr>
                      <w:rFonts w:ascii="Cambria Math" w:hAnsi="Cambria Math"/>
                      <w:color w:val="404040" w:themeColor="text1" w:themeTint="BF"/>
                    </w:rPr>
                    <m:t>ρ</m:t>
                  </m:r>
                </m:e>
                <m:sub>
                  <m:r>
                    <w:rPr>
                      <w:rFonts w:ascii="Cambria Math" w:hAnsi="Cambria Math"/>
                      <w:color w:val="404040" w:themeColor="text1" w:themeTint="BF"/>
                    </w:rPr>
                    <m:t>tu</m:t>
                  </m:r>
                </m:sub>
              </m:sSub>
            </m:oMath>
            <w:r w:rsidRPr="003A69B5">
              <w:rPr>
                <w:color w:val="404040" w:themeColor="text1" w:themeTint="BF"/>
              </w:rPr>
              <w:t>,</w:t>
            </w:r>
            <m:oMath>
              <m:r>
                <w:rPr>
                  <w:rFonts w:ascii="Cambria Math" w:hAnsi="Cambria Math"/>
                  <w:color w:val="404040" w:themeColor="text1" w:themeTint="BF"/>
                </w:rPr>
                <m:t xml:space="preserve"> </m:t>
              </m:r>
              <m:sSub>
                <m:sSubPr>
                  <m:ctrlPr>
                    <w:rPr>
                      <w:rFonts w:ascii="Cambria Math" w:hAnsi="Cambria Math"/>
                      <w:i/>
                      <w:color w:val="404040" w:themeColor="text1" w:themeTint="BF"/>
                    </w:rPr>
                  </m:ctrlPr>
                </m:sSubPr>
                <m:e>
                  <m:r>
                    <w:rPr>
                      <w:rFonts w:ascii="Cambria Math" w:hAnsi="Cambria Math"/>
                      <w:color w:val="404040" w:themeColor="text1" w:themeTint="BF"/>
                    </w:rPr>
                    <m:t>μ</m:t>
                  </m:r>
                </m:e>
                <m:sub>
                  <m:r>
                    <w:rPr>
                      <w:rFonts w:ascii="Cambria Math" w:hAnsi="Cambria Math"/>
                      <w:color w:val="404040" w:themeColor="text1" w:themeTint="BF"/>
                    </w:rPr>
                    <m:t>tu</m:t>
                  </m:r>
                </m:sub>
              </m:sSub>
            </m:oMath>
          </w:p>
        </w:tc>
        <w:tc>
          <w:tcPr>
            <w:tcW w:w="1052" w:type="dxa"/>
          </w:tcPr>
          <w:p w14:paraId="11C89924" w14:textId="77777777" w:rsidR="00DB7BD6" w:rsidRPr="003A69B5" w:rsidRDefault="00DB7BD6" w:rsidP="00DB7BD6">
            <w:pPr>
              <w:jc w:val="center"/>
              <w:rPr>
                <w:color w:val="404040" w:themeColor="text1" w:themeTint="BF"/>
              </w:rPr>
            </w:pPr>
            <m:oMathPara>
              <m:oMath>
                <m:sSub>
                  <m:sSubPr>
                    <m:ctrlPr>
                      <w:rPr>
                        <w:rFonts w:ascii="Cambria Math" w:hAnsi="Cambria Math"/>
                        <w:i/>
                        <w:color w:val="404040" w:themeColor="text1" w:themeTint="BF"/>
                      </w:rPr>
                    </m:ctrlPr>
                  </m:sSubPr>
                  <m:e>
                    <m:r>
                      <w:rPr>
                        <w:rFonts w:ascii="Cambria Math" w:hAnsi="Cambria Math"/>
                        <w:color w:val="404040" w:themeColor="text1" w:themeTint="BF"/>
                      </w:rPr>
                      <m:t>Re</m:t>
                    </m:r>
                  </m:e>
                  <m:sub>
                    <m:r>
                      <w:rPr>
                        <w:rFonts w:ascii="Cambria Math" w:hAnsi="Cambria Math"/>
                        <w:color w:val="404040" w:themeColor="text1" w:themeTint="BF"/>
                      </w:rPr>
                      <m:t>tu</m:t>
                    </m:r>
                  </m:sub>
                </m:sSub>
              </m:oMath>
            </m:oMathPara>
          </w:p>
        </w:tc>
        <w:tc>
          <w:tcPr>
            <w:tcW w:w="3205" w:type="dxa"/>
          </w:tcPr>
          <w:p w14:paraId="57A7A40A" w14:textId="77777777" w:rsidR="00DB7BD6" w:rsidRPr="003A69B5" w:rsidRDefault="00DB7BD6" w:rsidP="00DB7BD6">
            <w:pPr>
              <w:jc w:val="center"/>
              <w:rPr>
                <w:color w:val="404040" w:themeColor="text1" w:themeTint="BF"/>
              </w:rPr>
            </w:pPr>
          </w:p>
        </w:tc>
      </w:tr>
      <w:tr w:rsidR="00DB7BD6" w14:paraId="0E5343C7" w14:textId="77777777" w:rsidTr="00DB7BD6">
        <w:trPr>
          <w:jc w:val="center"/>
        </w:trPr>
        <w:tc>
          <w:tcPr>
            <w:tcW w:w="1126" w:type="dxa"/>
          </w:tcPr>
          <w:p w14:paraId="0513978D" w14:textId="77777777" w:rsidR="00DB7BD6" w:rsidRPr="003A69B5" w:rsidRDefault="00DB7BD6" w:rsidP="00DB7BD6">
            <w:pPr>
              <w:jc w:val="center"/>
              <w:rPr>
                <w:color w:val="404040" w:themeColor="text1" w:themeTint="BF"/>
              </w:rPr>
            </w:pPr>
            <w:r w:rsidRPr="003A69B5">
              <w:rPr>
                <w:color w:val="404040" w:themeColor="text1" w:themeTint="BF"/>
              </w:rPr>
              <w:t>13.16</w:t>
            </w:r>
          </w:p>
        </w:tc>
        <w:tc>
          <w:tcPr>
            <w:tcW w:w="2516" w:type="dxa"/>
          </w:tcPr>
          <w:p w14:paraId="5BA9C20E" w14:textId="77777777" w:rsidR="00DB7BD6" w:rsidRPr="003A69B5" w:rsidRDefault="00DB7BD6" w:rsidP="00DB7BD6">
            <w:pPr>
              <w:jc w:val="center"/>
              <w:rPr>
                <w:color w:val="404040" w:themeColor="text1" w:themeTint="BF"/>
              </w:rPr>
            </w:pPr>
            <m:oMathPara>
              <m:oMath>
                <m:sSub>
                  <m:sSubPr>
                    <m:ctrlPr>
                      <w:rPr>
                        <w:rFonts w:ascii="Cambria Math" w:hAnsi="Cambria Math"/>
                        <w:i/>
                        <w:color w:val="404040" w:themeColor="text1" w:themeTint="BF"/>
                      </w:rPr>
                    </m:ctrlPr>
                  </m:sSubPr>
                  <m:e>
                    <m:r>
                      <w:rPr>
                        <w:rFonts w:ascii="Cambria Math" w:hAnsi="Cambria Math"/>
                        <w:color w:val="404040" w:themeColor="text1" w:themeTint="BF"/>
                      </w:rPr>
                      <m:t>c</m:t>
                    </m:r>
                  </m:e>
                  <m:sub>
                    <m:r>
                      <w:rPr>
                        <w:rFonts w:ascii="Cambria Math" w:hAnsi="Cambria Math"/>
                        <w:color w:val="404040" w:themeColor="text1" w:themeTint="BF"/>
                      </w:rPr>
                      <m:t>p,tu</m:t>
                    </m:r>
                  </m:sub>
                </m:sSub>
                <m:r>
                  <w:rPr>
                    <w:rFonts w:ascii="Cambria Math" w:hAnsi="Cambria Math"/>
                    <w:color w:val="404040" w:themeColor="text1" w:themeTint="BF"/>
                  </w:rPr>
                  <m:t>,</m:t>
                </m:r>
                <m:sSub>
                  <m:sSubPr>
                    <m:ctrlPr>
                      <w:rPr>
                        <w:rFonts w:ascii="Cambria Math" w:hAnsi="Cambria Math"/>
                        <w:i/>
                        <w:color w:val="404040" w:themeColor="text1" w:themeTint="BF"/>
                      </w:rPr>
                    </m:ctrlPr>
                  </m:sSubPr>
                  <m:e>
                    <m:r>
                      <w:rPr>
                        <w:rFonts w:ascii="Cambria Math" w:hAnsi="Cambria Math"/>
                        <w:color w:val="404040" w:themeColor="text1" w:themeTint="BF"/>
                      </w:rPr>
                      <m:t>μ</m:t>
                    </m:r>
                  </m:e>
                  <m:sub>
                    <m:r>
                      <w:rPr>
                        <w:rFonts w:ascii="Cambria Math" w:hAnsi="Cambria Math"/>
                        <w:color w:val="404040" w:themeColor="text1" w:themeTint="BF"/>
                      </w:rPr>
                      <m:t>tu</m:t>
                    </m:r>
                  </m:sub>
                </m:sSub>
                <m:r>
                  <w:rPr>
                    <w:rFonts w:ascii="Cambria Math" w:hAnsi="Cambria Math"/>
                    <w:color w:val="404040" w:themeColor="text1" w:themeTint="BF"/>
                  </w:rPr>
                  <m:t>,</m:t>
                </m:r>
                <m:sSub>
                  <m:sSubPr>
                    <m:ctrlPr>
                      <w:rPr>
                        <w:rFonts w:ascii="Cambria Math" w:hAnsi="Cambria Math"/>
                        <w:i/>
                        <w:color w:val="404040" w:themeColor="text1" w:themeTint="BF"/>
                      </w:rPr>
                    </m:ctrlPr>
                  </m:sSubPr>
                  <m:e>
                    <m:r>
                      <w:rPr>
                        <w:rFonts w:ascii="Cambria Math" w:hAnsi="Cambria Math"/>
                        <w:color w:val="404040" w:themeColor="text1" w:themeTint="BF"/>
                      </w:rPr>
                      <m:t>k</m:t>
                    </m:r>
                  </m:e>
                  <m:sub>
                    <m:r>
                      <w:rPr>
                        <w:rFonts w:ascii="Cambria Math" w:hAnsi="Cambria Math"/>
                        <w:color w:val="404040" w:themeColor="text1" w:themeTint="BF"/>
                      </w:rPr>
                      <m:t>f,tu</m:t>
                    </m:r>
                  </m:sub>
                </m:sSub>
              </m:oMath>
            </m:oMathPara>
          </w:p>
        </w:tc>
        <w:tc>
          <w:tcPr>
            <w:tcW w:w="1052" w:type="dxa"/>
          </w:tcPr>
          <w:p w14:paraId="1A867804" w14:textId="77777777" w:rsidR="00DB7BD6" w:rsidRPr="003A69B5" w:rsidRDefault="00DB7BD6" w:rsidP="00DB7BD6">
            <w:pPr>
              <w:jc w:val="center"/>
              <w:rPr>
                <w:color w:val="404040" w:themeColor="text1" w:themeTint="BF"/>
              </w:rPr>
            </w:pPr>
            <m:oMathPara>
              <m:oMath>
                <m:sSub>
                  <m:sSubPr>
                    <m:ctrlPr>
                      <w:rPr>
                        <w:rFonts w:ascii="Cambria Math" w:hAnsi="Cambria Math"/>
                        <w:i/>
                        <w:color w:val="404040" w:themeColor="text1" w:themeTint="BF"/>
                      </w:rPr>
                    </m:ctrlPr>
                  </m:sSubPr>
                  <m:e>
                    <m:r>
                      <w:rPr>
                        <w:rFonts w:ascii="Cambria Math" w:hAnsi="Cambria Math"/>
                        <w:color w:val="404040" w:themeColor="text1" w:themeTint="BF"/>
                      </w:rPr>
                      <m:t>Pr</m:t>
                    </m:r>
                  </m:e>
                  <m:sub>
                    <m:r>
                      <w:rPr>
                        <w:rFonts w:ascii="Cambria Math" w:hAnsi="Cambria Math"/>
                        <w:color w:val="404040" w:themeColor="text1" w:themeTint="BF"/>
                      </w:rPr>
                      <m:t>tu</m:t>
                    </m:r>
                  </m:sub>
                </m:sSub>
              </m:oMath>
            </m:oMathPara>
          </w:p>
        </w:tc>
        <w:tc>
          <w:tcPr>
            <w:tcW w:w="3205" w:type="dxa"/>
          </w:tcPr>
          <w:p w14:paraId="33B6FEA1" w14:textId="77777777" w:rsidR="00DB7BD6" w:rsidRPr="003A69B5" w:rsidRDefault="00DB7BD6" w:rsidP="00DB7BD6">
            <w:pPr>
              <w:jc w:val="center"/>
              <w:rPr>
                <w:color w:val="404040" w:themeColor="text1" w:themeTint="BF"/>
              </w:rPr>
            </w:pPr>
          </w:p>
        </w:tc>
      </w:tr>
      <w:tr w:rsidR="00DB7BD6" w14:paraId="5329F835" w14:textId="77777777" w:rsidTr="00DB7BD6">
        <w:trPr>
          <w:jc w:val="center"/>
        </w:trPr>
        <w:tc>
          <w:tcPr>
            <w:tcW w:w="1126" w:type="dxa"/>
          </w:tcPr>
          <w:p w14:paraId="2B5BE23D" w14:textId="77777777" w:rsidR="00DB7BD6" w:rsidRPr="003A69B5" w:rsidRDefault="00DB7BD6" w:rsidP="00DB7BD6">
            <w:pPr>
              <w:jc w:val="center"/>
              <w:rPr>
                <w:color w:val="404040" w:themeColor="text1" w:themeTint="BF"/>
              </w:rPr>
            </w:pPr>
            <w:r w:rsidRPr="003A69B5">
              <w:rPr>
                <w:color w:val="404040" w:themeColor="text1" w:themeTint="BF"/>
              </w:rPr>
              <w:t>13.17</w:t>
            </w:r>
          </w:p>
        </w:tc>
        <w:tc>
          <w:tcPr>
            <w:tcW w:w="2516" w:type="dxa"/>
          </w:tcPr>
          <w:p w14:paraId="7F0319CB" w14:textId="77777777" w:rsidR="00DB7BD6" w:rsidRPr="003A69B5" w:rsidRDefault="00DB7BD6" w:rsidP="00DB7BD6">
            <w:pPr>
              <w:jc w:val="center"/>
              <w:rPr>
                <w:color w:val="404040" w:themeColor="text1" w:themeTint="BF"/>
              </w:rPr>
            </w:pPr>
            <m:oMathPara>
              <m:oMath>
                <m:sSub>
                  <m:sSubPr>
                    <m:ctrlPr>
                      <w:rPr>
                        <w:rFonts w:ascii="Cambria Math" w:hAnsi="Cambria Math"/>
                        <w:i/>
                        <w:color w:val="404040" w:themeColor="text1" w:themeTint="BF"/>
                      </w:rPr>
                    </m:ctrlPr>
                  </m:sSubPr>
                  <m:e>
                    <m:r>
                      <w:rPr>
                        <w:rFonts w:ascii="Cambria Math" w:hAnsi="Cambria Math"/>
                        <w:color w:val="404040" w:themeColor="text1" w:themeTint="BF"/>
                      </w:rPr>
                      <m:t>h</m:t>
                    </m:r>
                  </m:e>
                  <m:sub>
                    <m:r>
                      <w:rPr>
                        <w:rFonts w:ascii="Cambria Math" w:hAnsi="Cambria Math"/>
                        <w:color w:val="404040" w:themeColor="text1" w:themeTint="BF"/>
                      </w:rPr>
                      <m:t>i</m:t>
                    </m:r>
                  </m:sub>
                </m:sSub>
                <m:r>
                  <w:rPr>
                    <w:rFonts w:ascii="Cambria Math" w:hAnsi="Cambria Math"/>
                    <w:color w:val="404040" w:themeColor="text1" w:themeTint="BF"/>
                  </w:rPr>
                  <m:t xml:space="preserve">, </m:t>
                </m:r>
                <m:sSub>
                  <m:sSubPr>
                    <m:ctrlPr>
                      <w:rPr>
                        <w:rFonts w:ascii="Cambria Math" w:hAnsi="Cambria Math"/>
                        <w:i/>
                        <w:color w:val="404040" w:themeColor="text1" w:themeTint="BF"/>
                      </w:rPr>
                    </m:ctrlPr>
                  </m:sSubPr>
                  <m:e>
                    <m:r>
                      <w:rPr>
                        <w:rFonts w:ascii="Cambria Math" w:hAnsi="Cambria Math"/>
                        <w:color w:val="404040" w:themeColor="text1" w:themeTint="BF"/>
                      </w:rPr>
                      <m:t>D</m:t>
                    </m:r>
                  </m:e>
                  <m:sub>
                    <m:r>
                      <w:rPr>
                        <w:rFonts w:ascii="Cambria Math" w:hAnsi="Cambria Math"/>
                        <w:color w:val="404040" w:themeColor="text1" w:themeTint="BF"/>
                      </w:rPr>
                      <m:t>i</m:t>
                    </m:r>
                  </m:sub>
                </m:sSub>
                <m:r>
                  <w:rPr>
                    <w:rFonts w:ascii="Cambria Math" w:hAnsi="Cambria Math"/>
                    <w:color w:val="404040" w:themeColor="text1" w:themeTint="BF"/>
                  </w:rPr>
                  <m:t>,</m:t>
                </m:r>
                <m:sSub>
                  <m:sSubPr>
                    <m:ctrlPr>
                      <w:rPr>
                        <w:rFonts w:ascii="Cambria Math" w:hAnsi="Cambria Math"/>
                        <w:i/>
                        <w:color w:val="404040" w:themeColor="text1" w:themeTint="BF"/>
                      </w:rPr>
                    </m:ctrlPr>
                  </m:sSubPr>
                  <m:e>
                    <m:r>
                      <w:rPr>
                        <w:rFonts w:ascii="Cambria Math" w:hAnsi="Cambria Math"/>
                        <w:color w:val="404040" w:themeColor="text1" w:themeTint="BF"/>
                      </w:rPr>
                      <m:t>k</m:t>
                    </m:r>
                  </m:e>
                  <m:sub>
                    <m:r>
                      <w:rPr>
                        <w:rFonts w:ascii="Cambria Math" w:hAnsi="Cambria Math"/>
                        <w:color w:val="404040" w:themeColor="text1" w:themeTint="BF"/>
                      </w:rPr>
                      <m:t>f,tu</m:t>
                    </m:r>
                  </m:sub>
                </m:sSub>
              </m:oMath>
            </m:oMathPara>
          </w:p>
        </w:tc>
        <w:tc>
          <w:tcPr>
            <w:tcW w:w="1052" w:type="dxa"/>
          </w:tcPr>
          <w:p w14:paraId="35018692" w14:textId="77777777" w:rsidR="00DB7BD6" w:rsidRPr="003A69B5" w:rsidRDefault="00DB7BD6" w:rsidP="00DB7BD6">
            <w:pPr>
              <w:jc w:val="center"/>
              <w:rPr>
                <w:color w:val="404040" w:themeColor="text1" w:themeTint="BF"/>
              </w:rPr>
            </w:pPr>
            <m:oMathPara>
              <m:oMath>
                <m:sSub>
                  <m:sSubPr>
                    <m:ctrlPr>
                      <w:rPr>
                        <w:rFonts w:ascii="Cambria Math" w:hAnsi="Cambria Math"/>
                        <w:i/>
                        <w:color w:val="404040" w:themeColor="text1" w:themeTint="BF"/>
                      </w:rPr>
                    </m:ctrlPr>
                  </m:sSubPr>
                  <m:e>
                    <m:r>
                      <w:rPr>
                        <w:rFonts w:ascii="Cambria Math" w:hAnsi="Cambria Math"/>
                        <w:color w:val="404040" w:themeColor="text1" w:themeTint="BF"/>
                      </w:rPr>
                      <m:t>Nu</m:t>
                    </m:r>
                  </m:e>
                  <m:sub>
                    <m:r>
                      <w:rPr>
                        <w:rFonts w:ascii="Cambria Math" w:hAnsi="Cambria Math"/>
                        <w:color w:val="404040" w:themeColor="text1" w:themeTint="BF"/>
                      </w:rPr>
                      <m:t>tu</m:t>
                    </m:r>
                  </m:sub>
                </m:sSub>
              </m:oMath>
            </m:oMathPara>
          </w:p>
        </w:tc>
        <w:tc>
          <w:tcPr>
            <w:tcW w:w="3205" w:type="dxa"/>
          </w:tcPr>
          <w:p w14:paraId="16945267" w14:textId="77777777" w:rsidR="00DB7BD6" w:rsidRPr="003A69B5" w:rsidRDefault="00DB7BD6" w:rsidP="00DB7BD6">
            <w:pPr>
              <w:jc w:val="center"/>
              <w:rPr>
                <w:color w:val="404040" w:themeColor="text1" w:themeTint="BF"/>
              </w:rPr>
            </w:pPr>
          </w:p>
        </w:tc>
      </w:tr>
      <w:tr w:rsidR="00DB7BD6" w14:paraId="021BE7E3" w14:textId="77777777" w:rsidTr="00DB7BD6">
        <w:trPr>
          <w:jc w:val="center"/>
        </w:trPr>
        <w:tc>
          <w:tcPr>
            <w:tcW w:w="1126" w:type="dxa"/>
          </w:tcPr>
          <w:p w14:paraId="0C23EB57" w14:textId="77777777" w:rsidR="00DB7BD6" w:rsidRPr="003A69B5" w:rsidRDefault="00DB7BD6" w:rsidP="00DB7BD6">
            <w:pPr>
              <w:jc w:val="center"/>
              <w:rPr>
                <w:color w:val="404040" w:themeColor="text1" w:themeTint="BF"/>
              </w:rPr>
            </w:pPr>
            <w:r w:rsidRPr="003A69B5">
              <w:rPr>
                <w:color w:val="404040" w:themeColor="text1" w:themeTint="BF"/>
              </w:rPr>
              <w:t>13.18</w:t>
            </w:r>
          </w:p>
        </w:tc>
        <w:tc>
          <w:tcPr>
            <w:tcW w:w="2516" w:type="dxa"/>
          </w:tcPr>
          <w:p w14:paraId="5908132A" w14:textId="77777777" w:rsidR="00DB7BD6" w:rsidRPr="003A69B5" w:rsidRDefault="00DB7BD6" w:rsidP="00DB7BD6">
            <w:pPr>
              <w:jc w:val="center"/>
              <w:rPr>
                <w:color w:val="404040" w:themeColor="text1" w:themeTint="BF"/>
              </w:rPr>
            </w:pPr>
            <m:oMathPara>
              <m:oMath>
                <m:sSub>
                  <m:sSubPr>
                    <m:ctrlPr>
                      <w:rPr>
                        <w:rFonts w:ascii="Cambria Math" w:hAnsi="Cambria Math"/>
                        <w:b/>
                        <w:i/>
                        <w:color w:val="404040" w:themeColor="text1" w:themeTint="BF"/>
                      </w:rPr>
                    </m:ctrlPr>
                  </m:sSubPr>
                  <m:e>
                    <m:r>
                      <m:rPr>
                        <m:sty m:val="bi"/>
                      </m:rPr>
                      <w:rPr>
                        <w:rFonts w:ascii="Cambria Math" w:hAnsi="Cambria Math"/>
                        <w:color w:val="404040" w:themeColor="text1" w:themeTint="BF"/>
                      </w:rPr>
                      <m:t>D</m:t>
                    </m:r>
                  </m:e>
                  <m:sub>
                    <m:r>
                      <m:rPr>
                        <m:sty m:val="bi"/>
                      </m:rPr>
                      <w:rPr>
                        <w:rFonts w:ascii="Cambria Math" w:hAnsi="Cambria Math"/>
                        <w:color w:val="404040" w:themeColor="text1" w:themeTint="BF"/>
                      </w:rPr>
                      <m:t>bu</m:t>
                    </m:r>
                  </m:sub>
                </m:sSub>
                <m:r>
                  <w:rPr>
                    <w:rFonts w:ascii="Cambria Math" w:hAnsi="Cambria Math"/>
                    <w:color w:val="404040" w:themeColor="text1" w:themeTint="BF"/>
                  </w:rPr>
                  <m:t>,</m:t>
                </m:r>
                <m:sSub>
                  <m:sSubPr>
                    <m:ctrlPr>
                      <w:rPr>
                        <w:rFonts w:ascii="Cambria Math" w:hAnsi="Cambria Math"/>
                        <w:i/>
                        <w:color w:val="404040" w:themeColor="text1" w:themeTint="BF"/>
                      </w:rPr>
                    </m:ctrlPr>
                  </m:sSubPr>
                  <m:e>
                    <m:r>
                      <w:rPr>
                        <w:rFonts w:ascii="Cambria Math" w:hAnsi="Cambria Math"/>
                        <w:color w:val="404040" w:themeColor="text1" w:themeTint="BF"/>
                      </w:rPr>
                      <m:t>D</m:t>
                    </m:r>
                  </m:e>
                  <m:sub>
                    <m:r>
                      <w:rPr>
                        <w:rFonts w:ascii="Cambria Math" w:hAnsi="Cambria Math"/>
                        <w:color w:val="404040" w:themeColor="text1" w:themeTint="BF"/>
                      </w:rPr>
                      <m:t>bu,s,cl</m:t>
                    </m:r>
                  </m:sub>
                </m:sSub>
              </m:oMath>
            </m:oMathPara>
          </w:p>
        </w:tc>
        <w:tc>
          <w:tcPr>
            <w:tcW w:w="1052" w:type="dxa"/>
          </w:tcPr>
          <w:p w14:paraId="25D412B1" w14:textId="77777777" w:rsidR="00DB7BD6" w:rsidRPr="003A69B5" w:rsidRDefault="00DB7BD6" w:rsidP="00DB7BD6">
            <w:pPr>
              <w:jc w:val="center"/>
              <w:rPr>
                <w:color w:val="404040" w:themeColor="text1" w:themeTint="BF"/>
              </w:rPr>
            </w:pPr>
            <m:oMathPara>
              <m:oMath>
                <m:sSub>
                  <m:sSubPr>
                    <m:ctrlPr>
                      <w:rPr>
                        <w:rFonts w:ascii="Cambria Math" w:hAnsi="Cambria Math"/>
                        <w:i/>
                        <w:color w:val="404040" w:themeColor="text1" w:themeTint="BF"/>
                      </w:rPr>
                    </m:ctrlPr>
                  </m:sSubPr>
                  <m:e>
                    <m:r>
                      <w:rPr>
                        <w:rFonts w:ascii="Cambria Math" w:hAnsi="Cambria Math"/>
                        <w:color w:val="404040" w:themeColor="text1" w:themeTint="BF"/>
                      </w:rPr>
                      <m:t>D</m:t>
                    </m:r>
                  </m:e>
                  <m:sub>
                    <m:r>
                      <w:rPr>
                        <w:rFonts w:ascii="Cambria Math" w:hAnsi="Cambria Math"/>
                        <w:color w:val="404040" w:themeColor="text1" w:themeTint="BF"/>
                      </w:rPr>
                      <m:t>s</m:t>
                    </m:r>
                  </m:sub>
                </m:sSub>
              </m:oMath>
            </m:oMathPara>
          </w:p>
        </w:tc>
        <w:tc>
          <w:tcPr>
            <w:tcW w:w="3205" w:type="dxa"/>
          </w:tcPr>
          <w:p w14:paraId="53DDE15F" w14:textId="77777777" w:rsidR="00DB7BD6" w:rsidRPr="003A69B5" w:rsidRDefault="00DB7BD6" w:rsidP="00DB7BD6">
            <w:pPr>
              <w:jc w:val="center"/>
              <w:rPr>
                <w:color w:val="404040" w:themeColor="text1" w:themeTint="BF"/>
              </w:rPr>
            </w:pPr>
            <w:proofErr w:type="spellStart"/>
            <w:r w:rsidRPr="003A69B5">
              <w:rPr>
                <w:color w:val="404040" w:themeColor="text1" w:themeTint="BF"/>
              </w:rPr>
              <w:t>Eqn</w:t>
            </w:r>
            <w:proofErr w:type="spellEnd"/>
            <w:r w:rsidRPr="003A69B5">
              <w:rPr>
                <w:color w:val="404040" w:themeColor="text1" w:themeTint="BF"/>
              </w:rPr>
              <w:t xml:space="preserve"> 13.19, </w:t>
            </w:r>
            <w:proofErr w:type="spellStart"/>
            <w:r w:rsidRPr="003A69B5">
              <w:rPr>
                <w:color w:val="404040" w:themeColor="text1" w:themeTint="BF"/>
              </w:rPr>
              <w:t>Eqn</w:t>
            </w:r>
            <w:proofErr w:type="spellEnd"/>
            <w:r w:rsidRPr="003A69B5">
              <w:rPr>
                <w:color w:val="404040" w:themeColor="text1" w:themeTint="BF"/>
              </w:rPr>
              <w:t xml:space="preserve"> 13.20, </w:t>
            </w:r>
            <w:proofErr w:type="spellStart"/>
            <w:r w:rsidRPr="003A69B5">
              <w:rPr>
                <w:color w:val="404040" w:themeColor="text1" w:themeTint="BF"/>
              </w:rPr>
              <w:t>Eqn</w:t>
            </w:r>
            <w:proofErr w:type="spellEnd"/>
            <w:r w:rsidRPr="003A69B5">
              <w:rPr>
                <w:color w:val="404040" w:themeColor="text1" w:themeTint="BF"/>
              </w:rPr>
              <w:t xml:space="preserve"> 13.29</w:t>
            </w:r>
          </w:p>
        </w:tc>
      </w:tr>
      <w:tr w:rsidR="00DB7BD6" w14:paraId="6F9C99E1" w14:textId="77777777" w:rsidTr="00DB7BD6">
        <w:trPr>
          <w:jc w:val="center"/>
        </w:trPr>
        <w:tc>
          <w:tcPr>
            <w:tcW w:w="1126" w:type="dxa"/>
          </w:tcPr>
          <w:p w14:paraId="039B91F0" w14:textId="77777777" w:rsidR="00DB7BD6" w:rsidRPr="003A69B5" w:rsidRDefault="00DB7BD6" w:rsidP="00DB7BD6">
            <w:pPr>
              <w:jc w:val="center"/>
              <w:rPr>
                <w:color w:val="404040" w:themeColor="text1" w:themeTint="BF"/>
              </w:rPr>
            </w:pPr>
            <w:r w:rsidRPr="003A69B5">
              <w:rPr>
                <w:color w:val="404040" w:themeColor="text1" w:themeTint="BF"/>
              </w:rPr>
              <w:t>13.19</w:t>
            </w:r>
          </w:p>
        </w:tc>
        <w:tc>
          <w:tcPr>
            <w:tcW w:w="2516" w:type="dxa"/>
          </w:tcPr>
          <w:p w14:paraId="023A4696" w14:textId="77777777" w:rsidR="00DB7BD6" w:rsidRPr="003A69B5" w:rsidRDefault="00DB7BD6" w:rsidP="00DB7BD6">
            <w:pPr>
              <w:jc w:val="center"/>
              <w:rPr>
                <w:color w:val="404040" w:themeColor="text1" w:themeTint="BF"/>
              </w:rPr>
            </w:pPr>
            <m:oMathPara>
              <m:oMath>
                <m:sSub>
                  <m:sSubPr>
                    <m:ctrlPr>
                      <w:rPr>
                        <w:rFonts w:ascii="Cambria Math" w:hAnsi="Cambria Math"/>
                        <w:b/>
                        <w:i/>
                      </w:rPr>
                    </m:ctrlPr>
                  </m:sSubPr>
                  <m:e>
                    <m:r>
                      <m:rPr>
                        <m:sty m:val="bi"/>
                      </m:rPr>
                      <w:rPr>
                        <w:rFonts w:ascii="Cambria Math" w:hAnsi="Cambria Math"/>
                      </w:rPr>
                      <m:t>D</m:t>
                    </m:r>
                  </m:e>
                  <m:sub>
                    <m:r>
                      <m:rPr>
                        <m:sty m:val="bi"/>
                      </m:rPr>
                      <w:rPr>
                        <w:rFonts w:ascii="Cambria Math" w:hAnsi="Cambria Math"/>
                      </w:rPr>
                      <m:t>s</m:t>
                    </m:r>
                  </m:sub>
                </m:sSub>
                <m:r>
                  <w:rPr>
                    <w:rFonts w:ascii="Cambria Math" w:hAnsi="Cambria Math"/>
                  </w:rPr>
                  <m:t>,</m:t>
                </m:r>
              </m:oMath>
            </m:oMathPara>
          </w:p>
        </w:tc>
        <w:tc>
          <w:tcPr>
            <w:tcW w:w="1052" w:type="dxa"/>
          </w:tcPr>
          <w:p w14:paraId="10B29AEA" w14:textId="77777777" w:rsidR="00DB7BD6" w:rsidRPr="003A69B5" w:rsidRDefault="00DB7BD6" w:rsidP="00DB7BD6">
            <w:pPr>
              <w:jc w:val="center"/>
              <w:rPr>
                <w:color w:val="404040" w:themeColor="text1" w:themeTint="BF"/>
              </w:rPr>
            </w:pPr>
            <m:oMathPara>
              <m:oMath>
                <m:sSub>
                  <m:sSubPr>
                    <m:ctrlPr>
                      <w:rPr>
                        <w:rFonts w:ascii="Cambria Math" w:hAnsi="Cambria Math"/>
                        <w:i/>
                        <w:color w:val="404040" w:themeColor="text1" w:themeTint="BF"/>
                      </w:rPr>
                    </m:ctrlPr>
                  </m:sSubPr>
                  <m:e>
                    <m:r>
                      <w:rPr>
                        <w:rFonts w:ascii="Cambria Math" w:hAnsi="Cambria Math"/>
                        <w:color w:val="404040" w:themeColor="text1" w:themeTint="BF"/>
                      </w:rPr>
                      <m:t>l</m:t>
                    </m:r>
                  </m:e>
                  <m:sub>
                    <m:r>
                      <w:rPr>
                        <w:rFonts w:ascii="Cambria Math" w:hAnsi="Cambria Math"/>
                        <w:color w:val="404040" w:themeColor="text1" w:themeTint="BF"/>
                      </w:rPr>
                      <m:t>Ba</m:t>
                    </m:r>
                  </m:sub>
                </m:sSub>
              </m:oMath>
            </m:oMathPara>
          </w:p>
        </w:tc>
        <w:tc>
          <w:tcPr>
            <w:tcW w:w="3205" w:type="dxa"/>
          </w:tcPr>
          <w:p w14:paraId="2EEDB099" w14:textId="77777777" w:rsidR="00DB7BD6" w:rsidRPr="003A69B5" w:rsidRDefault="00DB7BD6" w:rsidP="00DB7BD6">
            <w:pPr>
              <w:jc w:val="center"/>
              <w:rPr>
                <w:color w:val="404040" w:themeColor="text1" w:themeTint="BF"/>
              </w:rPr>
            </w:pPr>
            <w:proofErr w:type="spellStart"/>
            <w:r w:rsidRPr="003A69B5">
              <w:rPr>
                <w:color w:val="404040" w:themeColor="text1" w:themeTint="BF"/>
              </w:rPr>
              <w:t>Eqn</w:t>
            </w:r>
            <w:proofErr w:type="spellEnd"/>
            <w:r w:rsidRPr="003A69B5">
              <w:rPr>
                <w:color w:val="404040" w:themeColor="text1" w:themeTint="BF"/>
              </w:rPr>
              <w:t xml:space="preserve"> 13.20, </w:t>
            </w:r>
            <w:proofErr w:type="spellStart"/>
            <w:r w:rsidRPr="003A69B5">
              <w:rPr>
                <w:color w:val="404040" w:themeColor="text1" w:themeTint="BF"/>
              </w:rPr>
              <w:t>Eqn</w:t>
            </w:r>
            <w:proofErr w:type="spellEnd"/>
            <w:r w:rsidRPr="003A69B5">
              <w:rPr>
                <w:color w:val="404040" w:themeColor="text1" w:themeTint="BF"/>
              </w:rPr>
              <w:t xml:space="preserve"> 13.29</w:t>
            </w:r>
          </w:p>
        </w:tc>
      </w:tr>
      <w:tr w:rsidR="00DB7BD6" w14:paraId="6505102B" w14:textId="77777777" w:rsidTr="00DB7BD6">
        <w:trPr>
          <w:jc w:val="center"/>
        </w:trPr>
        <w:tc>
          <w:tcPr>
            <w:tcW w:w="1126" w:type="dxa"/>
          </w:tcPr>
          <w:p w14:paraId="65C836E9" w14:textId="77777777" w:rsidR="00DB7BD6" w:rsidRPr="003A69B5" w:rsidRDefault="00DB7BD6" w:rsidP="00DB7BD6">
            <w:pPr>
              <w:jc w:val="center"/>
              <w:rPr>
                <w:color w:val="404040" w:themeColor="text1" w:themeTint="BF"/>
              </w:rPr>
            </w:pPr>
            <w:r w:rsidRPr="003A69B5">
              <w:rPr>
                <w:color w:val="404040" w:themeColor="text1" w:themeTint="BF"/>
              </w:rPr>
              <w:t>13.20</w:t>
            </w:r>
          </w:p>
        </w:tc>
        <w:tc>
          <w:tcPr>
            <w:tcW w:w="2516" w:type="dxa"/>
          </w:tcPr>
          <w:p w14:paraId="4CEF7152" w14:textId="77777777" w:rsidR="00DB7BD6" w:rsidRPr="003A69B5" w:rsidRDefault="00DB7BD6" w:rsidP="00DB7BD6">
            <w:pPr>
              <w:jc w:val="center"/>
              <w:rPr>
                <w:color w:val="404040" w:themeColor="text1" w:themeTint="BF"/>
              </w:rPr>
            </w:pPr>
            <m:oMathPara>
              <m:oMath>
                <m:sSub>
                  <m:sSubPr>
                    <m:ctrlPr>
                      <w:rPr>
                        <w:rFonts w:ascii="Cambria Math" w:hAnsi="Cambria Math"/>
                        <w:b/>
                        <w:i/>
                        <w:color w:val="404040" w:themeColor="text1" w:themeTint="BF"/>
                      </w:rPr>
                    </m:ctrlPr>
                  </m:sSubPr>
                  <m:e>
                    <m:r>
                      <m:rPr>
                        <m:sty m:val="bi"/>
                      </m:rPr>
                      <w:rPr>
                        <w:rFonts w:ascii="Cambria Math" w:hAnsi="Cambria Math"/>
                        <w:color w:val="404040" w:themeColor="text1" w:themeTint="BF"/>
                      </w:rPr>
                      <m:t>p</m:t>
                    </m:r>
                  </m:e>
                  <m:sub>
                    <m:r>
                      <m:rPr>
                        <m:sty m:val="bi"/>
                      </m:rPr>
                      <w:rPr>
                        <w:rFonts w:ascii="Cambria Math" w:hAnsi="Cambria Math"/>
                        <w:color w:val="404040" w:themeColor="text1" w:themeTint="BF"/>
                      </w:rPr>
                      <m:t>tu</m:t>
                    </m:r>
                  </m:sub>
                </m:sSub>
                <m:r>
                  <w:rPr>
                    <w:rFonts w:ascii="Cambria Math" w:hAnsi="Cambria Math"/>
                    <w:color w:val="404040" w:themeColor="text1" w:themeTint="BF"/>
                  </w:rPr>
                  <m:t>,</m:t>
                </m:r>
                <m:sSub>
                  <m:sSubPr>
                    <m:ctrlPr>
                      <w:rPr>
                        <w:rFonts w:ascii="Cambria Math" w:hAnsi="Cambria Math"/>
                        <w:b/>
                        <w:i/>
                      </w:rPr>
                    </m:ctrlPr>
                  </m:sSubPr>
                  <m:e>
                    <m:r>
                      <m:rPr>
                        <m:sty m:val="bi"/>
                      </m:rPr>
                      <w:rPr>
                        <w:rFonts w:ascii="Cambria Math" w:hAnsi="Cambria Math"/>
                      </w:rPr>
                      <m:t>D</m:t>
                    </m:r>
                  </m:e>
                  <m:sub>
                    <m:r>
                      <m:rPr>
                        <m:sty m:val="bi"/>
                      </m:rPr>
                      <w:rPr>
                        <w:rFonts w:ascii="Cambria Math" w:hAnsi="Cambria Math"/>
                      </w:rPr>
                      <m:t>s</m:t>
                    </m:r>
                  </m:sub>
                </m:sSub>
                <m:r>
                  <w:rPr>
                    <w:rFonts w:ascii="Cambria Math" w:hAnsi="Cambria Math"/>
                    <w:color w:val="404040" w:themeColor="text1" w:themeTint="BF"/>
                  </w:rPr>
                  <m:t>,</m:t>
                </m:r>
                <m:sSub>
                  <m:sSubPr>
                    <m:ctrlPr>
                      <w:rPr>
                        <w:rFonts w:ascii="Cambria Math" w:hAnsi="Cambria Math"/>
                        <w:b/>
                        <w:i/>
                        <w:color w:val="404040" w:themeColor="text1" w:themeTint="BF"/>
                      </w:rPr>
                    </m:ctrlPr>
                  </m:sSubPr>
                  <m:e>
                    <m:r>
                      <m:rPr>
                        <m:sty m:val="bi"/>
                      </m:rPr>
                      <w:rPr>
                        <w:rFonts w:ascii="Cambria Math" w:hAnsi="Cambria Math"/>
                        <w:color w:val="404040" w:themeColor="text1" w:themeTint="BF"/>
                      </w:rPr>
                      <m:t>l</m:t>
                    </m:r>
                  </m:e>
                  <m:sub>
                    <m:r>
                      <m:rPr>
                        <m:sty m:val="bi"/>
                      </m:rPr>
                      <w:rPr>
                        <w:rFonts w:ascii="Cambria Math" w:hAnsi="Cambria Math"/>
                        <w:color w:val="404040" w:themeColor="text1" w:themeTint="BF"/>
                      </w:rPr>
                      <m:t>Ba</m:t>
                    </m:r>
                  </m:sub>
                </m:sSub>
                <m:r>
                  <w:rPr>
                    <w:rFonts w:ascii="Cambria Math" w:hAnsi="Cambria Math"/>
                    <w:color w:val="404040" w:themeColor="text1" w:themeTint="BF"/>
                  </w:rPr>
                  <m:t>,</m:t>
                </m:r>
                <m:sSub>
                  <m:sSubPr>
                    <m:ctrlPr>
                      <w:rPr>
                        <w:rFonts w:ascii="Cambria Math" w:hAnsi="Cambria Math"/>
                        <w:i/>
                        <w:color w:val="404040" w:themeColor="text1" w:themeTint="BF"/>
                      </w:rPr>
                    </m:ctrlPr>
                  </m:sSubPr>
                  <m:e>
                    <m:r>
                      <w:rPr>
                        <w:rFonts w:ascii="Cambria Math" w:hAnsi="Cambria Math"/>
                        <w:color w:val="404040" w:themeColor="text1" w:themeTint="BF"/>
                      </w:rPr>
                      <m:t>D</m:t>
                    </m:r>
                  </m:e>
                  <m:sub>
                    <m:r>
                      <w:rPr>
                        <w:rFonts w:ascii="Cambria Math" w:hAnsi="Cambria Math"/>
                        <w:color w:val="404040" w:themeColor="text1" w:themeTint="BF"/>
                      </w:rPr>
                      <m:t>o</m:t>
                    </m:r>
                  </m:sub>
                </m:sSub>
              </m:oMath>
            </m:oMathPara>
          </w:p>
        </w:tc>
        <w:tc>
          <w:tcPr>
            <w:tcW w:w="1052" w:type="dxa"/>
          </w:tcPr>
          <w:p w14:paraId="18DB271D" w14:textId="77777777" w:rsidR="00DB7BD6" w:rsidRPr="003A69B5" w:rsidRDefault="00DB7BD6" w:rsidP="00DB7BD6">
            <w:pPr>
              <w:jc w:val="center"/>
              <w:rPr>
                <w:color w:val="404040" w:themeColor="text1" w:themeTint="BF"/>
              </w:rPr>
            </w:pPr>
            <m:oMathPara>
              <m:oMath>
                <m:sSub>
                  <m:sSubPr>
                    <m:ctrlPr>
                      <w:rPr>
                        <w:rFonts w:ascii="Cambria Math" w:hAnsi="Cambria Math"/>
                        <w:i/>
                        <w:color w:val="404040" w:themeColor="text1" w:themeTint="BF"/>
                      </w:rPr>
                    </m:ctrlPr>
                  </m:sSubPr>
                  <m:e>
                    <m:r>
                      <w:rPr>
                        <w:rFonts w:ascii="Cambria Math" w:hAnsi="Cambria Math"/>
                        <w:color w:val="404040" w:themeColor="text1" w:themeTint="BF"/>
                      </w:rPr>
                      <m:t>A</m:t>
                    </m:r>
                  </m:e>
                  <m:sub>
                    <m:r>
                      <w:rPr>
                        <w:rFonts w:ascii="Cambria Math" w:hAnsi="Cambria Math"/>
                        <w:color w:val="404040" w:themeColor="text1" w:themeTint="BF"/>
                      </w:rPr>
                      <m:t>s</m:t>
                    </m:r>
                  </m:sub>
                </m:sSub>
              </m:oMath>
            </m:oMathPara>
          </w:p>
        </w:tc>
        <w:tc>
          <w:tcPr>
            <w:tcW w:w="3205" w:type="dxa"/>
          </w:tcPr>
          <w:p w14:paraId="2A785296" w14:textId="77777777" w:rsidR="00DB7BD6" w:rsidRPr="003A69B5" w:rsidRDefault="00DB7BD6" w:rsidP="00DB7BD6">
            <w:pPr>
              <w:jc w:val="center"/>
              <w:rPr>
                <w:color w:val="404040" w:themeColor="text1" w:themeTint="BF"/>
              </w:rPr>
            </w:pPr>
            <w:proofErr w:type="spellStart"/>
            <w:r w:rsidRPr="003A69B5">
              <w:rPr>
                <w:color w:val="404040" w:themeColor="text1" w:themeTint="BF"/>
              </w:rPr>
              <w:t>Eqn</w:t>
            </w:r>
            <w:proofErr w:type="spellEnd"/>
            <w:r w:rsidRPr="003A69B5">
              <w:rPr>
                <w:color w:val="404040" w:themeColor="text1" w:themeTint="BF"/>
              </w:rPr>
              <w:t xml:space="preserve"> 13.21</w:t>
            </w:r>
          </w:p>
        </w:tc>
      </w:tr>
      <w:tr w:rsidR="00DB7BD6" w14:paraId="64A61060" w14:textId="77777777" w:rsidTr="00DB7BD6">
        <w:trPr>
          <w:jc w:val="center"/>
        </w:trPr>
        <w:tc>
          <w:tcPr>
            <w:tcW w:w="1126" w:type="dxa"/>
          </w:tcPr>
          <w:p w14:paraId="0E4A2CFF" w14:textId="77777777" w:rsidR="00DB7BD6" w:rsidRPr="003A69B5" w:rsidRDefault="00DB7BD6" w:rsidP="00DB7BD6">
            <w:pPr>
              <w:jc w:val="center"/>
              <w:rPr>
                <w:color w:val="404040" w:themeColor="text1" w:themeTint="BF"/>
              </w:rPr>
            </w:pPr>
            <w:r w:rsidRPr="003A69B5">
              <w:rPr>
                <w:color w:val="404040" w:themeColor="text1" w:themeTint="BF"/>
              </w:rPr>
              <w:t>13.21</w:t>
            </w:r>
          </w:p>
        </w:tc>
        <w:tc>
          <w:tcPr>
            <w:tcW w:w="2516" w:type="dxa"/>
          </w:tcPr>
          <w:p w14:paraId="4EACF147" w14:textId="77777777" w:rsidR="00DB7BD6" w:rsidRPr="003A69B5" w:rsidRDefault="00DB7BD6" w:rsidP="00DB7BD6">
            <w:pPr>
              <w:jc w:val="center"/>
              <w:rPr>
                <w:color w:val="404040" w:themeColor="text1" w:themeTint="BF"/>
              </w:rPr>
            </w:pPr>
            <m:oMathPara>
              <m:oMath>
                <m:sSub>
                  <m:sSubPr>
                    <m:ctrlPr>
                      <w:rPr>
                        <w:rFonts w:ascii="Cambria Math" w:hAnsi="Cambria Math"/>
                        <w:b/>
                        <w:i/>
                        <w:color w:val="404040" w:themeColor="text1" w:themeTint="BF"/>
                      </w:rPr>
                    </m:ctrlPr>
                  </m:sSubPr>
                  <m:e>
                    <m:r>
                      <m:rPr>
                        <m:sty m:val="bi"/>
                      </m:rPr>
                      <w:rPr>
                        <w:rFonts w:ascii="Cambria Math" w:hAnsi="Cambria Math"/>
                        <w:color w:val="404040" w:themeColor="text1" w:themeTint="BF"/>
                      </w:rPr>
                      <m:t>A</m:t>
                    </m:r>
                  </m:e>
                  <m:sub>
                    <m:r>
                      <m:rPr>
                        <m:sty m:val="bi"/>
                      </m:rPr>
                      <w:rPr>
                        <w:rFonts w:ascii="Cambria Math" w:hAnsi="Cambria Math"/>
                        <w:color w:val="404040" w:themeColor="text1" w:themeTint="BF"/>
                      </w:rPr>
                      <m:t>s</m:t>
                    </m:r>
                  </m:sub>
                </m:sSub>
                <m:r>
                  <w:rPr>
                    <w:rFonts w:ascii="Cambria Math" w:hAnsi="Cambria Math"/>
                    <w:color w:val="404040" w:themeColor="text1" w:themeTint="BF"/>
                  </w:rPr>
                  <m:t xml:space="preserve">, </m:t>
                </m:r>
                <m:sSub>
                  <m:sSubPr>
                    <m:ctrlPr>
                      <w:rPr>
                        <w:rFonts w:ascii="Cambria Math" w:hAnsi="Cambria Math"/>
                        <w:i/>
                        <w:color w:val="404040" w:themeColor="text1" w:themeTint="BF"/>
                      </w:rPr>
                    </m:ctrlPr>
                  </m:sSubPr>
                  <m:e>
                    <m:acc>
                      <m:accPr>
                        <m:chr m:val="̇"/>
                        <m:ctrlPr>
                          <w:rPr>
                            <w:rFonts w:ascii="Cambria Math" w:hAnsi="Cambria Math"/>
                            <w:i/>
                            <w:color w:val="404040" w:themeColor="text1" w:themeTint="BF"/>
                          </w:rPr>
                        </m:ctrlPr>
                      </m:accPr>
                      <m:e>
                        <m:r>
                          <w:rPr>
                            <w:rFonts w:ascii="Cambria Math" w:hAnsi="Cambria Math"/>
                            <w:color w:val="404040" w:themeColor="text1" w:themeTint="BF"/>
                          </w:rPr>
                          <m:t>m</m:t>
                        </m:r>
                      </m:e>
                    </m:acc>
                  </m:e>
                  <m:sub>
                    <m:r>
                      <w:rPr>
                        <w:rFonts w:ascii="Cambria Math" w:hAnsi="Cambria Math"/>
                        <w:color w:val="404040" w:themeColor="text1" w:themeTint="BF"/>
                      </w:rPr>
                      <m:t>s</m:t>
                    </m:r>
                  </m:sub>
                </m:sSub>
              </m:oMath>
            </m:oMathPara>
          </w:p>
        </w:tc>
        <w:tc>
          <w:tcPr>
            <w:tcW w:w="1052" w:type="dxa"/>
          </w:tcPr>
          <w:p w14:paraId="5BB104F0" w14:textId="77777777" w:rsidR="00DB7BD6" w:rsidRPr="003A69B5" w:rsidRDefault="00DB7BD6" w:rsidP="00DB7BD6">
            <w:pPr>
              <w:jc w:val="center"/>
              <w:rPr>
                <w:color w:val="404040" w:themeColor="text1" w:themeTint="BF"/>
              </w:rPr>
            </w:pPr>
            <m:oMathPara>
              <m:oMath>
                <m:sSub>
                  <m:sSubPr>
                    <m:ctrlPr>
                      <w:rPr>
                        <w:rFonts w:ascii="Cambria Math" w:hAnsi="Cambria Math"/>
                        <w:i/>
                        <w:color w:val="404040" w:themeColor="text1" w:themeTint="BF"/>
                      </w:rPr>
                    </m:ctrlPr>
                  </m:sSubPr>
                  <m:e>
                    <m:r>
                      <w:rPr>
                        <w:rFonts w:ascii="Cambria Math" w:hAnsi="Cambria Math"/>
                        <w:color w:val="404040" w:themeColor="text1" w:themeTint="BF"/>
                      </w:rPr>
                      <m:t>G</m:t>
                    </m:r>
                  </m:e>
                  <m:sub>
                    <m:r>
                      <w:rPr>
                        <w:rFonts w:ascii="Cambria Math" w:hAnsi="Cambria Math"/>
                        <w:color w:val="404040" w:themeColor="text1" w:themeTint="BF"/>
                      </w:rPr>
                      <m:t>s</m:t>
                    </m:r>
                  </m:sub>
                </m:sSub>
              </m:oMath>
            </m:oMathPara>
          </w:p>
        </w:tc>
        <w:tc>
          <w:tcPr>
            <w:tcW w:w="3205" w:type="dxa"/>
          </w:tcPr>
          <w:p w14:paraId="3117445A" w14:textId="77777777" w:rsidR="00DB7BD6" w:rsidRPr="003A69B5" w:rsidRDefault="00DB7BD6" w:rsidP="00DB7BD6">
            <w:pPr>
              <w:jc w:val="center"/>
              <w:rPr>
                <w:color w:val="404040" w:themeColor="text1" w:themeTint="BF"/>
              </w:rPr>
            </w:pPr>
            <w:proofErr w:type="spellStart"/>
            <w:r w:rsidRPr="003A69B5">
              <w:rPr>
                <w:color w:val="404040" w:themeColor="text1" w:themeTint="BF"/>
              </w:rPr>
              <w:t>Eqn</w:t>
            </w:r>
            <w:proofErr w:type="spellEnd"/>
            <w:r w:rsidRPr="003A69B5">
              <w:rPr>
                <w:color w:val="404040" w:themeColor="text1" w:themeTint="BF"/>
              </w:rPr>
              <w:t xml:space="preserve"> 13.22, </w:t>
            </w:r>
            <w:proofErr w:type="spellStart"/>
            <w:r w:rsidRPr="003A69B5">
              <w:rPr>
                <w:color w:val="404040" w:themeColor="text1" w:themeTint="BF"/>
              </w:rPr>
              <w:t>Eqn</w:t>
            </w:r>
            <w:proofErr w:type="spellEnd"/>
            <w:r w:rsidRPr="003A69B5">
              <w:rPr>
                <w:color w:val="404040" w:themeColor="text1" w:themeTint="BF"/>
              </w:rPr>
              <w:t xml:space="preserve"> 13.29</w:t>
            </w:r>
          </w:p>
        </w:tc>
      </w:tr>
      <w:tr w:rsidR="00DB7BD6" w14:paraId="7C16B489" w14:textId="77777777" w:rsidTr="00DB7BD6">
        <w:trPr>
          <w:jc w:val="center"/>
        </w:trPr>
        <w:tc>
          <w:tcPr>
            <w:tcW w:w="1126" w:type="dxa"/>
          </w:tcPr>
          <w:p w14:paraId="51CF315A" w14:textId="77777777" w:rsidR="00DB7BD6" w:rsidRPr="003A69B5" w:rsidRDefault="00DB7BD6" w:rsidP="00DB7BD6">
            <w:pPr>
              <w:jc w:val="center"/>
              <w:rPr>
                <w:color w:val="404040" w:themeColor="text1" w:themeTint="BF"/>
              </w:rPr>
            </w:pPr>
            <w:r w:rsidRPr="003A69B5">
              <w:rPr>
                <w:color w:val="404040" w:themeColor="text1" w:themeTint="BF"/>
              </w:rPr>
              <w:t>13.22</w:t>
            </w:r>
          </w:p>
        </w:tc>
        <w:tc>
          <w:tcPr>
            <w:tcW w:w="2516" w:type="dxa"/>
          </w:tcPr>
          <w:p w14:paraId="14A53AEA" w14:textId="77777777" w:rsidR="00DB7BD6" w:rsidRPr="003A69B5" w:rsidRDefault="00DB7BD6" w:rsidP="00DB7BD6">
            <w:pPr>
              <w:jc w:val="center"/>
              <w:rPr>
                <w:color w:val="404040" w:themeColor="text1" w:themeTint="BF"/>
              </w:rPr>
            </w:pPr>
            <m:oMathPara>
              <m:oMath>
                <m:sSub>
                  <m:sSubPr>
                    <m:ctrlPr>
                      <w:rPr>
                        <w:rFonts w:ascii="Cambria Math" w:hAnsi="Cambria Math"/>
                        <w:b/>
                        <w:i/>
                        <w:color w:val="404040" w:themeColor="text1" w:themeTint="BF"/>
                      </w:rPr>
                    </m:ctrlPr>
                  </m:sSubPr>
                  <m:e>
                    <m:r>
                      <m:rPr>
                        <m:sty m:val="bi"/>
                      </m:rPr>
                      <w:rPr>
                        <w:rFonts w:ascii="Cambria Math" w:hAnsi="Cambria Math"/>
                        <w:color w:val="404040" w:themeColor="text1" w:themeTint="BF"/>
                      </w:rPr>
                      <m:t>G</m:t>
                    </m:r>
                  </m:e>
                  <m:sub>
                    <m:r>
                      <m:rPr>
                        <m:sty m:val="bi"/>
                      </m:rPr>
                      <w:rPr>
                        <w:rFonts w:ascii="Cambria Math" w:hAnsi="Cambria Math"/>
                        <w:color w:val="404040" w:themeColor="text1" w:themeTint="BF"/>
                      </w:rPr>
                      <m:t>s</m:t>
                    </m:r>
                  </m:sub>
                </m:sSub>
                <m:r>
                  <w:rPr>
                    <w:rFonts w:ascii="Cambria Math" w:hAnsi="Cambria Math"/>
                    <w:color w:val="404040" w:themeColor="text1" w:themeTint="BF"/>
                  </w:rPr>
                  <m:t>,</m:t>
                </m:r>
                <m:sSub>
                  <m:sSubPr>
                    <m:ctrlPr>
                      <w:rPr>
                        <w:rFonts w:ascii="Cambria Math" w:hAnsi="Cambria Math"/>
                        <w:i/>
                        <w:color w:val="404040" w:themeColor="text1" w:themeTint="BF"/>
                      </w:rPr>
                    </m:ctrlPr>
                  </m:sSubPr>
                  <m:e>
                    <m:r>
                      <w:rPr>
                        <w:rFonts w:ascii="Cambria Math" w:hAnsi="Cambria Math"/>
                        <w:color w:val="404040" w:themeColor="text1" w:themeTint="BF"/>
                      </w:rPr>
                      <m:t>ρ</m:t>
                    </m:r>
                  </m:e>
                  <m:sub>
                    <m:r>
                      <w:rPr>
                        <w:rFonts w:ascii="Cambria Math" w:hAnsi="Cambria Math"/>
                        <w:color w:val="404040" w:themeColor="text1" w:themeTint="BF"/>
                      </w:rPr>
                      <m:t>s</m:t>
                    </m:r>
                  </m:sub>
                </m:sSub>
              </m:oMath>
            </m:oMathPara>
          </w:p>
        </w:tc>
        <w:tc>
          <w:tcPr>
            <w:tcW w:w="1052" w:type="dxa"/>
          </w:tcPr>
          <w:p w14:paraId="21D1E818" w14:textId="77777777" w:rsidR="00DB7BD6" w:rsidRPr="003A69B5" w:rsidRDefault="00DB7BD6" w:rsidP="00DB7BD6">
            <w:pPr>
              <w:jc w:val="center"/>
              <w:rPr>
                <w:color w:val="404040" w:themeColor="text1" w:themeTint="BF"/>
              </w:rPr>
            </w:pPr>
            <m:oMathPara>
              <m:oMath>
                <m:sSub>
                  <m:sSubPr>
                    <m:ctrlPr>
                      <w:rPr>
                        <w:rFonts w:ascii="Cambria Math" w:hAnsi="Cambria Math"/>
                        <w:i/>
                        <w:color w:val="404040" w:themeColor="text1" w:themeTint="BF"/>
                      </w:rPr>
                    </m:ctrlPr>
                  </m:sSubPr>
                  <m:e>
                    <m:r>
                      <w:rPr>
                        <w:rFonts w:ascii="Cambria Math" w:hAnsi="Cambria Math"/>
                        <w:color w:val="404040" w:themeColor="text1" w:themeTint="BF"/>
                      </w:rPr>
                      <m:t>v</m:t>
                    </m:r>
                  </m:e>
                  <m:sub>
                    <m:r>
                      <w:rPr>
                        <w:rFonts w:ascii="Cambria Math" w:hAnsi="Cambria Math"/>
                        <w:color w:val="404040" w:themeColor="text1" w:themeTint="BF"/>
                      </w:rPr>
                      <m:t>s</m:t>
                    </m:r>
                  </m:sub>
                </m:sSub>
              </m:oMath>
            </m:oMathPara>
          </w:p>
        </w:tc>
        <w:tc>
          <w:tcPr>
            <w:tcW w:w="3205" w:type="dxa"/>
          </w:tcPr>
          <w:p w14:paraId="0CC1A655" w14:textId="77777777" w:rsidR="00DB7BD6" w:rsidRPr="003A69B5" w:rsidRDefault="00DB7BD6" w:rsidP="00DB7BD6">
            <w:pPr>
              <w:jc w:val="center"/>
              <w:rPr>
                <w:color w:val="404040" w:themeColor="text1" w:themeTint="BF"/>
              </w:rPr>
            </w:pPr>
          </w:p>
        </w:tc>
      </w:tr>
      <w:tr w:rsidR="00DB7BD6" w14:paraId="660CD673" w14:textId="77777777" w:rsidTr="00DB7BD6">
        <w:trPr>
          <w:jc w:val="center"/>
        </w:trPr>
        <w:tc>
          <w:tcPr>
            <w:tcW w:w="1126" w:type="dxa"/>
          </w:tcPr>
          <w:p w14:paraId="0E18EBAD" w14:textId="77777777" w:rsidR="00DB7BD6" w:rsidRDefault="00DB7BD6" w:rsidP="00DB7BD6">
            <w:pPr>
              <w:jc w:val="center"/>
            </w:pPr>
            <w:r>
              <w:t>13.30</w:t>
            </w:r>
          </w:p>
        </w:tc>
        <w:tc>
          <w:tcPr>
            <w:tcW w:w="2516" w:type="dxa"/>
          </w:tcPr>
          <w:p w14:paraId="6D1601B8" w14:textId="77777777" w:rsidR="00DB7BD6" w:rsidRDefault="00DB7BD6" w:rsidP="00DB7BD6">
            <w:pPr>
              <w:jc w:val="center"/>
            </w:pPr>
            <m:oMathPara>
              <m:oMath>
                <m:sSub>
                  <m:sSubPr>
                    <m:ctrlPr>
                      <w:rPr>
                        <w:rFonts w:ascii="Cambria Math" w:hAnsi="Cambria Math"/>
                        <w:b/>
                        <w:i/>
                      </w:rPr>
                    </m:ctrlPr>
                  </m:sSubPr>
                  <m:e>
                    <m:r>
                      <m:rPr>
                        <m:sty m:val="bi"/>
                      </m:rPr>
                      <w:rPr>
                        <w:rFonts w:ascii="Cambria Math" w:hAnsi="Cambria Math"/>
                      </w:rPr>
                      <m:t>p</m:t>
                    </m:r>
                  </m:e>
                  <m:sub>
                    <m:r>
                      <m:rPr>
                        <m:sty m:val="bi"/>
                      </m:rPr>
                      <w:rPr>
                        <w:rFonts w:ascii="Cambria Math" w:hAnsi="Cambria Math"/>
                      </w:rPr>
                      <m:t>tu</m:t>
                    </m:r>
                  </m:sub>
                </m:sSub>
                <m:r>
                  <w:rPr>
                    <w:rFonts w:ascii="Cambria Math" w:hAnsi="Cambria Math"/>
                  </w:rPr>
                  <m:t>,</m:t>
                </m:r>
                <m:sSub>
                  <m:sSubPr>
                    <m:ctrlPr>
                      <w:rPr>
                        <w:rFonts w:ascii="Cambria Math" w:hAnsi="Cambria Math"/>
                        <w:i/>
                      </w:rPr>
                    </m:ctrlPr>
                  </m:sSubPr>
                  <m:e>
                    <m:r>
                      <w:rPr>
                        <w:rFonts w:ascii="Cambria Math" w:hAnsi="Cambria Math"/>
                      </w:rPr>
                      <m:t>D</m:t>
                    </m:r>
                  </m:e>
                  <m:sub>
                    <m:r>
                      <w:rPr>
                        <w:rFonts w:ascii="Cambria Math" w:hAnsi="Cambria Math"/>
                      </w:rPr>
                      <m:t>o</m:t>
                    </m:r>
                  </m:sub>
                </m:sSub>
              </m:oMath>
            </m:oMathPara>
          </w:p>
        </w:tc>
        <w:tc>
          <w:tcPr>
            <w:tcW w:w="1052" w:type="dxa"/>
          </w:tcPr>
          <w:p w14:paraId="004CE0B1" w14:textId="77777777" w:rsidR="00DB7BD6" w:rsidRDefault="00DB7BD6" w:rsidP="00DB7BD6">
            <w:pPr>
              <w:jc w:val="center"/>
            </w:pPr>
            <m:oMathPara>
              <m:oMath>
                <m:sSub>
                  <m:sSubPr>
                    <m:ctrlPr>
                      <w:rPr>
                        <w:rFonts w:ascii="Cambria Math" w:hAnsi="Cambria Math"/>
                        <w:i/>
                      </w:rPr>
                    </m:ctrlPr>
                  </m:sSubPr>
                  <m:e>
                    <m:r>
                      <w:rPr>
                        <w:rFonts w:ascii="Cambria Math" w:hAnsi="Cambria Math"/>
                      </w:rPr>
                      <m:t>D</m:t>
                    </m:r>
                  </m:e>
                  <m:sub>
                    <m:r>
                      <w:rPr>
                        <w:rFonts w:ascii="Cambria Math" w:hAnsi="Cambria Math"/>
                      </w:rPr>
                      <m:t>e</m:t>
                    </m:r>
                  </m:sub>
                </m:sSub>
              </m:oMath>
            </m:oMathPara>
          </w:p>
        </w:tc>
        <w:tc>
          <w:tcPr>
            <w:tcW w:w="3205" w:type="dxa"/>
          </w:tcPr>
          <w:p w14:paraId="205488B2" w14:textId="77777777" w:rsidR="00DB7BD6" w:rsidRDefault="00DB7BD6" w:rsidP="00DB7BD6">
            <w:pPr>
              <w:jc w:val="center"/>
            </w:pPr>
            <w:proofErr w:type="spellStart"/>
            <w:r>
              <w:t>Eqn</w:t>
            </w:r>
            <w:proofErr w:type="spellEnd"/>
            <w:r>
              <w:t xml:space="preserve"> 13.24, </w:t>
            </w:r>
            <w:proofErr w:type="spellStart"/>
            <w:r>
              <w:t>Eqn</w:t>
            </w:r>
            <w:proofErr w:type="spellEnd"/>
            <w:r>
              <w:t xml:space="preserve"> 13.26, </w:t>
            </w:r>
            <w:proofErr w:type="spellStart"/>
            <w:r>
              <w:t>Eqn</w:t>
            </w:r>
            <w:proofErr w:type="spellEnd"/>
            <w:r>
              <w:t xml:space="preserve"> 13.29</w:t>
            </w:r>
          </w:p>
        </w:tc>
      </w:tr>
      <w:tr w:rsidR="00DB7BD6" w14:paraId="6391204F" w14:textId="77777777" w:rsidTr="00DB7BD6">
        <w:trPr>
          <w:jc w:val="center"/>
        </w:trPr>
        <w:tc>
          <w:tcPr>
            <w:tcW w:w="1126" w:type="dxa"/>
          </w:tcPr>
          <w:p w14:paraId="158BF470" w14:textId="77777777" w:rsidR="00DB7BD6" w:rsidRPr="003A69B5" w:rsidRDefault="00DB7BD6" w:rsidP="00DB7BD6">
            <w:pPr>
              <w:jc w:val="center"/>
              <w:rPr>
                <w:color w:val="404040" w:themeColor="text1" w:themeTint="BF"/>
              </w:rPr>
            </w:pPr>
            <w:r w:rsidRPr="003A69B5">
              <w:rPr>
                <w:color w:val="404040" w:themeColor="text1" w:themeTint="BF"/>
              </w:rPr>
              <w:t>13.24</w:t>
            </w:r>
          </w:p>
        </w:tc>
        <w:tc>
          <w:tcPr>
            <w:tcW w:w="2516" w:type="dxa"/>
          </w:tcPr>
          <w:p w14:paraId="352D2D6D" w14:textId="77777777" w:rsidR="00DB7BD6" w:rsidRPr="003A69B5" w:rsidRDefault="00DB7BD6" w:rsidP="00DB7BD6">
            <w:pPr>
              <w:jc w:val="center"/>
              <w:rPr>
                <w:color w:val="404040" w:themeColor="text1" w:themeTint="BF"/>
              </w:rPr>
            </w:pPr>
            <m:oMath>
              <m:sSub>
                <m:sSubPr>
                  <m:ctrlPr>
                    <w:rPr>
                      <w:rFonts w:ascii="Cambria Math" w:hAnsi="Cambria Math"/>
                      <w:b/>
                      <w:i/>
                      <w:color w:val="404040" w:themeColor="text1" w:themeTint="BF"/>
                    </w:rPr>
                  </m:ctrlPr>
                </m:sSubPr>
                <m:e>
                  <m:r>
                    <m:rPr>
                      <m:sty m:val="bi"/>
                    </m:rPr>
                    <w:rPr>
                      <w:rFonts w:ascii="Cambria Math" w:hAnsi="Cambria Math"/>
                      <w:color w:val="404040" w:themeColor="text1" w:themeTint="BF"/>
                    </w:rPr>
                    <m:t>D</m:t>
                  </m:r>
                </m:e>
                <m:sub>
                  <m:r>
                    <m:rPr>
                      <m:sty m:val="bi"/>
                    </m:rPr>
                    <w:rPr>
                      <w:rFonts w:ascii="Cambria Math" w:hAnsi="Cambria Math"/>
                      <w:color w:val="404040" w:themeColor="text1" w:themeTint="BF"/>
                    </w:rPr>
                    <m:t>e</m:t>
                  </m:r>
                </m:sub>
              </m:sSub>
              <m:r>
                <w:rPr>
                  <w:rFonts w:ascii="Cambria Math" w:hAnsi="Cambria Math"/>
                  <w:color w:val="404040" w:themeColor="text1" w:themeTint="BF"/>
                </w:rPr>
                <m:t>,</m:t>
              </m:r>
              <m:sSub>
                <m:sSubPr>
                  <m:ctrlPr>
                    <w:rPr>
                      <w:rFonts w:ascii="Cambria Math" w:hAnsi="Cambria Math"/>
                      <w:i/>
                      <w:color w:val="404040" w:themeColor="text1" w:themeTint="BF"/>
                    </w:rPr>
                  </m:ctrlPr>
                </m:sSubPr>
                <m:e>
                  <m:r>
                    <w:rPr>
                      <w:rFonts w:ascii="Cambria Math" w:hAnsi="Cambria Math"/>
                      <w:color w:val="404040" w:themeColor="text1" w:themeTint="BF"/>
                    </w:rPr>
                    <m:t>G</m:t>
                  </m:r>
                </m:e>
                <m:sub>
                  <m:r>
                    <w:rPr>
                      <w:rFonts w:ascii="Cambria Math" w:hAnsi="Cambria Math"/>
                      <w:color w:val="404040" w:themeColor="text1" w:themeTint="BF"/>
                    </w:rPr>
                    <m:t>s</m:t>
                  </m:r>
                </m:sub>
              </m:sSub>
            </m:oMath>
            <w:r w:rsidRPr="003A69B5">
              <w:rPr>
                <w:color w:val="404040" w:themeColor="text1" w:themeTint="BF"/>
              </w:rPr>
              <w:t>,</w:t>
            </w:r>
            <m:oMath>
              <m:r>
                <w:rPr>
                  <w:rFonts w:ascii="Cambria Math" w:hAnsi="Cambria Math"/>
                  <w:color w:val="404040" w:themeColor="text1" w:themeTint="BF"/>
                </w:rPr>
                <m:t xml:space="preserve"> </m:t>
              </m:r>
              <m:sSub>
                <m:sSubPr>
                  <m:ctrlPr>
                    <w:rPr>
                      <w:rFonts w:ascii="Cambria Math" w:hAnsi="Cambria Math"/>
                      <w:i/>
                      <w:color w:val="404040" w:themeColor="text1" w:themeTint="BF"/>
                    </w:rPr>
                  </m:ctrlPr>
                </m:sSubPr>
                <m:e>
                  <m:r>
                    <w:rPr>
                      <w:rFonts w:ascii="Cambria Math" w:hAnsi="Cambria Math"/>
                      <w:color w:val="404040" w:themeColor="text1" w:themeTint="BF"/>
                    </w:rPr>
                    <m:t>μ</m:t>
                  </m:r>
                </m:e>
                <m:sub>
                  <m:r>
                    <w:rPr>
                      <w:rFonts w:ascii="Cambria Math" w:hAnsi="Cambria Math"/>
                      <w:color w:val="404040" w:themeColor="text1" w:themeTint="BF"/>
                    </w:rPr>
                    <m:t>s</m:t>
                  </m:r>
                </m:sub>
              </m:sSub>
            </m:oMath>
          </w:p>
        </w:tc>
        <w:tc>
          <w:tcPr>
            <w:tcW w:w="1052" w:type="dxa"/>
          </w:tcPr>
          <w:p w14:paraId="2134860B" w14:textId="77777777" w:rsidR="00DB7BD6" w:rsidRPr="003A69B5" w:rsidRDefault="00DB7BD6" w:rsidP="00DB7BD6">
            <w:pPr>
              <w:jc w:val="center"/>
              <w:rPr>
                <w:color w:val="404040" w:themeColor="text1" w:themeTint="BF"/>
              </w:rPr>
            </w:pPr>
            <m:oMathPara>
              <m:oMath>
                <m:sSub>
                  <m:sSubPr>
                    <m:ctrlPr>
                      <w:rPr>
                        <w:rFonts w:ascii="Cambria Math" w:hAnsi="Cambria Math"/>
                        <w:i/>
                        <w:color w:val="404040" w:themeColor="text1" w:themeTint="BF"/>
                      </w:rPr>
                    </m:ctrlPr>
                  </m:sSubPr>
                  <m:e>
                    <m:r>
                      <w:rPr>
                        <w:rFonts w:ascii="Cambria Math" w:hAnsi="Cambria Math"/>
                        <w:color w:val="404040" w:themeColor="text1" w:themeTint="BF"/>
                      </w:rPr>
                      <m:t>Re</m:t>
                    </m:r>
                  </m:e>
                  <m:sub>
                    <m:r>
                      <w:rPr>
                        <w:rFonts w:ascii="Cambria Math" w:hAnsi="Cambria Math"/>
                        <w:color w:val="404040" w:themeColor="text1" w:themeTint="BF"/>
                      </w:rPr>
                      <m:t>s</m:t>
                    </m:r>
                  </m:sub>
                </m:sSub>
              </m:oMath>
            </m:oMathPara>
          </w:p>
        </w:tc>
        <w:tc>
          <w:tcPr>
            <w:tcW w:w="3205" w:type="dxa"/>
          </w:tcPr>
          <w:p w14:paraId="7707067F" w14:textId="77777777" w:rsidR="00DB7BD6" w:rsidRDefault="00DB7BD6" w:rsidP="00DB7BD6">
            <w:pPr>
              <w:jc w:val="center"/>
            </w:pPr>
          </w:p>
        </w:tc>
      </w:tr>
      <w:tr w:rsidR="00DB7BD6" w14:paraId="1605286D" w14:textId="77777777" w:rsidTr="00DB7BD6">
        <w:trPr>
          <w:jc w:val="center"/>
        </w:trPr>
        <w:tc>
          <w:tcPr>
            <w:tcW w:w="1126" w:type="dxa"/>
          </w:tcPr>
          <w:p w14:paraId="51915F60" w14:textId="77777777" w:rsidR="00DB7BD6" w:rsidRPr="003A69B5" w:rsidRDefault="00DB7BD6" w:rsidP="00DB7BD6">
            <w:pPr>
              <w:jc w:val="center"/>
              <w:rPr>
                <w:color w:val="404040" w:themeColor="text1" w:themeTint="BF"/>
              </w:rPr>
            </w:pPr>
            <w:r w:rsidRPr="003A69B5">
              <w:rPr>
                <w:color w:val="404040" w:themeColor="text1" w:themeTint="BF"/>
              </w:rPr>
              <w:t>13.25</w:t>
            </w:r>
          </w:p>
        </w:tc>
        <w:tc>
          <w:tcPr>
            <w:tcW w:w="2516" w:type="dxa"/>
          </w:tcPr>
          <w:p w14:paraId="5104B633" w14:textId="77777777" w:rsidR="00DB7BD6" w:rsidRPr="003A69B5" w:rsidRDefault="00DB7BD6" w:rsidP="00DB7BD6">
            <w:pPr>
              <w:jc w:val="center"/>
              <w:rPr>
                <w:color w:val="404040" w:themeColor="text1" w:themeTint="BF"/>
              </w:rPr>
            </w:pPr>
            <m:oMathPara>
              <m:oMath>
                <m:sSub>
                  <m:sSubPr>
                    <m:ctrlPr>
                      <w:rPr>
                        <w:rFonts w:ascii="Cambria Math" w:hAnsi="Cambria Math"/>
                        <w:i/>
                        <w:color w:val="404040" w:themeColor="text1" w:themeTint="BF"/>
                      </w:rPr>
                    </m:ctrlPr>
                  </m:sSubPr>
                  <m:e>
                    <m:r>
                      <w:rPr>
                        <w:rFonts w:ascii="Cambria Math" w:hAnsi="Cambria Math"/>
                        <w:color w:val="404040" w:themeColor="text1" w:themeTint="BF"/>
                      </w:rPr>
                      <m:t>c</m:t>
                    </m:r>
                  </m:e>
                  <m:sub>
                    <m:r>
                      <w:rPr>
                        <w:rFonts w:ascii="Cambria Math" w:hAnsi="Cambria Math"/>
                        <w:color w:val="404040" w:themeColor="text1" w:themeTint="BF"/>
                      </w:rPr>
                      <m:t>p,s</m:t>
                    </m:r>
                  </m:sub>
                </m:sSub>
                <m:r>
                  <w:rPr>
                    <w:rFonts w:ascii="Cambria Math" w:hAnsi="Cambria Math"/>
                    <w:color w:val="404040" w:themeColor="text1" w:themeTint="BF"/>
                  </w:rPr>
                  <m:t>,</m:t>
                </m:r>
                <m:sSub>
                  <m:sSubPr>
                    <m:ctrlPr>
                      <w:rPr>
                        <w:rFonts w:ascii="Cambria Math" w:hAnsi="Cambria Math"/>
                        <w:i/>
                        <w:color w:val="404040" w:themeColor="text1" w:themeTint="BF"/>
                      </w:rPr>
                    </m:ctrlPr>
                  </m:sSubPr>
                  <m:e>
                    <m:r>
                      <w:rPr>
                        <w:rFonts w:ascii="Cambria Math" w:hAnsi="Cambria Math"/>
                        <w:color w:val="404040" w:themeColor="text1" w:themeTint="BF"/>
                      </w:rPr>
                      <m:t>μ</m:t>
                    </m:r>
                  </m:e>
                  <m:sub>
                    <m:r>
                      <w:rPr>
                        <w:rFonts w:ascii="Cambria Math" w:hAnsi="Cambria Math"/>
                        <w:color w:val="404040" w:themeColor="text1" w:themeTint="BF"/>
                      </w:rPr>
                      <m:t>s</m:t>
                    </m:r>
                  </m:sub>
                </m:sSub>
                <m:r>
                  <w:rPr>
                    <w:rFonts w:ascii="Cambria Math" w:hAnsi="Cambria Math"/>
                    <w:color w:val="404040" w:themeColor="text1" w:themeTint="BF"/>
                  </w:rPr>
                  <m:t>,</m:t>
                </m:r>
                <m:sSub>
                  <m:sSubPr>
                    <m:ctrlPr>
                      <w:rPr>
                        <w:rFonts w:ascii="Cambria Math" w:hAnsi="Cambria Math"/>
                        <w:i/>
                        <w:color w:val="404040" w:themeColor="text1" w:themeTint="BF"/>
                      </w:rPr>
                    </m:ctrlPr>
                  </m:sSubPr>
                  <m:e>
                    <m:r>
                      <w:rPr>
                        <w:rFonts w:ascii="Cambria Math" w:hAnsi="Cambria Math"/>
                        <w:color w:val="404040" w:themeColor="text1" w:themeTint="BF"/>
                      </w:rPr>
                      <m:t>k</m:t>
                    </m:r>
                  </m:e>
                  <m:sub>
                    <m:r>
                      <w:rPr>
                        <w:rFonts w:ascii="Cambria Math" w:hAnsi="Cambria Math"/>
                        <w:color w:val="404040" w:themeColor="text1" w:themeTint="BF"/>
                      </w:rPr>
                      <m:t>f,s</m:t>
                    </m:r>
                  </m:sub>
                </m:sSub>
              </m:oMath>
            </m:oMathPara>
          </w:p>
        </w:tc>
        <w:tc>
          <w:tcPr>
            <w:tcW w:w="1052" w:type="dxa"/>
          </w:tcPr>
          <w:p w14:paraId="3CCE9194" w14:textId="77777777" w:rsidR="00DB7BD6" w:rsidRPr="003A69B5" w:rsidRDefault="00DB7BD6" w:rsidP="00DB7BD6">
            <w:pPr>
              <w:jc w:val="center"/>
              <w:rPr>
                <w:color w:val="404040" w:themeColor="text1" w:themeTint="BF"/>
              </w:rPr>
            </w:pPr>
            <m:oMathPara>
              <m:oMath>
                <m:sSub>
                  <m:sSubPr>
                    <m:ctrlPr>
                      <w:rPr>
                        <w:rFonts w:ascii="Cambria Math" w:hAnsi="Cambria Math"/>
                        <w:i/>
                        <w:color w:val="404040" w:themeColor="text1" w:themeTint="BF"/>
                      </w:rPr>
                    </m:ctrlPr>
                  </m:sSubPr>
                  <m:e>
                    <m:r>
                      <w:rPr>
                        <w:rFonts w:ascii="Cambria Math" w:hAnsi="Cambria Math"/>
                        <w:color w:val="404040" w:themeColor="text1" w:themeTint="BF"/>
                      </w:rPr>
                      <m:t>Pr</m:t>
                    </m:r>
                  </m:e>
                  <m:sub>
                    <m:r>
                      <w:rPr>
                        <w:rFonts w:ascii="Cambria Math" w:hAnsi="Cambria Math"/>
                        <w:color w:val="404040" w:themeColor="text1" w:themeTint="BF"/>
                      </w:rPr>
                      <m:t>s</m:t>
                    </m:r>
                  </m:sub>
                </m:sSub>
              </m:oMath>
            </m:oMathPara>
          </w:p>
        </w:tc>
        <w:tc>
          <w:tcPr>
            <w:tcW w:w="3205" w:type="dxa"/>
          </w:tcPr>
          <w:p w14:paraId="5BB3A671" w14:textId="77777777" w:rsidR="00DB7BD6" w:rsidRDefault="00DB7BD6" w:rsidP="00DB7BD6">
            <w:pPr>
              <w:jc w:val="center"/>
            </w:pPr>
          </w:p>
        </w:tc>
      </w:tr>
      <w:tr w:rsidR="00DB7BD6" w14:paraId="1D52BE31" w14:textId="77777777" w:rsidTr="00DB7BD6">
        <w:trPr>
          <w:jc w:val="center"/>
        </w:trPr>
        <w:tc>
          <w:tcPr>
            <w:tcW w:w="1126" w:type="dxa"/>
          </w:tcPr>
          <w:p w14:paraId="5EEC9C3C" w14:textId="77777777" w:rsidR="00DB7BD6" w:rsidRPr="003A69B5" w:rsidRDefault="00DB7BD6" w:rsidP="00DB7BD6">
            <w:pPr>
              <w:jc w:val="center"/>
              <w:rPr>
                <w:color w:val="404040" w:themeColor="text1" w:themeTint="BF"/>
              </w:rPr>
            </w:pPr>
            <w:r w:rsidRPr="003A69B5">
              <w:rPr>
                <w:color w:val="404040" w:themeColor="text1" w:themeTint="BF"/>
              </w:rPr>
              <w:t>13.26</w:t>
            </w:r>
          </w:p>
        </w:tc>
        <w:tc>
          <w:tcPr>
            <w:tcW w:w="2516" w:type="dxa"/>
          </w:tcPr>
          <w:p w14:paraId="3632A44E" w14:textId="77777777" w:rsidR="00DB7BD6" w:rsidRPr="003A69B5" w:rsidRDefault="00DB7BD6" w:rsidP="00DB7BD6">
            <w:pPr>
              <w:jc w:val="center"/>
              <w:rPr>
                <w:color w:val="404040" w:themeColor="text1" w:themeTint="BF"/>
              </w:rPr>
            </w:pPr>
            <m:oMathPara>
              <m:oMath>
                <m:sSub>
                  <m:sSubPr>
                    <m:ctrlPr>
                      <w:rPr>
                        <w:rFonts w:ascii="Cambria Math" w:hAnsi="Cambria Math"/>
                        <w:b/>
                        <w:i/>
                        <w:color w:val="404040" w:themeColor="text1" w:themeTint="BF"/>
                      </w:rPr>
                    </m:ctrlPr>
                  </m:sSubPr>
                  <m:e>
                    <m:r>
                      <m:rPr>
                        <m:sty m:val="bi"/>
                      </m:rPr>
                      <w:rPr>
                        <w:rFonts w:ascii="Cambria Math" w:hAnsi="Cambria Math"/>
                        <w:color w:val="404040" w:themeColor="text1" w:themeTint="BF"/>
                      </w:rPr>
                      <m:t>D</m:t>
                    </m:r>
                  </m:e>
                  <m:sub>
                    <m:r>
                      <m:rPr>
                        <m:sty m:val="bi"/>
                      </m:rPr>
                      <w:rPr>
                        <w:rFonts w:ascii="Cambria Math" w:hAnsi="Cambria Math"/>
                        <w:color w:val="404040" w:themeColor="text1" w:themeTint="BF"/>
                      </w:rPr>
                      <m:t>e</m:t>
                    </m:r>
                  </m:sub>
                </m:sSub>
                <m:r>
                  <w:rPr>
                    <w:rFonts w:ascii="Cambria Math" w:hAnsi="Cambria Math"/>
                    <w:color w:val="404040" w:themeColor="text1" w:themeTint="BF"/>
                  </w:rPr>
                  <m:t>,</m:t>
                </m:r>
                <m:sSub>
                  <m:sSubPr>
                    <m:ctrlPr>
                      <w:rPr>
                        <w:rFonts w:ascii="Cambria Math" w:hAnsi="Cambria Math"/>
                        <w:i/>
                        <w:color w:val="404040" w:themeColor="text1" w:themeTint="BF"/>
                      </w:rPr>
                    </m:ctrlPr>
                  </m:sSubPr>
                  <m:e>
                    <m:r>
                      <w:rPr>
                        <w:rFonts w:ascii="Cambria Math" w:hAnsi="Cambria Math"/>
                        <w:color w:val="404040" w:themeColor="text1" w:themeTint="BF"/>
                      </w:rPr>
                      <m:t>h</m:t>
                    </m:r>
                  </m:e>
                  <m:sub>
                    <m:r>
                      <w:rPr>
                        <w:rFonts w:ascii="Cambria Math" w:hAnsi="Cambria Math"/>
                        <w:color w:val="404040" w:themeColor="text1" w:themeTint="BF"/>
                      </w:rPr>
                      <m:t>s</m:t>
                    </m:r>
                  </m:sub>
                </m:sSub>
                <m:r>
                  <w:rPr>
                    <w:rFonts w:ascii="Cambria Math" w:hAnsi="Cambria Math"/>
                    <w:color w:val="404040" w:themeColor="text1" w:themeTint="BF"/>
                  </w:rPr>
                  <m:t xml:space="preserve">, </m:t>
                </m:r>
                <m:sSub>
                  <m:sSubPr>
                    <m:ctrlPr>
                      <w:rPr>
                        <w:rFonts w:ascii="Cambria Math" w:hAnsi="Cambria Math"/>
                        <w:i/>
                        <w:color w:val="404040" w:themeColor="text1" w:themeTint="BF"/>
                      </w:rPr>
                    </m:ctrlPr>
                  </m:sSubPr>
                  <m:e>
                    <m:r>
                      <w:rPr>
                        <w:rFonts w:ascii="Cambria Math" w:hAnsi="Cambria Math"/>
                        <w:color w:val="404040" w:themeColor="text1" w:themeTint="BF"/>
                      </w:rPr>
                      <m:t>k</m:t>
                    </m:r>
                  </m:e>
                  <m:sub>
                    <m:r>
                      <w:rPr>
                        <w:rFonts w:ascii="Cambria Math" w:hAnsi="Cambria Math"/>
                        <w:color w:val="404040" w:themeColor="text1" w:themeTint="BF"/>
                      </w:rPr>
                      <m:t>f,s</m:t>
                    </m:r>
                  </m:sub>
                </m:sSub>
              </m:oMath>
            </m:oMathPara>
          </w:p>
        </w:tc>
        <w:tc>
          <w:tcPr>
            <w:tcW w:w="1052" w:type="dxa"/>
          </w:tcPr>
          <w:p w14:paraId="4FD61D80" w14:textId="77777777" w:rsidR="00DB7BD6" w:rsidRPr="003A69B5" w:rsidRDefault="00DB7BD6" w:rsidP="00DB7BD6">
            <w:pPr>
              <w:jc w:val="center"/>
              <w:rPr>
                <w:color w:val="404040" w:themeColor="text1" w:themeTint="BF"/>
              </w:rPr>
            </w:pPr>
            <m:oMathPara>
              <m:oMath>
                <m:sSub>
                  <m:sSubPr>
                    <m:ctrlPr>
                      <w:rPr>
                        <w:rFonts w:ascii="Cambria Math" w:hAnsi="Cambria Math"/>
                        <w:i/>
                        <w:color w:val="404040" w:themeColor="text1" w:themeTint="BF"/>
                      </w:rPr>
                    </m:ctrlPr>
                  </m:sSubPr>
                  <m:e>
                    <m:r>
                      <w:rPr>
                        <w:rFonts w:ascii="Cambria Math" w:hAnsi="Cambria Math"/>
                        <w:color w:val="404040" w:themeColor="text1" w:themeTint="BF"/>
                      </w:rPr>
                      <m:t>Nu</m:t>
                    </m:r>
                  </m:e>
                  <m:sub>
                    <m:r>
                      <w:rPr>
                        <w:rFonts w:ascii="Cambria Math" w:hAnsi="Cambria Math"/>
                        <w:color w:val="404040" w:themeColor="text1" w:themeTint="BF"/>
                      </w:rPr>
                      <m:t>s</m:t>
                    </m:r>
                  </m:sub>
                </m:sSub>
              </m:oMath>
            </m:oMathPara>
          </w:p>
        </w:tc>
        <w:tc>
          <w:tcPr>
            <w:tcW w:w="3205" w:type="dxa"/>
          </w:tcPr>
          <w:p w14:paraId="6436972E" w14:textId="77777777" w:rsidR="00DB7BD6" w:rsidRDefault="00DB7BD6" w:rsidP="00DB7BD6">
            <w:pPr>
              <w:jc w:val="center"/>
            </w:pPr>
          </w:p>
        </w:tc>
      </w:tr>
      <w:tr w:rsidR="00DB7BD6" w14:paraId="21C375CB" w14:textId="77777777" w:rsidTr="00DB7BD6">
        <w:trPr>
          <w:jc w:val="center"/>
        </w:trPr>
        <w:tc>
          <w:tcPr>
            <w:tcW w:w="1126" w:type="dxa"/>
          </w:tcPr>
          <w:p w14:paraId="0A5728A8" w14:textId="77777777" w:rsidR="00DB7BD6" w:rsidRPr="003A69B5" w:rsidRDefault="00DB7BD6" w:rsidP="00DB7BD6">
            <w:pPr>
              <w:jc w:val="center"/>
              <w:rPr>
                <w:color w:val="404040" w:themeColor="text1" w:themeTint="BF"/>
              </w:rPr>
            </w:pPr>
            <w:r w:rsidRPr="003A69B5">
              <w:rPr>
                <w:color w:val="404040" w:themeColor="text1" w:themeTint="BF"/>
              </w:rPr>
              <w:t>13.27</w:t>
            </w:r>
          </w:p>
        </w:tc>
        <w:tc>
          <w:tcPr>
            <w:tcW w:w="2516" w:type="dxa"/>
          </w:tcPr>
          <w:p w14:paraId="4CBF7A1D" w14:textId="77777777" w:rsidR="00DB7BD6" w:rsidRPr="003A69B5" w:rsidRDefault="00DB7BD6" w:rsidP="00DB7BD6">
            <w:pPr>
              <w:jc w:val="center"/>
              <w:rPr>
                <w:color w:val="404040" w:themeColor="text1" w:themeTint="BF"/>
              </w:rPr>
            </w:pPr>
            <m:oMath>
              <m:sSub>
                <m:sSubPr>
                  <m:ctrlPr>
                    <w:rPr>
                      <w:rFonts w:ascii="Cambria Math" w:hAnsi="Cambria Math"/>
                      <w:i/>
                      <w:color w:val="404040" w:themeColor="text1" w:themeTint="BF"/>
                    </w:rPr>
                  </m:ctrlPr>
                </m:sSubPr>
                <m:e>
                  <m:r>
                    <w:rPr>
                      <w:rFonts w:ascii="Cambria Math" w:hAnsi="Cambria Math"/>
                      <w:color w:val="404040" w:themeColor="text1" w:themeTint="BF"/>
                    </w:rPr>
                    <m:t>h</m:t>
                  </m:r>
                </m:e>
                <m:sub>
                  <m:r>
                    <w:rPr>
                      <w:rFonts w:ascii="Cambria Math" w:hAnsi="Cambria Math"/>
                      <w:color w:val="404040" w:themeColor="text1" w:themeTint="BF"/>
                    </w:rPr>
                    <m:t>s</m:t>
                  </m:r>
                </m:sub>
              </m:sSub>
            </m:oMath>
            <w:r w:rsidRPr="003A69B5">
              <w:rPr>
                <w:color w:val="404040" w:themeColor="text1" w:themeTint="BF"/>
              </w:rPr>
              <w:t>,</w:t>
            </w:r>
            <m:oMath>
              <m:r>
                <w:rPr>
                  <w:rFonts w:ascii="Cambria Math" w:hAnsi="Cambria Math"/>
                  <w:color w:val="404040" w:themeColor="text1" w:themeTint="BF"/>
                </w:rPr>
                <m:t xml:space="preserve"> </m:t>
              </m:r>
              <m:sSub>
                <m:sSubPr>
                  <m:ctrlPr>
                    <w:rPr>
                      <w:rFonts w:ascii="Cambria Math" w:hAnsi="Cambria Math"/>
                      <w:i/>
                      <w:color w:val="404040" w:themeColor="text1" w:themeTint="BF"/>
                    </w:rPr>
                  </m:ctrlPr>
                </m:sSubPr>
                <m:e>
                  <m:r>
                    <w:rPr>
                      <w:rFonts w:ascii="Cambria Math" w:hAnsi="Cambria Math"/>
                      <w:color w:val="404040" w:themeColor="text1" w:themeTint="BF"/>
                    </w:rPr>
                    <m:t>h</m:t>
                  </m:r>
                </m:e>
                <m:sub>
                  <m:r>
                    <w:rPr>
                      <w:rFonts w:ascii="Cambria Math" w:hAnsi="Cambria Math"/>
                      <w:color w:val="404040" w:themeColor="text1" w:themeTint="BF"/>
                    </w:rPr>
                    <m:t>od</m:t>
                  </m:r>
                </m:sub>
              </m:sSub>
              <m:r>
                <w:rPr>
                  <w:rFonts w:ascii="Cambria Math" w:hAnsi="Cambria Math"/>
                  <w:color w:val="404040" w:themeColor="text1" w:themeTint="BF"/>
                </w:rPr>
                <m:t>,</m:t>
              </m:r>
              <m:sSub>
                <m:sSubPr>
                  <m:ctrlPr>
                    <w:rPr>
                      <w:rFonts w:ascii="Cambria Math" w:hAnsi="Cambria Math"/>
                      <w:i/>
                      <w:color w:val="404040" w:themeColor="text1" w:themeTint="BF"/>
                    </w:rPr>
                  </m:ctrlPr>
                </m:sSubPr>
                <m:e>
                  <m:sSub>
                    <m:sSubPr>
                      <m:ctrlPr>
                        <w:rPr>
                          <w:rFonts w:ascii="Cambria Math" w:hAnsi="Cambria Math"/>
                          <w:i/>
                          <w:color w:val="404040" w:themeColor="text1" w:themeTint="BF"/>
                        </w:rPr>
                      </m:ctrlPr>
                    </m:sSubPr>
                    <m:e>
                      <m:r>
                        <w:rPr>
                          <w:rFonts w:ascii="Cambria Math" w:hAnsi="Cambria Math"/>
                          <w:color w:val="404040" w:themeColor="text1" w:themeTint="BF"/>
                        </w:rPr>
                        <m:t>D</m:t>
                      </m:r>
                    </m:e>
                    <m:sub>
                      <m:r>
                        <w:rPr>
                          <w:rFonts w:ascii="Cambria Math" w:hAnsi="Cambria Math"/>
                          <w:color w:val="404040" w:themeColor="text1" w:themeTint="BF"/>
                        </w:rPr>
                        <m:t>o</m:t>
                      </m:r>
                    </m:sub>
                  </m:sSub>
                  <m:r>
                    <w:rPr>
                      <w:rFonts w:ascii="Cambria Math" w:hAnsi="Cambria Math"/>
                      <w:color w:val="404040" w:themeColor="text1" w:themeTint="BF"/>
                    </w:rPr>
                    <m:t>,</m:t>
                  </m:r>
                  <m:sSub>
                    <m:sSubPr>
                      <m:ctrlPr>
                        <w:rPr>
                          <w:rFonts w:ascii="Cambria Math" w:hAnsi="Cambria Math"/>
                          <w:i/>
                          <w:color w:val="404040" w:themeColor="text1" w:themeTint="BF"/>
                        </w:rPr>
                      </m:ctrlPr>
                    </m:sSubPr>
                    <m:e>
                      <m:r>
                        <w:rPr>
                          <w:rFonts w:ascii="Cambria Math" w:hAnsi="Cambria Math"/>
                          <w:color w:val="404040" w:themeColor="text1" w:themeTint="BF"/>
                        </w:rPr>
                        <m:t>D</m:t>
                      </m:r>
                    </m:e>
                    <m:sub>
                      <m:r>
                        <w:rPr>
                          <w:rFonts w:ascii="Cambria Math" w:hAnsi="Cambria Math"/>
                          <w:color w:val="404040" w:themeColor="text1" w:themeTint="BF"/>
                        </w:rPr>
                        <m:t>i</m:t>
                      </m:r>
                    </m:sub>
                  </m:sSub>
                  <m:r>
                    <w:rPr>
                      <w:rFonts w:ascii="Cambria Math" w:hAnsi="Cambria Math"/>
                      <w:color w:val="404040" w:themeColor="text1" w:themeTint="BF"/>
                    </w:rPr>
                    <m:t>,</m:t>
                  </m:r>
                  <m:sSub>
                    <m:sSubPr>
                      <m:ctrlPr>
                        <w:rPr>
                          <w:rFonts w:ascii="Cambria Math" w:hAnsi="Cambria Math"/>
                          <w:i/>
                          <w:color w:val="404040" w:themeColor="text1" w:themeTint="BF"/>
                        </w:rPr>
                      </m:ctrlPr>
                    </m:sSubPr>
                    <m:e>
                      <m:r>
                        <w:rPr>
                          <w:rFonts w:ascii="Cambria Math" w:hAnsi="Cambria Math"/>
                          <w:color w:val="404040" w:themeColor="text1" w:themeTint="BF"/>
                        </w:rPr>
                        <m:t>k</m:t>
                      </m:r>
                    </m:e>
                    <m:sub>
                      <m:r>
                        <w:rPr>
                          <w:rFonts w:ascii="Cambria Math" w:hAnsi="Cambria Math"/>
                          <w:color w:val="404040" w:themeColor="text1" w:themeTint="BF"/>
                        </w:rPr>
                        <m:t>w</m:t>
                      </m:r>
                    </m:sub>
                  </m:sSub>
                  <m:r>
                    <w:rPr>
                      <w:rFonts w:ascii="Cambria Math" w:hAnsi="Cambria Math"/>
                      <w:color w:val="404040" w:themeColor="text1" w:themeTint="BF"/>
                    </w:rPr>
                    <m:t>,h</m:t>
                  </m:r>
                </m:e>
                <m:sub>
                  <m:r>
                    <w:rPr>
                      <w:rFonts w:ascii="Cambria Math" w:hAnsi="Cambria Math"/>
                      <w:color w:val="404040" w:themeColor="text1" w:themeTint="BF"/>
                    </w:rPr>
                    <m:t>id</m:t>
                  </m:r>
                </m:sub>
              </m:sSub>
              <m:r>
                <w:rPr>
                  <w:rFonts w:ascii="Cambria Math" w:hAnsi="Cambria Math"/>
                  <w:color w:val="404040" w:themeColor="text1" w:themeTint="BF"/>
                </w:rPr>
                <m:t>,</m:t>
              </m:r>
              <m:sSub>
                <m:sSubPr>
                  <m:ctrlPr>
                    <w:rPr>
                      <w:rFonts w:ascii="Cambria Math" w:hAnsi="Cambria Math"/>
                      <w:i/>
                      <w:color w:val="404040" w:themeColor="text1" w:themeTint="BF"/>
                    </w:rPr>
                  </m:ctrlPr>
                </m:sSubPr>
                <m:e>
                  <m:r>
                    <w:rPr>
                      <w:rFonts w:ascii="Cambria Math" w:hAnsi="Cambria Math"/>
                      <w:color w:val="404040" w:themeColor="text1" w:themeTint="BF"/>
                    </w:rPr>
                    <m:t>h</m:t>
                  </m:r>
                </m:e>
                <m:sub>
                  <m:r>
                    <w:rPr>
                      <w:rFonts w:ascii="Cambria Math" w:hAnsi="Cambria Math"/>
                      <w:color w:val="404040" w:themeColor="text1" w:themeTint="BF"/>
                    </w:rPr>
                    <m:t>i</m:t>
                  </m:r>
                </m:sub>
              </m:sSub>
            </m:oMath>
          </w:p>
        </w:tc>
        <w:tc>
          <w:tcPr>
            <w:tcW w:w="1052" w:type="dxa"/>
          </w:tcPr>
          <w:p w14:paraId="68BC9681" w14:textId="77777777" w:rsidR="00DB7BD6" w:rsidRPr="003A69B5" w:rsidRDefault="00DB7BD6" w:rsidP="00DB7BD6">
            <w:pPr>
              <w:jc w:val="center"/>
              <w:rPr>
                <w:color w:val="404040" w:themeColor="text1" w:themeTint="BF"/>
              </w:rPr>
            </w:pPr>
            <w:r w:rsidRPr="003A69B5">
              <w:rPr>
                <w:color w:val="404040" w:themeColor="text1" w:themeTint="BF"/>
              </w:rPr>
              <w:t>U</w:t>
            </w:r>
          </w:p>
        </w:tc>
        <w:tc>
          <w:tcPr>
            <w:tcW w:w="3205" w:type="dxa"/>
          </w:tcPr>
          <w:p w14:paraId="25E6C940" w14:textId="77777777" w:rsidR="00DB7BD6" w:rsidRDefault="00DB7BD6" w:rsidP="00DB7BD6">
            <w:pPr>
              <w:jc w:val="center"/>
            </w:pPr>
          </w:p>
        </w:tc>
      </w:tr>
      <w:tr w:rsidR="00DB7BD6" w14:paraId="231220AD" w14:textId="77777777" w:rsidTr="00DB7BD6">
        <w:trPr>
          <w:jc w:val="center"/>
        </w:trPr>
        <w:tc>
          <w:tcPr>
            <w:tcW w:w="1126" w:type="dxa"/>
          </w:tcPr>
          <w:p w14:paraId="628AA28B" w14:textId="77777777" w:rsidR="00DB7BD6" w:rsidRPr="003A69B5" w:rsidRDefault="00DB7BD6" w:rsidP="00DB7BD6">
            <w:pPr>
              <w:jc w:val="center"/>
              <w:rPr>
                <w:color w:val="404040" w:themeColor="text1" w:themeTint="BF"/>
              </w:rPr>
            </w:pPr>
            <w:r w:rsidRPr="003A69B5">
              <w:rPr>
                <w:color w:val="404040" w:themeColor="text1" w:themeTint="BF"/>
              </w:rPr>
              <w:t>13.28</w:t>
            </w:r>
          </w:p>
        </w:tc>
        <w:tc>
          <w:tcPr>
            <w:tcW w:w="2516" w:type="dxa"/>
          </w:tcPr>
          <w:p w14:paraId="7B8A985E" w14:textId="77777777" w:rsidR="00DB7BD6" w:rsidRPr="003A69B5" w:rsidRDefault="00DB7BD6" w:rsidP="00DB7BD6">
            <w:pPr>
              <w:jc w:val="center"/>
              <w:rPr>
                <w:b/>
                <w:color w:val="404040" w:themeColor="text1" w:themeTint="BF"/>
              </w:rPr>
            </w:pPr>
            <m:oMathPara>
              <m:oMath>
                <m:sSub>
                  <m:sSubPr>
                    <m:ctrlPr>
                      <w:rPr>
                        <w:rFonts w:ascii="Cambria Math" w:hAnsi="Cambria Math"/>
                        <w:b/>
                        <w:i/>
                        <w:color w:val="404040" w:themeColor="text1" w:themeTint="BF"/>
                      </w:rPr>
                    </m:ctrlPr>
                  </m:sSubPr>
                  <m:e>
                    <m:r>
                      <m:rPr>
                        <m:sty m:val="bi"/>
                      </m:rPr>
                      <w:rPr>
                        <w:rFonts w:ascii="Cambria Math" w:hAnsi="Cambria Math"/>
                        <w:color w:val="404040" w:themeColor="text1" w:themeTint="BF"/>
                      </w:rPr>
                      <m:t>v</m:t>
                    </m:r>
                  </m:e>
                  <m:sub>
                    <m:r>
                      <m:rPr>
                        <m:sty m:val="bi"/>
                      </m:rPr>
                      <w:rPr>
                        <w:rFonts w:ascii="Cambria Math" w:hAnsi="Cambria Math"/>
                        <w:color w:val="404040" w:themeColor="text1" w:themeTint="BF"/>
                      </w:rPr>
                      <m:t>tu</m:t>
                    </m:r>
                  </m:sub>
                </m:sSub>
                <m:r>
                  <w:rPr>
                    <w:rFonts w:ascii="Cambria Math" w:hAnsi="Cambria Math"/>
                    <w:color w:val="404040" w:themeColor="text1" w:themeTint="BF"/>
                  </w:rPr>
                  <m:t>,</m:t>
                </m:r>
                <m:sSub>
                  <m:sSubPr>
                    <m:ctrlPr>
                      <w:rPr>
                        <w:rFonts w:ascii="Cambria Math" w:hAnsi="Cambria Math"/>
                        <w:i/>
                        <w:color w:val="404040" w:themeColor="text1" w:themeTint="BF"/>
                      </w:rPr>
                    </m:ctrlPr>
                  </m:sSubPr>
                  <m:e>
                    <m:r>
                      <w:rPr>
                        <w:rFonts w:ascii="Cambria Math" w:hAnsi="Cambria Math"/>
                        <w:color w:val="404040" w:themeColor="text1" w:themeTint="BF"/>
                      </w:rPr>
                      <m:t>N</m:t>
                    </m:r>
                  </m:e>
                  <m:sub>
                    <m:r>
                      <w:rPr>
                        <w:rFonts w:ascii="Cambria Math" w:hAnsi="Cambria Math"/>
                        <w:color w:val="404040" w:themeColor="text1" w:themeTint="BF"/>
                      </w:rPr>
                      <m:t>pass</m:t>
                    </m:r>
                  </m:sub>
                </m:sSub>
                <m:r>
                  <w:rPr>
                    <w:rFonts w:ascii="Cambria Math" w:hAnsi="Cambria Math"/>
                    <w:color w:val="404040" w:themeColor="text1" w:themeTint="BF"/>
                  </w:rPr>
                  <m:t>,</m:t>
                </m:r>
                <m:sSub>
                  <m:sSubPr>
                    <m:ctrlPr>
                      <w:rPr>
                        <w:rFonts w:ascii="Cambria Math" w:hAnsi="Cambria Math"/>
                        <w:i/>
                        <w:color w:val="404040" w:themeColor="text1" w:themeTint="BF"/>
                      </w:rPr>
                    </m:ctrlPr>
                  </m:sSubPr>
                  <m:e>
                    <m:r>
                      <w:rPr>
                        <w:rFonts w:ascii="Cambria Math" w:hAnsi="Cambria Math"/>
                        <w:color w:val="404040" w:themeColor="text1" w:themeTint="BF"/>
                      </w:rPr>
                      <m:t>j</m:t>
                    </m:r>
                  </m:e>
                  <m:sub>
                    <m:r>
                      <w:rPr>
                        <w:rFonts w:ascii="Cambria Math" w:hAnsi="Cambria Math"/>
                        <w:color w:val="404040" w:themeColor="text1" w:themeTint="BF"/>
                      </w:rPr>
                      <m:t>tu</m:t>
                    </m:r>
                  </m:sub>
                </m:sSub>
                <m:r>
                  <w:rPr>
                    <w:rFonts w:ascii="Cambria Math" w:hAnsi="Cambria Math"/>
                    <w:color w:val="404040" w:themeColor="text1" w:themeTint="BF"/>
                  </w:rPr>
                  <m:t>,L,</m:t>
                </m:r>
                <m:sSub>
                  <m:sSubPr>
                    <m:ctrlPr>
                      <w:rPr>
                        <w:rFonts w:ascii="Cambria Math" w:hAnsi="Cambria Math"/>
                        <w:i/>
                        <w:color w:val="404040" w:themeColor="text1" w:themeTint="BF"/>
                      </w:rPr>
                    </m:ctrlPr>
                  </m:sSubPr>
                  <m:e>
                    <m:r>
                      <w:rPr>
                        <w:rFonts w:ascii="Cambria Math" w:hAnsi="Cambria Math"/>
                        <w:color w:val="404040" w:themeColor="text1" w:themeTint="BF"/>
                      </w:rPr>
                      <m:t>D</m:t>
                    </m:r>
                  </m:e>
                  <m:sub>
                    <m:r>
                      <w:rPr>
                        <w:rFonts w:ascii="Cambria Math" w:hAnsi="Cambria Math"/>
                        <w:color w:val="404040" w:themeColor="text1" w:themeTint="BF"/>
                      </w:rPr>
                      <m:t>i,</m:t>
                    </m:r>
                  </m:sub>
                </m:sSub>
                <m:sSub>
                  <m:sSubPr>
                    <m:ctrlPr>
                      <w:rPr>
                        <w:rFonts w:ascii="Cambria Math" w:hAnsi="Cambria Math"/>
                        <w:i/>
                        <w:color w:val="404040" w:themeColor="text1" w:themeTint="BF"/>
                      </w:rPr>
                    </m:ctrlPr>
                  </m:sSubPr>
                  <m:e>
                    <m:r>
                      <w:rPr>
                        <w:rFonts w:ascii="Cambria Math" w:hAnsi="Cambria Math"/>
                        <w:color w:val="404040" w:themeColor="text1" w:themeTint="BF"/>
                      </w:rPr>
                      <m:t>ρ</m:t>
                    </m:r>
                  </m:e>
                  <m:sub>
                    <m:r>
                      <w:rPr>
                        <w:rFonts w:ascii="Cambria Math" w:hAnsi="Cambria Math"/>
                        <w:color w:val="404040" w:themeColor="text1" w:themeTint="BF"/>
                      </w:rPr>
                      <m:t>tu</m:t>
                    </m:r>
                  </m:sub>
                </m:sSub>
              </m:oMath>
            </m:oMathPara>
          </w:p>
        </w:tc>
        <w:tc>
          <w:tcPr>
            <w:tcW w:w="1052" w:type="dxa"/>
          </w:tcPr>
          <w:p w14:paraId="0F04413E" w14:textId="77777777" w:rsidR="00DB7BD6" w:rsidRPr="003A69B5" w:rsidRDefault="00DB7BD6" w:rsidP="00DB7BD6">
            <w:pPr>
              <w:jc w:val="center"/>
              <w:rPr>
                <w:color w:val="404040" w:themeColor="text1" w:themeTint="BF"/>
              </w:rPr>
            </w:pPr>
            <m:oMathPara>
              <m:oMath>
                <m:sSub>
                  <m:sSubPr>
                    <m:ctrlPr>
                      <w:rPr>
                        <w:rFonts w:ascii="Cambria Math" w:hAnsi="Cambria Math"/>
                        <w:i/>
                        <w:color w:val="404040" w:themeColor="text1" w:themeTint="BF"/>
                      </w:rPr>
                    </m:ctrlPr>
                  </m:sSubPr>
                  <m:e>
                    <m:r>
                      <w:rPr>
                        <w:rFonts w:ascii="Cambria Math" w:hAnsi="Cambria Math"/>
                        <w:color w:val="404040" w:themeColor="text1" w:themeTint="BF"/>
                      </w:rPr>
                      <m:t>∆P</m:t>
                    </m:r>
                  </m:e>
                  <m:sub>
                    <m:r>
                      <w:rPr>
                        <w:rFonts w:ascii="Cambria Math" w:hAnsi="Cambria Math"/>
                        <w:color w:val="404040" w:themeColor="text1" w:themeTint="BF"/>
                      </w:rPr>
                      <m:t>tu</m:t>
                    </m:r>
                  </m:sub>
                </m:sSub>
              </m:oMath>
            </m:oMathPara>
          </w:p>
        </w:tc>
        <w:tc>
          <w:tcPr>
            <w:tcW w:w="3205" w:type="dxa"/>
          </w:tcPr>
          <w:p w14:paraId="31479B00" w14:textId="77777777" w:rsidR="00DB7BD6" w:rsidRDefault="00DB7BD6" w:rsidP="00DB7BD6">
            <w:pPr>
              <w:jc w:val="center"/>
            </w:pPr>
            <w:r>
              <w:t xml:space="preserve"> </w:t>
            </w:r>
          </w:p>
        </w:tc>
      </w:tr>
      <w:tr w:rsidR="00DB7BD6" w14:paraId="30C40B1E" w14:textId="77777777" w:rsidTr="00DB7BD6">
        <w:trPr>
          <w:jc w:val="center"/>
        </w:trPr>
        <w:tc>
          <w:tcPr>
            <w:tcW w:w="1126" w:type="dxa"/>
          </w:tcPr>
          <w:p w14:paraId="097C3FE1" w14:textId="77777777" w:rsidR="00DB7BD6" w:rsidRPr="003A69B5" w:rsidRDefault="00DB7BD6" w:rsidP="00DB7BD6">
            <w:pPr>
              <w:jc w:val="center"/>
              <w:rPr>
                <w:color w:val="404040" w:themeColor="text1" w:themeTint="BF"/>
              </w:rPr>
            </w:pPr>
            <w:r w:rsidRPr="003A69B5">
              <w:rPr>
                <w:color w:val="404040" w:themeColor="text1" w:themeTint="BF"/>
              </w:rPr>
              <w:t>13.29</w:t>
            </w:r>
          </w:p>
        </w:tc>
        <w:tc>
          <w:tcPr>
            <w:tcW w:w="2516" w:type="dxa"/>
          </w:tcPr>
          <w:p w14:paraId="7EAB4299" w14:textId="77777777" w:rsidR="00DB7BD6" w:rsidRPr="003A69B5" w:rsidRDefault="00DB7BD6" w:rsidP="00DB7BD6">
            <w:pPr>
              <w:jc w:val="center"/>
              <w:rPr>
                <w:color w:val="404040" w:themeColor="text1" w:themeTint="BF"/>
              </w:rPr>
            </w:pPr>
            <m:oMathPara>
              <m:oMath>
                <m:sSub>
                  <m:sSubPr>
                    <m:ctrlPr>
                      <w:rPr>
                        <w:rFonts w:ascii="Cambria Math" w:hAnsi="Cambria Math"/>
                        <w:b/>
                        <w:i/>
                        <w:color w:val="404040" w:themeColor="text1" w:themeTint="BF"/>
                      </w:rPr>
                    </m:ctrlPr>
                  </m:sSubPr>
                  <m:e>
                    <m:r>
                      <m:rPr>
                        <m:sty m:val="bi"/>
                      </m:rPr>
                      <w:rPr>
                        <w:rFonts w:ascii="Cambria Math" w:hAnsi="Cambria Math"/>
                        <w:color w:val="404040" w:themeColor="text1" w:themeTint="BF"/>
                      </w:rPr>
                      <m:t>D</m:t>
                    </m:r>
                  </m:e>
                  <m:sub>
                    <m:r>
                      <m:rPr>
                        <m:sty m:val="bi"/>
                      </m:rPr>
                      <w:rPr>
                        <w:rFonts w:ascii="Cambria Math" w:hAnsi="Cambria Math"/>
                        <w:color w:val="404040" w:themeColor="text1" w:themeTint="BF"/>
                      </w:rPr>
                      <m:t>s</m:t>
                    </m:r>
                  </m:sub>
                </m:sSub>
                <m:r>
                  <w:rPr>
                    <w:rFonts w:ascii="Cambria Math" w:hAnsi="Cambria Math"/>
                    <w:color w:val="404040" w:themeColor="text1" w:themeTint="BF"/>
                  </w:rPr>
                  <m:t>,</m:t>
                </m:r>
                <m:sSub>
                  <m:sSubPr>
                    <m:ctrlPr>
                      <w:rPr>
                        <w:rFonts w:ascii="Cambria Math" w:hAnsi="Cambria Math"/>
                        <w:b/>
                        <w:i/>
                        <w:color w:val="404040" w:themeColor="text1" w:themeTint="BF"/>
                      </w:rPr>
                    </m:ctrlPr>
                  </m:sSubPr>
                  <m:e>
                    <m:r>
                      <m:rPr>
                        <m:sty m:val="bi"/>
                      </m:rPr>
                      <w:rPr>
                        <w:rFonts w:ascii="Cambria Math" w:hAnsi="Cambria Math"/>
                        <w:color w:val="404040" w:themeColor="text1" w:themeTint="BF"/>
                      </w:rPr>
                      <m:t>G</m:t>
                    </m:r>
                  </m:e>
                  <m:sub>
                    <m:r>
                      <m:rPr>
                        <m:sty m:val="bi"/>
                      </m:rPr>
                      <w:rPr>
                        <w:rFonts w:ascii="Cambria Math" w:hAnsi="Cambria Math"/>
                        <w:color w:val="404040" w:themeColor="text1" w:themeTint="BF"/>
                      </w:rPr>
                      <m:t>s</m:t>
                    </m:r>
                  </m:sub>
                </m:sSub>
                <m:r>
                  <m:rPr>
                    <m:sty m:val="bi"/>
                  </m:rPr>
                  <w:rPr>
                    <w:rFonts w:ascii="Cambria Math" w:hAnsi="Cambria Math"/>
                    <w:color w:val="404040" w:themeColor="text1" w:themeTint="BF"/>
                  </w:rPr>
                  <m:t>,</m:t>
                </m:r>
                <m:sSub>
                  <m:sSubPr>
                    <m:ctrlPr>
                      <w:rPr>
                        <w:rFonts w:ascii="Cambria Math" w:hAnsi="Cambria Math"/>
                        <w:b/>
                        <w:i/>
                        <w:color w:val="404040" w:themeColor="text1" w:themeTint="BF"/>
                      </w:rPr>
                    </m:ctrlPr>
                  </m:sSubPr>
                  <m:e>
                    <m:sSub>
                      <m:sSubPr>
                        <m:ctrlPr>
                          <w:rPr>
                            <w:rFonts w:ascii="Cambria Math" w:hAnsi="Cambria Math"/>
                            <w:b/>
                            <w:i/>
                            <w:color w:val="404040" w:themeColor="text1" w:themeTint="BF"/>
                          </w:rPr>
                        </m:ctrlPr>
                      </m:sSubPr>
                      <m:e>
                        <m:r>
                          <m:rPr>
                            <m:sty m:val="bi"/>
                          </m:rPr>
                          <w:rPr>
                            <w:rFonts w:ascii="Cambria Math" w:hAnsi="Cambria Math"/>
                            <w:color w:val="404040" w:themeColor="text1" w:themeTint="BF"/>
                          </w:rPr>
                          <m:t>l</m:t>
                        </m:r>
                      </m:e>
                      <m:sub>
                        <m:r>
                          <m:rPr>
                            <m:sty m:val="bi"/>
                          </m:rPr>
                          <w:rPr>
                            <w:rFonts w:ascii="Cambria Math" w:hAnsi="Cambria Math"/>
                            <w:color w:val="404040" w:themeColor="text1" w:themeTint="BF"/>
                          </w:rPr>
                          <m:t>Ba</m:t>
                        </m:r>
                      </m:sub>
                    </m:sSub>
                    <m:r>
                      <m:rPr>
                        <m:sty m:val="bi"/>
                      </m:rPr>
                      <w:rPr>
                        <w:rFonts w:ascii="Cambria Math" w:hAnsi="Cambria Math"/>
                        <w:color w:val="404040" w:themeColor="text1" w:themeTint="BF"/>
                      </w:rPr>
                      <m:t>,D</m:t>
                    </m:r>
                  </m:e>
                  <m:sub>
                    <m:r>
                      <m:rPr>
                        <m:sty m:val="bi"/>
                      </m:rPr>
                      <w:rPr>
                        <w:rFonts w:ascii="Cambria Math" w:hAnsi="Cambria Math"/>
                        <w:color w:val="404040" w:themeColor="text1" w:themeTint="BF"/>
                      </w:rPr>
                      <m:t>e</m:t>
                    </m:r>
                  </m:sub>
                </m:sSub>
                <m:r>
                  <w:rPr>
                    <w:rFonts w:ascii="Cambria Math" w:hAnsi="Cambria Math"/>
                    <w:color w:val="404040" w:themeColor="text1" w:themeTint="BF"/>
                  </w:rPr>
                  <m:t>,</m:t>
                </m:r>
                <m:sSub>
                  <m:sSubPr>
                    <m:ctrlPr>
                      <w:rPr>
                        <w:rFonts w:ascii="Cambria Math" w:hAnsi="Cambria Math"/>
                        <w:i/>
                        <w:color w:val="404040" w:themeColor="text1" w:themeTint="BF"/>
                      </w:rPr>
                    </m:ctrlPr>
                  </m:sSubPr>
                  <m:e>
                    <m:r>
                      <w:rPr>
                        <w:rFonts w:ascii="Cambria Math" w:hAnsi="Cambria Math"/>
                        <w:color w:val="404040" w:themeColor="text1" w:themeTint="BF"/>
                      </w:rPr>
                      <m:t>j</m:t>
                    </m:r>
                  </m:e>
                  <m:sub>
                    <m:r>
                      <w:rPr>
                        <w:rFonts w:ascii="Cambria Math" w:hAnsi="Cambria Math"/>
                        <w:color w:val="404040" w:themeColor="text1" w:themeTint="BF"/>
                      </w:rPr>
                      <m:t>f,s</m:t>
                    </m:r>
                  </m:sub>
                </m:sSub>
                <m:r>
                  <w:rPr>
                    <w:rFonts w:ascii="Cambria Math" w:hAnsi="Cambria Math"/>
                    <w:color w:val="404040" w:themeColor="text1" w:themeTint="BF"/>
                  </w:rPr>
                  <m:t>,L,</m:t>
                </m:r>
                <m:sSub>
                  <m:sSubPr>
                    <m:ctrlPr>
                      <w:rPr>
                        <w:rFonts w:ascii="Cambria Math" w:hAnsi="Cambria Math"/>
                        <w:i/>
                        <w:color w:val="404040" w:themeColor="text1" w:themeTint="BF"/>
                      </w:rPr>
                    </m:ctrlPr>
                  </m:sSubPr>
                  <m:e>
                    <m:r>
                      <w:rPr>
                        <w:rFonts w:ascii="Cambria Math" w:hAnsi="Cambria Math"/>
                        <w:color w:val="404040" w:themeColor="text1" w:themeTint="BF"/>
                      </w:rPr>
                      <m:t>ρ</m:t>
                    </m:r>
                  </m:e>
                  <m:sub>
                    <m:r>
                      <w:rPr>
                        <w:rFonts w:ascii="Cambria Math" w:hAnsi="Cambria Math"/>
                        <w:color w:val="404040" w:themeColor="text1" w:themeTint="BF"/>
                      </w:rPr>
                      <m:t>s</m:t>
                    </m:r>
                  </m:sub>
                </m:sSub>
              </m:oMath>
            </m:oMathPara>
          </w:p>
        </w:tc>
        <w:tc>
          <w:tcPr>
            <w:tcW w:w="1052" w:type="dxa"/>
          </w:tcPr>
          <w:p w14:paraId="0B26D9B4" w14:textId="77777777" w:rsidR="00DB7BD6" w:rsidRPr="003A69B5" w:rsidRDefault="00DB7BD6" w:rsidP="00DB7BD6">
            <w:pPr>
              <w:jc w:val="center"/>
              <w:rPr>
                <w:color w:val="404040" w:themeColor="text1" w:themeTint="BF"/>
              </w:rPr>
            </w:pPr>
            <m:oMathPara>
              <m:oMath>
                <m:sSub>
                  <m:sSubPr>
                    <m:ctrlPr>
                      <w:rPr>
                        <w:rFonts w:ascii="Cambria Math" w:hAnsi="Cambria Math"/>
                        <w:i/>
                        <w:color w:val="404040" w:themeColor="text1" w:themeTint="BF"/>
                      </w:rPr>
                    </m:ctrlPr>
                  </m:sSubPr>
                  <m:e>
                    <m:r>
                      <w:rPr>
                        <w:rFonts w:ascii="Cambria Math" w:hAnsi="Cambria Math"/>
                        <w:color w:val="404040" w:themeColor="text1" w:themeTint="BF"/>
                      </w:rPr>
                      <m:t>∆P</m:t>
                    </m:r>
                  </m:e>
                  <m:sub>
                    <m:r>
                      <w:rPr>
                        <w:rFonts w:ascii="Cambria Math" w:hAnsi="Cambria Math"/>
                        <w:color w:val="404040" w:themeColor="text1" w:themeTint="BF"/>
                      </w:rPr>
                      <m:t>s</m:t>
                    </m:r>
                  </m:sub>
                </m:sSub>
              </m:oMath>
            </m:oMathPara>
          </w:p>
        </w:tc>
        <w:tc>
          <w:tcPr>
            <w:tcW w:w="3205" w:type="dxa"/>
          </w:tcPr>
          <w:p w14:paraId="6C7A7414" w14:textId="77777777" w:rsidR="00DB7BD6" w:rsidRDefault="00DB7BD6" w:rsidP="00DB7BD6">
            <w:pPr>
              <w:jc w:val="center"/>
            </w:pPr>
          </w:p>
        </w:tc>
      </w:tr>
    </w:tbl>
    <w:p w14:paraId="795AA4F3" w14:textId="77777777" w:rsidR="00DB7BD6" w:rsidRDefault="00DB7BD6" w:rsidP="00A7521D"/>
    <w:p w14:paraId="0F410AEA" w14:textId="77777777" w:rsidR="00A7521D" w:rsidRDefault="00A7521D" w:rsidP="00A7521D">
      <w:pPr>
        <w:pStyle w:val="Heading2"/>
      </w:pPr>
      <w:bookmarkStart w:id="1031" w:name="_Toc525230057"/>
      <w:bookmarkStart w:id="1032" w:name="_Ref531344048"/>
      <w:bookmarkStart w:id="1033" w:name="_Ref531344087"/>
      <w:bookmarkStart w:id="1034" w:name="_Toc7187605"/>
      <w:r>
        <w:t>Finned Tube Heat Exchanger Equations</w:t>
      </w:r>
      <w:bookmarkEnd w:id="1031"/>
      <w:bookmarkEnd w:id="1032"/>
      <w:bookmarkEnd w:id="1033"/>
      <w:bookmarkEnd w:id="1034"/>
    </w:p>
    <w:p w14:paraId="4D4C78FE" w14:textId="10CE8F4D" w:rsidR="00A7521D" w:rsidRDefault="00A7521D" w:rsidP="00A7521D">
      <w:r>
        <w:t xml:space="preserve">The equations used in the modelling of the HEX-FT, as calculated in section </w:t>
      </w:r>
      <w:r w:rsidR="00D82F1A">
        <w:fldChar w:fldCharType="begin"/>
      </w:r>
      <w:r w:rsidR="00D82F1A">
        <w:instrText xml:space="preserve"> REF _Ref531345390 \n \h </w:instrText>
      </w:r>
      <w:r w:rsidR="00D82F1A">
        <w:fldChar w:fldCharType="separate"/>
      </w:r>
      <w:r w:rsidR="00CB7456">
        <w:t>5.1.1.3</w:t>
      </w:r>
      <w:r w:rsidR="00D82F1A">
        <w:fldChar w:fldCharType="end"/>
      </w:r>
      <w:r>
        <w:t xml:space="preserve">, are shown below. All equations came from Coulson and Richardson's Chemical Engineering Volume 6 - Chemical Engineering Design </w:t>
      </w:r>
      <w:r>
        <w:fldChar w:fldCharType="begin" w:fldLock="1"/>
      </w:r>
      <w:r w:rsidR="002A6A73">
        <w:instrText>ADDIN CSL_CITATION {"citationItems":[{"id":"ITEM-1","itemData":{"ISBN":"978-0-7506-6538-4","author":[{"dropping-particle":"","family":"Sinnott","given":"R.K.","non-dropping-particle":"","parse-names":false,"suffix":""}],"edition":"4","id":"ITEM-1","issued":{"date-parts":[["2005"]]},"number-of-pages":"60 - 132","publisher":"Elsevier","publisher-place":"Oxford, England","title":"Coulson and Richardson's Chemical Engineering Volume 6 - Chemical Engineering Design","type":"book"},"uris":["http://www.mendeley.com/documents/?uuid=8e00b24b-1ea1-4b70-9865-3b5bcae659ed"]}],"mendeley":{"formattedCitation":"(Sinnott, 2005b)","plainTextFormattedCitation":"(Sinnott, 2005b)","previouslyFormattedCitation":"(Sinnott, 2005b)"},"properties":{"noteIndex":0},"schema":"https://github.com/citation-style-language/schema/raw/master/csl-citation.json"}</w:instrText>
      </w:r>
      <w:r>
        <w:fldChar w:fldCharType="separate"/>
      </w:r>
      <w:r w:rsidR="002A6A73" w:rsidRPr="002A6A73">
        <w:rPr>
          <w:noProof/>
        </w:rPr>
        <w:t>(Sinnott, 2005b)</w:t>
      </w:r>
      <w:r>
        <w:fldChar w:fldCharType="end"/>
      </w:r>
      <w:r>
        <w:t>.</w:t>
      </w:r>
      <w:r w:rsidRPr="0033078D">
        <w:t xml:space="preserve"> </w:t>
      </w:r>
      <w:r>
        <w:t xml:space="preserve">The modelling process used Equation </w:t>
      </w:r>
      <w:r>
        <w:fldChar w:fldCharType="begin"/>
      </w:r>
      <w:r>
        <w:instrText xml:space="preserve"> REF _Ref531104888 \h </w:instrText>
      </w:r>
      <w:r>
        <w:fldChar w:fldCharType="separate"/>
      </w:r>
      <w:r w:rsidR="00CB7456">
        <w:rPr>
          <w:noProof/>
        </w:rPr>
        <w:t>13</w:t>
      </w:r>
      <w:r w:rsidR="00CB7456">
        <w:t>.</w:t>
      </w:r>
      <w:r w:rsidR="00CB7456">
        <w:rPr>
          <w:noProof/>
        </w:rPr>
        <w:t>1</w:t>
      </w:r>
      <w:r>
        <w:fldChar w:fldCharType="end"/>
      </w:r>
      <w:r>
        <w:t xml:space="preserve"> to Equation </w:t>
      </w:r>
      <w:r>
        <w:fldChar w:fldCharType="begin"/>
      </w:r>
      <w:r>
        <w:instrText xml:space="preserve"> REF _Ref531165407 \h </w:instrText>
      </w:r>
      <w:r>
        <w:fldChar w:fldCharType="separate"/>
      </w:r>
      <w:r w:rsidR="00CB7456">
        <w:rPr>
          <w:noProof/>
        </w:rPr>
        <w:t>13.22</w:t>
      </w:r>
      <w:r>
        <w:fldChar w:fldCharType="end"/>
      </w:r>
      <w:r>
        <w:t xml:space="preserve"> from the modelling process of the HEX-DP and then Equation </w:t>
      </w:r>
      <w:r>
        <w:fldChar w:fldCharType="begin"/>
      </w:r>
      <w:r>
        <w:instrText xml:space="preserve"> REF _Ref531183255 \h </w:instrText>
      </w:r>
      <w:r>
        <w:fldChar w:fldCharType="separate"/>
      </w:r>
      <w:r w:rsidR="00CB7456">
        <w:rPr>
          <w:noProof/>
        </w:rPr>
        <w:t>13.30</w:t>
      </w:r>
      <w:r>
        <w:fldChar w:fldCharType="end"/>
      </w:r>
      <w:r>
        <w:t xml:space="preserve"> from the modelling process of the HEX-ST. It then used Equation </w:t>
      </w:r>
      <w:r>
        <w:fldChar w:fldCharType="begin"/>
      </w:r>
      <w:r>
        <w:instrText xml:space="preserve"> REF _Ref531165486 \h </w:instrText>
      </w:r>
      <w:r>
        <w:fldChar w:fldCharType="separate"/>
      </w:r>
      <w:r w:rsidR="00CB7456">
        <w:rPr>
          <w:noProof/>
        </w:rPr>
        <w:t>13.24</w:t>
      </w:r>
      <w:r>
        <w:fldChar w:fldCharType="end"/>
      </w:r>
      <w:r>
        <w:t xml:space="preserve"> and Equation </w:t>
      </w:r>
      <w:r>
        <w:fldChar w:fldCharType="begin"/>
      </w:r>
      <w:r>
        <w:instrText xml:space="preserve"> REF _Ref531165501 \h </w:instrText>
      </w:r>
      <w:r>
        <w:fldChar w:fldCharType="separate"/>
      </w:r>
      <w:r w:rsidR="00CB7456">
        <w:rPr>
          <w:noProof/>
        </w:rPr>
        <w:t>13.25</w:t>
      </w:r>
      <w:r>
        <w:fldChar w:fldCharType="end"/>
      </w:r>
      <w:r>
        <w:t xml:space="preserve"> from the modelling process of the HEX-DP.</w:t>
      </w:r>
    </w:p>
    <w:p w14:paraId="2F2AADF9" w14:textId="70F70F70" w:rsidR="00694041" w:rsidRDefault="00694041" w:rsidP="00A7521D">
      <w:r>
        <w:lastRenderedPageBreak/>
        <w:t>The modelling of the HEX-FT did not differ from the modelling of a HEX-DP or a HEX-ST until the calculation of the shell side Nusselt number.</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37"/>
        <w:gridCol w:w="239"/>
        <w:gridCol w:w="822"/>
      </w:tblGrid>
      <w:tr w:rsidR="00A7521D" w14:paraId="0B9FAA14" w14:textId="77777777" w:rsidTr="00A7521D">
        <w:tc>
          <w:tcPr>
            <w:tcW w:w="7137" w:type="dxa"/>
            <w:hideMark/>
          </w:tcPr>
          <w:p w14:paraId="09CA74C7" w14:textId="18189EB2" w:rsidR="00A7521D" w:rsidRDefault="00C73E04" w:rsidP="00A7521D">
            <w:pPr>
              <w:keepNext/>
              <w:rPr>
                <w:color w:val="FFFFFF"/>
              </w:rPr>
            </w:pPr>
            <m:oMathPara>
              <m:oMathParaPr>
                <m:jc m:val="left"/>
              </m:oMathParaPr>
              <m:oMath>
                <m:sSub>
                  <m:sSubPr>
                    <m:ctrlPr>
                      <w:rPr>
                        <w:rFonts w:ascii="Cambria Math" w:hAnsi="Cambria Math"/>
                        <w:i/>
                        <w:iCs/>
                      </w:rPr>
                    </m:ctrlPr>
                  </m:sSubPr>
                  <m:e>
                    <m:r>
                      <w:rPr>
                        <w:rFonts w:ascii="Cambria Math" w:hAnsi="Cambria Math"/>
                      </w:rPr>
                      <m:t>Nu</m:t>
                    </m:r>
                  </m:e>
                  <m:sub>
                    <m:r>
                      <w:rPr>
                        <w:rFonts w:ascii="Cambria Math" w:hAnsi="Cambria Math"/>
                      </w:rPr>
                      <m:t>s</m:t>
                    </m:r>
                  </m:sub>
                </m:sSub>
                <m:r>
                  <w:rPr>
                    <w:rFonts w:ascii="Cambria Math" w:hAnsi="Cambria Math"/>
                  </w:rPr>
                  <m:t>=</m:t>
                </m:r>
                <m:f>
                  <m:fPr>
                    <m:ctrlPr>
                      <w:rPr>
                        <w:rFonts w:ascii="Cambria Math" w:hAnsi="Cambria Math"/>
                        <w:i/>
                        <w:iCs/>
                      </w:rPr>
                    </m:ctrlPr>
                  </m:fPr>
                  <m:num>
                    <m:sSub>
                      <m:sSubPr>
                        <m:ctrlPr>
                          <w:rPr>
                            <w:rFonts w:ascii="Cambria Math" w:hAnsi="Cambria Math"/>
                            <w:i/>
                            <w:iCs/>
                          </w:rPr>
                        </m:ctrlPr>
                      </m:sSubPr>
                      <m:e>
                        <m:r>
                          <w:rPr>
                            <w:rFonts w:ascii="Cambria Math" w:hAnsi="Cambria Math"/>
                          </w:rPr>
                          <m:t>h</m:t>
                        </m:r>
                      </m:e>
                      <m:sub>
                        <m:r>
                          <w:rPr>
                            <w:rFonts w:ascii="Cambria Math" w:hAnsi="Cambria Math"/>
                          </w:rPr>
                          <m:t>o</m:t>
                        </m:r>
                      </m:sub>
                    </m:sSub>
                    <m:sSub>
                      <m:sSubPr>
                        <m:ctrlPr>
                          <w:rPr>
                            <w:rFonts w:ascii="Cambria Math" w:hAnsi="Cambria Math"/>
                            <w:i/>
                            <w:iCs/>
                          </w:rPr>
                        </m:ctrlPr>
                      </m:sSubPr>
                      <m:e>
                        <m:r>
                          <w:rPr>
                            <w:rFonts w:ascii="Cambria Math" w:hAnsi="Cambria Math"/>
                          </w:rPr>
                          <m:t>D</m:t>
                        </m:r>
                      </m:e>
                      <m:sub>
                        <m:r>
                          <w:rPr>
                            <w:rFonts w:ascii="Cambria Math" w:hAnsi="Cambria Math"/>
                          </w:rPr>
                          <m:t>e</m:t>
                        </m:r>
                      </m:sub>
                    </m:sSub>
                  </m:num>
                  <m:den>
                    <m:sSub>
                      <m:sSubPr>
                        <m:ctrlPr>
                          <w:rPr>
                            <w:rFonts w:ascii="Cambria Math" w:hAnsi="Cambria Math"/>
                            <w:i/>
                            <w:iCs/>
                          </w:rPr>
                        </m:ctrlPr>
                      </m:sSubPr>
                      <m:e>
                        <m:r>
                          <w:rPr>
                            <w:rFonts w:ascii="Cambria Math" w:hAnsi="Cambria Math"/>
                          </w:rPr>
                          <m:t>k</m:t>
                        </m:r>
                      </m:e>
                      <m:sub>
                        <m:r>
                          <w:rPr>
                            <w:rFonts w:ascii="Cambria Math" w:hAnsi="Cambria Math"/>
                          </w:rPr>
                          <m:t>f,s</m:t>
                        </m:r>
                      </m:sub>
                    </m:sSub>
                  </m:den>
                </m:f>
                <m:r>
                  <w:rPr>
                    <w:rFonts w:ascii="Cambria Math" w:hAnsi="Cambria Math"/>
                  </w:rPr>
                  <m:t>=0.134</m:t>
                </m:r>
                <m:sSup>
                  <m:sSupPr>
                    <m:ctrlPr>
                      <w:rPr>
                        <w:rFonts w:ascii="Cambria Math" w:hAnsi="Cambria Math"/>
                        <w:i/>
                        <w:iCs/>
                      </w:rPr>
                    </m:ctrlPr>
                  </m:sSupPr>
                  <m:e>
                    <m:sSub>
                      <m:sSubPr>
                        <m:ctrlPr>
                          <w:rPr>
                            <w:rFonts w:ascii="Cambria Math" w:hAnsi="Cambria Math"/>
                            <w:i/>
                          </w:rPr>
                        </m:ctrlPr>
                      </m:sSubPr>
                      <m:e>
                        <m:r>
                          <w:rPr>
                            <w:rFonts w:ascii="Cambria Math" w:hAnsi="Cambria Math"/>
                          </w:rPr>
                          <m:t>Re</m:t>
                        </m:r>
                      </m:e>
                      <m:sub>
                        <m:r>
                          <w:rPr>
                            <w:rFonts w:ascii="Cambria Math" w:hAnsi="Cambria Math"/>
                          </w:rPr>
                          <m:t>s</m:t>
                        </m:r>
                      </m:sub>
                    </m:sSub>
                  </m:e>
                  <m:sup>
                    <m:r>
                      <w:rPr>
                        <w:rFonts w:ascii="Cambria Math" w:hAnsi="Cambria Math"/>
                      </w:rPr>
                      <m:t>0.681</m:t>
                    </m:r>
                  </m:sup>
                </m:sSup>
                <m:sSup>
                  <m:sSupPr>
                    <m:ctrlPr>
                      <w:rPr>
                        <w:rFonts w:ascii="Cambria Math" w:hAnsi="Cambria Math"/>
                        <w:i/>
                        <w:iCs/>
                      </w:rPr>
                    </m:ctrlPr>
                  </m:sSupPr>
                  <m:e>
                    <m:sSub>
                      <m:sSubPr>
                        <m:ctrlPr>
                          <w:rPr>
                            <w:rFonts w:ascii="Cambria Math" w:hAnsi="Cambria Math"/>
                            <w:i/>
                          </w:rPr>
                        </m:ctrlPr>
                      </m:sSubPr>
                      <m:e>
                        <m:r>
                          <w:rPr>
                            <w:rFonts w:ascii="Cambria Math" w:hAnsi="Cambria Math"/>
                          </w:rPr>
                          <m:t>Pr</m:t>
                        </m:r>
                      </m:e>
                      <m:sub>
                        <m:r>
                          <w:rPr>
                            <w:rFonts w:ascii="Cambria Math" w:hAnsi="Cambria Math"/>
                          </w:rPr>
                          <m:t>s</m:t>
                        </m:r>
                      </m:sub>
                    </m:sSub>
                  </m:e>
                  <m:sup>
                    <m:r>
                      <w:rPr>
                        <w:rFonts w:ascii="Cambria Math" w:hAnsi="Cambria Math"/>
                      </w:rPr>
                      <m:t>0.33</m:t>
                    </m:r>
                  </m:sup>
                </m:sSup>
                <m:sSup>
                  <m:sSupPr>
                    <m:ctrlPr>
                      <w:rPr>
                        <w:rFonts w:ascii="Cambria Math" w:hAnsi="Cambria Math"/>
                        <w:i/>
                        <w:iCs/>
                      </w:rPr>
                    </m:ctrlPr>
                  </m:sSupPr>
                  <m:e>
                    <m:d>
                      <m:dPr>
                        <m:begChr m:val="["/>
                        <m:endChr m:val="]"/>
                        <m:ctrlPr>
                          <w:rPr>
                            <w:rFonts w:ascii="Cambria Math" w:hAnsi="Cambria Math"/>
                            <w:i/>
                            <w:iCs/>
                          </w:rPr>
                        </m:ctrlPr>
                      </m:dPr>
                      <m:e>
                        <m:f>
                          <m:fPr>
                            <m:ctrlPr>
                              <w:rPr>
                                <w:rFonts w:ascii="Cambria Math" w:hAnsi="Cambria Math"/>
                                <w:i/>
                                <w:iCs/>
                              </w:rPr>
                            </m:ctrlPr>
                          </m:fPr>
                          <m:num>
                            <m:sSub>
                              <m:sSubPr>
                                <m:ctrlPr>
                                  <w:rPr>
                                    <w:rFonts w:ascii="Cambria Math" w:hAnsi="Cambria Math"/>
                                    <w:i/>
                                    <w:iCs/>
                                  </w:rPr>
                                </m:ctrlPr>
                              </m:sSubPr>
                              <m:e>
                                <m:r>
                                  <w:rPr>
                                    <w:rFonts w:ascii="Cambria Math" w:hAnsi="Cambria Math"/>
                                  </w:rPr>
                                  <m:t>p</m:t>
                                </m:r>
                              </m:e>
                              <m:sub>
                                <m:r>
                                  <w:rPr>
                                    <w:rFonts w:ascii="Cambria Math" w:hAnsi="Cambria Math"/>
                                  </w:rPr>
                                  <m:t>fi</m:t>
                                </m:r>
                              </m:sub>
                            </m:sSub>
                            <m:r>
                              <w:rPr>
                                <w:rFonts w:ascii="Cambria Math" w:hAnsi="Cambria Math"/>
                              </w:rPr>
                              <m:t>-</m:t>
                            </m:r>
                            <m:sSub>
                              <m:sSubPr>
                                <m:ctrlPr>
                                  <w:rPr>
                                    <w:rFonts w:ascii="Cambria Math" w:hAnsi="Cambria Math"/>
                                    <w:i/>
                                    <w:iCs/>
                                  </w:rPr>
                                </m:ctrlPr>
                              </m:sSubPr>
                              <m:e>
                                <m:r>
                                  <w:rPr>
                                    <w:rFonts w:ascii="Cambria Math" w:hAnsi="Cambria Math"/>
                                  </w:rPr>
                                  <m:t>L</m:t>
                                </m:r>
                              </m:e>
                              <m:sub>
                                <m:r>
                                  <w:rPr>
                                    <w:rFonts w:ascii="Cambria Math" w:hAnsi="Cambria Math"/>
                                  </w:rPr>
                                  <m:t>fi,th</m:t>
                                </m:r>
                              </m:sub>
                            </m:sSub>
                          </m:num>
                          <m:den>
                            <m:sSub>
                              <m:sSubPr>
                                <m:ctrlPr>
                                  <w:rPr>
                                    <w:rFonts w:ascii="Cambria Math" w:hAnsi="Cambria Math"/>
                                    <w:i/>
                                    <w:iCs/>
                                  </w:rPr>
                                </m:ctrlPr>
                              </m:sSubPr>
                              <m:e>
                                <m:r>
                                  <w:rPr>
                                    <w:rFonts w:ascii="Cambria Math" w:hAnsi="Cambria Math"/>
                                  </w:rPr>
                                  <m:t>L</m:t>
                                </m:r>
                              </m:e>
                              <m:sub>
                                <m:r>
                                  <w:rPr>
                                    <w:rFonts w:ascii="Cambria Math" w:hAnsi="Cambria Math"/>
                                  </w:rPr>
                                  <m:t>fi</m:t>
                                </m:r>
                              </m:sub>
                            </m:sSub>
                          </m:den>
                        </m:f>
                      </m:e>
                    </m:d>
                  </m:e>
                  <m:sup>
                    <m:r>
                      <w:rPr>
                        <w:rFonts w:ascii="Cambria Math" w:hAnsi="Cambria Math"/>
                      </w:rPr>
                      <m:t>0.2</m:t>
                    </m:r>
                  </m:sup>
                </m:sSup>
                <m:sSup>
                  <m:sSupPr>
                    <m:ctrlPr>
                      <w:rPr>
                        <w:rFonts w:ascii="Cambria Math" w:hAnsi="Cambria Math"/>
                        <w:i/>
                        <w:iCs/>
                      </w:rPr>
                    </m:ctrlPr>
                  </m:sSupPr>
                  <m:e>
                    <m:d>
                      <m:dPr>
                        <m:begChr m:val="["/>
                        <m:endChr m:val="]"/>
                        <m:ctrlPr>
                          <w:rPr>
                            <w:rFonts w:ascii="Cambria Math" w:hAnsi="Cambria Math"/>
                            <w:i/>
                            <w:iCs/>
                          </w:rPr>
                        </m:ctrlPr>
                      </m:dPr>
                      <m:e>
                        <m:f>
                          <m:fPr>
                            <m:ctrlPr>
                              <w:rPr>
                                <w:rFonts w:ascii="Cambria Math" w:hAnsi="Cambria Math"/>
                                <w:i/>
                                <w:iCs/>
                              </w:rPr>
                            </m:ctrlPr>
                          </m:fPr>
                          <m:num>
                            <m:sSub>
                              <m:sSubPr>
                                <m:ctrlPr>
                                  <w:rPr>
                                    <w:rFonts w:ascii="Cambria Math" w:hAnsi="Cambria Math"/>
                                    <w:i/>
                                    <w:iCs/>
                                  </w:rPr>
                                </m:ctrlPr>
                              </m:sSubPr>
                              <m:e>
                                <m:r>
                                  <w:rPr>
                                    <w:rFonts w:ascii="Cambria Math" w:hAnsi="Cambria Math"/>
                                  </w:rPr>
                                  <m:t>p</m:t>
                                </m:r>
                              </m:e>
                              <m:sub>
                                <m:r>
                                  <w:rPr>
                                    <w:rFonts w:ascii="Cambria Math" w:hAnsi="Cambria Math"/>
                                  </w:rPr>
                                  <m:t>fi</m:t>
                                </m:r>
                              </m:sub>
                            </m:sSub>
                          </m:num>
                          <m:den>
                            <m:sSub>
                              <m:sSubPr>
                                <m:ctrlPr>
                                  <w:rPr>
                                    <w:rFonts w:ascii="Cambria Math" w:hAnsi="Cambria Math"/>
                                    <w:i/>
                                    <w:iCs/>
                                  </w:rPr>
                                </m:ctrlPr>
                              </m:sSubPr>
                              <m:e>
                                <m:r>
                                  <w:rPr>
                                    <w:rFonts w:ascii="Cambria Math" w:hAnsi="Cambria Math"/>
                                  </w:rPr>
                                  <m:t>L</m:t>
                                </m:r>
                              </m:e>
                              <m:sub>
                                <m:r>
                                  <w:rPr>
                                    <w:rFonts w:ascii="Cambria Math" w:hAnsi="Cambria Math"/>
                                  </w:rPr>
                                  <m:t>fi,th</m:t>
                                </m:r>
                              </m:sub>
                            </m:sSub>
                          </m:den>
                        </m:f>
                      </m:e>
                    </m:d>
                  </m:e>
                  <m:sup>
                    <m:r>
                      <w:rPr>
                        <w:rFonts w:ascii="Cambria Math" w:hAnsi="Cambria Math"/>
                      </w:rPr>
                      <m:t>0.1134</m:t>
                    </m:r>
                  </m:sup>
                </m:sSup>
              </m:oMath>
            </m:oMathPara>
          </w:p>
        </w:tc>
        <w:tc>
          <w:tcPr>
            <w:tcW w:w="239" w:type="dxa"/>
            <w:vAlign w:val="center"/>
            <w:hideMark/>
          </w:tcPr>
          <w:p w14:paraId="36EEBB3A" w14:textId="77777777" w:rsidR="00A7521D" w:rsidRDefault="00A7521D" w:rsidP="00A7521D">
            <w:pPr>
              <w:pStyle w:val="Caption"/>
              <w:jc w:val="right"/>
            </w:pPr>
          </w:p>
        </w:tc>
        <w:tc>
          <w:tcPr>
            <w:tcW w:w="822" w:type="dxa"/>
            <w:vAlign w:val="center"/>
            <w:hideMark/>
          </w:tcPr>
          <w:p w14:paraId="7F917E1A" w14:textId="6E359B56" w:rsidR="00A7521D" w:rsidRDefault="00A7521D" w:rsidP="00A7521D">
            <w:pPr>
              <w:pStyle w:val="Caption"/>
              <w:jc w:val="right"/>
              <w:rPr>
                <w:b w:val="0"/>
              </w:rPr>
            </w:pPr>
            <w:r>
              <w:rPr>
                <w:noProof/>
              </w:rPr>
              <w:fldChar w:fldCharType="begin"/>
            </w:r>
            <w:r>
              <w:rPr>
                <w:noProof/>
              </w:rPr>
              <w:instrText xml:space="preserve"> STYLEREF 1 \s </w:instrText>
            </w:r>
            <w:r>
              <w:rPr>
                <w:noProof/>
              </w:rPr>
              <w:fldChar w:fldCharType="separate"/>
            </w:r>
            <w:r w:rsidR="00CB7456">
              <w:rPr>
                <w:noProof/>
              </w:rPr>
              <w:t>13</w:t>
            </w:r>
            <w:r>
              <w:rPr>
                <w:noProof/>
              </w:rPr>
              <w:fldChar w:fldCharType="end"/>
            </w:r>
            <w:r>
              <w:rPr>
                <w:noProof/>
              </w:rPr>
              <w:t>.</w:t>
            </w:r>
            <w:r>
              <w:rPr>
                <w:noProof/>
              </w:rPr>
              <w:fldChar w:fldCharType="begin"/>
            </w:r>
            <w:r>
              <w:rPr>
                <w:noProof/>
              </w:rPr>
              <w:instrText xml:space="preserve"> SEQ Equation \* ARABIC \s 1 </w:instrText>
            </w:r>
            <w:r>
              <w:rPr>
                <w:noProof/>
              </w:rPr>
              <w:fldChar w:fldCharType="separate"/>
            </w:r>
            <w:r w:rsidR="00CB7456">
              <w:rPr>
                <w:noProof/>
              </w:rPr>
              <w:t>31</w:t>
            </w:r>
            <w:r>
              <w:rPr>
                <w:noProof/>
              </w:rPr>
              <w:fldChar w:fldCharType="end"/>
            </w:r>
          </w:p>
        </w:tc>
      </w:tr>
    </w:tbl>
    <w:p w14:paraId="074C73D9" w14:textId="77777777" w:rsidR="00A7521D" w:rsidRDefault="00A7521D" w:rsidP="00A7521D"/>
    <w:p w14:paraId="1B04F040" w14:textId="77777777" w:rsidR="00A7521D" w:rsidRDefault="00C73E04" w:rsidP="00A7521D">
      <w:pPr>
        <w:pStyle w:val="NoSpacing"/>
      </w:pPr>
      <m:oMath>
        <m:sSub>
          <m:sSubPr>
            <m:ctrlPr>
              <w:rPr>
                <w:rFonts w:ascii="Cambria Math" w:hAnsi="Cambria Math"/>
                <w:i/>
              </w:rPr>
            </m:ctrlPr>
          </m:sSubPr>
          <m:e>
            <m:r>
              <w:rPr>
                <w:rFonts w:ascii="Cambria Math" w:hAnsi="Cambria Math"/>
              </w:rPr>
              <m:t>Nu</m:t>
            </m:r>
          </m:e>
          <m:sub>
            <m:r>
              <w:rPr>
                <w:rFonts w:ascii="Cambria Math" w:hAnsi="Cambria Math"/>
              </w:rPr>
              <m:t>s</m:t>
            </m:r>
          </m:sub>
        </m:sSub>
      </m:oMath>
      <w:r w:rsidR="00A7521D">
        <w:t xml:space="preserve"> was the shell side Nusselt number,</w:t>
      </w:r>
    </w:p>
    <w:p w14:paraId="2781855E" w14:textId="77777777" w:rsidR="00A7521D" w:rsidRDefault="00C73E04" w:rsidP="00A7521D">
      <w:pPr>
        <w:pStyle w:val="NoSpacing"/>
      </w:pPr>
      <m:oMath>
        <m:sSub>
          <m:sSubPr>
            <m:ctrlPr>
              <w:rPr>
                <w:rFonts w:ascii="Cambria Math" w:hAnsi="Cambria Math"/>
                <w:i/>
              </w:rPr>
            </m:ctrlPr>
          </m:sSubPr>
          <m:e>
            <m:r>
              <w:rPr>
                <w:rFonts w:ascii="Cambria Math" w:hAnsi="Cambria Math"/>
              </w:rPr>
              <m:t>h</m:t>
            </m:r>
          </m:e>
          <m:sub>
            <m:r>
              <w:rPr>
                <w:rFonts w:ascii="Cambria Math" w:hAnsi="Cambria Math"/>
              </w:rPr>
              <m:t>o</m:t>
            </m:r>
          </m:sub>
        </m:sSub>
      </m:oMath>
      <w:r w:rsidR="00A7521D">
        <w:t xml:space="preserve"> was the outside coefficient (W/[m</w:t>
      </w:r>
      <w:r w:rsidR="00A7521D">
        <w:rPr>
          <w:vertAlign w:val="superscript"/>
        </w:rPr>
        <w:t>2</w:t>
      </w:r>
      <w:r w:rsidR="00A7521D">
        <w:t>°C]),</w:t>
      </w:r>
    </w:p>
    <w:p w14:paraId="2EE630E1" w14:textId="77777777" w:rsidR="00A7521D" w:rsidRDefault="00C73E04" w:rsidP="00A7521D">
      <w:pPr>
        <w:pStyle w:val="NoSpacing"/>
        <w:rPr>
          <w:iCs/>
        </w:rPr>
      </w:pPr>
      <m:oMath>
        <m:sSub>
          <m:sSubPr>
            <m:ctrlPr>
              <w:rPr>
                <w:rFonts w:ascii="Cambria Math" w:hAnsi="Cambria Math"/>
                <w:i/>
                <w:iCs/>
              </w:rPr>
            </m:ctrlPr>
          </m:sSubPr>
          <m:e>
            <m:r>
              <w:rPr>
                <w:rFonts w:ascii="Cambria Math" w:hAnsi="Cambria Math"/>
              </w:rPr>
              <m:t>p</m:t>
            </m:r>
          </m:e>
          <m:sub>
            <m:r>
              <w:rPr>
                <w:rFonts w:ascii="Cambria Math" w:hAnsi="Cambria Math"/>
              </w:rPr>
              <m:t>fi</m:t>
            </m:r>
          </m:sub>
        </m:sSub>
      </m:oMath>
      <w:r w:rsidR="00A7521D">
        <w:rPr>
          <w:iCs/>
        </w:rPr>
        <w:t xml:space="preserve"> was the fin pitch (m),</w:t>
      </w:r>
    </w:p>
    <w:p w14:paraId="4FEDF763" w14:textId="77777777" w:rsidR="00A7521D" w:rsidRDefault="00C73E04" w:rsidP="00A7521D">
      <w:pPr>
        <w:pStyle w:val="NoSpacing"/>
        <w:rPr>
          <w:iCs/>
        </w:rPr>
      </w:pPr>
      <m:oMath>
        <m:sSub>
          <m:sSubPr>
            <m:ctrlPr>
              <w:rPr>
                <w:rFonts w:ascii="Cambria Math" w:hAnsi="Cambria Math"/>
                <w:i/>
                <w:iCs/>
              </w:rPr>
            </m:ctrlPr>
          </m:sSubPr>
          <m:e>
            <m:r>
              <w:rPr>
                <w:rFonts w:ascii="Cambria Math" w:hAnsi="Cambria Math"/>
              </w:rPr>
              <m:t>L</m:t>
            </m:r>
          </m:e>
          <m:sub>
            <m:r>
              <w:rPr>
                <w:rFonts w:ascii="Cambria Math" w:hAnsi="Cambria Math"/>
              </w:rPr>
              <m:t>fi,th</m:t>
            </m:r>
          </m:sub>
        </m:sSub>
      </m:oMath>
      <w:r w:rsidR="00A7521D">
        <w:rPr>
          <w:iCs/>
        </w:rPr>
        <w:t xml:space="preserve"> was the fin thickness (m),</w:t>
      </w:r>
    </w:p>
    <w:p w14:paraId="77386E06" w14:textId="51182D6E" w:rsidR="00A7521D" w:rsidRDefault="00C73E04" w:rsidP="00A7521D">
      <w:pPr>
        <w:rPr>
          <w:iCs/>
        </w:rPr>
      </w:pPr>
      <m:oMath>
        <m:sSub>
          <m:sSubPr>
            <m:ctrlPr>
              <w:rPr>
                <w:rFonts w:ascii="Cambria Math" w:hAnsi="Cambria Math"/>
                <w:i/>
                <w:iCs/>
              </w:rPr>
            </m:ctrlPr>
          </m:sSubPr>
          <m:e>
            <m:r>
              <w:rPr>
                <w:rFonts w:ascii="Cambria Math" w:hAnsi="Cambria Math"/>
              </w:rPr>
              <m:t>L</m:t>
            </m:r>
          </m:e>
          <m:sub>
            <m:r>
              <w:rPr>
                <w:rFonts w:ascii="Cambria Math" w:hAnsi="Cambria Math"/>
              </w:rPr>
              <m:t>fi</m:t>
            </m:r>
          </m:sub>
        </m:sSub>
      </m:oMath>
      <w:r w:rsidR="00A7521D">
        <w:rPr>
          <w:iCs/>
        </w:rPr>
        <w:t xml:space="preserve"> was the fin height (m).</w:t>
      </w:r>
    </w:p>
    <w:p w14:paraId="2793A49D" w14:textId="176FF785" w:rsidR="00694041" w:rsidRDefault="00694041" w:rsidP="00A7521D">
      <w:pPr>
        <w:rPr>
          <w:iCs/>
        </w:rPr>
      </w:pPr>
      <w:r>
        <w:rPr>
          <w:iCs/>
        </w:rPr>
        <w:t>The shell side Nusselt number was dependent on the outside coefficient, the equivalent diameter and the tube side thermal coefficient. Alternatively, it was dependent on the shell side Reynolds and Prandtl numbers, the fin pitch, the fin thickness and the fin height.  The values of the fin pitch thickness and height were dependent on the physical characteristics of the finned tube.</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37"/>
        <w:gridCol w:w="239"/>
        <w:gridCol w:w="822"/>
      </w:tblGrid>
      <w:tr w:rsidR="00A7521D" w14:paraId="4466F9A3" w14:textId="77777777" w:rsidTr="00A7521D">
        <w:tc>
          <w:tcPr>
            <w:tcW w:w="7137" w:type="dxa"/>
            <w:hideMark/>
          </w:tcPr>
          <w:p w14:paraId="4AE1CCF2" w14:textId="77777777" w:rsidR="00A7521D" w:rsidRDefault="00C73E04" w:rsidP="00A7521D">
            <w:pPr>
              <w:keepNext/>
              <w:rPr>
                <w:color w:val="FFFFFF"/>
              </w:rPr>
            </w:pPr>
            <m:oMathPara>
              <m:oMathParaPr>
                <m:jc m:val="left"/>
              </m:oMathParaPr>
              <m:oMath>
                <m:sSub>
                  <m:sSubPr>
                    <m:ctrlPr>
                      <w:rPr>
                        <w:rFonts w:ascii="Cambria Math" w:hAnsi="Cambria Math"/>
                        <w:i/>
                        <w:iCs/>
                      </w:rPr>
                    </m:ctrlPr>
                  </m:sSubPr>
                  <m:e>
                    <m:r>
                      <w:rPr>
                        <w:rFonts w:ascii="Cambria Math" w:hAnsi="Cambria Math"/>
                      </w:rPr>
                      <m:t>A</m:t>
                    </m:r>
                  </m:e>
                  <m:sub>
                    <m:r>
                      <w:rPr>
                        <w:rFonts w:ascii="Cambria Math" w:hAnsi="Cambria Math"/>
                      </w:rPr>
                      <m:t>o</m:t>
                    </m:r>
                  </m:sub>
                </m:sSub>
                <m:r>
                  <w:rPr>
                    <w:rFonts w:ascii="Cambria Math" w:hAnsi="Cambria Math"/>
                  </w:rPr>
                  <m:t>=π</m:t>
                </m:r>
                <m:sSub>
                  <m:sSubPr>
                    <m:ctrlPr>
                      <w:rPr>
                        <w:rFonts w:ascii="Cambria Math" w:hAnsi="Cambria Math"/>
                        <w:i/>
                        <w:iCs/>
                      </w:rPr>
                    </m:ctrlPr>
                  </m:sSubPr>
                  <m:e>
                    <m:r>
                      <w:rPr>
                        <w:rFonts w:ascii="Cambria Math" w:hAnsi="Cambria Math"/>
                      </w:rPr>
                      <m:t>D</m:t>
                    </m:r>
                  </m:e>
                  <m:sub>
                    <m:r>
                      <w:rPr>
                        <w:rFonts w:ascii="Cambria Math" w:hAnsi="Cambria Math"/>
                      </w:rPr>
                      <m:t>o</m:t>
                    </m:r>
                  </m:sub>
                </m:sSub>
                <m:r>
                  <w:rPr>
                    <w:rFonts w:ascii="Cambria Math" w:hAnsi="Cambria Math"/>
                  </w:rPr>
                  <m:t>L</m:t>
                </m:r>
              </m:oMath>
            </m:oMathPara>
          </w:p>
        </w:tc>
        <w:tc>
          <w:tcPr>
            <w:tcW w:w="239" w:type="dxa"/>
            <w:vAlign w:val="center"/>
            <w:hideMark/>
          </w:tcPr>
          <w:p w14:paraId="538047FD" w14:textId="77777777" w:rsidR="00A7521D" w:rsidRDefault="00A7521D" w:rsidP="00A7521D">
            <w:pPr>
              <w:pStyle w:val="Caption"/>
              <w:jc w:val="right"/>
            </w:pPr>
          </w:p>
        </w:tc>
        <w:tc>
          <w:tcPr>
            <w:tcW w:w="822" w:type="dxa"/>
            <w:vAlign w:val="center"/>
            <w:hideMark/>
          </w:tcPr>
          <w:p w14:paraId="7B569A36" w14:textId="17E98CAB" w:rsidR="00A7521D" w:rsidRDefault="00A7521D" w:rsidP="00A7521D">
            <w:pPr>
              <w:pStyle w:val="Caption"/>
              <w:jc w:val="right"/>
              <w:rPr>
                <w:b w:val="0"/>
              </w:rPr>
            </w:pPr>
            <w:r>
              <w:rPr>
                <w:noProof/>
              </w:rPr>
              <w:fldChar w:fldCharType="begin"/>
            </w:r>
            <w:r>
              <w:rPr>
                <w:noProof/>
              </w:rPr>
              <w:instrText xml:space="preserve"> STYLEREF 1 \s </w:instrText>
            </w:r>
            <w:r>
              <w:rPr>
                <w:noProof/>
              </w:rPr>
              <w:fldChar w:fldCharType="separate"/>
            </w:r>
            <w:r w:rsidR="00CB7456">
              <w:rPr>
                <w:noProof/>
              </w:rPr>
              <w:t>13</w:t>
            </w:r>
            <w:r>
              <w:rPr>
                <w:noProof/>
              </w:rPr>
              <w:fldChar w:fldCharType="end"/>
            </w:r>
            <w:r>
              <w:rPr>
                <w:noProof/>
              </w:rPr>
              <w:t>.</w:t>
            </w:r>
            <w:r>
              <w:rPr>
                <w:noProof/>
              </w:rPr>
              <w:fldChar w:fldCharType="begin"/>
            </w:r>
            <w:r>
              <w:rPr>
                <w:noProof/>
              </w:rPr>
              <w:instrText xml:space="preserve"> SEQ Equation \* ARABIC \s 1 </w:instrText>
            </w:r>
            <w:r>
              <w:rPr>
                <w:noProof/>
              </w:rPr>
              <w:fldChar w:fldCharType="separate"/>
            </w:r>
            <w:r w:rsidR="00CB7456">
              <w:rPr>
                <w:noProof/>
              </w:rPr>
              <w:t>32</w:t>
            </w:r>
            <w:r>
              <w:rPr>
                <w:noProof/>
              </w:rPr>
              <w:fldChar w:fldCharType="end"/>
            </w:r>
          </w:p>
        </w:tc>
      </w:tr>
    </w:tbl>
    <w:p w14:paraId="3D83AAF8" w14:textId="77777777" w:rsidR="00A7521D" w:rsidRDefault="00A7521D" w:rsidP="00A7521D">
      <w:pPr>
        <w:rPr>
          <w:iCs/>
        </w:rPr>
      </w:pPr>
    </w:p>
    <w:p w14:paraId="7F42D43E" w14:textId="5DD4AE41" w:rsidR="00A7521D" w:rsidRDefault="00C73E04" w:rsidP="00A7521D">
      <m:oMath>
        <m:sSub>
          <m:sSubPr>
            <m:ctrlPr>
              <w:rPr>
                <w:rFonts w:ascii="Cambria Math" w:hAnsi="Cambria Math"/>
                <w:i/>
              </w:rPr>
            </m:ctrlPr>
          </m:sSubPr>
          <m:e>
            <m:r>
              <w:rPr>
                <w:rFonts w:ascii="Cambria Math" w:hAnsi="Cambria Math"/>
              </w:rPr>
              <m:t>A</m:t>
            </m:r>
          </m:e>
          <m:sub>
            <m:r>
              <w:rPr>
                <w:rFonts w:ascii="Cambria Math" w:hAnsi="Cambria Math"/>
              </w:rPr>
              <m:t>o</m:t>
            </m:r>
          </m:sub>
        </m:sSub>
      </m:oMath>
      <w:r w:rsidR="00A7521D">
        <w:t xml:space="preserve"> was the outside area of the bare tube (m</w:t>
      </w:r>
      <w:r w:rsidR="00A7521D">
        <w:rPr>
          <w:vertAlign w:val="superscript"/>
        </w:rPr>
        <w:t>2</w:t>
      </w:r>
      <w:r w:rsidR="00A7521D">
        <w:t>).</w:t>
      </w:r>
    </w:p>
    <w:p w14:paraId="432DCF53" w14:textId="3EAF50B5" w:rsidR="00AD62BB" w:rsidRDefault="00AD62BB" w:rsidP="00A7521D">
      <w:r>
        <w:t>The outside area of the bare tube was dependent on the outer diameter and the tube length.</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37"/>
        <w:gridCol w:w="239"/>
        <w:gridCol w:w="822"/>
      </w:tblGrid>
      <w:tr w:rsidR="00A7521D" w14:paraId="61222930" w14:textId="77777777" w:rsidTr="00A7521D">
        <w:tc>
          <w:tcPr>
            <w:tcW w:w="7137" w:type="dxa"/>
            <w:hideMark/>
          </w:tcPr>
          <w:p w14:paraId="41D53ACC" w14:textId="77777777" w:rsidR="00A7521D" w:rsidRDefault="00C73E04" w:rsidP="00A7521D">
            <w:pPr>
              <w:keepNext/>
              <w:rPr>
                <w:color w:val="FFFFFF"/>
              </w:rPr>
            </w:pPr>
            <m:oMathPara>
              <m:oMathParaPr>
                <m:jc m:val="left"/>
              </m:oMathParaPr>
              <m:oMath>
                <m:sSub>
                  <m:sSubPr>
                    <m:ctrlPr>
                      <w:rPr>
                        <w:rFonts w:ascii="Cambria Math" w:hAnsi="Cambria Math"/>
                        <w:i/>
                        <w:iCs/>
                      </w:rPr>
                    </m:ctrlPr>
                  </m:sSubPr>
                  <m:e>
                    <m:r>
                      <w:rPr>
                        <w:rFonts w:ascii="Cambria Math" w:hAnsi="Cambria Math"/>
                      </w:rPr>
                      <m:t>A</m:t>
                    </m:r>
                  </m:e>
                  <m:sub>
                    <m:r>
                      <w:rPr>
                        <w:rFonts w:ascii="Cambria Math" w:hAnsi="Cambria Math"/>
                      </w:rPr>
                      <m:t>fi</m:t>
                    </m:r>
                  </m:sub>
                </m:sSub>
                <m:r>
                  <w:rPr>
                    <w:rFonts w:ascii="Cambria Math" w:hAnsi="Cambria Math"/>
                  </w:rPr>
                  <m:t>=</m:t>
                </m:r>
                <m:sSub>
                  <m:sSubPr>
                    <m:ctrlPr>
                      <w:rPr>
                        <w:rFonts w:ascii="Cambria Math" w:hAnsi="Cambria Math"/>
                        <w:i/>
                        <w:iCs/>
                      </w:rPr>
                    </m:ctrlPr>
                  </m:sSubPr>
                  <m:e>
                    <m:r>
                      <w:rPr>
                        <w:rFonts w:ascii="Cambria Math" w:hAnsi="Cambria Math"/>
                      </w:rPr>
                      <m:t>A</m:t>
                    </m:r>
                  </m:e>
                  <m:sub>
                    <m:r>
                      <w:rPr>
                        <w:rFonts w:ascii="Cambria Math" w:hAnsi="Cambria Math"/>
                      </w:rPr>
                      <m:t>o</m:t>
                    </m:r>
                  </m:sub>
                </m:sSub>
                <m:r>
                  <w:rPr>
                    <w:rFonts w:ascii="Cambria Math" w:hAnsi="Cambria Math"/>
                  </w:rPr>
                  <m:t>+</m:t>
                </m:r>
                <m:sSub>
                  <m:sSubPr>
                    <m:ctrlPr>
                      <w:rPr>
                        <w:rFonts w:ascii="Cambria Math" w:hAnsi="Cambria Math"/>
                        <w:i/>
                        <w:iCs/>
                      </w:rPr>
                    </m:ctrlPr>
                  </m:sSubPr>
                  <m:e>
                    <m:r>
                      <w:rPr>
                        <w:rFonts w:ascii="Cambria Math" w:hAnsi="Cambria Math"/>
                      </w:rPr>
                      <m:t>N</m:t>
                    </m:r>
                  </m:e>
                  <m:sub>
                    <m:r>
                      <w:rPr>
                        <w:rFonts w:ascii="Cambria Math" w:hAnsi="Cambria Math"/>
                      </w:rPr>
                      <m:t>fi</m:t>
                    </m:r>
                  </m:sub>
                </m:sSub>
                <m:sSub>
                  <m:sSubPr>
                    <m:ctrlPr>
                      <w:rPr>
                        <w:rFonts w:ascii="Cambria Math" w:hAnsi="Cambria Math"/>
                        <w:i/>
                        <w:iCs/>
                      </w:rPr>
                    </m:ctrlPr>
                  </m:sSubPr>
                  <m:e>
                    <m:r>
                      <w:rPr>
                        <w:rFonts w:ascii="Cambria Math" w:hAnsi="Cambria Math"/>
                      </w:rPr>
                      <m:t>L</m:t>
                    </m:r>
                  </m:e>
                  <m:sub>
                    <m:r>
                      <w:rPr>
                        <w:rFonts w:ascii="Cambria Math" w:hAnsi="Cambria Math"/>
                      </w:rPr>
                      <m:t>fi,th</m:t>
                    </m:r>
                  </m:sub>
                </m:sSub>
                <m:sSub>
                  <m:sSubPr>
                    <m:ctrlPr>
                      <w:rPr>
                        <w:rFonts w:ascii="Cambria Math" w:hAnsi="Cambria Math"/>
                        <w:i/>
                        <w:iCs/>
                      </w:rPr>
                    </m:ctrlPr>
                  </m:sSubPr>
                  <m:e>
                    <m:r>
                      <w:rPr>
                        <w:rFonts w:ascii="Cambria Math" w:hAnsi="Cambria Math"/>
                      </w:rPr>
                      <m:t>p</m:t>
                    </m:r>
                  </m:e>
                  <m:sub>
                    <m:r>
                      <w:rPr>
                        <w:rFonts w:ascii="Cambria Math" w:hAnsi="Cambria Math"/>
                      </w:rPr>
                      <m:t>fi</m:t>
                    </m:r>
                  </m:sub>
                </m:sSub>
              </m:oMath>
            </m:oMathPara>
          </w:p>
        </w:tc>
        <w:tc>
          <w:tcPr>
            <w:tcW w:w="239" w:type="dxa"/>
            <w:vAlign w:val="center"/>
            <w:hideMark/>
          </w:tcPr>
          <w:p w14:paraId="2C3D69B8" w14:textId="77777777" w:rsidR="00A7521D" w:rsidRDefault="00A7521D" w:rsidP="00A7521D">
            <w:pPr>
              <w:pStyle w:val="Caption"/>
              <w:jc w:val="right"/>
            </w:pPr>
          </w:p>
        </w:tc>
        <w:tc>
          <w:tcPr>
            <w:tcW w:w="822" w:type="dxa"/>
            <w:vAlign w:val="center"/>
            <w:hideMark/>
          </w:tcPr>
          <w:p w14:paraId="4B0D87DE" w14:textId="11CFE2FA" w:rsidR="00A7521D" w:rsidRDefault="00A7521D" w:rsidP="00A7521D">
            <w:pPr>
              <w:pStyle w:val="Caption"/>
              <w:jc w:val="right"/>
              <w:rPr>
                <w:b w:val="0"/>
              </w:rPr>
            </w:pPr>
            <w:r>
              <w:rPr>
                <w:noProof/>
              </w:rPr>
              <w:fldChar w:fldCharType="begin"/>
            </w:r>
            <w:r>
              <w:rPr>
                <w:noProof/>
              </w:rPr>
              <w:instrText xml:space="preserve"> STYLEREF 1 \s </w:instrText>
            </w:r>
            <w:r>
              <w:rPr>
                <w:noProof/>
              </w:rPr>
              <w:fldChar w:fldCharType="separate"/>
            </w:r>
            <w:r w:rsidR="00CB7456">
              <w:rPr>
                <w:noProof/>
              </w:rPr>
              <w:t>13</w:t>
            </w:r>
            <w:r>
              <w:rPr>
                <w:noProof/>
              </w:rPr>
              <w:fldChar w:fldCharType="end"/>
            </w:r>
            <w:r>
              <w:rPr>
                <w:noProof/>
              </w:rPr>
              <w:t>.</w:t>
            </w:r>
            <w:r>
              <w:rPr>
                <w:noProof/>
              </w:rPr>
              <w:fldChar w:fldCharType="begin"/>
            </w:r>
            <w:r>
              <w:rPr>
                <w:noProof/>
              </w:rPr>
              <w:instrText xml:space="preserve"> SEQ Equation \* ARABIC \s 1 </w:instrText>
            </w:r>
            <w:r>
              <w:rPr>
                <w:noProof/>
              </w:rPr>
              <w:fldChar w:fldCharType="separate"/>
            </w:r>
            <w:r w:rsidR="00CB7456">
              <w:rPr>
                <w:noProof/>
              </w:rPr>
              <w:t>33</w:t>
            </w:r>
            <w:r>
              <w:rPr>
                <w:noProof/>
              </w:rPr>
              <w:fldChar w:fldCharType="end"/>
            </w:r>
          </w:p>
        </w:tc>
      </w:tr>
    </w:tbl>
    <w:p w14:paraId="7692F299" w14:textId="77777777" w:rsidR="00A7521D" w:rsidRDefault="00A7521D" w:rsidP="00A7521D"/>
    <w:p w14:paraId="7E71C174" w14:textId="77777777" w:rsidR="00A7521D" w:rsidRDefault="00C73E04" w:rsidP="00A7521D">
      <w:pPr>
        <w:pStyle w:val="NoSpacing"/>
      </w:pPr>
      <m:oMath>
        <m:sSub>
          <m:sSubPr>
            <m:ctrlPr>
              <w:rPr>
                <w:rFonts w:ascii="Cambria Math" w:hAnsi="Cambria Math"/>
                <w:i/>
              </w:rPr>
            </m:ctrlPr>
          </m:sSubPr>
          <m:e>
            <m:r>
              <w:rPr>
                <w:rFonts w:ascii="Cambria Math" w:hAnsi="Cambria Math"/>
              </w:rPr>
              <m:t>A</m:t>
            </m:r>
          </m:e>
          <m:sub>
            <m:r>
              <w:rPr>
                <w:rFonts w:ascii="Cambria Math" w:hAnsi="Cambria Math"/>
              </w:rPr>
              <m:t>fi</m:t>
            </m:r>
          </m:sub>
        </m:sSub>
      </m:oMath>
      <w:r w:rsidR="00A7521D">
        <w:t xml:space="preserve"> was the effective fin area (m</w:t>
      </w:r>
      <w:r w:rsidR="00A7521D">
        <w:rPr>
          <w:vertAlign w:val="superscript"/>
        </w:rPr>
        <w:t>2</w:t>
      </w:r>
      <w:r w:rsidR="00A7521D">
        <w:t>),</w:t>
      </w:r>
    </w:p>
    <w:p w14:paraId="6D17724E" w14:textId="3E9DF809" w:rsidR="00A7521D" w:rsidRDefault="00C73E04" w:rsidP="00A7521D">
      <w:pPr>
        <w:rPr>
          <w:iCs/>
        </w:rPr>
      </w:pPr>
      <m:oMath>
        <m:sSub>
          <m:sSubPr>
            <m:ctrlPr>
              <w:rPr>
                <w:rFonts w:ascii="Cambria Math" w:hAnsi="Cambria Math"/>
                <w:i/>
                <w:iCs/>
              </w:rPr>
            </m:ctrlPr>
          </m:sSubPr>
          <m:e>
            <m:r>
              <w:rPr>
                <w:rFonts w:ascii="Cambria Math" w:hAnsi="Cambria Math"/>
              </w:rPr>
              <m:t>N</m:t>
            </m:r>
          </m:e>
          <m:sub>
            <m:r>
              <w:rPr>
                <w:rFonts w:ascii="Cambria Math" w:hAnsi="Cambria Math"/>
              </w:rPr>
              <m:t>fi</m:t>
            </m:r>
          </m:sub>
        </m:sSub>
      </m:oMath>
      <w:r w:rsidR="00A7521D">
        <w:rPr>
          <w:iCs/>
        </w:rPr>
        <w:t xml:space="preserve"> was the number of fins.</w:t>
      </w:r>
    </w:p>
    <w:p w14:paraId="2F28E048" w14:textId="77777777" w:rsidR="00857A79" w:rsidRDefault="00857A79" w:rsidP="00857A79">
      <w:pPr>
        <w:rPr>
          <w:iCs/>
        </w:rPr>
      </w:pPr>
      <w:r>
        <w:rPr>
          <w:iCs/>
        </w:rPr>
        <w:t xml:space="preserve">The effective fin area was dependent on the </w:t>
      </w:r>
      <w:r>
        <w:t xml:space="preserve">outside area of the bare tube, the number of fins, the </w:t>
      </w:r>
      <w:r>
        <w:rPr>
          <w:iCs/>
        </w:rPr>
        <w:t>fin thickness and the fin pitch. The number of fins was dependent on the physical characteristics of the finned tube.</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37"/>
        <w:gridCol w:w="239"/>
        <w:gridCol w:w="822"/>
      </w:tblGrid>
      <w:tr w:rsidR="00A7521D" w14:paraId="6C00056D" w14:textId="77777777" w:rsidTr="00A7521D">
        <w:tc>
          <w:tcPr>
            <w:tcW w:w="7137" w:type="dxa"/>
            <w:hideMark/>
          </w:tcPr>
          <w:p w14:paraId="3788FB38" w14:textId="5B2C61FD" w:rsidR="00A7521D" w:rsidRDefault="00C73E04" w:rsidP="00A7521D">
            <w:pPr>
              <w:keepNext/>
              <w:rPr>
                <w:color w:val="FFFFFF"/>
              </w:rPr>
            </w:pPr>
            <m:oMathPara>
              <m:oMathParaPr>
                <m:jc m:val="left"/>
              </m:oMathParaPr>
              <m:oMath>
                <m:f>
                  <m:fPr>
                    <m:ctrlPr>
                      <w:rPr>
                        <w:rFonts w:ascii="Cambria Math" w:hAnsi="Cambria Math"/>
                        <w:i/>
                        <w:iCs/>
                      </w:rPr>
                    </m:ctrlPr>
                  </m:fPr>
                  <m:num>
                    <m:r>
                      <w:rPr>
                        <w:rFonts w:ascii="Cambria Math" w:hAnsi="Cambria Math"/>
                      </w:rPr>
                      <m:t>1</m:t>
                    </m:r>
                  </m:num>
                  <m:den>
                    <m:sSub>
                      <m:sSubPr>
                        <m:ctrlPr>
                          <w:rPr>
                            <w:rFonts w:ascii="Cambria Math" w:hAnsi="Cambria Math"/>
                            <w:i/>
                            <w:iCs/>
                          </w:rPr>
                        </m:ctrlPr>
                      </m:sSubPr>
                      <m:e>
                        <m:r>
                          <w:rPr>
                            <w:rFonts w:ascii="Cambria Math" w:hAnsi="Cambria Math"/>
                          </w:rPr>
                          <m:t>U</m:t>
                        </m:r>
                      </m:e>
                      <m:sub>
                        <m:r>
                          <w:rPr>
                            <w:rFonts w:ascii="Cambria Math" w:hAnsi="Cambria Math"/>
                          </w:rPr>
                          <m:t>o</m:t>
                        </m:r>
                      </m:sub>
                    </m:sSub>
                  </m:den>
                </m:f>
                <m:r>
                  <w:rPr>
                    <w:rFonts w:ascii="Cambria Math" w:hAnsi="Cambria Math"/>
                  </w:rPr>
                  <m:t>=</m:t>
                </m:r>
                <m:f>
                  <m:fPr>
                    <m:ctrlPr>
                      <w:rPr>
                        <w:rFonts w:ascii="Cambria Math" w:hAnsi="Cambria Math"/>
                        <w:i/>
                        <w:iCs/>
                      </w:rPr>
                    </m:ctrlPr>
                  </m:fPr>
                  <m:num>
                    <m:r>
                      <w:rPr>
                        <w:rFonts w:ascii="Cambria Math" w:hAnsi="Cambria Math"/>
                      </w:rPr>
                      <m:t>1</m:t>
                    </m:r>
                  </m:num>
                  <m:den>
                    <m:sSub>
                      <m:sSubPr>
                        <m:ctrlPr>
                          <w:rPr>
                            <w:rFonts w:ascii="Cambria Math" w:hAnsi="Cambria Math"/>
                            <w:i/>
                            <w:iCs/>
                          </w:rPr>
                        </m:ctrlPr>
                      </m:sSubPr>
                      <m:e>
                        <m:r>
                          <w:rPr>
                            <w:rFonts w:ascii="Cambria Math" w:hAnsi="Cambria Math"/>
                          </w:rPr>
                          <m:t>η</m:t>
                        </m:r>
                      </m:e>
                      <m:sub>
                        <m:r>
                          <w:rPr>
                            <w:rFonts w:ascii="Cambria Math" w:hAnsi="Cambria Math"/>
                          </w:rPr>
                          <m:t>fi</m:t>
                        </m:r>
                      </m:sub>
                    </m:sSub>
                  </m:den>
                </m:f>
                <m:f>
                  <m:fPr>
                    <m:ctrlPr>
                      <w:rPr>
                        <w:rFonts w:ascii="Cambria Math" w:hAnsi="Cambria Math"/>
                        <w:i/>
                        <w:iCs/>
                      </w:rPr>
                    </m:ctrlPr>
                  </m:fPr>
                  <m:num>
                    <m:sSub>
                      <m:sSubPr>
                        <m:ctrlPr>
                          <w:rPr>
                            <w:rFonts w:ascii="Cambria Math" w:hAnsi="Cambria Math"/>
                            <w:i/>
                            <w:iCs/>
                          </w:rPr>
                        </m:ctrlPr>
                      </m:sSubPr>
                      <m:e>
                        <m:r>
                          <w:rPr>
                            <w:rFonts w:ascii="Cambria Math" w:hAnsi="Cambria Math"/>
                          </w:rPr>
                          <m:t>A</m:t>
                        </m:r>
                      </m:e>
                      <m:sub>
                        <m:r>
                          <w:rPr>
                            <w:rFonts w:ascii="Cambria Math" w:hAnsi="Cambria Math"/>
                          </w:rPr>
                          <m:t>o</m:t>
                        </m:r>
                      </m:sub>
                    </m:sSub>
                  </m:num>
                  <m:den>
                    <m:sSub>
                      <m:sSubPr>
                        <m:ctrlPr>
                          <w:rPr>
                            <w:rFonts w:ascii="Cambria Math" w:hAnsi="Cambria Math"/>
                            <w:i/>
                            <w:iCs/>
                          </w:rPr>
                        </m:ctrlPr>
                      </m:sSubPr>
                      <m:e>
                        <m:r>
                          <w:rPr>
                            <w:rFonts w:ascii="Cambria Math" w:hAnsi="Cambria Math"/>
                          </w:rPr>
                          <m:t>A</m:t>
                        </m:r>
                      </m:e>
                      <m:sub>
                        <m:r>
                          <w:rPr>
                            <w:rFonts w:ascii="Cambria Math" w:hAnsi="Cambria Math"/>
                          </w:rPr>
                          <m:t>fi</m:t>
                        </m:r>
                      </m:sub>
                    </m:sSub>
                  </m:den>
                </m:f>
                <m:d>
                  <m:dPr>
                    <m:ctrlPr>
                      <w:rPr>
                        <w:rFonts w:ascii="Cambria Math" w:hAnsi="Cambria Math"/>
                        <w:i/>
                        <w:iCs/>
                      </w:rPr>
                    </m:ctrlPr>
                  </m:dPr>
                  <m:e>
                    <m:f>
                      <m:fPr>
                        <m:ctrlPr>
                          <w:rPr>
                            <w:rFonts w:ascii="Cambria Math" w:hAnsi="Cambria Math"/>
                            <w:i/>
                            <w:iCs/>
                          </w:rPr>
                        </m:ctrlPr>
                      </m:fPr>
                      <m:num>
                        <m:r>
                          <w:rPr>
                            <w:rFonts w:ascii="Cambria Math" w:hAnsi="Cambria Math"/>
                          </w:rPr>
                          <m:t>1</m:t>
                        </m:r>
                      </m:num>
                      <m:den>
                        <m:sSub>
                          <m:sSubPr>
                            <m:ctrlPr>
                              <w:rPr>
                                <w:rFonts w:ascii="Cambria Math" w:hAnsi="Cambria Math"/>
                                <w:i/>
                                <w:iCs/>
                              </w:rPr>
                            </m:ctrlPr>
                          </m:sSubPr>
                          <m:e>
                            <m:r>
                              <w:rPr>
                                <w:rFonts w:ascii="Cambria Math" w:hAnsi="Cambria Math"/>
                              </w:rPr>
                              <m:t>h</m:t>
                            </m:r>
                          </m:e>
                          <m:sub>
                            <m:r>
                              <w:rPr>
                                <w:rFonts w:ascii="Cambria Math" w:hAnsi="Cambria Math"/>
                              </w:rPr>
                              <m:t>id</m:t>
                            </m:r>
                          </m:sub>
                        </m:sSub>
                      </m:den>
                    </m:f>
                    <m:r>
                      <w:rPr>
                        <w:rFonts w:ascii="Cambria Math" w:hAnsi="Cambria Math"/>
                      </w:rPr>
                      <m:t>+</m:t>
                    </m:r>
                    <m:f>
                      <m:fPr>
                        <m:ctrlPr>
                          <w:rPr>
                            <w:rFonts w:ascii="Cambria Math" w:hAnsi="Cambria Math"/>
                            <w:i/>
                            <w:iCs/>
                          </w:rPr>
                        </m:ctrlPr>
                      </m:fPr>
                      <m:num>
                        <m:r>
                          <w:rPr>
                            <w:rFonts w:ascii="Cambria Math" w:hAnsi="Cambria Math"/>
                          </w:rPr>
                          <m:t>1</m:t>
                        </m:r>
                      </m:num>
                      <m:den>
                        <m:sSub>
                          <m:sSubPr>
                            <m:ctrlPr>
                              <w:rPr>
                                <w:rFonts w:ascii="Cambria Math" w:hAnsi="Cambria Math"/>
                                <w:i/>
                                <w:iCs/>
                              </w:rPr>
                            </m:ctrlPr>
                          </m:sSubPr>
                          <m:e>
                            <m:r>
                              <w:rPr>
                                <w:rFonts w:ascii="Cambria Math" w:hAnsi="Cambria Math"/>
                              </w:rPr>
                              <m:t>h</m:t>
                            </m:r>
                          </m:e>
                          <m:sub>
                            <m:r>
                              <w:rPr>
                                <w:rFonts w:ascii="Cambria Math" w:hAnsi="Cambria Math"/>
                              </w:rPr>
                              <m:t>od</m:t>
                            </m:r>
                          </m:sub>
                        </m:sSub>
                      </m:den>
                    </m:f>
                  </m:e>
                </m:d>
                <m:r>
                  <w:rPr>
                    <w:rFonts w:ascii="Cambria Math" w:hAnsi="Cambria Math"/>
                  </w:rPr>
                  <m:t>+</m:t>
                </m:r>
                <m:f>
                  <m:fPr>
                    <m:ctrlPr>
                      <w:rPr>
                        <w:rFonts w:ascii="Cambria Math" w:hAnsi="Cambria Math"/>
                        <w:i/>
                        <w:iCs/>
                      </w:rPr>
                    </m:ctrlPr>
                  </m:fPr>
                  <m:num>
                    <m:sSub>
                      <m:sSubPr>
                        <m:ctrlPr>
                          <w:rPr>
                            <w:rFonts w:ascii="Cambria Math" w:hAnsi="Cambria Math"/>
                            <w:i/>
                            <w:iCs/>
                          </w:rPr>
                        </m:ctrlPr>
                      </m:sSubPr>
                      <m:e>
                        <m:r>
                          <w:rPr>
                            <w:rFonts w:ascii="Cambria Math" w:hAnsi="Cambria Math"/>
                          </w:rPr>
                          <m:t>D</m:t>
                        </m:r>
                      </m:e>
                      <m:sub>
                        <m:r>
                          <w:rPr>
                            <w:rFonts w:ascii="Cambria Math" w:hAnsi="Cambria Math"/>
                          </w:rPr>
                          <m:t>o</m:t>
                        </m:r>
                      </m:sub>
                    </m:sSub>
                    <m:func>
                      <m:funcPr>
                        <m:ctrlPr>
                          <w:rPr>
                            <w:rFonts w:ascii="Cambria Math" w:hAnsi="Cambria Math"/>
                            <w:i/>
                            <w:iCs/>
                          </w:rPr>
                        </m:ctrlPr>
                      </m:funcPr>
                      <m:fName>
                        <m:r>
                          <m:rPr>
                            <m:sty m:val="p"/>
                          </m:rPr>
                          <w:rPr>
                            <w:rFonts w:ascii="Cambria Math" w:hAnsi="Cambria Math"/>
                          </w:rPr>
                          <m:t>ln</m:t>
                        </m:r>
                      </m:fName>
                      <m:e>
                        <m:d>
                          <m:dPr>
                            <m:ctrlPr>
                              <w:rPr>
                                <w:rFonts w:ascii="Cambria Math" w:hAnsi="Cambria Math"/>
                                <w:i/>
                                <w:iCs/>
                              </w:rPr>
                            </m:ctrlPr>
                          </m:dPr>
                          <m:e>
                            <m:f>
                              <m:fPr>
                                <m:ctrlPr>
                                  <w:rPr>
                                    <w:rFonts w:ascii="Cambria Math" w:hAnsi="Cambria Math"/>
                                    <w:i/>
                                    <w:iCs/>
                                  </w:rPr>
                                </m:ctrlPr>
                              </m:fPr>
                              <m:num>
                                <m:sSub>
                                  <m:sSubPr>
                                    <m:ctrlPr>
                                      <w:rPr>
                                        <w:rFonts w:ascii="Cambria Math" w:hAnsi="Cambria Math"/>
                                        <w:i/>
                                        <w:iCs/>
                                      </w:rPr>
                                    </m:ctrlPr>
                                  </m:sSubPr>
                                  <m:e>
                                    <m:r>
                                      <w:rPr>
                                        <w:rFonts w:ascii="Cambria Math" w:hAnsi="Cambria Math"/>
                                      </w:rPr>
                                      <m:t>D</m:t>
                                    </m:r>
                                  </m:e>
                                  <m:sub>
                                    <m:r>
                                      <w:rPr>
                                        <w:rFonts w:ascii="Cambria Math" w:hAnsi="Cambria Math"/>
                                      </w:rPr>
                                      <m:t>o</m:t>
                                    </m:r>
                                  </m:sub>
                                </m:sSub>
                              </m:num>
                              <m:den>
                                <m:sSub>
                                  <m:sSubPr>
                                    <m:ctrlPr>
                                      <w:rPr>
                                        <w:rFonts w:ascii="Cambria Math" w:hAnsi="Cambria Math"/>
                                        <w:i/>
                                        <w:iCs/>
                                      </w:rPr>
                                    </m:ctrlPr>
                                  </m:sSubPr>
                                  <m:e>
                                    <m:r>
                                      <w:rPr>
                                        <w:rFonts w:ascii="Cambria Math" w:hAnsi="Cambria Math"/>
                                      </w:rPr>
                                      <m:t>D</m:t>
                                    </m:r>
                                  </m:e>
                                  <m:sub>
                                    <m:r>
                                      <w:rPr>
                                        <w:rFonts w:ascii="Cambria Math" w:hAnsi="Cambria Math"/>
                                      </w:rPr>
                                      <m:t>i</m:t>
                                    </m:r>
                                  </m:sub>
                                </m:sSub>
                              </m:den>
                            </m:f>
                          </m:e>
                        </m:d>
                      </m:e>
                    </m:func>
                  </m:num>
                  <m:den>
                    <m:r>
                      <w:rPr>
                        <w:rFonts w:ascii="Cambria Math" w:hAnsi="Cambria Math"/>
                      </w:rPr>
                      <m:t>2</m:t>
                    </m:r>
                    <m:sSub>
                      <m:sSubPr>
                        <m:ctrlPr>
                          <w:rPr>
                            <w:rFonts w:ascii="Cambria Math" w:hAnsi="Cambria Math"/>
                            <w:i/>
                            <w:iCs/>
                          </w:rPr>
                        </m:ctrlPr>
                      </m:sSubPr>
                      <m:e>
                        <m:r>
                          <w:rPr>
                            <w:rFonts w:ascii="Cambria Math" w:hAnsi="Cambria Math"/>
                          </w:rPr>
                          <m:t>k</m:t>
                        </m:r>
                      </m:e>
                      <m:sub>
                        <m:r>
                          <w:rPr>
                            <w:rFonts w:ascii="Cambria Math" w:hAnsi="Cambria Math"/>
                          </w:rPr>
                          <m:t>w</m:t>
                        </m:r>
                      </m:sub>
                    </m:sSub>
                  </m:den>
                </m:f>
                <m:r>
                  <w:rPr>
                    <w:rFonts w:ascii="Cambria Math" w:hAnsi="Cambria Math"/>
                  </w:rPr>
                  <m:t>+</m:t>
                </m:r>
                <m:f>
                  <m:fPr>
                    <m:ctrlPr>
                      <w:rPr>
                        <w:rFonts w:ascii="Cambria Math" w:hAnsi="Cambria Math"/>
                        <w:i/>
                        <w:iCs/>
                      </w:rPr>
                    </m:ctrlPr>
                  </m:fPr>
                  <m:num>
                    <m:sSub>
                      <m:sSubPr>
                        <m:ctrlPr>
                          <w:rPr>
                            <w:rFonts w:ascii="Cambria Math" w:hAnsi="Cambria Math"/>
                            <w:i/>
                            <w:iCs/>
                          </w:rPr>
                        </m:ctrlPr>
                      </m:sSubPr>
                      <m:e>
                        <m:r>
                          <w:rPr>
                            <w:rFonts w:ascii="Cambria Math" w:hAnsi="Cambria Math"/>
                          </w:rPr>
                          <m:t>D</m:t>
                        </m:r>
                      </m:e>
                      <m:sub>
                        <m:r>
                          <w:rPr>
                            <w:rFonts w:ascii="Cambria Math" w:hAnsi="Cambria Math"/>
                          </w:rPr>
                          <m:t>o</m:t>
                        </m:r>
                      </m:sub>
                    </m:sSub>
                  </m:num>
                  <m:den>
                    <m:sSub>
                      <m:sSubPr>
                        <m:ctrlPr>
                          <w:rPr>
                            <w:rFonts w:ascii="Cambria Math" w:hAnsi="Cambria Math"/>
                            <w:i/>
                            <w:iCs/>
                          </w:rPr>
                        </m:ctrlPr>
                      </m:sSubPr>
                      <m:e>
                        <m:r>
                          <w:rPr>
                            <w:rFonts w:ascii="Cambria Math" w:hAnsi="Cambria Math"/>
                          </w:rPr>
                          <m:t>D</m:t>
                        </m:r>
                      </m:e>
                      <m:sub>
                        <m:r>
                          <w:rPr>
                            <w:rFonts w:ascii="Cambria Math" w:hAnsi="Cambria Math"/>
                          </w:rPr>
                          <m:t>i</m:t>
                        </m:r>
                      </m:sub>
                    </m:sSub>
                  </m:den>
                </m:f>
                <m:f>
                  <m:fPr>
                    <m:ctrlPr>
                      <w:rPr>
                        <w:rFonts w:ascii="Cambria Math" w:hAnsi="Cambria Math"/>
                        <w:i/>
                        <w:iCs/>
                      </w:rPr>
                    </m:ctrlPr>
                  </m:fPr>
                  <m:num>
                    <m:r>
                      <w:rPr>
                        <w:rFonts w:ascii="Cambria Math" w:hAnsi="Cambria Math"/>
                      </w:rPr>
                      <m:t>1</m:t>
                    </m:r>
                  </m:num>
                  <m:den>
                    <m:sSub>
                      <m:sSubPr>
                        <m:ctrlPr>
                          <w:rPr>
                            <w:rFonts w:ascii="Cambria Math" w:hAnsi="Cambria Math"/>
                            <w:i/>
                            <w:iCs/>
                          </w:rPr>
                        </m:ctrlPr>
                      </m:sSubPr>
                      <m:e>
                        <m:r>
                          <w:rPr>
                            <w:rFonts w:ascii="Cambria Math" w:hAnsi="Cambria Math"/>
                          </w:rPr>
                          <m:t>h</m:t>
                        </m:r>
                      </m:e>
                      <m:sub>
                        <m:r>
                          <w:rPr>
                            <w:rFonts w:ascii="Cambria Math" w:hAnsi="Cambria Math"/>
                          </w:rPr>
                          <m:t>id</m:t>
                        </m:r>
                      </m:sub>
                    </m:sSub>
                  </m:den>
                </m:f>
                <m:r>
                  <w:rPr>
                    <w:rFonts w:ascii="Cambria Math" w:hAnsi="Cambria Math"/>
                  </w:rPr>
                  <m:t>+</m:t>
                </m:r>
                <m:f>
                  <m:fPr>
                    <m:ctrlPr>
                      <w:rPr>
                        <w:rFonts w:ascii="Cambria Math" w:hAnsi="Cambria Math"/>
                        <w:i/>
                        <w:iCs/>
                      </w:rPr>
                    </m:ctrlPr>
                  </m:fPr>
                  <m:num>
                    <m:sSub>
                      <m:sSubPr>
                        <m:ctrlPr>
                          <w:rPr>
                            <w:rFonts w:ascii="Cambria Math" w:hAnsi="Cambria Math"/>
                            <w:i/>
                            <w:iCs/>
                          </w:rPr>
                        </m:ctrlPr>
                      </m:sSubPr>
                      <m:e>
                        <m:r>
                          <w:rPr>
                            <w:rFonts w:ascii="Cambria Math" w:hAnsi="Cambria Math"/>
                          </w:rPr>
                          <m:t>D</m:t>
                        </m:r>
                      </m:e>
                      <m:sub>
                        <m:r>
                          <w:rPr>
                            <w:rFonts w:ascii="Cambria Math" w:hAnsi="Cambria Math"/>
                          </w:rPr>
                          <m:t>o</m:t>
                        </m:r>
                      </m:sub>
                    </m:sSub>
                  </m:num>
                  <m:den>
                    <m:sSub>
                      <m:sSubPr>
                        <m:ctrlPr>
                          <w:rPr>
                            <w:rFonts w:ascii="Cambria Math" w:hAnsi="Cambria Math"/>
                            <w:i/>
                            <w:iCs/>
                          </w:rPr>
                        </m:ctrlPr>
                      </m:sSubPr>
                      <m:e>
                        <m:r>
                          <w:rPr>
                            <w:rFonts w:ascii="Cambria Math" w:hAnsi="Cambria Math"/>
                          </w:rPr>
                          <m:t>D</m:t>
                        </m:r>
                      </m:e>
                      <m:sub>
                        <m:r>
                          <w:rPr>
                            <w:rFonts w:ascii="Cambria Math" w:hAnsi="Cambria Math"/>
                          </w:rPr>
                          <m:t>i</m:t>
                        </m:r>
                      </m:sub>
                    </m:sSub>
                  </m:den>
                </m:f>
                <m:f>
                  <m:fPr>
                    <m:ctrlPr>
                      <w:rPr>
                        <w:rFonts w:ascii="Cambria Math" w:hAnsi="Cambria Math"/>
                        <w:i/>
                        <w:iCs/>
                      </w:rPr>
                    </m:ctrlPr>
                  </m:fPr>
                  <m:num>
                    <m:r>
                      <w:rPr>
                        <w:rFonts w:ascii="Cambria Math" w:hAnsi="Cambria Math"/>
                      </w:rPr>
                      <m:t>1</m:t>
                    </m:r>
                  </m:num>
                  <m:den>
                    <m:sSub>
                      <m:sSubPr>
                        <m:ctrlPr>
                          <w:rPr>
                            <w:rFonts w:ascii="Cambria Math" w:hAnsi="Cambria Math"/>
                            <w:i/>
                            <w:iCs/>
                          </w:rPr>
                        </m:ctrlPr>
                      </m:sSubPr>
                      <m:e>
                        <m:r>
                          <w:rPr>
                            <w:rFonts w:ascii="Cambria Math" w:hAnsi="Cambria Math"/>
                          </w:rPr>
                          <m:t>h</m:t>
                        </m:r>
                      </m:e>
                      <m:sub>
                        <m:r>
                          <w:rPr>
                            <w:rFonts w:ascii="Cambria Math" w:hAnsi="Cambria Math"/>
                          </w:rPr>
                          <m:t>i</m:t>
                        </m:r>
                      </m:sub>
                    </m:sSub>
                  </m:den>
                </m:f>
              </m:oMath>
            </m:oMathPara>
          </w:p>
        </w:tc>
        <w:tc>
          <w:tcPr>
            <w:tcW w:w="239" w:type="dxa"/>
            <w:vAlign w:val="center"/>
            <w:hideMark/>
          </w:tcPr>
          <w:p w14:paraId="1D1A67F1" w14:textId="77777777" w:rsidR="00A7521D" w:rsidRDefault="00A7521D" w:rsidP="00A7521D">
            <w:pPr>
              <w:pStyle w:val="Caption"/>
              <w:jc w:val="right"/>
            </w:pPr>
          </w:p>
        </w:tc>
        <w:tc>
          <w:tcPr>
            <w:tcW w:w="822" w:type="dxa"/>
            <w:vAlign w:val="center"/>
            <w:hideMark/>
          </w:tcPr>
          <w:p w14:paraId="19123ECD" w14:textId="75386802" w:rsidR="00A7521D" w:rsidRDefault="00A7521D" w:rsidP="00A7521D">
            <w:pPr>
              <w:pStyle w:val="Caption"/>
              <w:jc w:val="right"/>
              <w:rPr>
                <w:b w:val="0"/>
              </w:rPr>
            </w:pPr>
            <w:r>
              <w:rPr>
                <w:noProof/>
              </w:rPr>
              <w:fldChar w:fldCharType="begin"/>
            </w:r>
            <w:r>
              <w:rPr>
                <w:noProof/>
              </w:rPr>
              <w:instrText xml:space="preserve"> STYLEREF 1 \s </w:instrText>
            </w:r>
            <w:r>
              <w:rPr>
                <w:noProof/>
              </w:rPr>
              <w:fldChar w:fldCharType="separate"/>
            </w:r>
            <w:r w:rsidR="00CB7456">
              <w:rPr>
                <w:noProof/>
              </w:rPr>
              <w:t>13</w:t>
            </w:r>
            <w:r>
              <w:rPr>
                <w:noProof/>
              </w:rPr>
              <w:fldChar w:fldCharType="end"/>
            </w:r>
            <w:r>
              <w:rPr>
                <w:noProof/>
              </w:rPr>
              <w:t>.</w:t>
            </w:r>
            <w:r>
              <w:rPr>
                <w:noProof/>
              </w:rPr>
              <w:fldChar w:fldCharType="begin"/>
            </w:r>
            <w:r>
              <w:rPr>
                <w:noProof/>
              </w:rPr>
              <w:instrText xml:space="preserve"> SEQ Equation \* ARABIC \s 1 </w:instrText>
            </w:r>
            <w:r>
              <w:rPr>
                <w:noProof/>
              </w:rPr>
              <w:fldChar w:fldCharType="separate"/>
            </w:r>
            <w:r w:rsidR="00CB7456">
              <w:rPr>
                <w:noProof/>
              </w:rPr>
              <w:t>34</w:t>
            </w:r>
            <w:r>
              <w:rPr>
                <w:noProof/>
              </w:rPr>
              <w:fldChar w:fldCharType="end"/>
            </w:r>
          </w:p>
        </w:tc>
      </w:tr>
    </w:tbl>
    <w:p w14:paraId="57DD2753" w14:textId="77777777" w:rsidR="00A7521D" w:rsidRDefault="00A7521D" w:rsidP="00A7521D">
      <w:pPr>
        <w:rPr>
          <w:iCs/>
        </w:rPr>
      </w:pPr>
    </w:p>
    <w:p w14:paraId="5A3A7763" w14:textId="77777777" w:rsidR="00A7521D" w:rsidRDefault="00C73E04" w:rsidP="00A7521D">
      <w:pPr>
        <w:pStyle w:val="NoSpacing"/>
      </w:pPr>
      <m:oMath>
        <m:sSub>
          <m:sSubPr>
            <m:ctrlPr>
              <w:rPr>
                <w:rFonts w:ascii="Cambria Math" w:hAnsi="Cambria Math"/>
                <w:i/>
                <w:iCs/>
              </w:rPr>
            </m:ctrlPr>
          </m:sSubPr>
          <m:e>
            <m:r>
              <w:rPr>
                <w:rFonts w:ascii="Cambria Math" w:hAnsi="Cambria Math"/>
              </w:rPr>
              <m:t>U</m:t>
            </m:r>
          </m:e>
          <m:sub>
            <m:r>
              <w:rPr>
                <w:rFonts w:ascii="Cambria Math" w:hAnsi="Cambria Math"/>
              </w:rPr>
              <m:t>0</m:t>
            </m:r>
          </m:sub>
        </m:sSub>
      </m:oMath>
      <w:r w:rsidR="00A7521D">
        <w:rPr>
          <w:iCs/>
        </w:rPr>
        <w:t xml:space="preserve"> was </w:t>
      </w:r>
      <w:r w:rsidR="00A7521D">
        <w:t>the overall HTC (W/[m</w:t>
      </w:r>
      <w:r w:rsidR="00A7521D">
        <w:rPr>
          <w:vertAlign w:val="superscript"/>
        </w:rPr>
        <w:t>2</w:t>
      </w:r>
      <w:r w:rsidR="00A7521D">
        <w:t>°C]),</w:t>
      </w:r>
    </w:p>
    <w:p w14:paraId="100301CF" w14:textId="77777777" w:rsidR="00A7521D" w:rsidRDefault="00C73E04" w:rsidP="00A7521D">
      <w:pPr>
        <w:pStyle w:val="NoSpacing"/>
      </w:pPr>
      <m:oMath>
        <m:sSub>
          <m:sSubPr>
            <m:ctrlPr>
              <w:rPr>
                <w:rFonts w:ascii="Cambria Math" w:hAnsi="Cambria Math"/>
                <w:i/>
                <w:iCs/>
              </w:rPr>
            </m:ctrlPr>
          </m:sSubPr>
          <m:e>
            <m:r>
              <w:rPr>
                <w:rFonts w:ascii="Cambria Math" w:hAnsi="Cambria Math"/>
              </w:rPr>
              <m:t>η</m:t>
            </m:r>
          </m:e>
          <m:sub>
            <m:r>
              <w:rPr>
                <w:rFonts w:ascii="Cambria Math" w:hAnsi="Cambria Math"/>
              </w:rPr>
              <m:t>fi</m:t>
            </m:r>
          </m:sub>
        </m:sSub>
      </m:oMath>
      <w:r w:rsidR="00A7521D">
        <w:rPr>
          <w:iCs/>
        </w:rPr>
        <w:t xml:space="preserve"> was the fin efficiency (%),</w:t>
      </w:r>
    </w:p>
    <w:p w14:paraId="5E692ACE" w14:textId="77777777" w:rsidR="00A7521D" w:rsidRDefault="00C73E04" w:rsidP="00A7521D">
      <w:pPr>
        <w:pStyle w:val="NoSpacing"/>
      </w:pPr>
      <m:oMath>
        <m:sSub>
          <m:sSubPr>
            <m:ctrlPr>
              <w:rPr>
                <w:rFonts w:ascii="Cambria Math" w:hAnsi="Cambria Math"/>
                <w:i/>
              </w:rPr>
            </m:ctrlPr>
          </m:sSubPr>
          <m:e>
            <m:r>
              <w:rPr>
                <w:rFonts w:ascii="Cambria Math" w:hAnsi="Cambria Math"/>
              </w:rPr>
              <m:t>h</m:t>
            </m:r>
          </m:e>
          <m:sub>
            <m:r>
              <w:rPr>
                <w:rFonts w:ascii="Cambria Math" w:hAnsi="Cambria Math"/>
              </w:rPr>
              <m:t>od</m:t>
            </m:r>
          </m:sub>
        </m:sSub>
      </m:oMath>
      <w:r w:rsidR="00A7521D">
        <w:t xml:space="preserve"> was the outside dirt coefficient (W/[m</w:t>
      </w:r>
      <w:r w:rsidR="00A7521D">
        <w:rPr>
          <w:vertAlign w:val="superscript"/>
        </w:rPr>
        <w:t>2</w:t>
      </w:r>
      <w:r w:rsidR="00A7521D">
        <w:t>°C]),</w:t>
      </w:r>
    </w:p>
    <w:p w14:paraId="039BFB0E" w14:textId="77777777" w:rsidR="00A7521D" w:rsidRDefault="00C73E04" w:rsidP="00A7521D">
      <w:pPr>
        <w:pStyle w:val="NoSpacing"/>
      </w:pPr>
      <m:oMath>
        <m:sSub>
          <m:sSubPr>
            <m:ctrlPr>
              <w:rPr>
                <w:rFonts w:ascii="Cambria Math" w:hAnsi="Cambria Math"/>
                <w:i/>
                <w:iCs/>
              </w:rPr>
            </m:ctrlPr>
          </m:sSubPr>
          <m:e>
            <m:r>
              <w:rPr>
                <w:rFonts w:ascii="Cambria Math" w:hAnsi="Cambria Math"/>
              </w:rPr>
              <m:t>k</m:t>
            </m:r>
          </m:e>
          <m:sub>
            <m:r>
              <w:rPr>
                <w:rFonts w:ascii="Cambria Math" w:hAnsi="Cambria Math"/>
              </w:rPr>
              <m:t>w</m:t>
            </m:r>
          </m:sub>
        </m:sSub>
      </m:oMath>
      <w:r w:rsidR="00A7521D">
        <w:rPr>
          <w:iCs/>
        </w:rPr>
        <w:t xml:space="preserve"> was the thermal conductivity of the wall material (W/[</w:t>
      </w:r>
      <w:proofErr w:type="spellStart"/>
      <w:r w:rsidR="00A7521D">
        <w:rPr>
          <w:iCs/>
        </w:rPr>
        <w:t>mK</w:t>
      </w:r>
      <w:proofErr w:type="spellEnd"/>
      <w:r w:rsidR="00A7521D">
        <w:rPr>
          <w:iCs/>
        </w:rPr>
        <w:t>]),</w:t>
      </w:r>
    </w:p>
    <w:p w14:paraId="11FAEFE0" w14:textId="435519B0" w:rsidR="00A7521D" w:rsidRDefault="00C73E04" w:rsidP="00A7521D">
      <m:oMath>
        <m:sSub>
          <m:sSubPr>
            <m:ctrlPr>
              <w:rPr>
                <w:rFonts w:ascii="Cambria Math" w:hAnsi="Cambria Math"/>
                <w:i/>
              </w:rPr>
            </m:ctrlPr>
          </m:sSubPr>
          <m:e>
            <m:r>
              <w:rPr>
                <w:rFonts w:ascii="Cambria Math" w:hAnsi="Cambria Math"/>
              </w:rPr>
              <m:t>h</m:t>
            </m:r>
          </m:e>
          <m:sub>
            <m:r>
              <w:rPr>
                <w:rFonts w:ascii="Cambria Math" w:hAnsi="Cambria Math"/>
              </w:rPr>
              <m:t>id</m:t>
            </m:r>
          </m:sub>
        </m:sSub>
      </m:oMath>
      <w:r w:rsidR="00A7521D">
        <w:t xml:space="preserve"> was the outside dirt coefficient (W/[m</w:t>
      </w:r>
      <w:r w:rsidR="00A7521D">
        <w:rPr>
          <w:vertAlign w:val="superscript"/>
        </w:rPr>
        <w:t>2</w:t>
      </w:r>
      <w:r w:rsidR="00A7521D">
        <w:t>°C]).</w:t>
      </w:r>
    </w:p>
    <w:p w14:paraId="62D12928" w14:textId="3CFA4717" w:rsidR="00A7521D" w:rsidRDefault="00857A79" w:rsidP="00857A79">
      <w:r>
        <w:t xml:space="preserve">The overall HTC was dependent on the fin efficiency, the outside area of the bare tube, the effective fin area, the inside and the outside dirt coefficients, the inner and the outer diameters and the thermal conductivity of the wall material. The thermal conductivity of the </w:t>
      </w:r>
      <w:r>
        <w:lastRenderedPageBreak/>
        <w:t xml:space="preserve">wall material was dependent on the material chosen. The inside and the outside dirt coefficients </w:t>
      </w:r>
      <w:r w:rsidR="00A7521D">
        <w:t xml:space="preserve">were found using Table 12.2 </w:t>
      </w:r>
      <w:r w:rsidR="00A7521D">
        <w:fldChar w:fldCharType="begin" w:fldLock="1"/>
      </w:r>
      <w:r w:rsidR="002A6A73">
        <w:instrText>ADDIN CSL_CITATION {"citationItems":[{"id":"ITEM-1","itemData":{"ISBN":"978-0-7506-6538-4","author":[{"dropping-particle":"","family":"Sinnott","given":"R.K.","non-dropping-particle":"","parse-names":false,"suffix":""}],"edition":"4","id":"ITEM-1","issued":{"date-parts":[["2005"]]},"number-of-pages":"60 - 132","publisher":"Elsevier","publisher-place":"Oxford, England","title":"Coulson and Richardson's Chemical Engineering Volume 6 - Chemical Engineering Design","type":"book"},"uris":["http://www.mendeley.com/documents/?uuid=8e00b24b-1ea1-4b70-9865-3b5bcae659ed"]}],"mendeley":{"formattedCitation":"(Sinnott, 2005b)","plainTextFormattedCitation":"(Sinnott, 2005b)","previouslyFormattedCitation":"(Sinnott, 2005b)"},"properties":{"noteIndex":0},"schema":"https://github.com/citation-style-language/schema/raw/master/csl-citation.json"}</w:instrText>
      </w:r>
      <w:r w:rsidR="00A7521D">
        <w:fldChar w:fldCharType="separate"/>
      </w:r>
      <w:r w:rsidR="002A6A73" w:rsidRPr="002A6A73">
        <w:rPr>
          <w:noProof/>
        </w:rPr>
        <w:t>(Sinnott, 2005b)</w:t>
      </w:r>
      <w:r w:rsidR="00A7521D">
        <w:fldChar w:fldCharType="end"/>
      </w:r>
      <w:r w:rsidR="00A7521D">
        <w:t>.</w:t>
      </w:r>
    </w:p>
    <w:p w14:paraId="0D24D9FF" w14:textId="2580213F" w:rsidR="00A7521D" w:rsidRDefault="00A7521D" w:rsidP="00A7521D">
      <w:r>
        <w:t xml:space="preserve">The modelling process also used Equation </w:t>
      </w:r>
      <w:r>
        <w:fldChar w:fldCharType="begin"/>
      </w:r>
      <w:r>
        <w:instrText xml:space="preserve"> REF _Ref531183286 \h </w:instrText>
      </w:r>
      <w:r>
        <w:fldChar w:fldCharType="separate"/>
      </w:r>
      <w:r w:rsidR="00CB7456">
        <w:rPr>
          <w:noProof/>
        </w:rPr>
        <w:t>13.28</w:t>
      </w:r>
      <w:r>
        <w:fldChar w:fldCharType="end"/>
      </w:r>
      <w:r>
        <w:t xml:space="preserve"> to Equation </w:t>
      </w:r>
      <w:r>
        <w:fldChar w:fldCharType="begin"/>
      </w:r>
      <w:r>
        <w:instrText xml:space="preserve"> REF _Ref531183233 \h </w:instrText>
      </w:r>
      <w:r>
        <w:fldChar w:fldCharType="separate"/>
      </w:r>
      <w:r w:rsidR="00CB7456">
        <w:rPr>
          <w:noProof/>
        </w:rPr>
        <w:t>13.29</w:t>
      </w:r>
      <w:r>
        <w:fldChar w:fldCharType="end"/>
      </w:r>
      <w:r>
        <w:t xml:space="preserve"> from the modelling of the HEX-DP.</w:t>
      </w:r>
    </w:p>
    <w:bookmarkStart w:id="1035" w:name="_Hlk7185649"/>
    <w:p w14:paraId="2C3EF7AC" w14:textId="1390E6F7" w:rsidR="00DB7BD6" w:rsidRDefault="00DB7BD6" w:rsidP="00DB7BD6">
      <w:pPr>
        <w:rPr>
          <w:b/>
          <w:bCs/>
          <w:sz w:val="18"/>
          <w:szCs w:val="18"/>
        </w:rPr>
      </w:pPr>
      <w:r>
        <w:rPr>
          <w:iCs/>
        </w:rPr>
        <w:fldChar w:fldCharType="begin"/>
      </w:r>
      <w:r>
        <w:rPr>
          <w:iCs/>
        </w:rPr>
        <w:instrText xml:space="preserve"> REF _Ref7185615 \h </w:instrText>
      </w:r>
      <w:r>
        <w:rPr>
          <w:iCs/>
        </w:rPr>
      </w:r>
      <w:r>
        <w:rPr>
          <w:iCs/>
        </w:rPr>
        <w:fldChar w:fldCharType="separate"/>
      </w:r>
      <w:r w:rsidR="00CB7456">
        <w:t xml:space="preserve">Table </w:t>
      </w:r>
      <w:r w:rsidR="00CB7456">
        <w:rPr>
          <w:noProof/>
        </w:rPr>
        <w:t>13</w:t>
      </w:r>
      <w:r w:rsidR="00CB7456">
        <w:t>.</w:t>
      </w:r>
      <w:r w:rsidR="00CB7456">
        <w:rPr>
          <w:noProof/>
        </w:rPr>
        <w:t>10</w:t>
      </w:r>
      <w:r>
        <w:rPr>
          <w:iCs/>
        </w:rPr>
        <w:fldChar w:fldCharType="end"/>
      </w:r>
      <w:r>
        <w:rPr>
          <w:iCs/>
        </w:rPr>
        <w:t xml:space="preserve"> shows how the complex series of equations used in the modelling of the HEX-</w:t>
      </w:r>
      <w:r w:rsidR="00912229">
        <w:rPr>
          <w:iCs/>
        </w:rPr>
        <w:t>F</w:t>
      </w:r>
      <w:r>
        <w:rPr>
          <w:iCs/>
        </w:rPr>
        <w:t>T are linked to each other.</w:t>
      </w:r>
    </w:p>
    <w:p w14:paraId="7113D1A0" w14:textId="36AB4120" w:rsidR="00DB7BD6" w:rsidRDefault="00DB7BD6" w:rsidP="00DB7BD6">
      <w:pPr>
        <w:pStyle w:val="Caption"/>
        <w:keepNext/>
      </w:pPr>
      <w:bookmarkStart w:id="1036" w:name="_Ref7185615"/>
      <w:bookmarkStart w:id="1037" w:name="_Toc7187727"/>
      <w:r>
        <w:t xml:space="preserve">Table </w:t>
      </w:r>
      <w:fldSimple w:instr=" STYLEREF 1 \s ">
        <w:r w:rsidR="00CB7456">
          <w:rPr>
            <w:noProof/>
          </w:rPr>
          <w:t>13</w:t>
        </w:r>
      </w:fldSimple>
      <w:r w:rsidR="009E1A67">
        <w:t>.</w:t>
      </w:r>
      <w:fldSimple w:instr=" SEQ Table \* ARABIC \s 1 ">
        <w:r w:rsidR="00CB7456">
          <w:rPr>
            <w:noProof/>
          </w:rPr>
          <w:t>10</w:t>
        </w:r>
      </w:fldSimple>
      <w:bookmarkEnd w:id="1036"/>
      <w:r>
        <w:t>: How the equations in the modelling of the HEX-</w:t>
      </w:r>
      <w:r w:rsidR="00912229">
        <w:t>F</w:t>
      </w:r>
      <w:r>
        <w:t>T are linked. Inputs in bold are outputs from other equations in the modelling of the HEX-</w:t>
      </w:r>
      <w:r w:rsidR="00912229">
        <w:t>F</w:t>
      </w:r>
      <w:r>
        <w:t>T, input in grey come from the modelling of the other WHR components.</w:t>
      </w:r>
      <w:bookmarkEnd w:id="1037"/>
    </w:p>
    <w:tbl>
      <w:tblPr>
        <w:tblStyle w:val="TableGrid"/>
        <w:tblW w:w="0" w:type="auto"/>
        <w:jc w:val="center"/>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26"/>
        <w:gridCol w:w="2516"/>
        <w:gridCol w:w="1052"/>
        <w:gridCol w:w="3205"/>
      </w:tblGrid>
      <w:tr w:rsidR="00DB7BD6" w14:paraId="6AD8477B" w14:textId="77777777" w:rsidTr="00DB7BD6">
        <w:trPr>
          <w:jc w:val="center"/>
        </w:trPr>
        <w:tc>
          <w:tcPr>
            <w:tcW w:w="1126" w:type="dxa"/>
            <w:tcBorders>
              <w:bottom w:val="single" w:sz="4" w:space="0" w:color="auto"/>
            </w:tcBorders>
          </w:tcPr>
          <w:bookmarkEnd w:id="1035"/>
          <w:p w14:paraId="657D9889" w14:textId="77777777" w:rsidR="00DB7BD6" w:rsidRDefault="00DB7BD6" w:rsidP="00DB7BD6">
            <w:pPr>
              <w:jc w:val="center"/>
            </w:pPr>
            <w:r>
              <w:t>Equation</w:t>
            </w:r>
          </w:p>
        </w:tc>
        <w:tc>
          <w:tcPr>
            <w:tcW w:w="2516" w:type="dxa"/>
            <w:tcBorders>
              <w:bottom w:val="single" w:sz="4" w:space="0" w:color="auto"/>
            </w:tcBorders>
          </w:tcPr>
          <w:p w14:paraId="1E51B5A2" w14:textId="77777777" w:rsidR="00DB7BD6" w:rsidRDefault="00DB7BD6" w:rsidP="00DB7BD6">
            <w:pPr>
              <w:jc w:val="center"/>
            </w:pPr>
            <w:r>
              <w:t>Inputs</w:t>
            </w:r>
          </w:p>
        </w:tc>
        <w:tc>
          <w:tcPr>
            <w:tcW w:w="1052" w:type="dxa"/>
            <w:tcBorders>
              <w:bottom w:val="single" w:sz="4" w:space="0" w:color="auto"/>
            </w:tcBorders>
          </w:tcPr>
          <w:p w14:paraId="3FB1D6FA" w14:textId="77777777" w:rsidR="00DB7BD6" w:rsidRDefault="00DB7BD6" w:rsidP="00DB7BD6">
            <w:pPr>
              <w:jc w:val="center"/>
            </w:pPr>
            <w:r>
              <w:t>Outputs</w:t>
            </w:r>
          </w:p>
        </w:tc>
        <w:tc>
          <w:tcPr>
            <w:tcW w:w="3205" w:type="dxa"/>
            <w:tcBorders>
              <w:bottom w:val="single" w:sz="4" w:space="0" w:color="auto"/>
            </w:tcBorders>
          </w:tcPr>
          <w:p w14:paraId="24910778" w14:textId="77777777" w:rsidR="00DB7BD6" w:rsidRDefault="00DB7BD6" w:rsidP="00DB7BD6">
            <w:pPr>
              <w:jc w:val="center"/>
            </w:pPr>
            <w:r>
              <w:t>Linked to Equation</w:t>
            </w:r>
          </w:p>
        </w:tc>
      </w:tr>
      <w:tr w:rsidR="00DB7BD6" w14:paraId="3F380820" w14:textId="77777777" w:rsidTr="00DB7BD6">
        <w:trPr>
          <w:jc w:val="center"/>
        </w:trPr>
        <w:tc>
          <w:tcPr>
            <w:tcW w:w="1126" w:type="dxa"/>
            <w:tcBorders>
              <w:top w:val="single" w:sz="4" w:space="0" w:color="auto"/>
              <w:bottom w:val="nil"/>
            </w:tcBorders>
          </w:tcPr>
          <w:p w14:paraId="063B1F11" w14:textId="77777777" w:rsidR="00DB7BD6" w:rsidRPr="003A69B5" w:rsidRDefault="00DB7BD6" w:rsidP="00DB7BD6">
            <w:pPr>
              <w:jc w:val="center"/>
              <w:rPr>
                <w:color w:val="404040" w:themeColor="text1" w:themeTint="BF"/>
              </w:rPr>
            </w:pPr>
            <w:r w:rsidRPr="003A69B5">
              <w:rPr>
                <w:color w:val="404040" w:themeColor="text1" w:themeTint="BF"/>
              </w:rPr>
              <w:t>13.1</w:t>
            </w:r>
          </w:p>
        </w:tc>
        <w:tc>
          <w:tcPr>
            <w:tcW w:w="2516" w:type="dxa"/>
            <w:tcBorders>
              <w:top w:val="single" w:sz="4" w:space="0" w:color="auto"/>
              <w:bottom w:val="nil"/>
            </w:tcBorders>
          </w:tcPr>
          <w:p w14:paraId="25237983" w14:textId="77777777" w:rsidR="00DB7BD6" w:rsidRPr="003A69B5" w:rsidRDefault="00DB7BD6" w:rsidP="00DB7BD6">
            <w:pPr>
              <w:jc w:val="center"/>
              <w:rPr>
                <w:color w:val="404040" w:themeColor="text1" w:themeTint="BF"/>
              </w:rPr>
            </w:pPr>
            <m:oMathPara>
              <m:oMath>
                <m:sSub>
                  <m:sSubPr>
                    <m:ctrlPr>
                      <w:rPr>
                        <w:rFonts w:ascii="Cambria Math" w:hAnsi="Cambria Math"/>
                        <w:i/>
                        <w:color w:val="404040" w:themeColor="text1" w:themeTint="BF"/>
                      </w:rPr>
                    </m:ctrlPr>
                  </m:sSubPr>
                  <m:e>
                    <m:r>
                      <w:rPr>
                        <w:rFonts w:ascii="Cambria Math" w:hAnsi="Cambria Math"/>
                        <w:color w:val="404040" w:themeColor="text1" w:themeTint="BF"/>
                      </w:rPr>
                      <m:t>T</m:t>
                    </m:r>
                  </m:e>
                  <m:sub>
                    <m:r>
                      <w:rPr>
                        <w:rFonts w:ascii="Cambria Math" w:hAnsi="Cambria Math"/>
                        <w:color w:val="404040" w:themeColor="text1" w:themeTint="BF"/>
                      </w:rPr>
                      <m:t>1</m:t>
                    </m:r>
                  </m:sub>
                </m:sSub>
                <m:r>
                  <w:rPr>
                    <w:rFonts w:ascii="Cambria Math" w:hAnsi="Cambria Math"/>
                    <w:color w:val="404040" w:themeColor="text1" w:themeTint="BF"/>
                  </w:rPr>
                  <m:t>,</m:t>
                </m:r>
                <m:sSub>
                  <m:sSubPr>
                    <m:ctrlPr>
                      <w:rPr>
                        <w:rFonts w:ascii="Cambria Math" w:hAnsi="Cambria Math"/>
                        <w:i/>
                        <w:color w:val="404040" w:themeColor="text1" w:themeTint="BF"/>
                      </w:rPr>
                    </m:ctrlPr>
                  </m:sSubPr>
                  <m:e>
                    <m:r>
                      <w:rPr>
                        <w:rFonts w:ascii="Cambria Math" w:hAnsi="Cambria Math"/>
                        <w:color w:val="404040" w:themeColor="text1" w:themeTint="BF"/>
                      </w:rPr>
                      <m:t>T</m:t>
                    </m:r>
                  </m:e>
                  <m:sub>
                    <m:r>
                      <w:rPr>
                        <w:rFonts w:ascii="Cambria Math" w:hAnsi="Cambria Math"/>
                        <w:color w:val="404040" w:themeColor="text1" w:themeTint="BF"/>
                      </w:rPr>
                      <m:t>2</m:t>
                    </m:r>
                  </m:sub>
                </m:sSub>
                <m:r>
                  <w:rPr>
                    <w:rFonts w:ascii="Cambria Math" w:hAnsi="Cambria Math"/>
                    <w:color w:val="404040" w:themeColor="text1" w:themeTint="BF"/>
                  </w:rPr>
                  <m:t>,</m:t>
                </m:r>
                <m:sSub>
                  <m:sSubPr>
                    <m:ctrlPr>
                      <w:rPr>
                        <w:rFonts w:ascii="Cambria Math" w:hAnsi="Cambria Math"/>
                        <w:i/>
                        <w:color w:val="404040" w:themeColor="text1" w:themeTint="BF"/>
                      </w:rPr>
                    </m:ctrlPr>
                  </m:sSubPr>
                  <m:e>
                    <m:r>
                      <w:rPr>
                        <w:rFonts w:ascii="Cambria Math" w:hAnsi="Cambria Math"/>
                        <w:color w:val="404040" w:themeColor="text1" w:themeTint="BF"/>
                      </w:rPr>
                      <m:t>t</m:t>
                    </m:r>
                  </m:e>
                  <m:sub>
                    <m:r>
                      <w:rPr>
                        <w:rFonts w:ascii="Cambria Math" w:hAnsi="Cambria Math"/>
                        <w:color w:val="404040" w:themeColor="text1" w:themeTint="BF"/>
                      </w:rPr>
                      <m:t>1</m:t>
                    </m:r>
                  </m:sub>
                </m:sSub>
                <m:r>
                  <w:rPr>
                    <w:rFonts w:ascii="Cambria Math" w:hAnsi="Cambria Math"/>
                    <w:color w:val="404040" w:themeColor="text1" w:themeTint="BF"/>
                  </w:rPr>
                  <m:t>,</m:t>
                </m:r>
                <m:sSub>
                  <m:sSubPr>
                    <m:ctrlPr>
                      <w:rPr>
                        <w:rFonts w:ascii="Cambria Math" w:hAnsi="Cambria Math"/>
                        <w:i/>
                        <w:color w:val="404040" w:themeColor="text1" w:themeTint="BF"/>
                      </w:rPr>
                    </m:ctrlPr>
                  </m:sSubPr>
                  <m:e>
                    <m:r>
                      <w:rPr>
                        <w:rFonts w:ascii="Cambria Math" w:hAnsi="Cambria Math"/>
                        <w:color w:val="404040" w:themeColor="text1" w:themeTint="BF"/>
                      </w:rPr>
                      <m:t>t</m:t>
                    </m:r>
                  </m:e>
                  <m:sub>
                    <m:r>
                      <w:rPr>
                        <w:rFonts w:ascii="Cambria Math" w:hAnsi="Cambria Math"/>
                        <w:color w:val="404040" w:themeColor="text1" w:themeTint="BF"/>
                      </w:rPr>
                      <m:t>2</m:t>
                    </m:r>
                  </m:sub>
                </m:sSub>
              </m:oMath>
            </m:oMathPara>
          </w:p>
        </w:tc>
        <w:tc>
          <w:tcPr>
            <w:tcW w:w="1052" w:type="dxa"/>
            <w:tcBorders>
              <w:top w:val="single" w:sz="4" w:space="0" w:color="auto"/>
              <w:bottom w:val="nil"/>
            </w:tcBorders>
          </w:tcPr>
          <w:p w14:paraId="5CF9621E" w14:textId="77777777" w:rsidR="00DB7BD6" w:rsidRPr="003A69B5" w:rsidRDefault="00DB7BD6" w:rsidP="00DB7BD6">
            <w:pPr>
              <w:jc w:val="center"/>
              <w:rPr>
                <w:color w:val="404040" w:themeColor="text1" w:themeTint="BF"/>
              </w:rPr>
            </w:pPr>
            <m:oMathPara>
              <m:oMath>
                <m:r>
                  <w:rPr>
                    <w:rFonts w:ascii="Cambria Math" w:hAnsi="Cambria Math"/>
                    <w:color w:val="404040" w:themeColor="text1" w:themeTint="BF"/>
                  </w:rPr>
                  <m:t>R</m:t>
                </m:r>
              </m:oMath>
            </m:oMathPara>
          </w:p>
        </w:tc>
        <w:tc>
          <w:tcPr>
            <w:tcW w:w="3205" w:type="dxa"/>
            <w:tcBorders>
              <w:top w:val="single" w:sz="4" w:space="0" w:color="auto"/>
              <w:bottom w:val="nil"/>
            </w:tcBorders>
          </w:tcPr>
          <w:p w14:paraId="6635F655" w14:textId="77777777" w:rsidR="00DB7BD6" w:rsidRPr="003A69B5" w:rsidRDefault="00DB7BD6" w:rsidP="00DB7BD6">
            <w:pPr>
              <w:jc w:val="center"/>
              <w:rPr>
                <w:color w:val="404040" w:themeColor="text1" w:themeTint="BF"/>
              </w:rPr>
            </w:pPr>
          </w:p>
        </w:tc>
      </w:tr>
      <w:tr w:rsidR="00DB7BD6" w14:paraId="48665444" w14:textId="77777777" w:rsidTr="00DB7BD6">
        <w:trPr>
          <w:jc w:val="center"/>
        </w:trPr>
        <w:tc>
          <w:tcPr>
            <w:tcW w:w="1126" w:type="dxa"/>
            <w:tcBorders>
              <w:top w:val="nil"/>
            </w:tcBorders>
          </w:tcPr>
          <w:p w14:paraId="639C8705" w14:textId="77777777" w:rsidR="00DB7BD6" w:rsidRPr="003A69B5" w:rsidRDefault="00DB7BD6" w:rsidP="00DB7BD6">
            <w:pPr>
              <w:jc w:val="center"/>
              <w:rPr>
                <w:color w:val="404040" w:themeColor="text1" w:themeTint="BF"/>
              </w:rPr>
            </w:pPr>
            <w:r w:rsidRPr="003A69B5">
              <w:rPr>
                <w:color w:val="404040" w:themeColor="text1" w:themeTint="BF"/>
              </w:rPr>
              <w:t>13.2</w:t>
            </w:r>
          </w:p>
        </w:tc>
        <w:tc>
          <w:tcPr>
            <w:tcW w:w="2516" w:type="dxa"/>
            <w:tcBorders>
              <w:top w:val="nil"/>
            </w:tcBorders>
          </w:tcPr>
          <w:p w14:paraId="06F4AB07" w14:textId="77777777" w:rsidR="00DB7BD6" w:rsidRPr="003A69B5" w:rsidRDefault="00DB7BD6" w:rsidP="00DB7BD6">
            <w:pPr>
              <w:jc w:val="center"/>
              <w:rPr>
                <w:color w:val="404040" w:themeColor="text1" w:themeTint="BF"/>
              </w:rPr>
            </w:pPr>
            <m:oMathPara>
              <m:oMath>
                <m:sSub>
                  <m:sSubPr>
                    <m:ctrlPr>
                      <w:rPr>
                        <w:rFonts w:ascii="Cambria Math" w:hAnsi="Cambria Math"/>
                        <w:i/>
                        <w:color w:val="404040" w:themeColor="text1" w:themeTint="BF"/>
                      </w:rPr>
                    </m:ctrlPr>
                  </m:sSubPr>
                  <m:e>
                    <m:r>
                      <w:rPr>
                        <w:rFonts w:ascii="Cambria Math" w:hAnsi="Cambria Math"/>
                        <w:color w:val="404040" w:themeColor="text1" w:themeTint="BF"/>
                      </w:rPr>
                      <m:t>T</m:t>
                    </m:r>
                  </m:e>
                  <m:sub>
                    <m:r>
                      <w:rPr>
                        <w:rFonts w:ascii="Cambria Math" w:hAnsi="Cambria Math"/>
                        <w:color w:val="404040" w:themeColor="text1" w:themeTint="BF"/>
                      </w:rPr>
                      <m:t>1</m:t>
                    </m:r>
                  </m:sub>
                </m:sSub>
                <m:r>
                  <w:rPr>
                    <w:rFonts w:ascii="Cambria Math" w:hAnsi="Cambria Math"/>
                    <w:color w:val="404040" w:themeColor="text1" w:themeTint="BF"/>
                  </w:rPr>
                  <m:t>,</m:t>
                </m:r>
                <m:sSub>
                  <m:sSubPr>
                    <m:ctrlPr>
                      <w:rPr>
                        <w:rFonts w:ascii="Cambria Math" w:hAnsi="Cambria Math"/>
                        <w:i/>
                        <w:color w:val="404040" w:themeColor="text1" w:themeTint="BF"/>
                      </w:rPr>
                    </m:ctrlPr>
                  </m:sSubPr>
                  <m:e>
                    <m:r>
                      <w:rPr>
                        <w:rFonts w:ascii="Cambria Math" w:hAnsi="Cambria Math"/>
                        <w:color w:val="404040" w:themeColor="text1" w:themeTint="BF"/>
                      </w:rPr>
                      <m:t>T</m:t>
                    </m:r>
                  </m:e>
                  <m:sub>
                    <m:r>
                      <w:rPr>
                        <w:rFonts w:ascii="Cambria Math" w:hAnsi="Cambria Math"/>
                        <w:color w:val="404040" w:themeColor="text1" w:themeTint="BF"/>
                      </w:rPr>
                      <m:t>2</m:t>
                    </m:r>
                  </m:sub>
                </m:sSub>
                <m:r>
                  <w:rPr>
                    <w:rFonts w:ascii="Cambria Math" w:hAnsi="Cambria Math"/>
                    <w:color w:val="404040" w:themeColor="text1" w:themeTint="BF"/>
                  </w:rPr>
                  <m:t>,</m:t>
                </m:r>
                <m:sSub>
                  <m:sSubPr>
                    <m:ctrlPr>
                      <w:rPr>
                        <w:rFonts w:ascii="Cambria Math" w:hAnsi="Cambria Math"/>
                        <w:i/>
                        <w:color w:val="404040" w:themeColor="text1" w:themeTint="BF"/>
                      </w:rPr>
                    </m:ctrlPr>
                  </m:sSubPr>
                  <m:e>
                    <m:r>
                      <w:rPr>
                        <w:rFonts w:ascii="Cambria Math" w:hAnsi="Cambria Math"/>
                        <w:color w:val="404040" w:themeColor="text1" w:themeTint="BF"/>
                      </w:rPr>
                      <m:t>t</m:t>
                    </m:r>
                  </m:e>
                  <m:sub>
                    <m:r>
                      <w:rPr>
                        <w:rFonts w:ascii="Cambria Math" w:hAnsi="Cambria Math"/>
                        <w:color w:val="404040" w:themeColor="text1" w:themeTint="BF"/>
                      </w:rPr>
                      <m:t>1</m:t>
                    </m:r>
                  </m:sub>
                </m:sSub>
                <m:r>
                  <w:rPr>
                    <w:rFonts w:ascii="Cambria Math" w:hAnsi="Cambria Math"/>
                    <w:color w:val="404040" w:themeColor="text1" w:themeTint="BF"/>
                  </w:rPr>
                  <m:t>,</m:t>
                </m:r>
                <m:sSub>
                  <m:sSubPr>
                    <m:ctrlPr>
                      <w:rPr>
                        <w:rFonts w:ascii="Cambria Math" w:hAnsi="Cambria Math"/>
                        <w:i/>
                        <w:color w:val="404040" w:themeColor="text1" w:themeTint="BF"/>
                      </w:rPr>
                    </m:ctrlPr>
                  </m:sSubPr>
                  <m:e>
                    <m:r>
                      <w:rPr>
                        <w:rFonts w:ascii="Cambria Math" w:hAnsi="Cambria Math"/>
                        <w:color w:val="404040" w:themeColor="text1" w:themeTint="BF"/>
                      </w:rPr>
                      <m:t>t</m:t>
                    </m:r>
                  </m:e>
                  <m:sub>
                    <m:r>
                      <w:rPr>
                        <w:rFonts w:ascii="Cambria Math" w:hAnsi="Cambria Math"/>
                        <w:color w:val="404040" w:themeColor="text1" w:themeTint="BF"/>
                      </w:rPr>
                      <m:t>2</m:t>
                    </m:r>
                  </m:sub>
                </m:sSub>
              </m:oMath>
            </m:oMathPara>
          </w:p>
        </w:tc>
        <w:tc>
          <w:tcPr>
            <w:tcW w:w="1052" w:type="dxa"/>
            <w:tcBorders>
              <w:top w:val="nil"/>
            </w:tcBorders>
          </w:tcPr>
          <w:p w14:paraId="7351E7B5" w14:textId="77777777" w:rsidR="00DB7BD6" w:rsidRPr="003A69B5" w:rsidRDefault="00DB7BD6" w:rsidP="00DB7BD6">
            <w:pPr>
              <w:jc w:val="center"/>
              <w:rPr>
                <w:color w:val="404040" w:themeColor="text1" w:themeTint="BF"/>
              </w:rPr>
            </w:pPr>
            <m:oMathPara>
              <m:oMath>
                <m:r>
                  <w:rPr>
                    <w:rFonts w:ascii="Cambria Math" w:hAnsi="Cambria Math"/>
                    <w:color w:val="404040" w:themeColor="text1" w:themeTint="BF"/>
                  </w:rPr>
                  <m:t>S</m:t>
                </m:r>
              </m:oMath>
            </m:oMathPara>
          </w:p>
        </w:tc>
        <w:tc>
          <w:tcPr>
            <w:tcW w:w="3205" w:type="dxa"/>
            <w:tcBorders>
              <w:top w:val="nil"/>
            </w:tcBorders>
          </w:tcPr>
          <w:p w14:paraId="2833057D" w14:textId="77777777" w:rsidR="00DB7BD6" w:rsidRPr="003A69B5" w:rsidRDefault="00DB7BD6" w:rsidP="00DB7BD6">
            <w:pPr>
              <w:jc w:val="center"/>
              <w:rPr>
                <w:color w:val="404040" w:themeColor="text1" w:themeTint="BF"/>
              </w:rPr>
            </w:pPr>
          </w:p>
        </w:tc>
      </w:tr>
      <w:tr w:rsidR="00DB7BD6" w14:paraId="76E0E4C8" w14:textId="77777777" w:rsidTr="00DB7BD6">
        <w:trPr>
          <w:jc w:val="center"/>
        </w:trPr>
        <w:tc>
          <w:tcPr>
            <w:tcW w:w="1126" w:type="dxa"/>
          </w:tcPr>
          <w:p w14:paraId="18BB95F6" w14:textId="77777777" w:rsidR="00DB7BD6" w:rsidRPr="003A69B5" w:rsidRDefault="00DB7BD6" w:rsidP="00DB7BD6">
            <w:pPr>
              <w:jc w:val="center"/>
              <w:rPr>
                <w:color w:val="404040" w:themeColor="text1" w:themeTint="BF"/>
              </w:rPr>
            </w:pPr>
            <w:r w:rsidRPr="003A69B5">
              <w:rPr>
                <w:color w:val="404040" w:themeColor="text1" w:themeTint="BF"/>
              </w:rPr>
              <w:t>13.3</w:t>
            </w:r>
          </w:p>
        </w:tc>
        <w:tc>
          <w:tcPr>
            <w:tcW w:w="2516" w:type="dxa"/>
          </w:tcPr>
          <w:p w14:paraId="6F74CF5D" w14:textId="77777777" w:rsidR="00DB7BD6" w:rsidRPr="003A69B5" w:rsidRDefault="00DB7BD6" w:rsidP="00DB7BD6">
            <w:pPr>
              <w:jc w:val="center"/>
              <w:rPr>
                <w:color w:val="404040" w:themeColor="text1" w:themeTint="BF"/>
              </w:rPr>
            </w:pPr>
            <m:oMathPara>
              <m:oMath>
                <m:sSub>
                  <m:sSubPr>
                    <m:ctrlPr>
                      <w:rPr>
                        <w:rFonts w:ascii="Cambria Math" w:hAnsi="Cambria Math"/>
                        <w:i/>
                        <w:color w:val="404040" w:themeColor="text1" w:themeTint="BF"/>
                      </w:rPr>
                    </m:ctrlPr>
                  </m:sSubPr>
                  <m:e>
                    <m:r>
                      <w:rPr>
                        <w:rFonts w:ascii="Cambria Math" w:hAnsi="Cambria Math"/>
                        <w:color w:val="404040" w:themeColor="text1" w:themeTint="BF"/>
                      </w:rPr>
                      <m:t>T</m:t>
                    </m:r>
                  </m:e>
                  <m:sub>
                    <m:r>
                      <w:rPr>
                        <w:rFonts w:ascii="Cambria Math" w:hAnsi="Cambria Math"/>
                        <w:color w:val="404040" w:themeColor="text1" w:themeTint="BF"/>
                      </w:rPr>
                      <m:t>1</m:t>
                    </m:r>
                  </m:sub>
                </m:sSub>
                <m:r>
                  <w:rPr>
                    <w:rFonts w:ascii="Cambria Math" w:hAnsi="Cambria Math"/>
                    <w:color w:val="404040" w:themeColor="text1" w:themeTint="BF"/>
                  </w:rPr>
                  <m:t>,</m:t>
                </m:r>
                <m:sSub>
                  <m:sSubPr>
                    <m:ctrlPr>
                      <w:rPr>
                        <w:rFonts w:ascii="Cambria Math" w:hAnsi="Cambria Math"/>
                        <w:i/>
                        <w:color w:val="404040" w:themeColor="text1" w:themeTint="BF"/>
                      </w:rPr>
                    </m:ctrlPr>
                  </m:sSubPr>
                  <m:e>
                    <m:r>
                      <w:rPr>
                        <w:rFonts w:ascii="Cambria Math" w:hAnsi="Cambria Math"/>
                        <w:color w:val="404040" w:themeColor="text1" w:themeTint="BF"/>
                      </w:rPr>
                      <m:t>T</m:t>
                    </m:r>
                  </m:e>
                  <m:sub>
                    <m:r>
                      <w:rPr>
                        <w:rFonts w:ascii="Cambria Math" w:hAnsi="Cambria Math"/>
                        <w:color w:val="404040" w:themeColor="text1" w:themeTint="BF"/>
                      </w:rPr>
                      <m:t>2</m:t>
                    </m:r>
                  </m:sub>
                </m:sSub>
                <m:r>
                  <w:rPr>
                    <w:rFonts w:ascii="Cambria Math" w:hAnsi="Cambria Math"/>
                    <w:color w:val="404040" w:themeColor="text1" w:themeTint="BF"/>
                  </w:rPr>
                  <m:t>,</m:t>
                </m:r>
                <m:sSub>
                  <m:sSubPr>
                    <m:ctrlPr>
                      <w:rPr>
                        <w:rFonts w:ascii="Cambria Math" w:hAnsi="Cambria Math"/>
                        <w:i/>
                        <w:color w:val="404040" w:themeColor="text1" w:themeTint="BF"/>
                      </w:rPr>
                    </m:ctrlPr>
                  </m:sSubPr>
                  <m:e>
                    <m:r>
                      <w:rPr>
                        <w:rFonts w:ascii="Cambria Math" w:hAnsi="Cambria Math"/>
                        <w:color w:val="404040" w:themeColor="text1" w:themeTint="BF"/>
                      </w:rPr>
                      <m:t>t</m:t>
                    </m:r>
                  </m:e>
                  <m:sub>
                    <m:r>
                      <w:rPr>
                        <w:rFonts w:ascii="Cambria Math" w:hAnsi="Cambria Math"/>
                        <w:color w:val="404040" w:themeColor="text1" w:themeTint="BF"/>
                      </w:rPr>
                      <m:t>1</m:t>
                    </m:r>
                  </m:sub>
                </m:sSub>
                <m:r>
                  <w:rPr>
                    <w:rFonts w:ascii="Cambria Math" w:hAnsi="Cambria Math"/>
                    <w:color w:val="404040" w:themeColor="text1" w:themeTint="BF"/>
                  </w:rPr>
                  <m:t>,</m:t>
                </m:r>
                <m:sSub>
                  <m:sSubPr>
                    <m:ctrlPr>
                      <w:rPr>
                        <w:rFonts w:ascii="Cambria Math" w:hAnsi="Cambria Math"/>
                        <w:i/>
                        <w:color w:val="404040" w:themeColor="text1" w:themeTint="BF"/>
                      </w:rPr>
                    </m:ctrlPr>
                  </m:sSubPr>
                  <m:e>
                    <m:r>
                      <w:rPr>
                        <w:rFonts w:ascii="Cambria Math" w:hAnsi="Cambria Math"/>
                        <w:color w:val="404040" w:themeColor="text1" w:themeTint="BF"/>
                      </w:rPr>
                      <m:t>t</m:t>
                    </m:r>
                  </m:e>
                  <m:sub>
                    <m:r>
                      <w:rPr>
                        <w:rFonts w:ascii="Cambria Math" w:hAnsi="Cambria Math"/>
                        <w:color w:val="404040" w:themeColor="text1" w:themeTint="BF"/>
                      </w:rPr>
                      <m:t>2</m:t>
                    </m:r>
                  </m:sub>
                </m:sSub>
              </m:oMath>
            </m:oMathPara>
          </w:p>
        </w:tc>
        <w:tc>
          <w:tcPr>
            <w:tcW w:w="1052" w:type="dxa"/>
          </w:tcPr>
          <w:p w14:paraId="6F440A2F" w14:textId="77777777" w:rsidR="00DB7BD6" w:rsidRPr="003A69B5" w:rsidRDefault="00DB7BD6" w:rsidP="00DB7BD6">
            <w:pPr>
              <w:jc w:val="center"/>
              <w:rPr>
                <w:color w:val="404040" w:themeColor="text1" w:themeTint="BF"/>
              </w:rPr>
            </w:pPr>
            <m:oMathPara>
              <m:oMath>
                <m:sSub>
                  <m:sSubPr>
                    <m:ctrlPr>
                      <w:rPr>
                        <w:rFonts w:ascii="Cambria Math" w:hAnsi="Cambria Math"/>
                        <w:i/>
                        <w:color w:val="404040" w:themeColor="text1" w:themeTint="BF"/>
                      </w:rPr>
                    </m:ctrlPr>
                  </m:sSubPr>
                  <m:e>
                    <m:r>
                      <w:rPr>
                        <w:rFonts w:ascii="Cambria Math" w:hAnsi="Cambria Math"/>
                        <w:color w:val="404040" w:themeColor="text1" w:themeTint="BF"/>
                      </w:rPr>
                      <m:t>∆T</m:t>
                    </m:r>
                  </m:e>
                  <m:sub>
                    <m:r>
                      <w:rPr>
                        <w:rFonts w:ascii="Cambria Math" w:hAnsi="Cambria Math"/>
                        <w:color w:val="404040" w:themeColor="text1" w:themeTint="BF"/>
                      </w:rPr>
                      <m:t>lm</m:t>
                    </m:r>
                  </m:sub>
                </m:sSub>
              </m:oMath>
            </m:oMathPara>
          </w:p>
        </w:tc>
        <w:tc>
          <w:tcPr>
            <w:tcW w:w="3205" w:type="dxa"/>
          </w:tcPr>
          <w:p w14:paraId="2047A064" w14:textId="77777777" w:rsidR="00DB7BD6" w:rsidRPr="003A69B5" w:rsidRDefault="00DB7BD6" w:rsidP="00DB7BD6">
            <w:pPr>
              <w:jc w:val="center"/>
              <w:rPr>
                <w:color w:val="404040" w:themeColor="text1" w:themeTint="BF"/>
              </w:rPr>
            </w:pPr>
            <w:proofErr w:type="spellStart"/>
            <w:r w:rsidRPr="003A69B5">
              <w:rPr>
                <w:color w:val="404040" w:themeColor="text1" w:themeTint="BF"/>
              </w:rPr>
              <w:t>Eqn</w:t>
            </w:r>
            <w:proofErr w:type="spellEnd"/>
            <w:r w:rsidRPr="003A69B5">
              <w:rPr>
                <w:color w:val="404040" w:themeColor="text1" w:themeTint="BF"/>
              </w:rPr>
              <w:t xml:space="preserve"> 13.4</w:t>
            </w:r>
          </w:p>
        </w:tc>
      </w:tr>
      <w:tr w:rsidR="00DB7BD6" w14:paraId="468D6CED" w14:textId="77777777" w:rsidTr="00DB7BD6">
        <w:trPr>
          <w:jc w:val="center"/>
        </w:trPr>
        <w:tc>
          <w:tcPr>
            <w:tcW w:w="1126" w:type="dxa"/>
          </w:tcPr>
          <w:p w14:paraId="2CB5BF4C" w14:textId="77777777" w:rsidR="00DB7BD6" w:rsidRPr="003A69B5" w:rsidRDefault="00DB7BD6" w:rsidP="00DB7BD6">
            <w:pPr>
              <w:jc w:val="center"/>
              <w:rPr>
                <w:color w:val="404040" w:themeColor="text1" w:themeTint="BF"/>
              </w:rPr>
            </w:pPr>
            <w:r w:rsidRPr="003A69B5">
              <w:rPr>
                <w:color w:val="404040" w:themeColor="text1" w:themeTint="BF"/>
              </w:rPr>
              <w:t>13.4</w:t>
            </w:r>
          </w:p>
        </w:tc>
        <w:tc>
          <w:tcPr>
            <w:tcW w:w="2516" w:type="dxa"/>
          </w:tcPr>
          <w:p w14:paraId="53789D27" w14:textId="77777777" w:rsidR="00DB7BD6" w:rsidRPr="003A69B5" w:rsidRDefault="00DB7BD6" w:rsidP="00DB7BD6">
            <w:pPr>
              <w:jc w:val="center"/>
              <w:rPr>
                <w:color w:val="404040" w:themeColor="text1" w:themeTint="BF"/>
              </w:rPr>
            </w:pPr>
            <m:oMathPara>
              <m:oMath>
                <m:sSub>
                  <m:sSubPr>
                    <m:ctrlPr>
                      <w:rPr>
                        <w:rFonts w:ascii="Cambria Math" w:hAnsi="Cambria Math"/>
                        <w:b/>
                        <w:i/>
                        <w:color w:val="404040" w:themeColor="text1" w:themeTint="BF"/>
                      </w:rPr>
                    </m:ctrlPr>
                  </m:sSubPr>
                  <m:e>
                    <m:r>
                      <m:rPr>
                        <m:sty m:val="bi"/>
                      </m:rPr>
                      <w:rPr>
                        <w:rFonts w:ascii="Cambria Math" w:hAnsi="Cambria Math"/>
                        <w:color w:val="404040" w:themeColor="text1" w:themeTint="BF"/>
                      </w:rPr>
                      <m:t>∆T</m:t>
                    </m:r>
                  </m:e>
                  <m:sub>
                    <m:r>
                      <m:rPr>
                        <m:sty m:val="bi"/>
                      </m:rPr>
                      <w:rPr>
                        <w:rFonts w:ascii="Cambria Math" w:hAnsi="Cambria Math"/>
                        <w:color w:val="404040" w:themeColor="text1" w:themeTint="BF"/>
                      </w:rPr>
                      <m:t>lm</m:t>
                    </m:r>
                  </m:sub>
                </m:sSub>
                <m:r>
                  <w:rPr>
                    <w:rFonts w:ascii="Cambria Math" w:hAnsi="Cambria Math"/>
                    <w:color w:val="404040" w:themeColor="text1" w:themeTint="BF"/>
                  </w:rPr>
                  <m:t>,</m:t>
                </m:r>
                <m:sSub>
                  <m:sSubPr>
                    <m:ctrlPr>
                      <w:rPr>
                        <w:rFonts w:ascii="Cambria Math" w:hAnsi="Cambria Math"/>
                        <w:i/>
                        <w:color w:val="404040" w:themeColor="text1" w:themeTint="BF"/>
                      </w:rPr>
                    </m:ctrlPr>
                  </m:sSubPr>
                  <m:e>
                    <m:r>
                      <w:rPr>
                        <w:rFonts w:ascii="Cambria Math" w:hAnsi="Cambria Math"/>
                        <w:color w:val="404040" w:themeColor="text1" w:themeTint="BF"/>
                      </w:rPr>
                      <m:t>F</m:t>
                    </m:r>
                  </m:e>
                  <m:sub>
                    <m:r>
                      <w:rPr>
                        <w:rFonts w:ascii="Cambria Math" w:hAnsi="Cambria Math"/>
                        <w:color w:val="404040" w:themeColor="text1" w:themeTint="BF"/>
                      </w:rPr>
                      <m:t>t</m:t>
                    </m:r>
                  </m:sub>
                </m:sSub>
              </m:oMath>
            </m:oMathPara>
          </w:p>
        </w:tc>
        <w:tc>
          <w:tcPr>
            <w:tcW w:w="1052" w:type="dxa"/>
          </w:tcPr>
          <w:p w14:paraId="5531B323" w14:textId="77777777" w:rsidR="00DB7BD6" w:rsidRPr="003A69B5" w:rsidRDefault="00DB7BD6" w:rsidP="00DB7BD6">
            <w:pPr>
              <w:jc w:val="center"/>
              <w:rPr>
                <w:color w:val="404040" w:themeColor="text1" w:themeTint="BF"/>
              </w:rPr>
            </w:pPr>
            <m:oMathPara>
              <m:oMath>
                <m:sSub>
                  <m:sSubPr>
                    <m:ctrlPr>
                      <w:rPr>
                        <w:rFonts w:ascii="Cambria Math" w:hAnsi="Cambria Math"/>
                        <w:i/>
                        <w:color w:val="404040" w:themeColor="text1" w:themeTint="BF"/>
                      </w:rPr>
                    </m:ctrlPr>
                  </m:sSubPr>
                  <m:e>
                    <m:r>
                      <w:rPr>
                        <w:rFonts w:ascii="Cambria Math" w:hAnsi="Cambria Math"/>
                        <w:color w:val="404040" w:themeColor="text1" w:themeTint="BF"/>
                      </w:rPr>
                      <m:t>∆T</m:t>
                    </m:r>
                  </m:e>
                  <m:sub>
                    <m:r>
                      <w:rPr>
                        <w:rFonts w:ascii="Cambria Math" w:hAnsi="Cambria Math"/>
                        <w:color w:val="404040" w:themeColor="text1" w:themeTint="BF"/>
                      </w:rPr>
                      <m:t>m</m:t>
                    </m:r>
                  </m:sub>
                </m:sSub>
              </m:oMath>
            </m:oMathPara>
          </w:p>
        </w:tc>
        <w:tc>
          <w:tcPr>
            <w:tcW w:w="3205" w:type="dxa"/>
          </w:tcPr>
          <w:p w14:paraId="6EB23AFA" w14:textId="77777777" w:rsidR="00DB7BD6" w:rsidRPr="003A69B5" w:rsidRDefault="00DB7BD6" w:rsidP="00DB7BD6">
            <w:pPr>
              <w:jc w:val="center"/>
              <w:rPr>
                <w:color w:val="404040" w:themeColor="text1" w:themeTint="BF"/>
              </w:rPr>
            </w:pPr>
            <w:proofErr w:type="spellStart"/>
            <w:r w:rsidRPr="003A69B5">
              <w:rPr>
                <w:color w:val="404040" w:themeColor="text1" w:themeTint="BF"/>
              </w:rPr>
              <w:t>Eqn</w:t>
            </w:r>
            <w:proofErr w:type="spellEnd"/>
            <w:r w:rsidRPr="003A69B5">
              <w:rPr>
                <w:color w:val="404040" w:themeColor="text1" w:themeTint="BF"/>
              </w:rPr>
              <w:t xml:space="preserve"> 13.5</w:t>
            </w:r>
          </w:p>
        </w:tc>
      </w:tr>
      <w:tr w:rsidR="00DB7BD6" w14:paraId="394C35A5" w14:textId="77777777" w:rsidTr="00DB7BD6">
        <w:trPr>
          <w:jc w:val="center"/>
        </w:trPr>
        <w:tc>
          <w:tcPr>
            <w:tcW w:w="1126" w:type="dxa"/>
          </w:tcPr>
          <w:p w14:paraId="3A988D59" w14:textId="77777777" w:rsidR="00DB7BD6" w:rsidRPr="003A69B5" w:rsidRDefault="00DB7BD6" w:rsidP="00DB7BD6">
            <w:pPr>
              <w:jc w:val="center"/>
              <w:rPr>
                <w:color w:val="404040" w:themeColor="text1" w:themeTint="BF"/>
              </w:rPr>
            </w:pPr>
            <w:r w:rsidRPr="003A69B5">
              <w:rPr>
                <w:color w:val="404040" w:themeColor="text1" w:themeTint="BF"/>
              </w:rPr>
              <w:t>13.5</w:t>
            </w:r>
          </w:p>
        </w:tc>
        <w:tc>
          <w:tcPr>
            <w:tcW w:w="2516" w:type="dxa"/>
          </w:tcPr>
          <w:p w14:paraId="09737397" w14:textId="77777777" w:rsidR="00DB7BD6" w:rsidRPr="003A69B5" w:rsidRDefault="00DB7BD6" w:rsidP="00DB7BD6">
            <w:pPr>
              <w:jc w:val="center"/>
              <w:rPr>
                <w:color w:val="404040" w:themeColor="text1" w:themeTint="BF"/>
              </w:rPr>
            </w:pPr>
            <m:oMathPara>
              <m:oMath>
                <m:sSub>
                  <m:sSubPr>
                    <m:ctrlPr>
                      <w:rPr>
                        <w:rFonts w:ascii="Cambria Math" w:hAnsi="Cambria Math"/>
                        <w:b/>
                        <w:i/>
                        <w:color w:val="404040" w:themeColor="text1" w:themeTint="BF"/>
                      </w:rPr>
                    </m:ctrlPr>
                  </m:sSubPr>
                  <m:e>
                    <m:r>
                      <m:rPr>
                        <m:sty m:val="bi"/>
                      </m:rPr>
                      <w:rPr>
                        <w:rFonts w:ascii="Cambria Math" w:hAnsi="Cambria Math"/>
                        <w:color w:val="404040" w:themeColor="text1" w:themeTint="BF"/>
                      </w:rPr>
                      <m:t>U,∆T</m:t>
                    </m:r>
                  </m:e>
                  <m:sub>
                    <m:r>
                      <m:rPr>
                        <m:sty m:val="bi"/>
                      </m:rPr>
                      <w:rPr>
                        <w:rFonts w:ascii="Cambria Math" w:hAnsi="Cambria Math"/>
                        <w:color w:val="404040" w:themeColor="text1" w:themeTint="BF"/>
                      </w:rPr>
                      <m:t>m</m:t>
                    </m:r>
                  </m:sub>
                </m:sSub>
                <m:r>
                  <w:rPr>
                    <w:rFonts w:ascii="Cambria Math" w:hAnsi="Cambria Math"/>
                    <w:color w:val="404040" w:themeColor="text1" w:themeTint="BF"/>
                  </w:rPr>
                  <m:t>,A,</m:t>
                </m:r>
                <m:sSub>
                  <m:sSubPr>
                    <m:ctrlPr>
                      <w:rPr>
                        <w:rFonts w:ascii="Cambria Math" w:hAnsi="Cambria Math"/>
                        <w:i/>
                        <w:color w:val="404040" w:themeColor="text1" w:themeTint="BF"/>
                      </w:rPr>
                    </m:ctrlPr>
                  </m:sSubPr>
                  <m:e>
                    <m:acc>
                      <m:accPr>
                        <m:chr m:val="̇"/>
                        <m:ctrlPr>
                          <w:rPr>
                            <w:rFonts w:ascii="Cambria Math" w:hAnsi="Cambria Math"/>
                            <w:i/>
                            <w:color w:val="404040" w:themeColor="text1" w:themeTint="BF"/>
                          </w:rPr>
                        </m:ctrlPr>
                      </m:accPr>
                      <m:e>
                        <m:r>
                          <w:rPr>
                            <w:rFonts w:ascii="Cambria Math" w:hAnsi="Cambria Math"/>
                            <w:color w:val="404040" w:themeColor="text1" w:themeTint="BF"/>
                          </w:rPr>
                          <m:t>m</m:t>
                        </m:r>
                      </m:e>
                    </m:acc>
                  </m:e>
                  <m:sub>
                    <m:r>
                      <w:rPr>
                        <w:rFonts w:ascii="Cambria Math" w:hAnsi="Cambria Math"/>
                        <w:color w:val="404040" w:themeColor="text1" w:themeTint="BF"/>
                      </w:rPr>
                      <m:t>s</m:t>
                    </m:r>
                  </m:sub>
                </m:sSub>
                <m:r>
                  <w:rPr>
                    <w:rFonts w:ascii="Cambria Math" w:hAnsi="Cambria Math"/>
                    <w:color w:val="404040" w:themeColor="text1" w:themeTint="BF"/>
                  </w:rPr>
                  <m:t>,</m:t>
                </m:r>
                <m:sSub>
                  <m:sSubPr>
                    <m:ctrlPr>
                      <w:rPr>
                        <w:rFonts w:ascii="Cambria Math" w:hAnsi="Cambria Math"/>
                        <w:i/>
                        <w:color w:val="404040" w:themeColor="text1" w:themeTint="BF"/>
                      </w:rPr>
                    </m:ctrlPr>
                  </m:sSubPr>
                  <m:e>
                    <m:r>
                      <w:rPr>
                        <w:rFonts w:ascii="Cambria Math" w:hAnsi="Cambria Math"/>
                        <w:color w:val="404040" w:themeColor="text1" w:themeTint="BF"/>
                      </w:rPr>
                      <m:t>c</m:t>
                    </m:r>
                  </m:e>
                  <m:sub>
                    <m:r>
                      <w:rPr>
                        <w:rFonts w:ascii="Cambria Math" w:hAnsi="Cambria Math"/>
                        <w:color w:val="404040" w:themeColor="text1" w:themeTint="BF"/>
                      </w:rPr>
                      <m:t>p,s</m:t>
                    </m:r>
                  </m:sub>
                </m:sSub>
                <m:r>
                  <w:rPr>
                    <w:rFonts w:ascii="Cambria Math" w:hAnsi="Cambria Math"/>
                    <w:color w:val="404040" w:themeColor="text1" w:themeTint="BF"/>
                  </w:rPr>
                  <m:t>,</m:t>
                </m:r>
                <m:sSub>
                  <m:sSubPr>
                    <m:ctrlPr>
                      <w:rPr>
                        <w:rFonts w:ascii="Cambria Math" w:hAnsi="Cambria Math"/>
                        <w:i/>
                        <w:color w:val="404040" w:themeColor="text1" w:themeTint="BF"/>
                      </w:rPr>
                    </m:ctrlPr>
                  </m:sSubPr>
                  <m:e>
                    <m:r>
                      <w:rPr>
                        <w:rFonts w:ascii="Cambria Math" w:hAnsi="Cambria Math"/>
                        <w:color w:val="404040" w:themeColor="text1" w:themeTint="BF"/>
                      </w:rPr>
                      <m:t>T</m:t>
                    </m:r>
                  </m:e>
                  <m:sub>
                    <m:r>
                      <w:rPr>
                        <w:rFonts w:ascii="Cambria Math" w:hAnsi="Cambria Math"/>
                        <w:color w:val="404040" w:themeColor="text1" w:themeTint="BF"/>
                      </w:rPr>
                      <m:t>1</m:t>
                    </m:r>
                  </m:sub>
                </m:sSub>
                <m:r>
                  <w:rPr>
                    <w:rFonts w:ascii="Cambria Math" w:hAnsi="Cambria Math"/>
                    <w:color w:val="404040" w:themeColor="text1" w:themeTint="BF"/>
                  </w:rPr>
                  <m:t>,</m:t>
                </m:r>
                <m:sSub>
                  <m:sSubPr>
                    <m:ctrlPr>
                      <w:rPr>
                        <w:rFonts w:ascii="Cambria Math" w:hAnsi="Cambria Math"/>
                        <w:i/>
                        <w:color w:val="404040" w:themeColor="text1" w:themeTint="BF"/>
                      </w:rPr>
                    </m:ctrlPr>
                  </m:sSubPr>
                  <m:e>
                    <m:r>
                      <w:rPr>
                        <w:rFonts w:ascii="Cambria Math" w:hAnsi="Cambria Math"/>
                        <w:color w:val="404040" w:themeColor="text1" w:themeTint="BF"/>
                      </w:rPr>
                      <m:t>T</m:t>
                    </m:r>
                  </m:e>
                  <m:sub>
                    <m:r>
                      <w:rPr>
                        <w:rFonts w:ascii="Cambria Math" w:hAnsi="Cambria Math"/>
                        <w:color w:val="404040" w:themeColor="text1" w:themeTint="BF"/>
                      </w:rPr>
                      <m:t>2</m:t>
                    </m:r>
                  </m:sub>
                </m:sSub>
              </m:oMath>
            </m:oMathPara>
          </w:p>
        </w:tc>
        <w:tc>
          <w:tcPr>
            <w:tcW w:w="1052" w:type="dxa"/>
          </w:tcPr>
          <w:p w14:paraId="2D261CAE" w14:textId="77777777" w:rsidR="00DB7BD6" w:rsidRPr="003A69B5" w:rsidRDefault="00DB7BD6" w:rsidP="00DB7BD6">
            <w:pPr>
              <w:jc w:val="center"/>
              <w:rPr>
                <w:color w:val="404040" w:themeColor="text1" w:themeTint="BF"/>
              </w:rPr>
            </w:pPr>
            <m:oMathPara>
              <m:oMath>
                <m:r>
                  <w:rPr>
                    <w:rFonts w:ascii="Cambria Math" w:hAnsi="Cambria Math"/>
                    <w:color w:val="404040" w:themeColor="text1" w:themeTint="BF"/>
                  </w:rPr>
                  <m:t>P</m:t>
                </m:r>
              </m:oMath>
            </m:oMathPara>
          </w:p>
        </w:tc>
        <w:tc>
          <w:tcPr>
            <w:tcW w:w="3205" w:type="dxa"/>
          </w:tcPr>
          <w:p w14:paraId="2A271B39" w14:textId="77777777" w:rsidR="00DB7BD6" w:rsidRPr="003A69B5" w:rsidRDefault="00DB7BD6" w:rsidP="00DB7BD6">
            <w:pPr>
              <w:jc w:val="center"/>
              <w:rPr>
                <w:color w:val="404040" w:themeColor="text1" w:themeTint="BF"/>
              </w:rPr>
            </w:pPr>
          </w:p>
        </w:tc>
      </w:tr>
      <w:tr w:rsidR="00DB7BD6" w14:paraId="5F19CEFE" w14:textId="77777777" w:rsidTr="00DB7BD6">
        <w:trPr>
          <w:jc w:val="center"/>
        </w:trPr>
        <w:tc>
          <w:tcPr>
            <w:tcW w:w="1126" w:type="dxa"/>
          </w:tcPr>
          <w:p w14:paraId="3BB2CFE9" w14:textId="77777777" w:rsidR="00DB7BD6" w:rsidRPr="003A69B5" w:rsidRDefault="00DB7BD6" w:rsidP="00DB7BD6">
            <w:pPr>
              <w:jc w:val="center"/>
              <w:rPr>
                <w:color w:val="404040" w:themeColor="text1" w:themeTint="BF"/>
              </w:rPr>
            </w:pPr>
            <w:r w:rsidRPr="003A69B5">
              <w:rPr>
                <w:color w:val="404040" w:themeColor="text1" w:themeTint="BF"/>
              </w:rPr>
              <w:t>13.6</w:t>
            </w:r>
          </w:p>
        </w:tc>
        <w:tc>
          <w:tcPr>
            <w:tcW w:w="2516" w:type="dxa"/>
          </w:tcPr>
          <w:p w14:paraId="55DEF6BC" w14:textId="77777777" w:rsidR="00DB7BD6" w:rsidRPr="003A69B5" w:rsidRDefault="00DB7BD6" w:rsidP="00DB7BD6">
            <w:pPr>
              <w:jc w:val="center"/>
              <w:rPr>
                <w:color w:val="404040" w:themeColor="text1" w:themeTint="BF"/>
              </w:rPr>
            </w:pPr>
            <m:oMathPara>
              <m:oMath>
                <m:sSub>
                  <m:sSubPr>
                    <m:ctrlPr>
                      <w:rPr>
                        <w:rFonts w:ascii="Cambria Math" w:hAnsi="Cambria Math"/>
                        <w:i/>
                        <w:color w:val="404040" w:themeColor="text1" w:themeTint="BF"/>
                      </w:rPr>
                    </m:ctrlPr>
                  </m:sSubPr>
                  <m:e>
                    <m:r>
                      <w:rPr>
                        <w:rFonts w:ascii="Cambria Math" w:hAnsi="Cambria Math"/>
                        <w:color w:val="404040" w:themeColor="text1" w:themeTint="BF"/>
                      </w:rPr>
                      <m:t>D</m:t>
                    </m:r>
                  </m:e>
                  <m:sub>
                    <m:r>
                      <w:rPr>
                        <w:rFonts w:ascii="Cambria Math" w:hAnsi="Cambria Math"/>
                        <w:color w:val="404040" w:themeColor="text1" w:themeTint="BF"/>
                      </w:rPr>
                      <m:t>o</m:t>
                    </m:r>
                  </m:sub>
                </m:sSub>
                <m:r>
                  <w:rPr>
                    <w:rFonts w:ascii="Cambria Math" w:hAnsi="Cambria Math"/>
                    <w:color w:val="404040" w:themeColor="text1" w:themeTint="BF"/>
                  </w:rPr>
                  <m:t>,L</m:t>
                </m:r>
              </m:oMath>
            </m:oMathPara>
          </w:p>
        </w:tc>
        <w:tc>
          <w:tcPr>
            <w:tcW w:w="1052" w:type="dxa"/>
          </w:tcPr>
          <w:p w14:paraId="65AC6303" w14:textId="77777777" w:rsidR="00DB7BD6" w:rsidRPr="003A69B5" w:rsidRDefault="00DB7BD6" w:rsidP="00DB7BD6">
            <w:pPr>
              <w:jc w:val="center"/>
              <w:rPr>
                <w:color w:val="404040" w:themeColor="text1" w:themeTint="BF"/>
              </w:rPr>
            </w:pPr>
            <m:oMathPara>
              <m:oMath>
                <m:sSub>
                  <m:sSubPr>
                    <m:ctrlPr>
                      <w:rPr>
                        <w:rFonts w:ascii="Cambria Math" w:hAnsi="Cambria Math"/>
                        <w:i/>
                        <w:color w:val="404040" w:themeColor="text1" w:themeTint="BF"/>
                      </w:rPr>
                    </m:ctrlPr>
                  </m:sSubPr>
                  <m:e>
                    <m:r>
                      <w:rPr>
                        <w:rFonts w:ascii="Cambria Math" w:hAnsi="Cambria Math"/>
                        <w:color w:val="404040" w:themeColor="text1" w:themeTint="BF"/>
                      </w:rPr>
                      <m:t>A</m:t>
                    </m:r>
                  </m:e>
                  <m:sub>
                    <m:r>
                      <w:rPr>
                        <w:rFonts w:ascii="Cambria Math" w:hAnsi="Cambria Math"/>
                        <w:color w:val="404040" w:themeColor="text1" w:themeTint="BF"/>
                      </w:rPr>
                      <m:t>SA</m:t>
                    </m:r>
                  </m:sub>
                </m:sSub>
              </m:oMath>
            </m:oMathPara>
          </w:p>
        </w:tc>
        <w:tc>
          <w:tcPr>
            <w:tcW w:w="3205" w:type="dxa"/>
          </w:tcPr>
          <w:p w14:paraId="215F4654" w14:textId="77777777" w:rsidR="00DB7BD6" w:rsidRPr="003A69B5" w:rsidRDefault="00DB7BD6" w:rsidP="00DB7BD6">
            <w:pPr>
              <w:jc w:val="center"/>
              <w:rPr>
                <w:color w:val="404040" w:themeColor="text1" w:themeTint="BF"/>
              </w:rPr>
            </w:pPr>
            <w:proofErr w:type="spellStart"/>
            <w:r w:rsidRPr="003A69B5">
              <w:rPr>
                <w:color w:val="404040" w:themeColor="text1" w:themeTint="BF"/>
              </w:rPr>
              <w:t>Eqn</w:t>
            </w:r>
            <w:proofErr w:type="spellEnd"/>
            <w:r w:rsidRPr="003A69B5">
              <w:rPr>
                <w:color w:val="404040" w:themeColor="text1" w:themeTint="BF"/>
              </w:rPr>
              <w:t xml:space="preserve"> 13.7</w:t>
            </w:r>
          </w:p>
        </w:tc>
      </w:tr>
      <w:tr w:rsidR="00DB7BD6" w14:paraId="2A92EF4D" w14:textId="77777777" w:rsidTr="00DB7BD6">
        <w:trPr>
          <w:jc w:val="center"/>
        </w:trPr>
        <w:tc>
          <w:tcPr>
            <w:tcW w:w="1126" w:type="dxa"/>
          </w:tcPr>
          <w:p w14:paraId="7C26D53D" w14:textId="77777777" w:rsidR="00DB7BD6" w:rsidRPr="003A69B5" w:rsidRDefault="00DB7BD6" w:rsidP="00DB7BD6">
            <w:pPr>
              <w:jc w:val="center"/>
              <w:rPr>
                <w:color w:val="404040" w:themeColor="text1" w:themeTint="BF"/>
              </w:rPr>
            </w:pPr>
            <w:r w:rsidRPr="003A69B5">
              <w:rPr>
                <w:color w:val="404040" w:themeColor="text1" w:themeTint="BF"/>
              </w:rPr>
              <w:t>13.7</w:t>
            </w:r>
          </w:p>
        </w:tc>
        <w:tc>
          <w:tcPr>
            <w:tcW w:w="2516" w:type="dxa"/>
          </w:tcPr>
          <w:p w14:paraId="78CF85BC" w14:textId="77777777" w:rsidR="00DB7BD6" w:rsidRPr="003A69B5" w:rsidRDefault="00DB7BD6" w:rsidP="00DB7BD6">
            <w:pPr>
              <w:jc w:val="center"/>
              <w:rPr>
                <w:color w:val="404040" w:themeColor="text1" w:themeTint="BF"/>
              </w:rPr>
            </w:pPr>
            <m:oMathPara>
              <m:oMath>
                <m:sSub>
                  <m:sSubPr>
                    <m:ctrlPr>
                      <w:rPr>
                        <w:rFonts w:ascii="Cambria Math" w:hAnsi="Cambria Math"/>
                        <w:b/>
                        <w:i/>
                        <w:color w:val="404040" w:themeColor="text1" w:themeTint="BF"/>
                      </w:rPr>
                    </m:ctrlPr>
                  </m:sSubPr>
                  <m:e>
                    <m:r>
                      <m:rPr>
                        <m:sty m:val="bi"/>
                      </m:rPr>
                      <w:rPr>
                        <w:rFonts w:ascii="Cambria Math" w:hAnsi="Cambria Math"/>
                        <w:color w:val="404040" w:themeColor="text1" w:themeTint="BF"/>
                      </w:rPr>
                      <m:t>A</m:t>
                    </m:r>
                  </m:e>
                  <m:sub>
                    <m:r>
                      <m:rPr>
                        <m:sty m:val="bi"/>
                      </m:rPr>
                      <w:rPr>
                        <w:rFonts w:ascii="Cambria Math" w:hAnsi="Cambria Math"/>
                        <w:color w:val="404040" w:themeColor="text1" w:themeTint="BF"/>
                      </w:rPr>
                      <m:t>SA</m:t>
                    </m:r>
                  </m:sub>
                </m:sSub>
                <m:r>
                  <w:rPr>
                    <w:rFonts w:ascii="Cambria Math" w:hAnsi="Cambria Math"/>
                    <w:color w:val="404040" w:themeColor="text1" w:themeTint="BF"/>
                  </w:rPr>
                  <m:t>,A</m:t>
                </m:r>
              </m:oMath>
            </m:oMathPara>
          </w:p>
        </w:tc>
        <w:tc>
          <w:tcPr>
            <w:tcW w:w="1052" w:type="dxa"/>
          </w:tcPr>
          <w:p w14:paraId="4C4A71CF" w14:textId="77777777" w:rsidR="00DB7BD6" w:rsidRPr="003A69B5" w:rsidRDefault="00DB7BD6" w:rsidP="00DB7BD6">
            <w:pPr>
              <w:jc w:val="center"/>
              <w:rPr>
                <w:color w:val="404040" w:themeColor="text1" w:themeTint="BF"/>
              </w:rPr>
            </w:pPr>
            <m:oMathPara>
              <m:oMath>
                <m:sSub>
                  <m:sSubPr>
                    <m:ctrlPr>
                      <w:rPr>
                        <w:rFonts w:ascii="Cambria Math" w:hAnsi="Cambria Math"/>
                        <w:i/>
                        <w:color w:val="404040" w:themeColor="text1" w:themeTint="BF"/>
                      </w:rPr>
                    </m:ctrlPr>
                  </m:sSubPr>
                  <m:e>
                    <m:r>
                      <w:rPr>
                        <w:rFonts w:ascii="Cambria Math" w:hAnsi="Cambria Math"/>
                        <w:color w:val="404040" w:themeColor="text1" w:themeTint="BF"/>
                      </w:rPr>
                      <m:t>N</m:t>
                    </m:r>
                  </m:e>
                  <m:sub>
                    <m:r>
                      <w:rPr>
                        <w:rFonts w:ascii="Cambria Math" w:hAnsi="Cambria Math"/>
                        <w:color w:val="404040" w:themeColor="text1" w:themeTint="BF"/>
                      </w:rPr>
                      <m:t>tu</m:t>
                    </m:r>
                  </m:sub>
                </m:sSub>
              </m:oMath>
            </m:oMathPara>
          </w:p>
        </w:tc>
        <w:tc>
          <w:tcPr>
            <w:tcW w:w="3205" w:type="dxa"/>
          </w:tcPr>
          <w:p w14:paraId="5EFCFD6C" w14:textId="77777777" w:rsidR="00DB7BD6" w:rsidRPr="003A69B5" w:rsidRDefault="00DB7BD6" w:rsidP="00DB7BD6">
            <w:pPr>
              <w:jc w:val="center"/>
              <w:rPr>
                <w:color w:val="404040" w:themeColor="text1" w:themeTint="BF"/>
              </w:rPr>
            </w:pPr>
            <w:proofErr w:type="spellStart"/>
            <w:r w:rsidRPr="003A69B5">
              <w:rPr>
                <w:color w:val="404040" w:themeColor="text1" w:themeTint="BF"/>
              </w:rPr>
              <w:t>Eqn</w:t>
            </w:r>
            <w:proofErr w:type="spellEnd"/>
            <w:r w:rsidRPr="003A69B5">
              <w:rPr>
                <w:color w:val="404040" w:themeColor="text1" w:themeTint="BF"/>
              </w:rPr>
              <w:t xml:space="preserve"> 13.8, </w:t>
            </w:r>
            <w:proofErr w:type="spellStart"/>
            <w:r w:rsidRPr="003A69B5">
              <w:rPr>
                <w:color w:val="404040" w:themeColor="text1" w:themeTint="BF"/>
              </w:rPr>
              <w:t>Eqn</w:t>
            </w:r>
            <w:proofErr w:type="spellEnd"/>
            <w:r w:rsidRPr="003A69B5">
              <w:rPr>
                <w:color w:val="404040" w:themeColor="text1" w:themeTint="BF"/>
              </w:rPr>
              <w:t xml:space="preserve"> 13.11</w:t>
            </w:r>
          </w:p>
        </w:tc>
      </w:tr>
      <w:tr w:rsidR="00DB7BD6" w14:paraId="164E590F" w14:textId="77777777" w:rsidTr="00DB7BD6">
        <w:trPr>
          <w:jc w:val="center"/>
        </w:trPr>
        <w:tc>
          <w:tcPr>
            <w:tcW w:w="1126" w:type="dxa"/>
          </w:tcPr>
          <w:p w14:paraId="61F3395C" w14:textId="77777777" w:rsidR="00DB7BD6" w:rsidRPr="003A69B5" w:rsidRDefault="00DB7BD6" w:rsidP="00DB7BD6">
            <w:pPr>
              <w:jc w:val="center"/>
              <w:rPr>
                <w:color w:val="404040" w:themeColor="text1" w:themeTint="BF"/>
              </w:rPr>
            </w:pPr>
            <w:r w:rsidRPr="003A69B5">
              <w:rPr>
                <w:color w:val="404040" w:themeColor="text1" w:themeTint="BF"/>
              </w:rPr>
              <w:t>13.8</w:t>
            </w:r>
          </w:p>
        </w:tc>
        <w:tc>
          <w:tcPr>
            <w:tcW w:w="2516" w:type="dxa"/>
          </w:tcPr>
          <w:p w14:paraId="4AEC56D6" w14:textId="77777777" w:rsidR="00DB7BD6" w:rsidRPr="003A69B5" w:rsidRDefault="00DB7BD6" w:rsidP="00DB7BD6">
            <w:pPr>
              <w:jc w:val="center"/>
              <w:rPr>
                <w:color w:val="404040" w:themeColor="text1" w:themeTint="BF"/>
              </w:rPr>
            </w:pPr>
            <m:oMathPara>
              <m:oMath>
                <m:sSub>
                  <m:sSubPr>
                    <m:ctrlPr>
                      <w:rPr>
                        <w:rFonts w:ascii="Cambria Math" w:hAnsi="Cambria Math"/>
                        <w:b/>
                        <w:i/>
                        <w:color w:val="404040" w:themeColor="text1" w:themeTint="BF"/>
                      </w:rPr>
                    </m:ctrlPr>
                  </m:sSubPr>
                  <m:e>
                    <m:r>
                      <m:rPr>
                        <m:sty m:val="bi"/>
                      </m:rPr>
                      <w:rPr>
                        <w:rFonts w:ascii="Cambria Math" w:hAnsi="Cambria Math"/>
                        <w:color w:val="404040" w:themeColor="text1" w:themeTint="BF"/>
                      </w:rPr>
                      <m:t>N</m:t>
                    </m:r>
                  </m:e>
                  <m:sub>
                    <m:r>
                      <m:rPr>
                        <m:sty m:val="bi"/>
                      </m:rPr>
                      <w:rPr>
                        <w:rFonts w:ascii="Cambria Math" w:hAnsi="Cambria Math"/>
                        <w:color w:val="404040" w:themeColor="text1" w:themeTint="BF"/>
                      </w:rPr>
                      <m:t>tu</m:t>
                    </m:r>
                  </m:sub>
                </m:sSub>
                <m:r>
                  <w:rPr>
                    <w:rFonts w:ascii="Cambria Math" w:hAnsi="Cambria Math"/>
                    <w:color w:val="404040" w:themeColor="text1" w:themeTint="BF"/>
                  </w:rPr>
                  <m:t>,</m:t>
                </m:r>
                <m:sSub>
                  <m:sSubPr>
                    <m:ctrlPr>
                      <w:rPr>
                        <w:rFonts w:ascii="Cambria Math" w:hAnsi="Cambria Math"/>
                        <w:i/>
                        <w:color w:val="404040" w:themeColor="text1" w:themeTint="BF"/>
                      </w:rPr>
                    </m:ctrlPr>
                  </m:sSubPr>
                  <m:e>
                    <m:r>
                      <w:rPr>
                        <w:rFonts w:ascii="Cambria Math" w:hAnsi="Cambria Math"/>
                        <w:color w:val="404040" w:themeColor="text1" w:themeTint="BF"/>
                      </w:rPr>
                      <m:t>D</m:t>
                    </m:r>
                  </m:e>
                  <m:sub>
                    <m:r>
                      <w:rPr>
                        <w:rFonts w:ascii="Cambria Math" w:hAnsi="Cambria Math"/>
                        <w:color w:val="404040" w:themeColor="text1" w:themeTint="BF"/>
                      </w:rPr>
                      <m:t>o</m:t>
                    </m:r>
                  </m:sub>
                </m:sSub>
                <m:r>
                  <w:rPr>
                    <w:rFonts w:ascii="Cambria Math" w:hAnsi="Cambria Math"/>
                    <w:color w:val="404040" w:themeColor="text1" w:themeTint="BF"/>
                  </w:rPr>
                  <m:t>,</m:t>
                </m:r>
                <m:sSub>
                  <m:sSubPr>
                    <m:ctrlPr>
                      <w:rPr>
                        <w:rFonts w:ascii="Cambria Math" w:hAnsi="Cambria Math"/>
                        <w:i/>
                        <w:color w:val="404040" w:themeColor="text1" w:themeTint="BF"/>
                      </w:rPr>
                    </m:ctrlPr>
                  </m:sSubPr>
                  <m:e>
                    <m:r>
                      <w:rPr>
                        <w:rFonts w:ascii="Cambria Math" w:hAnsi="Cambria Math"/>
                        <w:color w:val="404040" w:themeColor="text1" w:themeTint="BF"/>
                      </w:rPr>
                      <m:t>K</m:t>
                    </m:r>
                  </m:e>
                  <m:sub>
                    <m:r>
                      <w:rPr>
                        <w:rFonts w:ascii="Cambria Math" w:hAnsi="Cambria Math"/>
                        <w:color w:val="404040" w:themeColor="text1" w:themeTint="BF"/>
                      </w:rPr>
                      <m:t>1</m:t>
                    </m:r>
                  </m:sub>
                </m:sSub>
                <m:r>
                  <w:rPr>
                    <w:rFonts w:ascii="Cambria Math" w:hAnsi="Cambria Math"/>
                    <w:color w:val="404040" w:themeColor="text1" w:themeTint="BF"/>
                  </w:rPr>
                  <m:t>,</m:t>
                </m:r>
                <m:sSub>
                  <m:sSubPr>
                    <m:ctrlPr>
                      <w:rPr>
                        <w:rFonts w:ascii="Cambria Math" w:hAnsi="Cambria Math"/>
                        <w:i/>
                        <w:color w:val="404040" w:themeColor="text1" w:themeTint="BF"/>
                      </w:rPr>
                    </m:ctrlPr>
                  </m:sSubPr>
                  <m:e>
                    <m:r>
                      <w:rPr>
                        <w:rFonts w:ascii="Cambria Math" w:hAnsi="Cambria Math"/>
                        <w:color w:val="404040" w:themeColor="text1" w:themeTint="BF"/>
                      </w:rPr>
                      <m:t>n</m:t>
                    </m:r>
                  </m:e>
                  <m:sub>
                    <m:r>
                      <w:rPr>
                        <w:rFonts w:ascii="Cambria Math" w:hAnsi="Cambria Math"/>
                        <w:color w:val="404040" w:themeColor="text1" w:themeTint="BF"/>
                      </w:rPr>
                      <m:t>1</m:t>
                    </m:r>
                  </m:sub>
                </m:sSub>
              </m:oMath>
            </m:oMathPara>
          </w:p>
        </w:tc>
        <w:tc>
          <w:tcPr>
            <w:tcW w:w="1052" w:type="dxa"/>
          </w:tcPr>
          <w:p w14:paraId="67CC3677" w14:textId="77777777" w:rsidR="00DB7BD6" w:rsidRPr="003A69B5" w:rsidRDefault="00DB7BD6" w:rsidP="00DB7BD6">
            <w:pPr>
              <w:jc w:val="center"/>
              <w:rPr>
                <w:color w:val="404040" w:themeColor="text1" w:themeTint="BF"/>
              </w:rPr>
            </w:pPr>
            <m:oMathPara>
              <m:oMath>
                <m:sSub>
                  <m:sSubPr>
                    <m:ctrlPr>
                      <w:rPr>
                        <w:rFonts w:ascii="Cambria Math" w:hAnsi="Cambria Math"/>
                        <w:i/>
                        <w:color w:val="404040" w:themeColor="text1" w:themeTint="BF"/>
                      </w:rPr>
                    </m:ctrlPr>
                  </m:sSubPr>
                  <m:e>
                    <m:r>
                      <w:rPr>
                        <w:rFonts w:ascii="Cambria Math" w:hAnsi="Cambria Math"/>
                        <w:color w:val="404040" w:themeColor="text1" w:themeTint="BF"/>
                      </w:rPr>
                      <m:t>D</m:t>
                    </m:r>
                  </m:e>
                  <m:sub>
                    <m:r>
                      <w:rPr>
                        <w:rFonts w:ascii="Cambria Math" w:hAnsi="Cambria Math"/>
                        <w:color w:val="404040" w:themeColor="text1" w:themeTint="BF"/>
                      </w:rPr>
                      <m:t>bu</m:t>
                    </m:r>
                  </m:sub>
                </m:sSub>
              </m:oMath>
            </m:oMathPara>
          </w:p>
        </w:tc>
        <w:tc>
          <w:tcPr>
            <w:tcW w:w="3205" w:type="dxa"/>
          </w:tcPr>
          <w:p w14:paraId="2052748F" w14:textId="77777777" w:rsidR="00DB7BD6" w:rsidRPr="003A69B5" w:rsidRDefault="00DB7BD6" w:rsidP="00DB7BD6">
            <w:pPr>
              <w:jc w:val="center"/>
              <w:rPr>
                <w:color w:val="404040" w:themeColor="text1" w:themeTint="BF"/>
              </w:rPr>
            </w:pPr>
            <w:proofErr w:type="spellStart"/>
            <w:r w:rsidRPr="003A69B5">
              <w:rPr>
                <w:color w:val="404040" w:themeColor="text1" w:themeTint="BF"/>
              </w:rPr>
              <w:t>Eqn</w:t>
            </w:r>
            <w:proofErr w:type="spellEnd"/>
            <w:r w:rsidRPr="003A69B5">
              <w:rPr>
                <w:color w:val="404040" w:themeColor="text1" w:themeTint="BF"/>
              </w:rPr>
              <w:t xml:space="preserve"> 13.18</w:t>
            </w:r>
          </w:p>
        </w:tc>
      </w:tr>
      <w:tr w:rsidR="00DB7BD6" w14:paraId="74928024" w14:textId="77777777" w:rsidTr="00DB7BD6">
        <w:trPr>
          <w:jc w:val="center"/>
        </w:trPr>
        <w:tc>
          <w:tcPr>
            <w:tcW w:w="1126" w:type="dxa"/>
          </w:tcPr>
          <w:p w14:paraId="56BB5663" w14:textId="77777777" w:rsidR="00DB7BD6" w:rsidRPr="003A69B5" w:rsidRDefault="00DB7BD6" w:rsidP="00DB7BD6">
            <w:pPr>
              <w:jc w:val="center"/>
              <w:rPr>
                <w:color w:val="404040" w:themeColor="text1" w:themeTint="BF"/>
              </w:rPr>
            </w:pPr>
            <w:r w:rsidRPr="003A69B5">
              <w:rPr>
                <w:color w:val="404040" w:themeColor="text1" w:themeTint="BF"/>
              </w:rPr>
              <w:t>13.9</w:t>
            </w:r>
          </w:p>
        </w:tc>
        <w:tc>
          <w:tcPr>
            <w:tcW w:w="2516" w:type="dxa"/>
          </w:tcPr>
          <w:p w14:paraId="6BEDE7CF" w14:textId="77777777" w:rsidR="00DB7BD6" w:rsidRPr="003A69B5" w:rsidRDefault="00DB7BD6" w:rsidP="00DB7BD6">
            <w:pPr>
              <w:jc w:val="center"/>
              <w:rPr>
                <w:color w:val="404040" w:themeColor="text1" w:themeTint="BF"/>
              </w:rPr>
            </w:pPr>
            <m:oMathPara>
              <m:oMath>
                <m:sSub>
                  <m:sSubPr>
                    <m:ctrlPr>
                      <w:rPr>
                        <w:rFonts w:ascii="Cambria Math" w:hAnsi="Cambria Math"/>
                        <w:i/>
                        <w:color w:val="404040" w:themeColor="text1" w:themeTint="BF"/>
                      </w:rPr>
                    </m:ctrlPr>
                  </m:sSubPr>
                  <m:e>
                    <m:r>
                      <w:rPr>
                        <w:rFonts w:ascii="Cambria Math" w:hAnsi="Cambria Math"/>
                        <w:color w:val="404040" w:themeColor="text1" w:themeTint="BF"/>
                      </w:rPr>
                      <m:t>D</m:t>
                    </m:r>
                  </m:e>
                  <m:sub>
                    <m:r>
                      <w:rPr>
                        <w:rFonts w:ascii="Cambria Math" w:hAnsi="Cambria Math"/>
                        <w:color w:val="404040" w:themeColor="text1" w:themeTint="BF"/>
                      </w:rPr>
                      <m:t>o</m:t>
                    </m:r>
                  </m:sub>
                </m:sSub>
              </m:oMath>
            </m:oMathPara>
          </w:p>
        </w:tc>
        <w:tc>
          <w:tcPr>
            <w:tcW w:w="1052" w:type="dxa"/>
          </w:tcPr>
          <w:p w14:paraId="20E2D3DB" w14:textId="77777777" w:rsidR="00DB7BD6" w:rsidRPr="003A69B5" w:rsidRDefault="00DB7BD6" w:rsidP="00DB7BD6">
            <w:pPr>
              <w:jc w:val="center"/>
              <w:rPr>
                <w:color w:val="404040" w:themeColor="text1" w:themeTint="BF"/>
              </w:rPr>
            </w:pPr>
            <m:oMathPara>
              <m:oMath>
                <m:sSub>
                  <m:sSubPr>
                    <m:ctrlPr>
                      <w:rPr>
                        <w:rFonts w:ascii="Cambria Math" w:hAnsi="Cambria Math"/>
                        <w:i/>
                        <w:color w:val="404040" w:themeColor="text1" w:themeTint="BF"/>
                      </w:rPr>
                    </m:ctrlPr>
                  </m:sSubPr>
                  <m:e>
                    <m:r>
                      <w:rPr>
                        <w:rFonts w:ascii="Cambria Math" w:hAnsi="Cambria Math"/>
                        <w:color w:val="404040" w:themeColor="text1" w:themeTint="BF"/>
                      </w:rPr>
                      <m:t>p</m:t>
                    </m:r>
                  </m:e>
                  <m:sub>
                    <m:r>
                      <w:rPr>
                        <w:rFonts w:ascii="Cambria Math" w:hAnsi="Cambria Math"/>
                        <w:color w:val="404040" w:themeColor="text1" w:themeTint="BF"/>
                      </w:rPr>
                      <m:t>tu</m:t>
                    </m:r>
                  </m:sub>
                </m:sSub>
              </m:oMath>
            </m:oMathPara>
          </w:p>
        </w:tc>
        <w:tc>
          <w:tcPr>
            <w:tcW w:w="3205" w:type="dxa"/>
          </w:tcPr>
          <w:p w14:paraId="38E64283" w14:textId="77777777" w:rsidR="00DB7BD6" w:rsidRPr="003A69B5" w:rsidRDefault="00DB7BD6" w:rsidP="00DB7BD6">
            <w:pPr>
              <w:jc w:val="center"/>
              <w:rPr>
                <w:color w:val="404040" w:themeColor="text1" w:themeTint="BF"/>
              </w:rPr>
            </w:pPr>
            <w:proofErr w:type="spellStart"/>
            <w:r w:rsidRPr="003A69B5">
              <w:rPr>
                <w:color w:val="404040" w:themeColor="text1" w:themeTint="BF"/>
              </w:rPr>
              <w:t>Eqn</w:t>
            </w:r>
            <w:proofErr w:type="spellEnd"/>
            <w:r w:rsidRPr="003A69B5">
              <w:rPr>
                <w:color w:val="404040" w:themeColor="text1" w:themeTint="BF"/>
              </w:rPr>
              <w:t xml:space="preserve"> 13.20, </w:t>
            </w:r>
            <w:proofErr w:type="spellStart"/>
            <w:r w:rsidRPr="003A69B5">
              <w:rPr>
                <w:color w:val="404040" w:themeColor="text1" w:themeTint="BF"/>
              </w:rPr>
              <w:t>Eqn</w:t>
            </w:r>
            <w:proofErr w:type="spellEnd"/>
            <w:r w:rsidRPr="003A69B5">
              <w:rPr>
                <w:color w:val="404040" w:themeColor="text1" w:themeTint="BF"/>
              </w:rPr>
              <w:t xml:space="preserve"> 13.30</w:t>
            </w:r>
          </w:p>
        </w:tc>
      </w:tr>
      <w:tr w:rsidR="00DB7BD6" w14:paraId="0A5F23AB" w14:textId="77777777" w:rsidTr="00DB7BD6">
        <w:trPr>
          <w:jc w:val="center"/>
        </w:trPr>
        <w:tc>
          <w:tcPr>
            <w:tcW w:w="1126" w:type="dxa"/>
          </w:tcPr>
          <w:p w14:paraId="334ADC24" w14:textId="77777777" w:rsidR="00DB7BD6" w:rsidRPr="003A69B5" w:rsidRDefault="00DB7BD6" w:rsidP="00DB7BD6">
            <w:pPr>
              <w:jc w:val="center"/>
              <w:rPr>
                <w:color w:val="404040" w:themeColor="text1" w:themeTint="BF"/>
              </w:rPr>
            </w:pPr>
            <w:r w:rsidRPr="003A69B5">
              <w:rPr>
                <w:color w:val="404040" w:themeColor="text1" w:themeTint="BF"/>
              </w:rPr>
              <w:t>13.10</w:t>
            </w:r>
          </w:p>
        </w:tc>
        <w:tc>
          <w:tcPr>
            <w:tcW w:w="2516" w:type="dxa"/>
          </w:tcPr>
          <w:p w14:paraId="59EC1CAE" w14:textId="77777777" w:rsidR="00DB7BD6" w:rsidRPr="003A69B5" w:rsidRDefault="00DB7BD6" w:rsidP="00DB7BD6">
            <w:pPr>
              <w:jc w:val="center"/>
              <w:rPr>
                <w:color w:val="404040" w:themeColor="text1" w:themeTint="BF"/>
              </w:rPr>
            </w:pPr>
            <m:oMathPara>
              <m:oMath>
                <m:sSub>
                  <m:sSubPr>
                    <m:ctrlPr>
                      <w:rPr>
                        <w:rFonts w:ascii="Cambria Math" w:hAnsi="Cambria Math"/>
                        <w:i/>
                        <w:color w:val="404040" w:themeColor="text1" w:themeTint="BF"/>
                      </w:rPr>
                    </m:ctrlPr>
                  </m:sSubPr>
                  <m:e>
                    <m:r>
                      <w:rPr>
                        <w:rFonts w:ascii="Cambria Math" w:hAnsi="Cambria Math"/>
                        <w:color w:val="404040" w:themeColor="text1" w:themeTint="BF"/>
                      </w:rPr>
                      <m:t>D</m:t>
                    </m:r>
                  </m:e>
                  <m:sub>
                    <m:r>
                      <w:rPr>
                        <w:rFonts w:ascii="Cambria Math" w:hAnsi="Cambria Math"/>
                        <w:color w:val="404040" w:themeColor="text1" w:themeTint="BF"/>
                      </w:rPr>
                      <m:t>i</m:t>
                    </m:r>
                  </m:sub>
                </m:sSub>
              </m:oMath>
            </m:oMathPara>
          </w:p>
        </w:tc>
        <w:tc>
          <w:tcPr>
            <w:tcW w:w="1052" w:type="dxa"/>
          </w:tcPr>
          <w:p w14:paraId="5215239D" w14:textId="77777777" w:rsidR="00DB7BD6" w:rsidRPr="003A69B5" w:rsidRDefault="00DB7BD6" w:rsidP="00DB7BD6">
            <w:pPr>
              <w:jc w:val="center"/>
              <w:rPr>
                <w:color w:val="404040" w:themeColor="text1" w:themeTint="BF"/>
              </w:rPr>
            </w:pPr>
            <m:oMathPara>
              <m:oMath>
                <m:sSub>
                  <m:sSubPr>
                    <m:ctrlPr>
                      <w:rPr>
                        <w:rFonts w:ascii="Cambria Math" w:hAnsi="Cambria Math"/>
                        <w:i/>
                        <w:color w:val="404040" w:themeColor="text1" w:themeTint="BF"/>
                      </w:rPr>
                    </m:ctrlPr>
                  </m:sSubPr>
                  <m:e>
                    <m:r>
                      <w:rPr>
                        <w:rFonts w:ascii="Cambria Math" w:hAnsi="Cambria Math"/>
                        <w:color w:val="404040" w:themeColor="text1" w:themeTint="BF"/>
                      </w:rPr>
                      <m:t>A</m:t>
                    </m:r>
                  </m:e>
                  <m:sub>
                    <m:r>
                      <w:rPr>
                        <w:rFonts w:ascii="Cambria Math" w:hAnsi="Cambria Math"/>
                        <w:color w:val="404040" w:themeColor="text1" w:themeTint="BF"/>
                      </w:rPr>
                      <m:t>tu</m:t>
                    </m:r>
                  </m:sub>
                </m:sSub>
              </m:oMath>
            </m:oMathPara>
          </w:p>
        </w:tc>
        <w:tc>
          <w:tcPr>
            <w:tcW w:w="3205" w:type="dxa"/>
          </w:tcPr>
          <w:p w14:paraId="1004272A" w14:textId="77777777" w:rsidR="00DB7BD6" w:rsidRPr="003A69B5" w:rsidRDefault="00DB7BD6" w:rsidP="00DB7BD6">
            <w:pPr>
              <w:jc w:val="center"/>
              <w:rPr>
                <w:color w:val="404040" w:themeColor="text1" w:themeTint="BF"/>
              </w:rPr>
            </w:pPr>
            <w:proofErr w:type="spellStart"/>
            <w:r w:rsidRPr="003A69B5">
              <w:rPr>
                <w:color w:val="404040" w:themeColor="text1" w:themeTint="BF"/>
              </w:rPr>
              <w:t>Eqn</w:t>
            </w:r>
            <w:proofErr w:type="spellEnd"/>
            <w:r w:rsidRPr="003A69B5">
              <w:rPr>
                <w:color w:val="404040" w:themeColor="text1" w:themeTint="BF"/>
              </w:rPr>
              <w:t xml:space="preserve"> 13.12</w:t>
            </w:r>
          </w:p>
        </w:tc>
      </w:tr>
      <w:tr w:rsidR="00DB7BD6" w14:paraId="0B887CA2" w14:textId="77777777" w:rsidTr="00DB7BD6">
        <w:trPr>
          <w:jc w:val="center"/>
        </w:trPr>
        <w:tc>
          <w:tcPr>
            <w:tcW w:w="1126" w:type="dxa"/>
          </w:tcPr>
          <w:p w14:paraId="7EE80D71" w14:textId="77777777" w:rsidR="00DB7BD6" w:rsidRPr="003A69B5" w:rsidRDefault="00DB7BD6" w:rsidP="00DB7BD6">
            <w:pPr>
              <w:jc w:val="center"/>
              <w:rPr>
                <w:color w:val="404040" w:themeColor="text1" w:themeTint="BF"/>
              </w:rPr>
            </w:pPr>
            <w:r w:rsidRPr="003A69B5">
              <w:rPr>
                <w:color w:val="404040" w:themeColor="text1" w:themeTint="BF"/>
              </w:rPr>
              <w:t>13.11</w:t>
            </w:r>
          </w:p>
        </w:tc>
        <w:tc>
          <w:tcPr>
            <w:tcW w:w="2516" w:type="dxa"/>
          </w:tcPr>
          <w:p w14:paraId="27589C57" w14:textId="77777777" w:rsidR="00DB7BD6" w:rsidRPr="003A69B5" w:rsidRDefault="00DB7BD6" w:rsidP="00DB7BD6">
            <w:pPr>
              <w:jc w:val="center"/>
              <w:rPr>
                <w:color w:val="404040" w:themeColor="text1" w:themeTint="BF"/>
              </w:rPr>
            </w:pPr>
            <m:oMathPara>
              <m:oMath>
                <m:sSub>
                  <m:sSubPr>
                    <m:ctrlPr>
                      <w:rPr>
                        <w:rFonts w:ascii="Cambria Math" w:hAnsi="Cambria Math"/>
                        <w:b/>
                        <w:i/>
                        <w:color w:val="404040" w:themeColor="text1" w:themeTint="BF"/>
                      </w:rPr>
                    </m:ctrlPr>
                  </m:sSubPr>
                  <m:e>
                    <m:r>
                      <m:rPr>
                        <m:sty m:val="bi"/>
                      </m:rPr>
                      <w:rPr>
                        <w:rFonts w:ascii="Cambria Math" w:hAnsi="Cambria Math"/>
                        <w:color w:val="404040" w:themeColor="text1" w:themeTint="BF"/>
                      </w:rPr>
                      <m:t>N</m:t>
                    </m:r>
                  </m:e>
                  <m:sub>
                    <m:r>
                      <m:rPr>
                        <m:sty m:val="bi"/>
                      </m:rPr>
                      <w:rPr>
                        <w:rFonts w:ascii="Cambria Math" w:hAnsi="Cambria Math"/>
                        <w:color w:val="404040" w:themeColor="text1" w:themeTint="BF"/>
                      </w:rPr>
                      <m:t>tu</m:t>
                    </m:r>
                  </m:sub>
                </m:sSub>
                <m:r>
                  <w:rPr>
                    <w:rFonts w:ascii="Cambria Math" w:hAnsi="Cambria Math"/>
                    <w:color w:val="404040" w:themeColor="text1" w:themeTint="BF"/>
                  </w:rPr>
                  <m:t>,</m:t>
                </m:r>
                <m:sSub>
                  <m:sSubPr>
                    <m:ctrlPr>
                      <w:rPr>
                        <w:rFonts w:ascii="Cambria Math" w:hAnsi="Cambria Math"/>
                        <w:i/>
                        <w:color w:val="404040" w:themeColor="text1" w:themeTint="BF"/>
                      </w:rPr>
                    </m:ctrlPr>
                  </m:sSubPr>
                  <m:e>
                    <m:r>
                      <w:rPr>
                        <w:rFonts w:ascii="Cambria Math" w:hAnsi="Cambria Math"/>
                        <w:color w:val="404040" w:themeColor="text1" w:themeTint="BF"/>
                      </w:rPr>
                      <m:t>N</m:t>
                    </m:r>
                  </m:e>
                  <m:sub>
                    <m:r>
                      <w:rPr>
                        <w:rFonts w:ascii="Cambria Math" w:hAnsi="Cambria Math"/>
                        <w:color w:val="404040" w:themeColor="text1" w:themeTint="BF"/>
                      </w:rPr>
                      <m:t>pass</m:t>
                    </m:r>
                  </m:sub>
                </m:sSub>
              </m:oMath>
            </m:oMathPara>
          </w:p>
        </w:tc>
        <w:tc>
          <w:tcPr>
            <w:tcW w:w="1052" w:type="dxa"/>
          </w:tcPr>
          <w:p w14:paraId="0D728BDA" w14:textId="77777777" w:rsidR="00DB7BD6" w:rsidRPr="003A69B5" w:rsidRDefault="00DB7BD6" w:rsidP="00DB7BD6">
            <w:pPr>
              <w:jc w:val="center"/>
              <w:rPr>
                <w:color w:val="404040" w:themeColor="text1" w:themeTint="BF"/>
              </w:rPr>
            </w:pPr>
            <m:oMathPara>
              <m:oMath>
                <m:sSub>
                  <m:sSubPr>
                    <m:ctrlPr>
                      <w:rPr>
                        <w:rFonts w:ascii="Cambria Math" w:hAnsi="Cambria Math"/>
                        <w:i/>
                        <w:color w:val="404040" w:themeColor="text1" w:themeTint="BF"/>
                      </w:rPr>
                    </m:ctrlPr>
                  </m:sSubPr>
                  <m:e>
                    <m:r>
                      <w:rPr>
                        <w:rFonts w:ascii="Cambria Math" w:hAnsi="Cambria Math"/>
                        <w:color w:val="404040" w:themeColor="text1" w:themeTint="BF"/>
                      </w:rPr>
                      <m:t>N</m:t>
                    </m:r>
                  </m:e>
                  <m:sub>
                    <m:r>
                      <w:rPr>
                        <w:rFonts w:ascii="Cambria Math" w:hAnsi="Cambria Math"/>
                        <w:color w:val="404040" w:themeColor="text1" w:themeTint="BF"/>
                      </w:rPr>
                      <m:t>tu,pass</m:t>
                    </m:r>
                  </m:sub>
                </m:sSub>
              </m:oMath>
            </m:oMathPara>
          </w:p>
        </w:tc>
        <w:tc>
          <w:tcPr>
            <w:tcW w:w="3205" w:type="dxa"/>
          </w:tcPr>
          <w:p w14:paraId="7E6BE04A" w14:textId="77777777" w:rsidR="00DB7BD6" w:rsidRPr="003A69B5" w:rsidRDefault="00DB7BD6" w:rsidP="00DB7BD6">
            <w:pPr>
              <w:jc w:val="center"/>
              <w:rPr>
                <w:color w:val="404040" w:themeColor="text1" w:themeTint="BF"/>
              </w:rPr>
            </w:pPr>
            <w:proofErr w:type="spellStart"/>
            <w:r w:rsidRPr="003A69B5">
              <w:rPr>
                <w:color w:val="404040" w:themeColor="text1" w:themeTint="BF"/>
              </w:rPr>
              <w:t>Eqn</w:t>
            </w:r>
            <w:proofErr w:type="spellEnd"/>
            <w:r w:rsidRPr="003A69B5">
              <w:rPr>
                <w:color w:val="404040" w:themeColor="text1" w:themeTint="BF"/>
              </w:rPr>
              <w:t xml:space="preserve"> 13.12</w:t>
            </w:r>
          </w:p>
        </w:tc>
      </w:tr>
      <w:tr w:rsidR="00DB7BD6" w14:paraId="3D4A8AD1" w14:textId="77777777" w:rsidTr="00DB7BD6">
        <w:trPr>
          <w:jc w:val="center"/>
        </w:trPr>
        <w:tc>
          <w:tcPr>
            <w:tcW w:w="1126" w:type="dxa"/>
          </w:tcPr>
          <w:p w14:paraId="0E220F2C" w14:textId="77777777" w:rsidR="00DB7BD6" w:rsidRPr="003A69B5" w:rsidRDefault="00DB7BD6" w:rsidP="00DB7BD6">
            <w:pPr>
              <w:jc w:val="center"/>
              <w:rPr>
                <w:color w:val="404040" w:themeColor="text1" w:themeTint="BF"/>
              </w:rPr>
            </w:pPr>
            <w:r w:rsidRPr="003A69B5">
              <w:rPr>
                <w:color w:val="404040" w:themeColor="text1" w:themeTint="BF"/>
              </w:rPr>
              <w:t>13.12</w:t>
            </w:r>
          </w:p>
        </w:tc>
        <w:tc>
          <w:tcPr>
            <w:tcW w:w="2516" w:type="dxa"/>
          </w:tcPr>
          <w:p w14:paraId="4BACC6ED" w14:textId="77777777" w:rsidR="00DB7BD6" w:rsidRPr="003A69B5" w:rsidRDefault="00DB7BD6" w:rsidP="00DB7BD6">
            <w:pPr>
              <w:jc w:val="center"/>
              <w:rPr>
                <w:color w:val="404040" w:themeColor="text1" w:themeTint="BF"/>
              </w:rPr>
            </w:pPr>
            <m:oMathPara>
              <m:oMath>
                <m:sSub>
                  <m:sSubPr>
                    <m:ctrlPr>
                      <w:rPr>
                        <w:rFonts w:ascii="Cambria Math" w:hAnsi="Cambria Math"/>
                        <w:b/>
                        <w:i/>
                        <w:color w:val="404040" w:themeColor="text1" w:themeTint="BF"/>
                      </w:rPr>
                    </m:ctrlPr>
                  </m:sSubPr>
                  <m:e>
                    <m:r>
                      <m:rPr>
                        <m:sty m:val="bi"/>
                      </m:rPr>
                      <w:rPr>
                        <w:rFonts w:ascii="Cambria Math" w:hAnsi="Cambria Math"/>
                        <w:color w:val="404040" w:themeColor="text1" w:themeTint="BF"/>
                      </w:rPr>
                      <m:t>A</m:t>
                    </m:r>
                  </m:e>
                  <m:sub>
                    <m:r>
                      <m:rPr>
                        <m:sty m:val="bi"/>
                      </m:rPr>
                      <w:rPr>
                        <w:rFonts w:ascii="Cambria Math" w:hAnsi="Cambria Math"/>
                        <w:color w:val="404040" w:themeColor="text1" w:themeTint="BF"/>
                      </w:rPr>
                      <m:t>tu</m:t>
                    </m:r>
                  </m:sub>
                </m:sSub>
                <m:r>
                  <w:rPr>
                    <w:rFonts w:ascii="Cambria Math" w:hAnsi="Cambria Math"/>
                    <w:color w:val="404040" w:themeColor="text1" w:themeTint="BF"/>
                  </w:rPr>
                  <m:t>,</m:t>
                </m:r>
                <m:sSub>
                  <m:sSubPr>
                    <m:ctrlPr>
                      <w:rPr>
                        <w:rFonts w:ascii="Cambria Math" w:hAnsi="Cambria Math"/>
                        <w:b/>
                        <w:i/>
                        <w:color w:val="404040" w:themeColor="text1" w:themeTint="BF"/>
                      </w:rPr>
                    </m:ctrlPr>
                  </m:sSubPr>
                  <m:e>
                    <m:r>
                      <m:rPr>
                        <m:sty m:val="bi"/>
                      </m:rPr>
                      <w:rPr>
                        <w:rFonts w:ascii="Cambria Math" w:hAnsi="Cambria Math"/>
                        <w:color w:val="404040" w:themeColor="text1" w:themeTint="BF"/>
                      </w:rPr>
                      <m:t>N</m:t>
                    </m:r>
                  </m:e>
                  <m:sub>
                    <m:r>
                      <m:rPr>
                        <m:sty m:val="bi"/>
                      </m:rPr>
                      <w:rPr>
                        <w:rFonts w:ascii="Cambria Math" w:hAnsi="Cambria Math"/>
                        <w:color w:val="404040" w:themeColor="text1" w:themeTint="BF"/>
                      </w:rPr>
                      <m:t>tu,pass</m:t>
                    </m:r>
                  </m:sub>
                </m:sSub>
              </m:oMath>
            </m:oMathPara>
          </w:p>
        </w:tc>
        <w:tc>
          <w:tcPr>
            <w:tcW w:w="1052" w:type="dxa"/>
          </w:tcPr>
          <w:p w14:paraId="3E5857ED" w14:textId="77777777" w:rsidR="00DB7BD6" w:rsidRPr="003A69B5" w:rsidRDefault="00DB7BD6" w:rsidP="00DB7BD6">
            <w:pPr>
              <w:jc w:val="center"/>
              <w:rPr>
                <w:color w:val="404040" w:themeColor="text1" w:themeTint="BF"/>
              </w:rPr>
            </w:pPr>
            <m:oMathPara>
              <m:oMath>
                <m:sSub>
                  <m:sSubPr>
                    <m:ctrlPr>
                      <w:rPr>
                        <w:rFonts w:ascii="Cambria Math" w:hAnsi="Cambria Math"/>
                        <w:i/>
                        <w:color w:val="404040" w:themeColor="text1" w:themeTint="BF"/>
                      </w:rPr>
                    </m:ctrlPr>
                  </m:sSubPr>
                  <m:e>
                    <m:r>
                      <w:rPr>
                        <w:rFonts w:ascii="Cambria Math" w:hAnsi="Cambria Math"/>
                        <w:color w:val="404040" w:themeColor="text1" w:themeTint="BF"/>
                      </w:rPr>
                      <m:t>A</m:t>
                    </m:r>
                  </m:e>
                  <m:sub>
                    <m:r>
                      <w:rPr>
                        <w:rFonts w:ascii="Cambria Math" w:hAnsi="Cambria Math"/>
                        <w:color w:val="404040" w:themeColor="text1" w:themeTint="BF"/>
                      </w:rPr>
                      <m:t>tot</m:t>
                    </m:r>
                  </m:sub>
                </m:sSub>
              </m:oMath>
            </m:oMathPara>
          </w:p>
        </w:tc>
        <w:tc>
          <w:tcPr>
            <w:tcW w:w="3205" w:type="dxa"/>
          </w:tcPr>
          <w:p w14:paraId="5E31F32A" w14:textId="77777777" w:rsidR="00DB7BD6" w:rsidRPr="003A69B5" w:rsidRDefault="00DB7BD6" w:rsidP="00DB7BD6">
            <w:pPr>
              <w:jc w:val="center"/>
              <w:rPr>
                <w:color w:val="404040" w:themeColor="text1" w:themeTint="BF"/>
              </w:rPr>
            </w:pPr>
            <w:proofErr w:type="spellStart"/>
            <w:r w:rsidRPr="003A69B5">
              <w:rPr>
                <w:color w:val="404040" w:themeColor="text1" w:themeTint="BF"/>
              </w:rPr>
              <w:t>Eqn</w:t>
            </w:r>
            <w:proofErr w:type="spellEnd"/>
            <w:r w:rsidRPr="003A69B5">
              <w:rPr>
                <w:color w:val="404040" w:themeColor="text1" w:themeTint="BF"/>
              </w:rPr>
              <w:t xml:space="preserve"> 13.13</w:t>
            </w:r>
          </w:p>
        </w:tc>
      </w:tr>
      <w:tr w:rsidR="00DB7BD6" w14:paraId="76AFF5AD" w14:textId="77777777" w:rsidTr="00DB7BD6">
        <w:trPr>
          <w:jc w:val="center"/>
        </w:trPr>
        <w:tc>
          <w:tcPr>
            <w:tcW w:w="1126" w:type="dxa"/>
          </w:tcPr>
          <w:p w14:paraId="6FBC57BA" w14:textId="77777777" w:rsidR="00DB7BD6" w:rsidRPr="003A69B5" w:rsidRDefault="00DB7BD6" w:rsidP="00DB7BD6">
            <w:pPr>
              <w:jc w:val="center"/>
              <w:rPr>
                <w:color w:val="404040" w:themeColor="text1" w:themeTint="BF"/>
              </w:rPr>
            </w:pPr>
            <w:r w:rsidRPr="003A69B5">
              <w:rPr>
                <w:color w:val="404040" w:themeColor="text1" w:themeTint="BF"/>
              </w:rPr>
              <w:t>13.13</w:t>
            </w:r>
          </w:p>
        </w:tc>
        <w:tc>
          <w:tcPr>
            <w:tcW w:w="2516" w:type="dxa"/>
          </w:tcPr>
          <w:p w14:paraId="277E78AD" w14:textId="77777777" w:rsidR="00DB7BD6" w:rsidRPr="003A69B5" w:rsidRDefault="00DB7BD6" w:rsidP="00DB7BD6">
            <w:pPr>
              <w:jc w:val="center"/>
              <w:rPr>
                <w:color w:val="404040" w:themeColor="text1" w:themeTint="BF"/>
              </w:rPr>
            </w:pPr>
            <m:oMathPara>
              <m:oMath>
                <m:sSub>
                  <m:sSubPr>
                    <m:ctrlPr>
                      <w:rPr>
                        <w:rFonts w:ascii="Cambria Math" w:hAnsi="Cambria Math"/>
                        <w:b/>
                        <w:i/>
                        <w:color w:val="404040" w:themeColor="text1" w:themeTint="BF"/>
                      </w:rPr>
                    </m:ctrlPr>
                  </m:sSubPr>
                  <m:e>
                    <m:r>
                      <m:rPr>
                        <m:sty m:val="bi"/>
                      </m:rPr>
                      <w:rPr>
                        <w:rFonts w:ascii="Cambria Math" w:hAnsi="Cambria Math"/>
                        <w:color w:val="404040" w:themeColor="text1" w:themeTint="BF"/>
                      </w:rPr>
                      <m:t>A</m:t>
                    </m:r>
                  </m:e>
                  <m:sub>
                    <m:r>
                      <m:rPr>
                        <m:sty m:val="bi"/>
                      </m:rPr>
                      <w:rPr>
                        <w:rFonts w:ascii="Cambria Math" w:hAnsi="Cambria Math"/>
                        <w:color w:val="404040" w:themeColor="text1" w:themeTint="BF"/>
                      </w:rPr>
                      <m:t>tot</m:t>
                    </m:r>
                  </m:sub>
                </m:sSub>
                <m:r>
                  <w:rPr>
                    <w:rFonts w:ascii="Cambria Math" w:hAnsi="Cambria Math"/>
                    <w:color w:val="404040" w:themeColor="text1" w:themeTint="BF"/>
                  </w:rPr>
                  <m:t>,</m:t>
                </m:r>
                <m:sSub>
                  <m:sSubPr>
                    <m:ctrlPr>
                      <w:rPr>
                        <w:rFonts w:ascii="Cambria Math" w:hAnsi="Cambria Math"/>
                        <w:i/>
                        <w:color w:val="404040" w:themeColor="text1" w:themeTint="BF"/>
                      </w:rPr>
                    </m:ctrlPr>
                  </m:sSubPr>
                  <m:e>
                    <m:acc>
                      <m:accPr>
                        <m:chr m:val="̇"/>
                        <m:ctrlPr>
                          <w:rPr>
                            <w:rFonts w:ascii="Cambria Math" w:hAnsi="Cambria Math"/>
                            <w:i/>
                            <w:color w:val="404040" w:themeColor="text1" w:themeTint="BF"/>
                          </w:rPr>
                        </m:ctrlPr>
                      </m:accPr>
                      <m:e>
                        <m:r>
                          <w:rPr>
                            <w:rFonts w:ascii="Cambria Math" w:hAnsi="Cambria Math"/>
                            <w:color w:val="404040" w:themeColor="text1" w:themeTint="BF"/>
                          </w:rPr>
                          <m:t>m</m:t>
                        </m:r>
                      </m:e>
                    </m:acc>
                  </m:e>
                  <m:sub>
                    <m:r>
                      <w:rPr>
                        <w:rFonts w:ascii="Cambria Math" w:hAnsi="Cambria Math"/>
                        <w:color w:val="404040" w:themeColor="text1" w:themeTint="BF"/>
                      </w:rPr>
                      <m:t>tu</m:t>
                    </m:r>
                  </m:sub>
                </m:sSub>
              </m:oMath>
            </m:oMathPara>
          </w:p>
        </w:tc>
        <w:tc>
          <w:tcPr>
            <w:tcW w:w="1052" w:type="dxa"/>
          </w:tcPr>
          <w:p w14:paraId="39E8534C" w14:textId="77777777" w:rsidR="00DB7BD6" w:rsidRPr="003A69B5" w:rsidRDefault="00DB7BD6" w:rsidP="00DB7BD6">
            <w:pPr>
              <w:jc w:val="center"/>
              <w:rPr>
                <w:color w:val="404040" w:themeColor="text1" w:themeTint="BF"/>
              </w:rPr>
            </w:pPr>
            <m:oMathPara>
              <m:oMath>
                <m:sSub>
                  <m:sSubPr>
                    <m:ctrlPr>
                      <w:rPr>
                        <w:rFonts w:ascii="Cambria Math" w:hAnsi="Cambria Math"/>
                        <w:i/>
                        <w:color w:val="404040" w:themeColor="text1" w:themeTint="BF"/>
                      </w:rPr>
                    </m:ctrlPr>
                  </m:sSubPr>
                  <m:e>
                    <m:r>
                      <w:rPr>
                        <w:rFonts w:ascii="Cambria Math" w:hAnsi="Cambria Math"/>
                        <w:color w:val="404040" w:themeColor="text1" w:themeTint="BF"/>
                      </w:rPr>
                      <m:t>G</m:t>
                    </m:r>
                  </m:e>
                  <m:sub>
                    <m:r>
                      <w:rPr>
                        <w:rFonts w:ascii="Cambria Math" w:hAnsi="Cambria Math"/>
                        <w:color w:val="404040" w:themeColor="text1" w:themeTint="BF"/>
                      </w:rPr>
                      <m:t>tu</m:t>
                    </m:r>
                  </m:sub>
                </m:sSub>
              </m:oMath>
            </m:oMathPara>
          </w:p>
        </w:tc>
        <w:tc>
          <w:tcPr>
            <w:tcW w:w="3205" w:type="dxa"/>
          </w:tcPr>
          <w:p w14:paraId="20D06B45" w14:textId="77777777" w:rsidR="00DB7BD6" w:rsidRPr="003A69B5" w:rsidRDefault="00DB7BD6" w:rsidP="00DB7BD6">
            <w:pPr>
              <w:jc w:val="center"/>
              <w:rPr>
                <w:color w:val="404040" w:themeColor="text1" w:themeTint="BF"/>
              </w:rPr>
            </w:pPr>
            <w:proofErr w:type="spellStart"/>
            <w:r w:rsidRPr="003A69B5">
              <w:rPr>
                <w:color w:val="404040" w:themeColor="text1" w:themeTint="BF"/>
              </w:rPr>
              <w:t>Eqn</w:t>
            </w:r>
            <w:proofErr w:type="spellEnd"/>
            <w:r w:rsidRPr="003A69B5">
              <w:rPr>
                <w:color w:val="404040" w:themeColor="text1" w:themeTint="BF"/>
              </w:rPr>
              <w:t xml:space="preserve"> 13.14</w:t>
            </w:r>
          </w:p>
        </w:tc>
      </w:tr>
      <w:tr w:rsidR="00DB7BD6" w14:paraId="45E99588" w14:textId="77777777" w:rsidTr="00DB7BD6">
        <w:trPr>
          <w:jc w:val="center"/>
        </w:trPr>
        <w:tc>
          <w:tcPr>
            <w:tcW w:w="1126" w:type="dxa"/>
          </w:tcPr>
          <w:p w14:paraId="5770F637" w14:textId="77777777" w:rsidR="00DB7BD6" w:rsidRPr="003A69B5" w:rsidRDefault="00DB7BD6" w:rsidP="00DB7BD6">
            <w:pPr>
              <w:jc w:val="center"/>
              <w:rPr>
                <w:color w:val="404040" w:themeColor="text1" w:themeTint="BF"/>
              </w:rPr>
            </w:pPr>
            <w:r w:rsidRPr="003A69B5">
              <w:rPr>
                <w:color w:val="404040" w:themeColor="text1" w:themeTint="BF"/>
              </w:rPr>
              <w:t>13.14</w:t>
            </w:r>
          </w:p>
        </w:tc>
        <w:tc>
          <w:tcPr>
            <w:tcW w:w="2516" w:type="dxa"/>
          </w:tcPr>
          <w:p w14:paraId="23A28C4D" w14:textId="77777777" w:rsidR="00DB7BD6" w:rsidRPr="003A69B5" w:rsidRDefault="00DB7BD6" w:rsidP="00DB7BD6">
            <w:pPr>
              <w:jc w:val="center"/>
              <w:rPr>
                <w:color w:val="404040" w:themeColor="text1" w:themeTint="BF"/>
              </w:rPr>
            </w:pPr>
            <m:oMathPara>
              <m:oMath>
                <m:sSub>
                  <m:sSubPr>
                    <m:ctrlPr>
                      <w:rPr>
                        <w:rFonts w:ascii="Cambria Math" w:hAnsi="Cambria Math"/>
                        <w:b/>
                        <w:i/>
                        <w:color w:val="404040" w:themeColor="text1" w:themeTint="BF"/>
                      </w:rPr>
                    </m:ctrlPr>
                  </m:sSubPr>
                  <m:e>
                    <m:r>
                      <m:rPr>
                        <m:sty m:val="bi"/>
                      </m:rPr>
                      <w:rPr>
                        <w:rFonts w:ascii="Cambria Math" w:hAnsi="Cambria Math"/>
                        <w:color w:val="404040" w:themeColor="text1" w:themeTint="BF"/>
                      </w:rPr>
                      <m:t>G</m:t>
                    </m:r>
                  </m:e>
                  <m:sub>
                    <m:r>
                      <m:rPr>
                        <m:sty m:val="bi"/>
                      </m:rPr>
                      <w:rPr>
                        <w:rFonts w:ascii="Cambria Math" w:hAnsi="Cambria Math"/>
                        <w:color w:val="404040" w:themeColor="text1" w:themeTint="BF"/>
                      </w:rPr>
                      <m:t>tu</m:t>
                    </m:r>
                  </m:sub>
                </m:sSub>
                <m:r>
                  <w:rPr>
                    <w:rFonts w:ascii="Cambria Math" w:hAnsi="Cambria Math"/>
                    <w:color w:val="404040" w:themeColor="text1" w:themeTint="BF"/>
                  </w:rPr>
                  <m:t>,</m:t>
                </m:r>
                <m:sSub>
                  <m:sSubPr>
                    <m:ctrlPr>
                      <w:rPr>
                        <w:rFonts w:ascii="Cambria Math" w:hAnsi="Cambria Math"/>
                        <w:i/>
                        <w:color w:val="404040" w:themeColor="text1" w:themeTint="BF"/>
                      </w:rPr>
                    </m:ctrlPr>
                  </m:sSubPr>
                  <m:e>
                    <m:r>
                      <w:rPr>
                        <w:rFonts w:ascii="Cambria Math" w:hAnsi="Cambria Math"/>
                        <w:color w:val="404040" w:themeColor="text1" w:themeTint="BF"/>
                      </w:rPr>
                      <m:t>ρ</m:t>
                    </m:r>
                  </m:e>
                  <m:sub>
                    <m:r>
                      <w:rPr>
                        <w:rFonts w:ascii="Cambria Math" w:hAnsi="Cambria Math"/>
                        <w:color w:val="404040" w:themeColor="text1" w:themeTint="BF"/>
                      </w:rPr>
                      <m:t>tu</m:t>
                    </m:r>
                  </m:sub>
                </m:sSub>
              </m:oMath>
            </m:oMathPara>
          </w:p>
        </w:tc>
        <w:tc>
          <w:tcPr>
            <w:tcW w:w="1052" w:type="dxa"/>
          </w:tcPr>
          <w:p w14:paraId="2DED242A" w14:textId="77777777" w:rsidR="00DB7BD6" w:rsidRPr="003A69B5" w:rsidRDefault="00DB7BD6" w:rsidP="00DB7BD6">
            <w:pPr>
              <w:jc w:val="center"/>
              <w:rPr>
                <w:color w:val="404040" w:themeColor="text1" w:themeTint="BF"/>
              </w:rPr>
            </w:pPr>
            <m:oMathPara>
              <m:oMath>
                <m:sSub>
                  <m:sSubPr>
                    <m:ctrlPr>
                      <w:rPr>
                        <w:rFonts w:ascii="Cambria Math" w:hAnsi="Cambria Math"/>
                        <w:i/>
                        <w:color w:val="404040" w:themeColor="text1" w:themeTint="BF"/>
                      </w:rPr>
                    </m:ctrlPr>
                  </m:sSubPr>
                  <m:e>
                    <m:r>
                      <w:rPr>
                        <w:rFonts w:ascii="Cambria Math" w:hAnsi="Cambria Math"/>
                        <w:color w:val="404040" w:themeColor="text1" w:themeTint="BF"/>
                      </w:rPr>
                      <m:t>v</m:t>
                    </m:r>
                  </m:e>
                  <m:sub>
                    <m:r>
                      <w:rPr>
                        <w:rFonts w:ascii="Cambria Math" w:hAnsi="Cambria Math"/>
                        <w:color w:val="404040" w:themeColor="text1" w:themeTint="BF"/>
                      </w:rPr>
                      <m:t>tu</m:t>
                    </m:r>
                  </m:sub>
                </m:sSub>
              </m:oMath>
            </m:oMathPara>
          </w:p>
        </w:tc>
        <w:tc>
          <w:tcPr>
            <w:tcW w:w="3205" w:type="dxa"/>
          </w:tcPr>
          <w:p w14:paraId="7D912FF4" w14:textId="77777777" w:rsidR="00DB7BD6" w:rsidRPr="003A69B5" w:rsidRDefault="00DB7BD6" w:rsidP="00DB7BD6">
            <w:pPr>
              <w:jc w:val="center"/>
              <w:rPr>
                <w:color w:val="404040" w:themeColor="text1" w:themeTint="BF"/>
              </w:rPr>
            </w:pPr>
            <w:proofErr w:type="spellStart"/>
            <w:r w:rsidRPr="003A69B5">
              <w:rPr>
                <w:color w:val="404040" w:themeColor="text1" w:themeTint="BF"/>
              </w:rPr>
              <w:t>Eqn</w:t>
            </w:r>
            <w:proofErr w:type="spellEnd"/>
            <w:r w:rsidRPr="003A69B5">
              <w:rPr>
                <w:color w:val="404040" w:themeColor="text1" w:themeTint="BF"/>
              </w:rPr>
              <w:t xml:space="preserve"> 13.15, </w:t>
            </w:r>
            <w:proofErr w:type="spellStart"/>
            <w:r w:rsidRPr="003A69B5">
              <w:rPr>
                <w:color w:val="404040" w:themeColor="text1" w:themeTint="BF"/>
              </w:rPr>
              <w:t>Eqn</w:t>
            </w:r>
            <w:proofErr w:type="spellEnd"/>
            <w:r w:rsidRPr="003A69B5">
              <w:rPr>
                <w:color w:val="404040" w:themeColor="text1" w:themeTint="BF"/>
              </w:rPr>
              <w:t xml:space="preserve"> 13.28</w:t>
            </w:r>
          </w:p>
        </w:tc>
      </w:tr>
      <w:tr w:rsidR="00DB7BD6" w14:paraId="5B7F58D8" w14:textId="77777777" w:rsidTr="00DB7BD6">
        <w:trPr>
          <w:jc w:val="center"/>
        </w:trPr>
        <w:tc>
          <w:tcPr>
            <w:tcW w:w="1126" w:type="dxa"/>
          </w:tcPr>
          <w:p w14:paraId="2D1A5FD8" w14:textId="77777777" w:rsidR="00DB7BD6" w:rsidRPr="003A69B5" w:rsidRDefault="00DB7BD6" w:rsidP="00DB7BD6">
            <w:pPr>
              <w:jc w:val="center"/>
              <w:rPr>
                <w:color w:val="404040" w:themeColor="text1" w:themeTint="BF"/>
              </w:rPr>
            </w:pPr>
            <w:r w:rsidRPr="003A69B5">
              <w:rPr>
                <w:color w:val="404040" w:themeColor="text1" w:themeTint="BF"/>
              </w:rPr>
              <w:t>13.15</w:t>
            </w:r>
          </w:p>
        </w:tc>
        <w:tc>
          <w:tcPr>
            <w:tcW w:w="2516" w:type="dxa"/>
          </w:tcPr>
          <w:p w14:paraId="67DBA859" w14:textId="77777777" w:rsidR="00DB7BD6" w:rsidRPr="003A69B5" w:rsidRDefault="00DB7BD6" w:rsidP="00DB7BD6">
            <w:pPr>
              <w:jc w:val="center"/>
              <w:rPr>
                <w:color w:val="404040" w:themeColor="text1" w:themeTint="BF"/>
              </w:rPr>
            </w:pPr>
            <m:oMath>
              <m:sSub>
                <m:sSubPr>
                  <m:ctrlPr>
                    <w:rPr>
                      <w:rFonts w:ascii="Cambria Math" w:hAnsi="Cambria Math"/>
                      <w:b/>
                      <w:i/>
                      <w:color w:val="404040" w:themeColor="text1" w:themeTint="BF"/>
                    </w:rPr>
                  </m:ctrlPr>
                </m:sSubPr>
                <m:e>
                  <m:r>
                    <m:rPr>
                      <m:sty m:val="bi"/>
                    </m:rPr>
                    <w:rPr>
                      <w:rFonts w:ascii="Cambria Math" w:hAnsi="Cambria Math"/>
                      <w:color w:val="404040" w:themeColor="text1" w:themeTint="BF"/>
                    </w:rPr>
                    <m:t>v</m:t>
                  </m:r>
                </m:e>
                <m:sub>
                  <m:r>
                    <m:rPr>
                      <m:sty m:val="bi"/>
                    </m:rPr>
                    <w:rPr>
                      <w:rFonts w:ascii="Cambria Math" w:hAnsi="Cambria Math"/>
                      <w:color w:val="404040" w:themeColor="text1" w:themeTint="BF"/>
                    </w:rPr>
                    <m:t>tu</m:t>
                  </m:r>
                </m:sub>
              </m:sSub>
            </m:oMath>
            <w:r w:rsidRPr="003A69B5">
              <w:rPr>
                <w:color w:val="404040" w:themeColor="text1" w:themeTint="BF"/>
              </w:rPr>
              <w:t>,</w:t>
            </w:r>
            <m:oMath>
              <m:r>
                <w:rPr>
                  <w:rFonts w:ascii="Cambria Math" w:hAnsi="Cambria Math"/>
                  <w:color w:val="404040" w:themeColor="text1" w:themeTint="BF"/>
                </w:rPr>
                <m:t xml:space="preserve"> </m:t>
              </m:r>
              <m:sSub>
                <m:sSubPr>
                  <m:ctrlPr>
                    <w:rPr>
                      <w:rFonts w:ascii="Cambria Math" w:hAnsi="Cambria Math"/>
                      <w:i/>
                      <w:color w:val="404040" w:themeColor="text1" w:themeTint="BF"/>
                    </w:rPr>
                  </m:ctrlPr>
                </m:sSubPr>
                <m:e>
                  <m:r>
                    <w:rPr>
                      <w:rFonts w:ascii="Cambria Math" w:hAnsi="Cambria Math"/>
                      <w:color w:val="404040" w:themeColor="text1" w:themeTint="BF"/>
                    </w:rPr>
                    <m:t>ρ</m:t>
                  </m:r>
                </m:e>
                <m:sub>
                  <m:r>
                    <w:rPr>
                      <w:rFonts w:ascii="Cambria Math" w:hAnsi="Cambria Math"/>
                      <w:color w:val="404040" w:themeColor="text1" w:themeTint="BF"/>
                    </w:rPr>
                    <m:t>tu</m:t>
                  </m:r>
                </m:sub>
              </m:sSub>
            </m:oMath>
            <w:r w:rsidRPr="003A69B5">
              <w:rPr>
                <w:color w:val="404040" w:themeColor="text1" w:themeTint="BF"/>
              </w:rPr>
              <w:t>,</w:t>
            </w:r>
            <m:oMath>
              <m:r>
                <w:rPr>
                  <w:rFonts w:ascii="Cambria Math" w:hAnsi="Cambria Math"/>
                  <w:color w:val="404040" w:themeColor="text1" w:themeTint="BF"/>
                </w:rPr>
                <m:t xml:space="preserve"> </m:t>
              </m:r>
              <m:sSub>
                <m:sSubPr>
                  <m:ctrlPr>
                    <w:rPr>
                      <w:rFonts w:ascii="Cambria Math" w:hAnsi="Cambria Math"/>
                      <w:i/>
                      <w:color w:val="404040" w:themeColor="text1" w:themeTint="BF"/>
                    </w:rPr>
                  </m:ctrlPr>
                </m:sSubPr>
                <m:e>
                  <m:r>
                    <w:rPr>
                      <w:rFonts w:ascii="Cambria Math" w:hAnsi="Cambria Math"/>
                      <w:color w:val="404040" w:themeColor="text1" w:themeTint="BF"/>
                    </w:rPr>
                    <m:t>μ</m:t>
                  </m:r>
                </m:e>
                <m:sub>
                  <m:r>
                    <w:rPr>
                      <w:rFonts w:ascii="Cambria Math" w:hAnsi="Cambria Math"/>
                      <w:color w:val="404040" w:themeColor="text1" w:themeTint="BF"/>
                    </w:rPr>
                    <m:t>tu</m:t>
                  </m:r>
                </m:sub>
              </m:sSub>
            </m:oMath>
          </w:p>
        </w:tc>
        <w:tc>
          <w:tcPr>
            <w:tcW w:w="1052" w:type="dxa"/>
          </w:tcPr>
          <w:p w14:paraId="70D65816" w14:textId="77777777" w:rsidR="00DB7BD6" w:rsidRPr="003A69B5" w:rsidRDefault="00DB7BD6" w:rsidP="00DB7BD6">
            <w:pPr>
              <w:jc w:val="center"/>
              <w:rPr>
                <w:color w:val="404040" w:themeColor="text1" w:themeTint="BF"/>
              </w:rPr>
            </w:pPr>
            <m:oMathPara>
              <m:oMath>
                <m:sSub>
                  <m:sSubPr>
                    <m:ctrlPr>
                      <w:rPr>
                        <w:rFonts w:ascii="Cambria Math" w:hAnsi="Cambria Math"/>
                        <w:i/>
                        <w:color w:val="404040" w:themeColor="text1" w:themeTint="BF"/>
                      </w:rPr>
                    </m:ctrlPr>
                  </m:sSubPr>
                  <m:e>
                    <m:r>
                      <w:rPr>
                        <w:rFonts w:ascii="Cambria Math" w:hAnsi="Cambria Math"/>
                        <w:color w:val="404040" w:themeColor="text1" w:themeTint="BF"/>
                      </w:rPr>
                      <m:t>Re</m:t>
                    </m:r>
                  </m:e>
                  <m:sub>
                    <m:r>
                      <w:rPr>
                        <w:rFonts w:ascii="Cambria Math" w:hAnsi="Cambria Math"/>
                        <w:color w:val="404040" w:themeColor="text1" w:themeTint="BF"/>
                      </w:rPr>
                      <m:t>tu</m:t>
                    </m:r>
                  </m:sub>
                </m:sSub>
              </m:oMath>
            </m:oMathPara>
          </w:p>
        </w:tc>
        <w:tc>
          <w:tcPr>
            <w:tcW w:w="3205" w:type="dxa"/>
          </w:tcPr>
          <w:p w14:paraId="69FE4A90" w14:textId="77777777" w:rsidR="00DB7BD6" w:rsidRPr="003A69B5" w:rsidRDefault="00DB7BD6" w:rsidP="00DB7BD6">
            <w:pPr>
              <w:jc w:val="center"/>
              <w:rPr>
                <w:color w:val="404040" w:themeColor="text1" w:themeTint="BF"/>
              </w:rPr>
            </w:pPr>
          </w:p>
        </w:tc>
      </w:tr>
      <w:tr w:rsidR="00DB7BD6" w14:paraId="40EE1E55" w14:textId="77777777" w:rsidTr="00DB7BD6">
        <w:trPr>
          <w:jc w:val="center"/>
        </w:trPr>
        <w:tc>
          <w:tcPr>
            <w:tcW w:w="1126" w:type="dxa"/>
          </w:tcPr>
          <w:p w14:paraId="3F802AD7" w14:textId="77777777" w:rsidR="00DB7BD6" w:rsidRPr="003A69B5" w:rsidRDefault="00DB7BD6" w:rsidP="00DB7BD6">
            <w:pPr>
              <w:jc w:val="center"/>
              <w:rPr>
                <w:color w:val="404040" w:themeColor="text1" w:themeTint="BF"/>
              </w:rPr>
            </w:pPr>
            <w:r w:rsidRPr="003A69B5">
              <w:rPr>
                <w:color w:val="404040" w:themeColor="text1" w:themeTint="BF"/>
              </w:rPr>
              <w:t>13.16</w:t>
            </w:r>
          </w:p>
        </w:tc>
        <w:tc>
          <w:tcPr>
            <w:tcW w:w="2516" w:type="dxa"/>
          </w:tcPr>
          <w:p w14:paraId="32F841D0" w14:textId="77777777" w:rsidR="00DB7BD6" w:rsidRPr="003A69B5" w:rsidRDefault="00DB7BD6" w:rsidP="00DB7BD6">
            <w:pPr>
              <w:jc w:val="center"/>
              <w:rPr>
                <w:color w:val="404040" w:themeColor="text1" w:themeTint="BF"/>
              </w:rPr>
            </w:pPr>
            <m:oMathPara>
              <m:oMath>
                <m:sSub>
                  <m:sSubPr>
                    <m:ctrlPr>
                      <w:rPr>
                        <w:rFonts w:ascii="Cambria Math" w:hAnsi="Cambria Math"/>
                        <w:i/>
                        <w:color w:val="404040" w:themeColor="text1" w:themeTint="BF"/>
                      </w:rPr>
                    </m:ctrlPr>
                  </m:sSubPr>
                  <m:e>
                    <m:r>
                      <w:rPr>
                        <w:rFonts w:ascii="Cambria Math" w:hAnsi="Cambria Math"/>
                        <w:color w:val="404040" w:themeColor="text1" w:themeTint="BF"/>
                      </w:rPr>
                      <m:t>c</m:t>
                    </m:r>
                  </m:e>
                  <m:sub>
                    <m:r>
                      <w:rPr>
                        <w:rFonts w:ascii="Cambria Math" w:hAnsi="Cambria Math"/>
                        <w:color w:val="404040" w:themeColor="text1" w:themeTint="BF"/>
                      </w:rPr>
                      <m:t>p,tu</m:t>
                    </m:r>
                  </m:sub>
                </m:sSub>
                <m:r>
                  <w:rPr>
                    <w:rFonts w:ascii="Cambria Math" w:hAnsi="Cambria Math"/>
                    <w:color w:val="404040" w:themeColor="text1" w:themeTint="BF"/>
                  </w:rPr>
                  <m:t>,</m:t>
                </m:r>
                <m:sSub>
                  <m:sSubPr>
                    <m:ctrlPr>
                      <w:rPr>
                        <w:rFonts w:ascii="Cambria Math" w:hAnsi="Cambria Math"/>
                        <w:i/>
                        <w:color w:val="404040" w:themeColor="text1" w:themeTint="BF"/>
                      </w:rPr>
                    </m:ctrlPr>
                  </m:sSubPr>
                  <m:e>
                    <m:r>
                      <w:rPr>
                        <w:rFonts w:ascii="Cambria Math" w:hAnsi="Cambria Math"/>
                        <w:color w:val="404040" w:themeColor="text1" w:themeTint="BF"/>
                      </w:rPr>
                      <m:t>μ</m:t>
                    </m:r>
                  </m:e>
                  <m:sub>
                    <m:r>
                      <w:rPr>
                        <w:rFonts w:ascii="Cambria Math" w:hAnsi="Cambria Math"/>
                        <w:color w:val="404040" w:themeColor="text1" w:themeTint="BF"/>
                      </w:rPr>
                      <m:t>tu</m:t>
                    </m:r>
                  </m:sub>
                </m:sSub>
                <m:r>
                  <w:rPr>
                    <w:rFonts w:ascii="Cambria Math" w:hAnsi="Cambria Math"/>
                    <w:color w:val="404040" w:themeColor="text1" w:themeTint="BF"/>
                  </w:rPr>
                  <m:t>,</m:t>
                </m:r>
                <m:sSub>
                  <m:sSubPr>
                    <m:ctrlPr>
                      <w:rPr>
                        <w:rFonts w:ascii="Cambria Math" w:hAnsi="Cambria Math"/>
                        <w:i/>
                        <w:color w:val="404040" w:themeColor="text1" w:themeTint="BF"/>
                      </w:rPr>
                    </m:ctrlPr>
                  </m:sSubPr>
                  <m:e>
                    <m:r>
                      <w:rPr>
                        <w:rFonts w:ascii="Cambria Math" w:hAnsi="Cambria Math"/>
                        <w:color w:val="404040" w:themeColor="text1" w:themeTint="BF"/>
                      </w:rPr>
                      <m:t>k</m:t>
                    </m:r>
                  </m:e>
                  <m:sub>
                    <m:r>
                      <w:rPr>
                        <w:rFonts w:ascii="Cambria Math" w:hAnsi="Cambria Math"/>
                        <w:color w:val="404040" w:themeColor="text1" w:themeTint="BF"/>
                      </w:rPr>
                      <m:t>f,tu</m:t>
                    </m:r>
                  </m:sub>
                </m:sSub>
              </m:oMath>
            </m:oMathPara>
          </w:p>
        </w:tc>
        <w:tc>
          <w:tcPr>
            <w:tcW w:w="1052" w:type="dxa"/>
          </w:tcPr>
          <w:p w14:paraId="79019BE1" w14:textId="77777777" w:rsidR="00DB7BD6" w:rsidRPr="003A69B5" w:rsidRDefault="00DB7BD6" w:rsidP="00DB7BD6">
            <w:pPr>
              <w:jc w:val="center"/>
              <w:rPr>
                <w:color w:val="404040" w:themeColor="text1" w:themeTint="BF"/>
              </w:rPr>
            </w:pPr>
            <m:oMathPara>
              <m:oMath>
                <m:sSub>
                  <m:sSubPr>
                    <m:ctrlPr>
                      <w:rPr>
                        <w:rFonts w:ascii="Cambria Math" w:hAnsi="Cambria Math"/>
                        <w:i/>
                        <w:color w:val="404040" w:themeColor="text1" w:themeTint="BF"/>
                      </w:rPr>
                    </m:ctrlPr>
                  </m:sSubPr>
                  <m:e>
                    <m:r>
                      <w:rPr>
                        <w:rFonts w:ascii="Cambria Math" w:hAnsi="Cambria Math"/>
                        <w:color w:val="404040" w:themeColor="text1" w:themeTint="BF"/>
                      </w:rPr>
                      <m:t>Pr</m:t>
                    </m:r>
                  </m:e>
                  <m:sub>
                    <m:r>
                      <w:rPr>
                        <w:rFonts w:ascii="Cambria Math" w:hAnsi="Cambria Math"/>
                        <w:color w:val="404040" w:themeColor="text1" w:themeTint="BF"/>
                      </w:rPr>
                      <m:t>tu</m:t>
                    </m:r>
                  </m:sub>
                </m:sSub>
              </m:oMath>
            </m:oMathPara>
          </w:p>
        </w:tc>
        <w:tc>
          <w:tcPr>
            <w:tcW w:w="3205" w:type="dxa"/>
          </w:tcPr>
          <w:p w14:paraId="4DC60657" w14:textId="77777777" w:rsidR="00DB7BD6" w:rsidRPr="003A69B5" w:rsidRDefault="00DB7BD6" w:rsidP="00DB7BD6">
            <w:pPr>
              <w:jc w:val="center"/>
              <w:rPr>
                <w:color w:val="404040" w:themeColor="text1" w:themeTint="BF"/>
              </w:rPr>
            </w:pPr>
          </w:p>
        </w:tc>
      </w:tr>
      <w:tr w:rsidR="00DB7BD6" w14:paraId="40C2C774" w14:textId="77777777" w:rsidTr="00DB7BD6">
        <w:trPr>
          <w:jc w:val="center"/>
        </w:trPr>
        <w:tc>
          <w:tcPr>
            <w:tcW w:w="1126" w:type="dxa"/>
          </w:tcPr>
          <w:p w14:paraId="0A0E7DD8" w14:textId="77777777" w:rsidR="00DB7BD6" w:rsidRPr="003A69B5" w:rsidRDefault="00DB7BD6" w:rsidP="00DB7BD6">
            <w:pPr>
              <w:jc w:val="center"/>
              <w:rPr>
                <w:color w:val="404040" w:themeColor="text1" w:themeTint="BF"/>
              </w:rPr>
            </w:pPr>
            <w:r w:rsidRPr="003A69B5">
              <w:rPr>
                <w:color w:val="404040" w:themeColor="text1" w:themeTint="BF"/>
              </w:rPr>
              <w:t>13.17</w:t>
            </w:r>
          </w:p>
        </w:tc>
        <w:tc>
          <w:tcPr>
            <w:tcW w:w="2516" w:type="dxa"/>
          </w:tcPr>
          <w:p w14:paraId="68FE8E93" w14:textId="77777777" w:rsidR="00DB7BD6" w:rsidRPr="003A69B5" w:rsidRDefault="00DB7BD6" w:rsidP="00DB7BD6">
            <w:pPr>
              <w:jc w:val="center"/>
              <w:rPr>
                <w:color w:val="404040" w:themeColor="text1" w:themeTint="BF"/>
              </w:rPr>
            </w:pPr>
            <m:oMathPara>
              <m:oMath>
                <m:sSub>
                  <m:sSubPr>
                    <m:ctrlPr>
                      <w:rPr>
                        <w:rFonts w:ascii="Cambria Math" w:hAnsi="Cambria Math"/>
                        <w:i/>
                        <w:color w:val="404040" w:themeColor="text1" w:themeTint="BF"/>
                      </w:rPr>
                    </m:ctrlPr>
                  </m:sSubPr>
                  <m:e>
                    <m:r>
                      <w:rPr>
                        <w:rFonts w:ascii="Cambria Math" w:hAnsi="Cambria Math"/>
                        <w:color w:val="404040" w:themeColor="text1" w:themeTint="BF"/>
                      </w:rPr>
                      <m:t>h</m:t>
                    </m:r>
                  </m:e>
                  <m:sub>
                    <m:r>
                      <w:rPr>
                        <w:rFonts w:ascii="Cambria Math" w:hAnsi="Cambria Math"/>
                        <w:color w:val="404040" w:themeColor="text1" w:themeTint="BF"/>
                      </w:rPr>
                      <m:t>i</m:t>
                    </m:r>
                  </m:sub>
                </m:sSub>
                <m:r>
                  <w:rPr>
                    <w:rFonts w:ascii="Cambria Math" w:hAnsi="Cambria Math"/>
                    <w:color w:val="404040" w:themeColor="text1" w:themeTint="BF"/>
                  </w:rPr>
                  <m:t xml:space="preserve">, </m:t>
                </m:r>
                <m:sSub>
                  <m:sSubPr>
                    <m:ctrlPr>
                      <w:rPr>
                        <w:rFonts w:ascii="Cambria Math" w:hAnsi="Cambria Math"/>
                        <w:i/>
                        <w:color w:val="404040" w:themeColor="text1" w:themeTint="BF"/>
                      </w:rPr>
                    </m:ctrlPr>
                  </m:sSubPr>
                  <m:e>
                    <m:r>
                      <w:rPr>
                        <w:rFonts w:ascii="Cambria Math" w:hAnsi="Cambria Math"/>
                        <w:color w:val="404040" w:themeColor="text1" w:themeTint="BF"/>
                      </w:rPr>
                      <m:t>D</m:t>
                    </m:r>
                  </m:e>
                  <m:sub>
                    <m:r>
                      <w:rPr>
                        <w:rFonts w:ascii="Cambria Math" w:hAnsi="Cambria Math"/>
                        <w:color w:val="404040" w:themeColor="text1" w:themeTint="BF"/>
                      </w:rPr>
                      <m:t>i</m:t>
                    </m:r>
                  </m:sub>
                </m:sSub>
                <m:r>
                  <w:rPr>
                    <w:rFonts w:ascii="Cambria Math" w:hAnsi="Cambria Math"/>
                    <w:color w:val="404040" w:themeColor="text1" w:themeTint="BF"/>
                  </w:rPr>
                  <m:t>,</m:t>
                </m:r>
                <m:sSub>
                  <m:sSubPr>
                    <m:ctrlPr>
                      <w:rPr>
                        <w:rFonts w:ascii="Cambria Math" w:hAnsi="Cambria Math"/>
                        <w:i/>
                        <w:color w:val="404040" w:themeColor="text1" w:themeTint="BF"/>
                      </w:rPr>
                    </m:ctrlPr>
                  </m:sSubPr>
                  <m:e>
                    <m:r>
                      <w:rPr>
                        <w:rFonts w:ascii="Cambria Math" w:hAnsi="Cambria Math"/>
                        <w:color w:val="404040" w:themeColor="text1" w:themeTint="BF"/>
                      </w:rPr>
                      <m:t>k</m:t>
                    </m:r>
                  </m:e>
                  <m:sub>
                    <m:r>
                      <w:rPr>
                        <w:rFonts w:ascii="Cambria Math" w:hAnsi="Cambria Math"/>
                        <w:color w:val="404040" w:themeColor="text1" w:themeTint="BF"/>
                      </w:rPr>
                      <m:t>f,tu</m:t>
                    </m:r>
                  </m:sub>
                </m:sSub>
              </m:oMath>
            </m:oMathPara>
          </w:p>
        </w:tc>
        <w:tc>
          <w:tcPr>
            <w:tcW w:w="1052" w:type="dxa"/>
          </w:tcPr>
          <w:p w14:paraId="08B085B5" w14:textId="77777777" w:rsidR="00DB7BD6" w:rsidRPr="003A69B5" w:rsidRDefault="00DB7BD6" w:rsidP="00DB7BD6">
            <w:pPr>
              <w:jc w:val="center"/>
              <w:rPr>
                <w:color w:val="404040" w:themeColor="text1" w:themeTint="BF"/>
              </w:rPr>
            </w:pPr>
            <m:oMathPara>
              <m:oMath>
                <m:sSub>
                  <m:sSubPr>
                    <m:ctrlPr>
                      <w:rPr>
                        <w:rFonts w:ascii="Cambria Math" w:hAnsi="Cambria Math"/>
                        <w:i/>
                        <w:color w:val="404040" w:themeColor="text1" w:themeTint="BF"/>
                      </w:rPr>
                    </m:ctrlPr>
                  </m:sSubPr>
                  <m:e>
                    <m:r>
                      <w:rPr>
                        <w:rFonts w:ascii="Cambria Math" w:hAnsi="Cambria Math"/>
                        <w:color w:val="404040" w:themeColor="text1" w:themeTint="BF"/>
                      </w:rPr>
                      <m:t>Nu</m:t>
                    </m:r>
                  </m:e>
                  <m:sub>
                    <m:r>
                      <w:rPr>
                        <w:rFonts w:ascii="Cambria Math" w:hAnsi="Cambria Math"/>
                        <w:color w:val="404040" w:themeColor="text1" w:themeTint="BF"/>
                      </w:rPr>
                      <m:t>tu</m:t>
                    </m:r>
                  </m:sub>
                </m:sSub>
              </m:oMath>
            </m:oMathPara>
          </w:p>
        </w:tc>
        <w:tc>
          <w:tcPr>
            <w:tcW w:w="3205" w:type="dxa"/>
          </w:tcPr>
          <w:p w14:paraId="77061E3B" w14:textId="77777777" w:rsidR="00DB7BD6" w:rsidRPr="003A69B5" w:rsidRDefault="00DB7BD6" w:rsidP="00DB7BD6">
            <w:pPr>
              <w:jc w:val="center"/>
              <w:rPr>
                <w:color w:val="404040" w:themeColor="text1" w:themeTint="BF"/>
              </w:rPr>
            </w:pPr>
          </w:p>
        </w:tc>
      </w:tr>
      <w:tr w:rsidR="00DB7BD6" w14:paraId="36492464" w14:textId="77777777" w:rsidTr="00DB7BD6">
        <w:trPr>
          <w:jc w:val="center"/>
        </w:trPr>
        <w:tc>
          <w:tcPr>
            <w:tcW w:w="1126" w:type="dxa"/>
          </w:tcPr>
          <w:p w14:paraId="0B6A7719" w14:textId="77777777" w:rsidR="00DB7BD6" w:rsidRPr="003A69B5" w:rsidRDefault="00DB7BD6" w:rsidP="00DB7BD6">
            <w:pPr>
              <w:jc w:val="center"/>
              <w:rPr>
                <w:color w:val="404040" w:themeColor="text1" w:themeTint="BF"/>
              </w:rPr>
            </w:pPr>
            <w:r w:rsidRPr="003A69B5">
              <w:rPr>
                <w:color w:val="404040" w:themeColor="text1" w:themeTint="BF"/>
              </w:rPr>
              <w:t>13.18</w:t>
            </w:r>
          </w:p>
        </w:tc>
        <w:tc>
          <w:tcPr>
            <w:tcW w:w="2516" w:type="dxa"/>
          </w:tcPr>
          <w:p w14:paraId="0E67B847" w14:textId="77777777" w:rsidR="00DB7BD6" w:rsidRPr="003A69B5" w:rsidRDefault="00DB7BD6" w:rsidP="00DB7BD6">
            <w:pPr>
              <w:jc w:val="center"/>
              <w:rPr>
                <w:color w:val="404040" w:themeColor="text1" w:themeTint="BF"/>
              </w:rPr>
            </w:pPr>
            <m:oMathPara>
              <m:oMath>
                <m:sSub>
                  <m:sSubPr>
                    <m:ctrlPr>
                      <w:rPr>
                        <w:rFonts w:ascii="Cambria Math" w:hAnsi="Cambria Math"/>
                        <w:b/>
                        <w:i/>
                        <w:color w:val="404040" w:themeColor="text1" w:themeTint="BF"/>
                      </w:rPr>
                    </m:ctrlPr>
                  </m:sSubPr>
                  <m:e>
                    <m:r>
                      <m:rPr>
                        <m:sty m:val="bi"/>
                      </m:rPr>
                      <w:rPr>
                        <w:rFonts w:ascii="Cambria Math" w:hAnsi="Cambria Math"/>
                        <w:color w:val="404040" w:themeColor="text1" w:themeTint="BF"/>
                      </w:rPr>
                      <m:t>D</m:t>
                    </m:r>
                  </m:e>
                  <m:sub>
                    <m:r>
                      <m:rPr>
                        <m:sty m:val="bi"/>
                      </m:rPr>
                      <w:rPr>
                        <w:rFonts w:ascii="Cambria Math" w:hAnsi="Cambria Math"/>
                        <w:color w:val="404040" w:themeColor="text1" w:themeTint="BF"/>
                      </w:rPr>
                      <m:t>bu</m:t>
                    </m:r>
                  </m:sub>
                </m:sSub>
                <m:r>
                  <w:rPr>
                    <w:rFonts w:ascii="Cambria Math" w:hAnsi="Cambria Math"/>
                    <w:color w:val="404040" w:themeColor="text1" w:themeTint="BF"/>
                  </w:rPr>
                  <m:t>,</m:t>
                </m:r>
                <m:sSub>
                  <m:sSubPr>
                    <m:ctrlPr>
                      <w:rPr>
                        <w:rFonts w:ascii="Cambria Math" w:hAnsi="Cambria Math"/>
                        <w:i/>
                        <w:color w:val="404040" w:themeColor="text1" w:themeTint="BF"/>
                      </w:rPr>
                    </m:ctrlPr>
                  </m:sSubPr>
                  <m:e>
                    <m:r>
                      <w:rPr>
                        <w:rFonts w:ascii="Cambria Math" w:hAnsi="Cambria Math"/>
                        <w:color w:val="404040" w:themeColor="text1" w:themeTint="BF"/>
                      </w:rPr>
                      <m:t>D</m:t>
                    </m:r>
                  </m:e>
                  <m:sub>
                    <m:r>
                      <w:rPr>
                        <w:rFonts w:ascii="Cambria Math" w:hAnsi="Cambria Math"/>
                        <w:color w:val="404040" w:themeColor="text1" w:themeTint="BF"/>
                      </w:rPr>
                      <m:t>bu,s,cl</m:t>
                    </m:r>
                  </m:sub>
                </m:sSub>
              </m:oMath>
            </m:oMathPara>
          </w:p>
        </w:tc>
        <w:tc>
          <w:tcPr>
            <w:tcW w:w="1052" w:type="dxa"/>
          </w:tcPr>
          <w:p w14:paraId="3C152621" w14:textId="77777777" w:rsidR="00DB7BD6" w:rsidRPr="003A69B5" w:rsidRDefault="00DB7BD6" w:rsidP="00DB7BD6">
            <w:pPr>
              <w:jc w:val="center"/>
              <w:rPr>
                <w:color w:val="404040" w:themeColor="text1" w:themeTint="BF"/>
              </w:rPr>
            </w:pPr>
            <m:oMathPara>
              <m:oMath>
                <m:sSub>
                  <m:sSubPr>
                    <m:ctrlPr>
                      <w:rPr>
                        <w:rFonts w:ascii="Cambria Math" w:hAnsi="Cambria Math"/>
                        <w:i/>
                        <w:color w:val="404040" w:themeColor="text1" w:themeTint="BF"/>
                      </w:rPr>
                    </m:ctrlPr>
                  </m:sSubPr>
                  <m:e>
                    <m:r>
                      <w:rPr>
                        <w:rFonts w:ascii="Cambria Math" w:hAnsi="Cambria Math"/>
                        <w:color w:val="404040" w:themeColor="text1" w:themeTint="BF"/>
                      </w:rPr>
                      <m:t>D</m:t>
                    </m:r>
                  </m:e>
                  <m:sub>
                    <m:r>
                      <w:rPr>
                        <w:rFonts w:ascii="Cambria Math" w:hAnsi="Cambria Math"/>
                        <w:color w:val="404040" w:themeColor="text1" w:themeTint="BF"/>
                      </w:rPr>
                      <m:t>s</m:t>
                    </m:r>
                  </m:sub>
                </m:sSub>
              </m:oMath>
            </m:oMathPara>
          </w:p>
        </w:tc>
        <w:tc>
          <w:tcPr>
            <w:tcW w:w="3205" w:type="dxa"/>
          </w:tcPr>
          <w:p w14:paraId="12648B85" w14:textId="77777777" w:rsidR="00DB7BD6" w:rsidRPr="003A69B5" w:rsidRDefault="00DB7BD6" w:rsidP="00DB7BD6">
            <w:pPr>
              <w:jc w:val="center"/>
              <w:rPr>
                <w:color w:val="404040" w:themeColor="text1" w:themeTint="BF"/>
              </w:rPr>
            </w:pPr>
            <w:proofErr w:type="spellStart"/>
            <w:r w:rsidRPr="003A69B5">
              <w:rPr>
                <w:color w:val="404040" w:themeColor="text1" w:themeTint="BF"/>
              </w:rPr>
              <w:t>Eqn</w:t>
            </w:r>
            <w:proofErr w:type="spellEnd"/>
            <w:r w:rsidRPr="003A69B5">
              <w:rPr>
                <w:color w:val="404040" w:themeColor="text1" w:themeTint="BF"/>
              </w:rPr>
              <w:t xml:space="preserve"> 13.19, </w:t>
            </w:r>
            <w:proofErr w:type="spellStart"/>
            <w:r w:rsidRPr="003A69B5">
              <w:rPr>
                <w:color w:val="404040" w:themeColor="text1" w:themeTint="BF"/>
              </w:rPr>
              <w:t>Eqn</w:t>
            </w:r>
            <w:proofErr w:type="spellEnd"/>
            <w:r w:rsidRPr="003A69B5">
              <w:rPr>
                <w:color w:val="404040" w:themeColor="text1" w:themeTint="BF"/>
              </w:rPr>
              <w:t xml:space="preserve"> 13.20, </w:t>
            </w:r>
            <w:proofErr w:type="spellStart"/>
            <w:r w:rsidRPr="003A69B5">
              <w:rPr>
                <w:color w:val="404040" w:themeColor="text1" w:themeTint="BF"/>
              </w:rPr>
              <w:t>Eqn</w:t>
            </w:r>
            <w:proofErr w:type="spellEnd"/>
            <w:r w:rsidRPr="003A69B5">
              <w:rPr>
                <w:color w:val="404040" w:themeColor="text1" w:themeTint="BF"/>
              </w:rPr>
              <w:t xml:space="preserve"> 13.29</w:t>
            </w:r>
          </w:p>
        </w:tc>
      </w:tr>
      <w:tr w:rsidR="00DB7BD6" w14:paraId="3B4AF073" w14:textId="77777777" w:rsidTr="00DB7BD6">
        <w:trPr>
          <w:jc w:val="center"/>
        </w:trPr>
        <w:tc>
          <w:tcPr>
            <w:tcW w:w="1126" w:type="dxa"/>
          </w:tcPr>
          <w:p w14:paraId="2F05D736" w14:textId="77777777" w:rsidR="00DB7BD6" w:rsidRPr="003A69B5" w:rsidRDefault="00DB7BD6" w:rsidP="00DB7BD6">
            <w:pPr>
              <w:jc w:val="center"/>
              <w:rPr>
                <w:color w:val="404040" w:themeColor="text1" w:themeTint="BF"/>
              </w:rPr>
            </w:pPr>
            <w:r w:rsidRPr="003A69B5">
              <w:rPr>
                <w:color w:val="404040" w:themeColor="text1" w:themeTint="BF"/>
              </w:rPr>
              <w:t>13.19</w:t>
            </w:r>
          </w:p>
        </w:tc>
        <w:tc>
          <w:tcPr>
            <w:tcW w:w="2516" w:type="dxa"/>
          </w:tcPr>
          <w:p w14:paraId="0E1E0604" w14:textId="77777777" w:rsidR="00DB7BD6" w:rsidRPr="00931D9B" w:rsidRDefault="00DB7BD6" w:rsidP="00DB7BD6">
            <w:pPr>
              <w:jc w:val="center"/>
              <w:rPr>
                <w:b/>
                <w:color w:val="404040" w:themeColor="text1" w:themeTint="BF"/>
              </w:rPr>
            </w:pPr>
            <m:oMathPara>
              <m:oMath>
                <m:sSub>
                  <m:sSubPr>
                    <m:ctrlPr>
                      <w:rPr>
                        <w:rFonts w:ascii="Cambria Math" w:hAnsi="Cambria Math"/>
                        <w:b/>
                        <w:i/>
                        <w:color w:val="404040" w:themeColor="text1" w:themeTint="BF"/>
                      </w:rPr>
                    </m:ctrlPr>
                  </m:sSubPr>
                  <m:e>
                    <m:r>
                      <m:rPr>
                        <m:sty m:val="bi"/>
                      </m:rPr>
                      <w:rPr>
                        <w:rFonts w:ascii="Cambria Math" w:hAnsi="Cambria Math"/>
                        <w:color w:val="404040" w:themeColor="text1" w:themeTint="BF"/>
                      </w:rPr>
                      <m:t>D</m:t>
                    </m:r>
                  </m:e>
                  <m:sub>
                    <m:r>
                      <m:rPr>
                        <m:sty m:val="bi"/>
                      </m:rPr>
                      <w:rPr>
                        <w:rFonts w:ascii="Cambria Math" w:hAnsi="Cambria Math"/>
                        <w:color w:val="404040" w:themeColor="text1" w:themeTint="BF"/>
                      </w:rPr>
                      <m:t>s</m:t>
                    </m:r>
                  </m:sub>
                </m:sSub>
              </m:oMath>
            </m:oMathPara>
          </w:p>
        </w:tc>
        <w:tc>
          <w:tcPr>
            <w:tcW w:w="1052" w:type="dxa"/>
          </w:tcPr>
          <w:p w14:paraId="30D9814D" w14:textId="77777777" w:rsidR="00DB7BD6" w:rsidRPr="003A69B5" w:rsidRDefault="00DB7BD6" w:rsidP="00DB7BD6">
            <w:pPr>
              <w:jc w:val="center"/>
              <w:rPr>
                <w:color w:val="404040" w:themeColor="text1" w:themeTint="BF"/>
              </w:rPr>
            </w:pPr>
            <m:oMathPara>
              <m:oMath>
                <m:sSub>
                  <m:sSubPr>
                    <m:ctrlPr>
                      <w:rPr>
                        <w:rFonts w:ascii="Cambria Math" w:hAnsi="Cambria Math"/>
                        <w:i/>
                        <w:color w:val="404040" w:themeColor="text1" w:themeTint="BF"/>
                      </w:rPr>
                    </m:ctrlPr>
                  </m:sSubPr>
                  <m:e>
                    <m:r>
                      <w:rPr>
                        <w:rFonts w:ascii="Cambria Math" w:hAnsi="Cambria Math"/>
                        <w:color w:val="404040" w:themeColor="text1" w:themeTint="BF"/>
                      </w:rPr>
                      <m:t>l</m:t>
                    </m:r>
                  </m:e>
                  <m:sub>
                    <m:r>
                      <w:rPr>
                        <w:rFonts w:ascii="Cambria Math" w:hAnsi="Cambria Math"/>
                        <w:color w:val="404040" w:themeColor="text1" w:themeTint="BF"/>
                      </w:rPr>
                      <m:t>Ba</m:t>
                    </m:r>
                  </m:sub>
                </m:sSub>
              </m:oMath>
            </m:oMathPara>
          </w:p>
        </w:tc>
        <w:tc>
          <w:tcPr>
            <w:tcW w:w="3205" w:type="dxa"/>
          </w:tcPr>
          <w:p w14:paraId="23422324" w14:textId="77777777" w:rsidR="00DB7BD6" w:rsidRPr="003A69B5" w:rsidRDefault="00DB7BD6" w:rsidP="00DB7BD6">
            <w:pPr>
              <w:jc w:val="center"/>
              <w:rPr>
                <w:color w:val="404040" w:themeColor="text1" w:themeTint="BF"/>
              </w:rPr>
            </w:pPr>
            <w:proofErr w:type="spellStart"/>
            <w:r w:rsidRPr="003A69B5">
              <w:rPr>
                <w:color w:val="404040" w:themeColor="text1" w:themeTint="BF"/>
              </w:rPr>
              <w:t>Eqn</w:t>
            </w:r>
            <w:proofErr w:type="spellEnd"/>
            <w:r w:rsidRPr="003A69B5">
              <w:rPr>
                <w:color w:val="404040" w:themeColor="text1" w:themeTint="BF"/>
              </w:rPr>
              <w:t xml:space="preserve"> 13.20, </w:t>
            </w:r>
            <w:proofErr w:type="spellStart"/>
            <w:r w:rsidRPr="003A69B5">
              <w:rPr>
                <w:color w:val="404040" w:themeColor="text1" w:themeTint="BF"/>
              </w:rPr>
              <w:t>Eqn</w:t>
            </w:r>
            <w:proofErr w:type="spellEnd"/>
            <w:r w:rsidRPr="003A69B5">
              <w:rPr>
                <w:color w:val="404040" w:themeColor="text1" w:themeTint="BF"/>
              </w:rPr>
              <w:t xml:space="preserve"> 13.29</w:t>
            </w:r>
          </w:p>
        </w:tc>
      </w:tr>
      <w:tr w:rsidR="00DB7BD6" w14:paraId="79EB1F64" w14:textId="77777777" w:rsidTr="00DB7BD6">
        <w:trPr>
          <w:jc w:val="center"/>
        </w:trPr>
        <w:tc>
          <w:tcPr>
            <w:tcW w:w="1126" w:type="dxa"/>
          </w:tcPr>
          <w:p w14:paraId="44F7337C" w14:textId="77777777" w:rsidR="00DB7BD6" w:rsidRPr="003A69B5" w:rsidRDefault="00DB7BD6" w:rsidP="00DB7BD6">
            <w:pPr>
              <w:jc w:val="center"/>
              <w:rPr>
                <w:color w:val="404040" w:themeColor="text1" w:themeTint="BF"/>
              </w:rPr>
            </w:pPr>
            <w:r w:rsidRPr="003A69B5">
              <w:rPr>
                <w:color w:val="404040" w:themeColor="text1" w:themeTint="BF"/>
              </w:rPr>
              <w:t>13.20</w:t>
            </w:r>
          </w:p>
        </w:tc>
        <w:tc>
          <w:tcPr>
            <w:tcW w:w="2516" w:type="dxa"/>
          </w:tcPr>
          <w:p w14:paraId="5A7EEF5E" w14:textId="77777777" w:rsidR="00DB7BD6" w:rsidRPr="003A69B5" w:rsidRDefault="00DB7BD6" w:rsidP="00DB7BD6">
            <w:pPr>
              <w:jc w:val="center"/>
              <w:rPr>
                <w:color w:val="404040" w:themeColor="text1" w:themeTint="BF"/>
              </w:rPr>
            </w:pPr>
            <m:oMathPara>
              <m:oMath>
                <m:sSub>
                  <m:sSubPr>
                    <m:ctrlPr>
                      <w:rPr>
                        <w:rFonts w:ascii="Cambria Math" w:hAnsi="Cambria Math"/>
                        <w:b/>
                        <w:i/>
                        <w:color w:val="404040" w:themeColor="text1" w:themeTint="BF"/>
                      </w:rPr>
                    </m:ctrlPr>
                  </m:sSubPr>
                  <m:e>
                    <m:r>
                      <m:rPr>
                        <m:sty m:val="bi"/>
                      </m:rPr>
                      <w:rPr>
                        <w:rFonts w:ascii="Cambria Math" w:hAnsi="Cambria Math"/>
                        <w:color w:val="404040" w:themeColor="text1" w:themeTint="BF"/>
                      </w:rPr>
                      <m:t>p</m:t>
                    </m:r>
                  </m:e>
                  <m:sub>
                    <m:r>
                      <m:rPr>
                        <m:sty m:val="bi"/>
                      </m:rPr>
                      <w:rPr>
                        <w:rFonts w:ascii="Cambria Math" w:hAnsi="Cambria Math"/>
                        <w:color w:val="404040" w:themeColor="text1" w:themeTint="BF"/>
                      </w:rPr>
                      <m:t>tu</m:t>
                    </m:r>
                  </m:sub>
                </m:sSub>
                <m:r>
                  <w:rPr>
                    <w:rFonts w:ascii="Cambria Math" w:hAnsi="Cambria Math"/>
                    <w:color w:val="404040" w:themeColor="text1" w:themeTint="BF"/>
                  </w:rPr>
                  <m:t>,</m:t>
                </m:r>
                <m:sSub>
                  <m:sSubPr>
                    <m:ctrlPr>
                      <w:rPr>
                        <w:rFonts w:ascii="Cambria Math" w:hAnsi="Cambria Math"/>
                        <w:b/>
                        <w:i/>
                        <w:color w:val="404040" w:themeColor="text1" w:themeTint="BF"/>
                      </w:rPr>
                    </m:ctrlPr>
                  </m:sSubPr>
                  <m:e>
                    <m:r>
                      <m:rPr>
                        <m:sty m:val="bi"/>
                      </m:rPr>
                      <w:rPr>
                        <w:rFonts w:ascii="Cambria Math" w:hAnsi="Cambria Math"/>
                        <w:color w:val="404040" w:themeColor="text1" w:themeTint="BF"/>
                      </w:rPr>
                      <m:t>D</m:t>
                    </m:r>
                  </m:e>
                  <m:sub>
                    <m:r>
                      <m:rPr>
                        <m:sty m:val="bi"/>
                      </m:rPr>
                      <w:rPr>
                        <w:rFonts w:ascii="Cambria Math" w:hAnsi="Cambria Math"/>
                        <w:color w:val="404040" w:themeColor="text1" w:themeTint="BF"/>
                      </w:rPr>
                      <m:t>s</m:t>
                    </m:r>
                  </m:sub>
                </m:sSub>
                <m:r>
                  <w:rPr>
                    <w:rFonts w:ascii="Cambria Math" w:hAnsi="Cambria Math"/>
                    <w:color w:val="404040" w:themeColor="text1" w:themeTint="BF"/>
                  </w:rPr>
                  <m:t>,</m:t>
                </m:r>
                <m:sSub>
                  <m:sSubPr>
                    <m:ctrlPr>
                      <w:rPr>
                        <w:rFonts w:ascii="Cambria Math" w:hAnsi="Cambria Math"/>
                        <w:b/>
                        <w:i/>
                        <w:color w:val="404040" w:themeColor="text1" w:themeTint="BF"/>
                      </w:rPr>
                    </m:ctrlPr>
                  </m:sSubPr>
                  <m:e>
                    <m:r>
                      <m:rPr>
                        <m:sty m:val="bi"/>
                      </m:rPr>
                      <w:rPr>
                        <w:rFonts w:ascii="Cambria Math" w:hAnsi="Cambria Math"/>
                        <w:color w:val="404040" w:themeColor="text1" w:themeTint="BF"/>
                      </w:rPr>
                      <m:t>l</m:t>
                    </m:r>
                  </m:e>
                  <m:sub>
                    <m:r>
                      <m:rPr>
                        <m:sty m:val="bi"/>
                      </m:rPr>
                      <w:rPr>
                        <w:rFonts w:ascii="Cambria Math" w:hAnsi="Cambria Math"/>
                        <w:color w:val="404040" w:themeColor="text1" w:themeTint="BF"/>
                      </w:rPr>
                      <m:t>Ba</m:t>
                    </m:r>
                  </m:sub>
                </m:sSub>
                <m:r>
                  <w:rPr>
                    <w:rFonts w:ascii="Cambria Math" w:hAnsi="Cambria Math"/>
                    <w:color w:val="404040" w:themeColor="text1" w:themeTint="BF"/>
                  </w:rPr>
                  <m:t>,</m:t>
                </m:r>
                <m:sSub>
                  <m:sSubPr>
                    <m:ctrlPr>
                      <w:rPr>
                        <w:rFonts w:ascii="Cambria Math" w:hAnsi="Cambria Math"/>
                        <w:i/>
                        <w:color w:val="404040" w:themeColor="text1" w:themeTint="BF"/>
                      </w:rPr>
                    </m:ctrlPr>
                  </m:sSubPr>
                  <m:e>
                    <m:r>
                      <w:rPr>
                        <w:rFonts w:ascii="Cambria Math" w:hAnsi="Cambria Math"/>
                        <w:color w:val="404040" w:themeColor="text1" w:themeTint="BF"/>
                      </w:rPr>
                      <m:t>D</m:t>
                    </m:r>
                  </m:e>
                  <m:sub>
                    <m:r>
                      <w:rPr>
                        <w:rFonts w:ascii="Cambria Math" w:hAnsi="Cambria Math"/>
                        <w:color w:val="404040" w:themeColor="text1" w:themeTint="BF"/>
                      </w:rPr>
                      <m:t>o</m:t>
                    </m:r>
                  </m:sub>
                </m:sSub>
              </m:oMath>
            </m:oMathPara>
          </w:p>
        </w:tc>
        <w:tc>
          <w:tcPr>
            <w:tcW w:w="1052" w:type="dxa"/>
          </w:tcPr>
          <w:p w14:paraId="52B1C263" w14:textId="77777777" w:rsidR="00DB7BD6" w:rsidRPr="003A69B5" w:rsidRDefault="00DB7BD6" w:rsidP="00DB7BD6">
            <w:pPr>
              <w:jc w:val="center"/>
              <w:rPr>
                <w:color w:val="404040" w:themeColor="text1" w:themeTint="BF"/>
              </w:rPr>
            </w:pPr>
            <m:oMathPara>
              <m:oMath>
                <m:sSub>
                  <m:sSubPr>
                    <m:ctrlPr>
                      <w:rPr>
                        <w:rFonts w:ascii="Cambria Math" w:hAnsi="Cambria Math"/>
                        <w:i/>
                        <w:color w:val="404040" w:themeColor="text1" w:themeTint="BF"/>
                      </w:rPr>
                    </m:ctrlPr>
                  </m:sSubPr>
                  <m:e>
                    <m:r>
                      <w:rPr>
                        <w:rFonts w:ascii="Cambria Math" w:hAnsi="Cambria Math"/>
                        <w:color w:val="404040" w:themeColor="text1" w:themeTint="BF"/>
                      </w:rPr>
                      <m:t>A</m:t>
                    </m:r>
                  </m:e>
                  <m:sub>
                    <m:r>
                      <w:rPr>
                        <w:rFonts w:ascii="Cambria Math" w:hAnsi="Cambria Math"/>
                        <w:color w:val="404040" w:themeColor="text1" w:themeTint="BF"/>
                      </w:rPr>
                      <m:t>s</m:t>
                    </m:r>
                  </m:sub>
                </m:sSub>
              </m:oMath>
            </m:oMathPara>
          </w:p>
        </w:tc>
        <w:tc>
          <w:tcPr>
            <w:tcW w:w="3205" w:type="dxa"/>
          </w:tcPr>
          <w:p w14:paraId="087B369F" w14:textId="77777777" w:rsidR="00DB7BD6" w:rsidRPr="003A69B5" w:rsidRDefault="00DB7BD6" w:rsidP="00DB7BD6">
            <w:pPr>
              <w:jc w:val="center"/>
              <w:rPr>
                <w:color w:val="404040" w:themeColor="text1" w:themeTint="BF"/>
              </w:rPr>
            </w:pPr>
            <w:proofErr w:type="spellStart"/>
            <w:r w:rsidRPr="003A69B5">
              <w:rPr>
                <w:color w:val="404040" w:themeColor="text1" w:themeTint="BF"/>
              </w:rPr>
              <w:t>Eqn</w:t>
            </w:r>
            <w:proofErr w:type="spellEnd"/>
            <w:r w:rsidRPr="003A69B5">
              <w:rPr>
                <w:color w:val="404040" w:themeColor="text1" w:themeTint="BF"/>
              </w:rPr>
              <w:t xml:space="preserve"> 13.21</w:t>
            </w:r>
          </w:p>
        </w:tc>
      </w:tr>
      <w:tr w:rsidR="00DB7BD6" w14:paraId="28B3D7DA" w14:textId="77777777" w:rsidTr="00DB7BD6">
        <w:trPr>
          <w:jc w:val="center"/>
        </w:trPr>
        <w:tc>
          <w:tcPr>
            <w:tcW w:w="1126" w:type="dxa"/>
          </w:tcPr>
          <w:p w14:paraId="4C2030EB" w14:textId="77777777" w:rsidR="00DB7BD6" w:rsidRPr="003A69B5" w:rsidRDefault="00DB7BD6" w:rsidP="00DB7BD6">
            <w:pPr>
              <w:jc w:val="center"/>
              <w:rPr>
                <w:color w:val="404040" w:themeColor="text1" w:themeTint="BF"/>
              </w:rPr>
            </w:pPr>
            <w:r w:rsidRPr="003A69B5">
              <w:rPr>
                <w:color w:val="404040" w:themeColor="text1" w:themeTint="BF"/>
              </w:rPr>
              <w:t>13.21</w:t>
            </w:r>
          </w:p>
        </w:tc>
        <w:tc>
          <w:tcPr>
            <w:tcW w:w="2516" w:type="dxa"/>
          </w:tcPr>
          <w:p w14:paraId="0A018F4D" w14:textId="77777777" w:rsidR="00DB7BD6" w:rsidRPr="003A69B5" w:rsidRDefault="00DB7BD6" w:rsidP="00DB7BD6">
            <w:pPr>
              <w:jc w:val="center"/>
              <w:rPr>
                <w:color w:val="404040" w:themeColor="text1" w:themeTint="BF"/>
              </w:rPr>
            </w:pPr>
            <m:oMathPara>
              <m:oMath>
                <m:sSub>
                  <m:sSubPr>
                    <m:ctrlPr>
                      <w:rPr>
                        <w:rFonts w:ascii="Cambria Math" w:hAnsi="Cambria Math"/>
                        <w:b/>
                        <w:i/>
                        <w:color w:val="404040" w:themeColor="text1" w:themeTint="BF"/>
                      </w:rPr>
                    </m:ctrlPr>
                  </m:sSubPr>
                  <m:e>
                    <m:r>
                      <m:rPr>
                        <m:sty m:val="bi"/>
                      </m:rPr>
                      <w:rPr>
                        <w:rFonts w:ascii="Cambria Math" w:hAnsi="Cambria Math"/>
                        <w:color w:val="404040" w:themeColor="text1" w:themeTint="BF"/>
                      </w:rPr>
                      <m:t>A</m:t>
                    </m:r>
                  </m:e>
                  <m:sub>
                    <m:r>
                      <m:rPr>
                        <m:sty m:val="bi"/>
                      </m:rPr>
                      <w:rPr>
                        <w:rFonts w:ascii="Cambria Math" w:hAnsi="Cambria Math"/>
                        <w:color w:val="404040" w:themeColor="text1" w:themeTint="BF"/>
                      </w:rPr>
                      <m:t>s</m:t>
                    </m:r>
                  </m:sub>
                </m:sSub>
                <m:r>
                  <w:rPr>
                    <w:rFonts w:ascii="Cambria Math" w:hAnsi="Cambria Math"/>
                    <w:color w:val="404040" w:themeColor="text1" w:themeTint="BF"/>
                  </w:rPr>
                  <m:t xml:space="preserve">, </m:t>
                </m:r>
                <m:sSub>
                  <m:sSubPr>
                    <m:ctrlPr>
                      <w:rPr>
                        <w:rFonts w:ascii="Cambria Math" w:hAnsi="Cambria Math"/>
                        <w:i/>
                        <w:color w:val="404040" w:themeColor="text1" w:themeTint="BF"/>
                      </w:rPr>
                    </m:ctrlPr>
                  </m:sSubPr>
                  <m:e>
                    <m:acc>
                      <m:accPr>
                        <m:chr m:val="̇"/>
                        <m:ctrlPr>
                          <w:rPr>
                            <w:rFonts w:ascii="Cambria Math" w:hAnsi="Cambria Math"/>
                            <w:i/>
                            <w:color w:val="404040" w:themeColor="text1" w:themeTint="BF"/>
                          </w:rPr>
                        </m:ctrlPr>
                      </m:accPr>
                      <m:e>
                        <m:r>
                          <w:rPr>
                            <w:rFonts w:ascii="Cambria Math" w:hAnsi="Cambria Math"/>
                            <w:color w:val="404040" w:themeColor="text1" w:themeTint="BF"/>
                          </w:rPr>
                          <m:t>m</m:t>
                        </m:r>
                      </m:e>
                    </m:acc>
                  </m:e>
                  <m:sub>
                    <m:r>
                      <w:rPr>
                        <w:rFonts w:ascii="Cambria Math" w:hAnsi="Cambria Math"/>
                        <w:color w:val="404040" w:themeColor="text1" w:themeTint="BF"/>
                      </w:rPr>
                      <m:t>s</m:t>
                    </m:r>
                  </m:sub>
                </m:sSub>
              </m:oMath>
            </m:oMathPara>
          </w:p>
        </w:tc>
        <w:tc>
          <w:tcPr>
            <w:tcW w:w="1052" w:type="dxa"/>
          </w:tcPr>
          <w:p w14:paraId="78E32DF9" w14:textId="77777777" w:rsidR="00DB7BD6" w:rsidRPr="003A69B5" w:rsidRDefault="00DB7BD6" w:rsidP="00DB7BD6">
            <w:pPr>
              <w:jc w:val="center"/>
              <w:rPr>
                <w:color w:val="404040" w:themeColor="text1" w:themeTint="BF"/>
              </w:rPr>
            </w:pPr>
            <m:oMathPara>
              <m:oMath>
                <m:sSub>
                  <m:sSubPr>
                    <m:ctrlPr>
                      <w:rPr>
                        <w:rFonts w:ascii="Cambria Math" w:hAnsi="Cambria Math"/>
                        <w:i/>
                        <w:color w:val="404040" w:themeColor="text1" w:themeTint="BF"/>
                      </w:rPr>
                    </m:ctrlPr>
                  </m:sSubPr>
                  <m:e>
                    <m:r>
                      <w:rPr>
                        <w:rFonts w:ascii="Cambria Math" w:hAnsi="Cambria Math"/>
                        <w:color w:val="404040" w:themeColor="text1" w:themeTint="BF"/>
                      </w:rPr>
                      <m:t>G</m:t>
                    </m:r>
                  </m:e>
                  <m:sub>
                    <m:r>
                      <w:rPr>
                        <w:rFonts w:ascii="Cambria Math" w:hAnsi="Cambria Math"/>
                        <w:color w:val="404040" w:themeColor="text1" w:themeTint="BF"/>
                      </w:rPr>
                      <m:t>s</m:t>
                    </m:r>
                  </m:sub>
                </m:sSub>
              </m:oMath>
            </m:oMathPara>
          </w:p>
        </w:tc>
        <w:tc>
          <w:tcPr>
            <w:tcW w:w="3205" w:type="dxa"/>
          </w:tcPr>
          <w:p w14:paraId="3E67A1B8" w14:textId="77777777" w:rsidR="00DB7BD6" w:rsidRPr="003A69B5" w:rsidRDefault="00DB7BD6" w:rsidP="00DB7BD6">
            <w:pPr>
              <w:jc w:val="center"/>
              <w:rPr>
                <w:color w:val="404040" w:themeColor="text1" w:themeTint="BF"/>
              </w:rPr>
            </w:pPr>
            <w:proofErr w:type="spellStart"/>
            <w:r w:rsidRPr="003A69B5">
              <w:rPr>
                <w:color w:val="404040" w:themeColor="text1" w:themeTint="BF"/>
              </w:rPr>
              <w:t>Eqn</w:t>
            </w:r>
            <w:proofErr w:type="spellEnd"/>
            <w:r w:rsidRPr="003A69B5">
              <w:rPr>
                <w:color w:val="404040" w:themeColor="text1" w:themeTint="BF"/>
              </w:rPr>
              <w:t xml:space="preserve"> 13.22, </w:t>
            </w:r>
            <w:proofErr w:type="spellStart"/>
            <w:r w:rsidRPr="003A69B5">
              <w:rPr>
                <w:color w:val="404040" w:themeColor="text1" w:themeTint="BF"/>
              </w:rPr>
              <w:t>Eqn</w:t>
            </w:r>
            <w:proofErr w:type="spellEnd"/>
            <w:r w:rsidRPr="003A69B5">
              <w:rPr>
                <w:color w:val="404040" w:themeColor="text1" w:themeTint="BF"/>
              </w:rPr>
              <w:t xml:space="preserve"> 13.29</w:t>
            </w:r>
          </w:p>
        </w:tc>
      </w:tr>
      <w:tr w:rsidR="00DB7BD6" w14:paraId="20679C5C" w14:textId="77777777" w:rsidTr="00DB7BD6">
        <w:trPr>
          <w:jc w:val="center"/>
        </w:trPr>
        <w:tc>
          <w:tcPr>
            <w:tcW w:w="1126" w:type="dxa"/>
          </w:tcPr>
          <w:p w14:paraId="166C8F07" w14:textId="77777777" w:rsidR="00DB7BD6" w:rsidRPr="003A69B5" w:rsidRDefault="00DB7BD6" w:rsidP="00DB7BD6">
            <w:pPr>
              <w:jc w:val="center"/>
              <w:rPr>
                <w:color w:val="404040" w:themeColor="text1" w:themeTint="BF"/>
              </w:rPr>
            </w:pPr>
            <w:r w:rsidRPr="003A69B5">
              <w:rPr>
                <w:color w:val="404040" w:themeColor="text1" w:themeTint="BF"/>
              </w:rPr>
              <w:t>13.22</w:t>
            </w:r>
          </w:p>
        </w:tc>
        <w:tc>
          <w:tcPr>
            <w:tcW w:w="2516" w:type="dxa"/>
          </w:tcPr>
          <w:p w14:paraId="5DB7C84C" w14:textId="77777777" w:rsidR="00DB7BD6" w:rsidRPr="003A69B5" w:rsidRDefault="00DB7BD6" w:rsidP="00DB7BD6">
            <w:pPr>
              <w:jc w:val="center"/>
              <w:rPr>
                <w:color w:val="404040" w:themeColor="text1" w:themeTint="BF"/>
              </w:rPr>
            </w:pPr>
            <m:oMathPara>
              <m:oMath>
                <m:sSub>
                  <m:sSubPr>
                    <m:ctrlPr>
                      <w:rPr>
                        <w:rFonts w:ascii="Cambria Math" w:hAnsi="Cambria Math"/>
                        <w:b/>
                        <w:i/>
                        <w:color w:val="404040" w:themeColor="text1" w:themeTint="BF"/>
                      </w:rPr>
                    </m:ctrlPr>
                  </m:sSubPr>
                  <m:e>
                    <m:r>
                      <m:rPr>
                        <m:sty m:val="bi"/>
                      </m:rPr>
                      <w:rPr>
                        <w:rFonts w:ascii="Cambria Math" w:hAnsi="Cambria Math"/>
                        <w:color w:val="404040" w:themeColor="text1" w:themeTint="BF"/>
                      </w:rPr>
                      <m:t>G</m:t>
                    </m:r>
                  </m:e>
                  <m:sub>
                    <m:r>
                      <m:rPr>
                        <m:sty m:val="bi"/>
                      </m:rPr>
                      <w:rPr>
                        <w:rFonts w:ascii="Cambria Math" w:hAnsi="Cambria Math"/>
                        <w:color w:val="404040" w:themeColor="text1" w:themeTint="BF"/>
                      </w:rPr>
                      <m:t>s</m:t>
                    </m:r>
                  </m:sub>
                </m:sSub>
                <m:r>
                  <w:rPr>
                    <w:rFonts w:ascii="Cambria Math" w:hAnsi="Cambria Math"/>
                    <w:color w:val="404040" w:themeColor="text1" w:themeTint="BF"/>
                  </w:rPr>
                  <m:t>,</m:t>
                </m:r>
                <m:sSub>
                  <m:sSubPr>
                    <m:ctrlPr>
                      <w:rPr>
                        <w:rFonts w:ascii="Cambria Math" w:hAnsi="Cambria Math"/>
                        <w:i/>
                        <w:color w:val="404040" w:themeColor="text1" w:themeTint="BF"/>
                      </w:rPr>
                    </m:ctrlPr>
                  </m:sSubPr>
                  <m:e>
                    <m:r>
                      <w:rPr>
                        <w:rFonts w:ascii="Cambria Math" w:hAnsi="Cambria Math"/>
                        <w:color w:val="404040" w:themeColor="text1" w:themeTint="BF"/>
                      </w:rPr>
                      <m:t>ρ</m:t>
                    </m:r>
                  </m:e>
                  <m:sub>
                    <m:r>
                      <w:rPr>
                        <w:rFonts w:ascii="Cambria Math" w:hAnsi="Cambria Math"/>
                        <w:color w:val="404040" w:themeColor="text1" w:themeTint="BF"/>
                      </w:rPr>
                      <m:t>s</m:t>
                    </m:r>
                  </m:sub>
                </m:sSub>
              </m:oMath>
            </m:oMathPara>
          </w:p>
        </w:tc>
        <w:tc>
          <w:tcPr>
            <w:tcW w:w="1052" w:type="dxa"/>
          </w:tcPr>
          <w:p w14:paraId="6E8BF3C2" w14:textId="77777777" w:rsidR="00DB7BD6" w:rsidRPr="003A69B5" w:rsidRDefault="00DB7BD6" w:rsidP="00DB7BD6">
            <w:pPr>
              <w:jc w:val="center"/>
              <w:rPr>
                <w:color w:val="404040" w:themeColor="text1" w:themeTint="BF"/>
              </w:rPr>
            </w:pPr>
            <m:oMathPara>
              <m:oMath>
                <m:sSub>
                  <m:sSubPr>
                    <m:ctrlPr>
                      <w:rPr>
                        <w:rFonts w:ascii="Cambria Math" w:hAnsi="Cambria Math"/>
                        <w:i/>
                        <w:color w:val="404040" w:themeColor="text1" w:themeTint="BF"/>
                      </w:rPr>
                    </m:ctrlPr>
                  </m:sSubPr>
                  <m:e>
                    <m:r>
                      <w:rPr>
                        <w:rFonts w:ascii="Cambria Math" w:hAnsi="Cambria Math"/>
                        <w:color w:val="404040" w:themeColor="text1" w:themeTint="BF"/>
                      </w:rPr>
                      <m:t>v</m:t>
                    </m:r>
                  </m:e>
                  <m:sub>
                    <m:r>
                      <w:rPr>
                        <w:rFonts w:ascii="Cambria Math" w:hAnsi="Cambria Math"/>
                        <w:color w:val="404040" w:themeColor="text1" w:themeTint="BF"/>
                      </w:rPr>
                      <m:t>s</m:t>
                    </m:r>
                  </m:sub>
                </m:sSub>
              </m:oMath>
            </m:oMathPara>
          </w:p>
        </w:tc>
        <w:tc>
          <w:tcPr>
            <w:tcW w:w="3205" w:type="dxa"/>
          </w:tcPr>
          <w:p w14:paraId="0A1345C0" w14:textId="77777777" w:rsidR="00DB7BD6" w:rsidRPr="003A69B5" w:rsidRDefault="00DB7BD6" w:rsidP="00DB7BD6">
            <w:pPr>
              <w:jc w:val="center"/>
              <w:rPr>
                <w:color w:val="404040" w:themeColor="text1" w:themeTint="BF"/>
              </w:rPr>
            </w:pPr>
          </w:p>
        </w:tc>
      </w:tr>
      <w:tr w:rsidR="00DB7BD6" w14:paraId="04D0C410" w14:textId="77777777" w:rsidTr="00DB7BD6">
        <w:trPr>
          <w:jc w:val="center"/>
        </w:trPr>
        <w:tc>
          <w:tcPr>
            <w:tcW w:w="1126" w:type="dxa"/>
          </w:tcPr>
          <w:p w14:paraId="41E64572" w14:textId="77777777" w:rsidR="00DB7BD6" w:rsidRPr="003A69B5" w:rsidRDefault="00DB7BD6" w:rsidP="00DB7BD6">
            <w:pPr>
              <w:jc w:val="center"/>
              <w:rPr>
                <w:color w:val="404040" w:themeColor="text1" w:themeTint="BF"/>
              </w:rPr>
            </w:pPr>
            <w:r w:rsidRPr="003A69B5">
              <w:rPr>
                <w:color w:val="404040" w:themeColor="text1" w:themeTint="BF"/>
              </w:rPr>
              <w:t>13.30</w:t>
            </w:r>
          </w:p>
        </w:tc>
        <w:tc>
          <w:tcPr>
            <w:tcW w:w="2516" w:type="dxa"/>
          </w:tcPr>
          <w:p w14:paraId="3A02FFF4" w14:textId="77777777" w:rsidR="00DB7BD6" w:rsidRPr="003A69B5" w:rsidRDefault="00DB7BD6" w:rsidP="00DB7BD6">
            <w:pPr>
              <w:jc w:val="center"/>
              <w:rPr>
                <w:color w:val="404040" w:themeColor="text1" w:themeTint="BF"/>
              </w:rPr>
            </w:pPr>
            <m:oMathPara>
              <m:oMath>
                <m:sSub>
                  <m:sSubPr>
                    <m:ctrlPr>
                      <w:rPr>
                        <w:rFonts w:ascii="Cambria Math" w:hAnsi="Cambria Math"/>
                        <w:b/>
                        <w:i/>
                        <w:color w:val="404040" w:themeColor="text1" w:themeTint="BF"/>
                      </w:rPr>
                    </m:ctrlPr>
                  </m:sSubPr>
                  <m:e>
                    <m:r>
                      <m:rPr>
                        <m:sty m:val="bi"/>
                      </m:rPr>
                      <w:rPr>
                        <w:rFonts w:ascii="Cambria Math" w:hAnsi="Cambria Math"/>
                        <w:color w:val="404040" w:themeColor="text1" w:themeTint="BF"/>
                      </w:rPr>
                      <m:t>p</m:t>
                    </m:r>
                  </m:e>
                  <m:sub>
                    <m:r>
                      <m:rPr>
                        <m:sty m:val="bi"/>
                      </m:rPr>
                      <w:rPr>
                        <w:rFonts w:ascii="Cambria Math" w:hAnsi="Cambria Math"/>
                        <w:color w:val="404040" w:themeColor="text1" w:themeTint="BF"/>
                      </w:rPr>
                      <m:t>tu</m:t>
                    </m:r>
                  </m:sub>
                </m:sSub>
                <m:r>
                  <w:rPr>
                    <w:rFonts w:ascii="Cambria Math" w:hAnsi="Cambria Math"/>
                    <w:color w:val="404040" w:themeColor="text1" w:themeTint="BF"/>
                  </w:rPr>
                  <m:t>,</m:t>
                </m:r>
                <m:sSub>
                  <m:sSubPr>
                    <m:ctrlPr>
                      <w:rPr>
                        <w:rFonts w:ascii="Cambria Math" w:hAnsi="Cambria Math"/>
                        <w:i/>
                        <w:color w:val="404040" w:themeColor="text1" w:themeTint="BF"/>
                      </w:rPr>
                    </m:ctrlPr>
                  </m:sSubPr>
                  <m:e>
                    <m:r>
                      <w:rPr>
                        <w:rFonts w:ascii="Cambria Math" w:hAnsi="Cambria Math"/>
                        <w:color w:val="404040" w:themeColor="text1" w:themeTint="BF"/>
                      </w:rPr>
                      <m:t>D</m:t>
                    </m:r>
                  </m:e>
                  <m:sub>
                    <m:r>
                      <w:rPr>
                        <w:rFonts w:ascii="Cambria Math" w:hAnsi="Cambria Math"/>
                        <w:color w:val="404040" w:themeColor="text1" w:themeTint="BF"/>
                      </w:rPr>
                      <m:t>o</m:t>
                    </m:r>
                  </m:sub>
                </m:sSub>
              </m:oMath>
            </m:oMathPara>
          </w:p>
        </w:tc>
        <w:tc>
          <w:tcPr>
            <w:tcW w:w="1052" w:type="dxa"/>
          </w:tcPr>
          <w:p w14:paraId="20220FCE" w14:textId="77777777" w:rsidR="00DB7BD6" w:rsidRPr="003A69B5" w:rsidRDefault="00DB7BD6" w:rsidP="00DB7BD6">
            <w:pPr>
              <w:jc w:val="center"/>
              <w:rPr>
                <w:color w:val="404040" w:themeColor="text1" w:themeTint="BF"/>
              </w:rPr>
            </w:pPr>
            <m:oMathPara>
              <m:oMath>
                <m:sSub>
                  <m:sSubPr>
                    <m:ctrlPr>
                      <w:rPr>
                        <w:rFonts w:ascii="Cambria Math" w:hAnsi="Cambria Math"/>
                        <w:i/>
                        <w:color w:val="404040" w:themeColor="text1" w:themeTint="BF"/>
                      </w:rPr>
                    </m:ctrlPr>
                  </m:sSubPr>
                  <m:e>
                    <m:r>
                      <w:rPr>
                        <w:rFonts w:ascii="Cambria Math" w:hAnsi="Cambria Math"/>
                        <w:color w:val="404040" w:themeColor="text1" w:themeTint="BF"/>
                      </w:rPr>
                      <m:t>D</m:t>
                    </m:r>
                  </m:e>
                  <m:sub>
                    <m:r>
                      <w:rPr>
                        <w:rFonts w:ascii="Cambria Math" w:hAnsi="Cambria Math"/>
                        <w:color w:val="404040" w:themeColor="text1" w:themeTint="BF"/>
                      </w:rPr>
                      <m:t>e</m:t>
                    </m:r>
                  </m:sub>
                </m:sSub>
              </m:oMath>
            </m:oMathPara>
          </w:p>
        </w:tc>
        <w:tc>
          <w:tcPr>
            <w:tcW w:w="3205" w:type="dxa"/>
          </w:tcPr>
          <w:p w14:paraId="55C51558" w14:textId="77777777" w:rsidR="00DB7BD6" w:rsidRPr="003A69B5" w:rsidRDefault="00DB7BD6" w:rsidP="00DB7BD6">
            <w:pPr>
              <w:jc w:val="center"/>
              <w:rPr>
                <w:color w:val="404040" w:themeColor="text1" w:themeTint="BF"/>
              </w:rPr>
            </w:pPr>
            <w:proofErr w:type="spellStart"/>
            <w:r w:rsidRPr="003A69B5">
              <w:rPr>
                <w:color w:val="404040" w:themeColor="text1" w:themeTint="BF"/>
              </w:rPr>
              <w:t>Eqn</w:t>
            </w:r>
            <w:proofErr w:type="spellEnd"/>
            <w:r w:rsidRPr="003A69B5">
              <w:rPr>
                <w:color w:val="404040" w:themeColor="text1" w:themeTint="BF"/>
              </w:rPr>
              <w:t xml:space="preserve"> 13.24, </w:t>
            </w:r>
            <w:proofErr w:type="spellStart"/>
            <w:r w:rsidRPr="003A69B5">
              <w:t>Eqn</w:t>
            </w:r>
            <w:proofErr w:type="spellEnd"/>
            <w:r w:rsidRPr="003A69B5">
              <w:t xml:space="preserve"> 13.</w:t>
            </w:r>
            <w:r>
              <w:t>31</w:t>
            </w:r>
            <w:r w:rsidRPr="003A69B5">
              <w:rPr>
                <w:color w:val="404040" w:themeColor="text1" w:themeTint="BF"/>
              </w:rPr>
              <w:t xml:space="preserve">, </w:t>
            </w:r>
            <w:proofErr w:type="spellStart"/>
            <w:r w:rsidRPr="003A69B5">
              <w:rPr>
                <w:color w:val="404040" w:themeColor="text1" w:themeTint="BF"/>
              </w:rPr>
              <w:t>Eqn</w:t>
            </w:r>
            <w:proofErr w:type="spellEnd"/>
            <w:r w:rsidRPr="003A69B5">
              <w:rPr>
                <w:color w:val="404040" w:themeColor="text1" w:themeTint="BF"/>
              </w:rPr>
              <w:t xml:space="preserve"> 13.29</w:t>
            </w:r>
          </w:p>
        </w:tc>
      </w:tr>
      <w:tr w:rsidR="00DB7BD6" w14:paraId="064A2E1E" w14:textId="77777777" w:rsidTr="00DB7BD6">
        <w:trPr>
          <w:jc w:val="center"/>
        </w:trPr>
        <w:tc>
          <w:tcPr>
            <w:tcW w:w="1126" w:type="dxa"/>
          </w:tcPr>
          <w:p w14:paraId="57FE4D49" w14:textId="77777777" w:rsidR="00DB7BD6" w:rsidRPr="003A69B5" w:rsidRDefault="00DB7BD6" w:rsidP="00DB7BD6">
            <w:pPr>
              <w:jc w:val="center"/>
              <w:rPr>
                <w:color w:val="404040" w:themeColor="text1" w:themeTint="BF"/>
              </w:rPr>
            </w:pPr>
            <w:r w:rsidRPr="003A69B5">
              <w:rPr>
                <w:color w:val="404040" w:themeColor="text1" w:themeTint="BF"/>
              </w:rPr>
              <w:t>13.24</w:t>
            </w:r>
          </w:p>
        </w:tc>
        <w:tc>
          <w:tcPr>
            <w:tcW w:w="2516" w:type="dxa"/>
          </w:tcPr>
          <w:p w14:paraId="51E7E18E" w14:textId="77777777" w:rsidR="00DB7BD6" w:rsidRPr="003A69B5" w:rsidRDefault="00DB7BD6" w:rsidP="00DB7BD6">
            <w:pPr>
              <w:jc w:val="center"/>
              <w:rPr>
                <w:color w:val="404040" w:themeColor="text1" w:themeTint="BF"/>
              </w:rPr>
            </w:pPr>
            <m:oMath>
              <m:sSub>
                <m:sSubPr>
                  <m:ctrlPr>
                    <w:rPr>
                      <w:rFonts w:ascii="Cambria Math" w:hAnsi="Cambria Math"/>
                      <w:b/>
                      <w:i/>
                      <w:color w:val="404040" w:themeColor="text1" w:themeTint="BF"/>
                    </w:rPr>
                  </m:ctrlPr>
                </m:sSubPr>
                <m:e>
                  <m:r>
                    <m:rPr>
                      <m:sty m:val="bi"/>
                    </m:rPr>
                    <w:rPr>
                      <w:rFonts w:ascii="Cambria Math" w:hAnsi="Cambria Math"/>
                      <w:color w:val="404040" w:themeColor="text1" w:themeTint="BF"/>
                    </w:rPr>
                    <m:t>D</m:t>
                  </m:r>
                </m:e>
                <m:sub>
                  <m:r>
                    <m:rPr>
                      <m:sty m:val="bi"/>
                    </m:rPr>
                    <w:rPr>
                      <w:rFonts w:ascii="Cambria Math" w:hAnsi="Cambria Math"/>
                      <w:color w:val="404040" w:themeColor="text1" w:themeTint="BF"/>
                    </w:rPr>
                    <m:t>e</m:t>
                  </m:r>
                </m:sub>
              </m:sSub>
              <m:r>
                <w:rPr>
                  <w:rFonts w:ascii="Cambria Math" w:hAnsi="Cambria Math"/>
                  <w:color w:val="404040" w:themeColor="text1" w:themeTint="BF"/>
                </w:rPr>
                <m:t>,</m:t>
              </m:r>
              <m:sSub>
                <m:sSubPr>
                  <m:ctrlPr>
                    <w:rPr>
                      <w:rFonts w:ascii="Cambria Math" w:hAnsi="Cambria Math"/>
                      <w:i/>
                      <w:color w:val="404040" w:themeColor="text1" w:themeTint="BF"/>
                    </w:rPr>
                  </m:ctrlPr>
                </m:sSubPr>
                <m:e>
                  <m:r>
                    <w:rPr>
                      <w:rFonts w:ascii="Cambria Math" w:hAnsi="Cambria Math"/>
                      <w:color w:val="404040" w:themeColor="text1" w:themeTint="BF"/>
                    </w:rPr>
                    <m:t>G</m:t>
                  </m:r>
                </m:e>
                <m:sub>
                  <m:r>
                    <w:rPr>
                      <w:rFonts w:ascii="Cambria Math" w:hAnsi="Cambria Math"/>
                      <w:color w:val="404040" w:themeColor="text1" w:themeTint="BF"/>
                    </w:rPr>
                    <m:t>s</m:t>
                  </m:r>
                </m:sub>
              </m:sSub>
            </m:oMath>
            <w:r w:rsidRPr="003A69B5">
              <w:rPr>
                <w:color w:val="404040" w:themeColor="text1" w:themeTint="BF"/>
              </w:rPr>
              <w:t>,</w:t>
            </w:r>
            <m:oMath>
              <m:r>
                <w:rPr>
                  <w:rFonts w:ascii="Cambria Math" w:hAnsi="Cambria Math"/>
                  <w:color w:val="404040" w:themeColor="text1" w:themeTint="BF"/>
                </w:rPr>
                <m:t xml:space="preserve"> </m:t>
              </m:r>
              <m:sSub>
                <m:sSubPr>
                  <m:ctrlPr>
                    <w:rPr>
                      <w:rFonts w:ascii="Cambria Math" w:hAnsi="Cambria Math"/>
                      <w:i/>
                      <w:color w:val="404040" w:themeColor="text1" w:themeTint="BF"/>
                    </w:rPr>
                  </m:ctrlPr>
                </m:sSubPr>
                <m:e>
                  <m:r>
                    <w:rPr>
                      <w:rFonts w:ascii="Cambria Math" w:hAnsi="Cambria Math"/>
                      <w:color w:val="404040" w:themeColor="text1" w:themeTint="BF"/>
                    </w:rPr>
                    <m:t>μ</m:t>
                  </m:r>
                </m:e>
                <m:sub>
                  <m:r>
                    <w:rPr>
                      <w:rFonts w:ascii="Cambria Math" w:hAnsi="Cambria Math"/>
                      <w:color w:val="404040" w:themeColor="text1" w:themeTint="BF"/>
                    </w:rPr>
                    <m:t>s</m:t>
                  </m:r>
                </m:sub>
              </m:sSub>
            </m:oMath>
          </w:p>
        </w:tc>
        <w:tc>
          <w:tcPr>
            <w:tcW w:w="1052" w:type="dxa"/>
          </w:tcPr>
          <w:p w14:paraId="47C4DDFA" w14:textId="77777777" w:rsidR="00DB7BD6" w:rsidRPr="003A69B5" w:rsidRDefault="00DB7BD6" w:rsidP="00DB7BD6">
            <w:pPr>
              <w:jc w:val="center"/>
              <w:rPr>
                <w:color w:val="404040" w:themeColor="text1" w:themeTint="BF"/>
              </w:rPr>
            </w:pPr>
            <m:oMathPara>
              <m:oMath>
                <m:sSub>
                  <m:sSubPr>
                    <m:ctrlPr>
                      <w:rPr>
                        <w:rFonts w:ascii="Cambria Math" w:hAnsi="Cambria Math"/>
                        <w:i/>
                        <w:color w:val="404040" w:themeColor="text1" w:themeTint="BF"/>
                      </w:rPr>
                    </m:ctrlPr>
                  </m:sSubPr>
                  <m:e>
                    <m:r>
                      <w:rPr>
                        <w:rFonts w:ascii="Cambria Math" w:hAnsi="Cambria Math"/>
                        <w:color w:val="404040" w:themeColor="text1" w:themeTint="BF"/>
                      </w:rPr>
                      <m:t>Re</m:t>
                    </m:r>
                  </m:e>
                  <m:sub>
                    <m:r>
                      <w:rPr>
                        <w:rFonts w:ascii="Cambria Math" w:hAnsi="Cambria Math"/>
                        <w:color w:val="404040" w:themeColor="text1" w:themeTint="BF"/>
                      </w:rPr>
                      <m:t>s</m:t>
                    </m:r>
                  </m:sub>
                </m:sSub>
              </m:oMath>
            </m:oMathPara>
          </w:p>
        </w:tc>
        <w:tc>
          <w:tcPr>
            <w:tcW w:w="3205" w:type="dxa"/>
          </w:tcPr>
          <w:p w14:paraId="66848E0B" w14:textId="77777777" w:rsidR="00DB7BD6" w:rsidRDefault="00DB7BD6" w:rsidP="00DB7BD6">
            <w:pPr>
              <w:jc w:val="center"/>
            </w:pPr>
          </w:p>
        </w:tc>
      </w:tr>
      <w:tr w:rsidR="00DB7BD6" w14:paraId="66DC18CD" w14:textId="77777777" w:rsidTr="00DB7BD6">
        <w:trPr>
          <w:jc w:val="center"/>
        </w:trPr>
        <w:tc>
          <w:tcPr>
            <w:tcW w:w="1126" w:type="dxa"/>
          </w:tcPr>
          <w:p w14:paraId="66D7DA83" w14:textId="77777777" w:rsidR="00DB7BD6" w:rsidRPr="003A69B5" w:rsidRDefault="00DB7BD6" w:rsidP="00DB7BD6">
            <w:pPr>
              <w:jc w:val="center"/>
              <w:rPr>
                <w:color w:val="404040" w:themeColor="text1" w:themeTint="BF"/>
              </w:rPr>
            </w:pPr>
            <w:r w:rsidRPr="003A69B5">
              <w:rPr>
                <w:color w:val="404040" w:themeColor="text1" w:themeTint="BF"/>
              </w:rPr>
              <w:t>13.25</w:t>
            </w:r>
          </w:p>
        </w:tc>
        <w:tc>
          <w:tcPr>
            <w:tcW w:w="2516" w:type="dxa"/>
          </w:tcPr>
          <w:p w14:paraId="01E6B47A" w14:textId="77777777" w:rsidR="00DB7BD6" w:rsidRPr="003A69B5" w:rsidRDefault="00DB7BD6" w:rsidP="00DB7BD6">
            <w:pPr>
              <w:jc w:val="center"/>
              <w:rPr>
                <w:color w:val="404040" w:themeColor="text1" w:themeTint="BF"/>
              </w:rPr>
            </w:pPr>
            <m:oMathPara>
              <m:oMath>
                <m:sSub>
                  <m:sSubPr>
                    <m:ctrlPr>
                      <w:rPr>
                        <w:rFonts w:ascii="Cambria Math" w:hAnsi="Cambria Math"/>
                        <w:i/>
                        <w:color w:val="404040" w:themeColor="text1" w:themeTint="BF"/>
                      </w:rPr>
                    </m:ctrlPr>
                  </m:sSubPr>
                  <m:e>
                    <m:r>
                      <w:rPr>
                        <w:rFonts w:ascii="Cambria Math" w:hAnsi="Cambria Math"/>
                        <w:color w:val="404040" w:themeColor="text1" w:themeTint="BF"/>
                      </w:rPr>
                      <m:t>c</m:t>
                    </m:r>
                  </m:e>
                  <m:sub>
                    <m:r>
                      <w:rPr>
                        <w:rFonts w:ascii="Cambria Math" w:hAnsi="Cambria Math"/>
                        <w:color w:val="404040" w:themeColor="text1" w:themeTint="BF"/>
                      </w:rPr>
                      <m:t>p,s</m:t>
                    </m:r>
                  </m:sub>
                </m:sSub>
                <m:r>
                  <w:rPr>
                    <w:rFonts w:ascii="Cambria Math" w:hAnsi="Cambria Math"/>
                    <w:color w:val="404040" w:themeColor="text1" w:themeTint="BF"/>
                  </w:rPr>
                  <m:t>,</m:t>
                </m:r>
                <m:sSub>
                  <m:sSubPr>
                    <m:ctrlPr>
                      <w:rPr>
                        <w:rFonts w:ascii="Cambria Math" w:hAnsi="Cambria Math"/>
                        <w:i/>
                        <w:color w:val="404040" w:themeColor="text1" w:themeTint="BF"/>
                      </w:rPr>
                    </m:ctrlPr>
                  </m:sSubPr>
                  <m:e>
                    <m:r>
                      <w:rPr>
                        <w:rFonts w:ascii="Cambria Math" w:hAnsi="Cambria Math"/>
                        <w:color w:val="404040" w:themeColor="text1" w:themeTint="BF"/>
                      </w:rPr>
                      <m:t>μ</m:t>
                    </m:r>
                  </m:e>
                  <m:sub>
                    <m:r>
                      <w:rPr>
                        <w:rFonts w:ascii="Cambria Math" w:hAnsi="Cambria Math"/>
                        <w:color w:val="404040" w:themeColor="text1" w:themeTint="BF"/>
                      </w:rPr>
                      <m:t>s</m:t>
                    </m:r>
                  </m:sub>
                </m:sSub>
                <m:r>
                  <w:rPr>
                    <w:rFonts w:ascii="Cambria Math" w:hAnsi="Cambria Math"/>
                    <w:color w:val="404040" w:themeColor="text1" w:themeTint="BF"/>
                  </w:rPr>
                  <m:t>,</m:t>
                </m:r>
                <m:sSub>
                  <m:sSubPr>
                    <m:ctrlPr>
                      <w:rPr>
                        <w:rFonts w:ascii="Cambria Math" w:hAnsi="Cambria Math"/>
                        <w:i/>
                        <w:color w:val="404040" w:themeColor="text1" w:themeTint="BF"/>
                      </w:rPr>
                    </m:ctrlPr>
                  </m:sSubPr>
                  <m:e>
                    <m:r>
                      <w:rPr>
                        <w:rFonts w:ascii="Cambria Math" w:hAnsi="Cambria Math"/>
                        <w:color w:val="404040" w:themeColor="text1" w:themeTint="BF"/>
                      </w:rPr>
                      <m:t>k</m:t>
                    </m:r>
                  </m:e>
                  <m:sub>
                    <m:r>
                      <w:rPr>
                        <w:rFonts w:ascii="Cambria Math" w:hAnsi="Cambria Math"/>
                        <w:color w:val="404040" w:themeColor="text1" w:themeTint="BF"/>
                      </w:rPr>
                      <m:t>f,s</m:t>
                    </m:r>
                  </m:sub>
                </m:sSub>
              </m:oMath>
            </m:oMathPara>
          </w:p>
        </w:tc>
        <w:tc>
          <w:tcPr>
            <w:tcW w:w="1052" w:type="dxa"/>
          </w:tcPr>
          <w:p w14:paraId="0AA65A7B" w14:textId="77777777" w:rsidR="00DB7BD6" w:rsidRPr="003A69B5" w:rsidRDefault="00DB7BD6" w:rsidP="00DB7BD6">
            <w:pPr>
              <w:jc w:val="center"/>
              <w:rPr>
                <w:color w:val="404040" w:themeColor="text1" w:themeTint="BF"/>
              </w:rPr>
            </w:pPr>
            <m:oMathPara>
              <m:oMath>
                <m:sSub>
                  <m:sSubPr>
                    <m:ctrlPr>
                      <w:rPr>
                        <w:rFonts w:ascii="Cambria Math" w:hAnsi="Cambria Math"/>
                        <w:i/>
                        <w:color w:val="404040" w:themeColor="text1" w:themeTint="BF"/>
                      </w:rPr>
                    </m:ctrlPr>
                  </m:sSubPr>
                  <m:e>
                    <m:r>
                      <w:rPr>
                        <w:rFonts w:ascii="Cambria Math" w:hAnsi="Cambria Math"/>
                        <w:color w:val="404040" w:themeColor="text1" w:themeTint="BF"/>
                      </w:rPr>
                      <m:t>Pr</m:t>
                    </m:r>
                  </m:e>
                  <m:sub>
                    <m:r>
                      <w:rPr>
                        <w:rFonts w:ascii="Cambria Math" w:hAnsi="Cambria Math"/>
                        <w:color w:val="404040" w:themeColor="text1" w:themeTint="BF"/>
                      </w:rPr>
                      <m:t>s</m:t>
                    </m:r>
                  </m:sub>
                </m:sSub>
              </m:oMath>
            </m:oMathPara>
          </w:p>
        </w:tc>
        <w:tc>
          <w:tcPr>
            <w:tcW w:w="3205" w:type="dxa"/>
          </w:tcPr>
          <w:p w14:paraId="2AE9CFF8" w14:textId="77777777" w:rsidR="00DB7BD6" w:rsidRDefault="00DB7BD6" w:rsidP="00DB7BD6">
            <w:pPr>
              <w:jc w:val="center"/>
            </w:pPr>
          </w:p>
        </w:tc>
      </w:tr>
      <w:tr w:rsidR="00DB7BD6" w14:paraId="1DDCBE8A" w14:textId="77777777" w:rsidTr="00DB7BD6">
        <w:trPr>
          <w:jc w:val="center"/>
        </w:trPr>
        <w:tc>
          <w:tcPr>
            <w:tcW w:w="1126" w:type="dxa"/>
          </w:tcPr>
          <w:p w14:paraId="24B05883" w14:textId="77777777" w:rsidR="00DB7BD6" w:rsidRPr="003A69B5" w:rsidRDefault="00DB7BD6" w:rsidP="00DB7BD6">
            <w:pPr>
              <w:jc w:val="center"/>
            </w:pPr>
            <w:r>
              <w:t>13.31</w:t>
            </w:r>
          </w:p>
        </w:tc>
        <w:tc>
          <w:tcPr>
            <w:tcW w:w="2516" w:type="dxa"/>
          </w:tcPr>
          <w:p w14:paraId="1C406844" w14:textId="77777777" w:rsidR="00DB7BD6" w:rsidRPr="003A69B5" w:rsidRDefault="00DB7BD6" w:rsidP="00DB7BD6">
            <w:pPr>
              <w:jc w:val="center"/>
              <w:rPr>
                <w:color w:val="404040" w:themeColor="text1" w:themeTint="BF"/>
              </w:rPr>
            </w:pPr>
            <m:oMathPara>
              <m:oMath>
                <m:sSub>
                  <m:sSubPr>
                    <m:ctrlPr>
                      <w:rPr>
                        <w:rFonts w:ascii="Cambria Math" w:hAnsi="Cambria Math"/>
                        <w:b/>
                        <w:i/>
                      </w:rPr>
                    </m:ctrlPr>
                  </m:sSubPr>
                  <m:e>
                    <m:r>
                      <m:rPr>
                        <m:sty m:val="bi"/>
                      </m:rPr>
                      <w:rPr>
                        <w:rFonts w:ascii="Cambria Math" w:hAnsi="Cambria Math"/>
                      </w:rPr>
                      <m:t>D</m:t>
                    </m:r>
                  </m:e>
                  <m:sub>
                    <m:r>
                      <m:rPr>
                        <m:sty m:val="bi"/>
                      </m:rPr>
                      <w:rPr>
                        <w:rFonts w:ascii="Cambria Math" w:hAnsi="Cambria Math"/>
                      </w:rPr>
                      <m:t>e</m:t>
                    </m:r>
                  </m:sub>
                </m:sSub>
                <m:r>
                  <w:rPr>
                    <w:rFonts w:ascii="Cambria Math" w:hAnsi="Cambria Math"/>
                  </w:rPr>
                  <m:t>,</m:t>
                </m:r>
                <m:sSub>
                  <m:sSubPr>
                    <m:ctrlPr>
                      <w:rPr>
                        <w:rFonts w:ascii="Cambria Math" w:hAnsi="Cambria Math"/>
                        <w:i/>
                      </w:rPr>
                    </m:ctrlPr>
                  </m:sSubPr>
                  <m:e>
                    <m:r>
                      <w:rPr>
                        <w:rFonts w:ascii="Cambria Math" w:hAnsi="Cambria Math"/>
                      </w:rPr>
                      <m:t>h</m:t>
                    </m:r>
                  </m:e>
                  <m:sub>
                    <m:r>
                      <w:rPr>
                        <w:rFonts w:ascii="Cambria Math" w:hAnsi="Cambria Math"/>
                      </w:rPr>
                      <m:t>o</m:t>
                    </m:r>
                  </m:sub>
                </m:sSub>
                <m:r>
                  <w:rPr>
                    <w:rFonts w:ascii="Cambria Math" w:hAnsi="Cambria Math"/>
                  </w:rPr>
                  <m:t xml:space="preserve">, </m:t>
                </m:r>
                <m:sSub>
                  <m:sSubPr>
                    <m:ctrlPr>
                      <w:rPr>
                        <w:rFonts w:ascii="Cambria Math" w:hAnsi="Cambria Math"/>
                        <w:i/>
                      </w:rPr>
                    </m:ctrlPr>
                  </m:sSubPr>
                  <m:e>
                    <m:r>
                      <w:rPr>
                        <w:rFonts w:ascii="Cambria Math" w:hAnsi="Cambria Math"/>
                      </w:rPr>
                      <m:t>k</m:t>
                    </m:r>
                  </m:e>
                  <m:sub>
                    <m:r>
                      <w:rPr>
                        <w:rFonts w:ascii="Cambria Math" w:hAnsi="Cambria Math"/>
                      </w:rPr>
                      <m:t>f,s</m:t>
                    </m:r>
                  </m:sub>
                </m:sSub>
              </m:oMath>
            </m:oMathPara>
          </w:p>
        </w:tc>
        <w:tc>
          <w:tcPr>
            <w:tcW w:w="1052" w:type="dxa"/>
          </w:tcPr>
          <w:p w14:paraId="6DECC7E6" w14:textId="77777777" w:rsidR="00DB7BD6" w:rsidRPr="003A69B5" w:rsidRDefault="00DB7BD6" w:rsidP="00DB7BD6">
            <w:pPr>
              <w:jc w:val="center"/>
            </w:pPr>
            <m:oMathPara>
              <m:oMath>
                <m:sSub>
                  <m:sSubPr>
                    <m:ctrlPr>
                      <w:rPr>
                        <w:rFonts w:ascii="Cambria Math" w:hAnsi="Cambria Math"/>
                        <w:i/>
                      </w:rPr>
                    </m:ctrlPr>
                  </m:sSubPr>
                  <m:e>
                    <m:r>
                      <w:rPr>
                        <w:rFonts w:ascii="Cambria Math" w:hAnsi="Cambria Math"/>
                      </w:rPr>
                      <m:t>Nu</m:t>
                    </m:r>
                  </m:e>
                  <m:sub>
                    <m:r>
                      <w:rPr>
                        <w:rFonts w:ascii="Cambria Math" w:hAnsi="Cambria Math"/>
                      </w:rPr>
                      <m:t>s</m:t>
                    </m:r>
                  </m:sub>
                </m:sSub>
              </m:oMath>
            </m:oMathPara>
          </w:p>
        </w:tc>
        <w:tc>
          <w:tcPr>
            <w:tcW w:w="3205" w:type="dxa"/>
          </w:tcPr>
          <w:p w14:paraId="2FBDC289" w14:textId="77777777" w:rsidR="00DB7BD6" w:rsidRPr="003A69B5" w:rsidRDefault="00DB7BD6" w:rsidP="00DB7BD6">
            <w:pPr>
              <w:jc w:val="center"/>
            </w:pPr>
          </w:p>
        </w:tc>
      </w:tr>
      <w:tr w:rsidR="00DB7BD6" w14:paraId="59246CBA" w14:textId="77777777" w:rsidTr="00DB7BD6">
        <w:trPr>
          <w:jc w:val="center"/>
        </w:trPr>
        <w:tc>
          <w:tcPr>
            <w:tcW w:w="1126" w:type="dxa"/>
          </w:tcPr>
          <w:p w14:paraId="38867386" w14:textId="77777777" w:rsidR="00DB7BD6" w:rsidRPr="003A69B5" w:rsidRDefault="00DB7BD6" w:rsidP="00DB7BD6">
            <w:pPr>
              <w:jc w:val="center"/>
            </w:pPr>
            <w:r>
              <w:t>13.32</w:t>
            </w:r>
          </w:p>
        </w:tc>
        <w:tc>
          <w:tcPr>
            <w:tcW w:w="2516" w:type="dxa"/>
          </w:tcPr>
          <w:p w14:paraId="190AA8C9" w14:textId="77777777" w:rsidR="00DB7BD6" w:rsidRPr="003A69B5" w:rsidRDefault="00DB7BD6" w:rsidP="00DB7BD6">
            <w:pPr>
              <w:jc w:val="center"/>
            </w:pPr>
            <m:oMathPara>
              <m:oMath>
                <m:sSub>
                  <m:sSubPr>
                    <m:ctrlPr>
                      <w:rPr>
                        <w:rFonts w:ascii="Cambria Math" w:hAnsi="Cambria Math"/>
                        <w:i/>
                      </w:rPr>
                    </m:ctrlPr>
                  </m:sSubPr>
                  <m:e>
                    <m:r>
                      <w:rPr>
                        <w:rFonts w:ascii="Cambria Math" w:hAnsi="Cambria Math"/>
                      </w:rPr>
                      <m:t>D</m:t>
                    </m:r>
                  </m:e>
                  <m:sub>
                    <m:r>
                      <w:rPr>
                        <w:rFonts w:ascii="Cambria Math" w:hAnsi="Cambria Math"/>
                      </w:rPr>
                      <m:t>o</m:t>
                    </m:r>
                  </m:sub>
                </m:sSub>
                <m:r>
                  <w:rPr>
                    <w:rFonts w:ascii="Cambria Math" w:hAnsi="Cambria Math"/>
                  </w:rPr>
                  <m:t>,L</m:t>
                </m:r>
              </m:oMath>
            </m:oMathPara>
          </w:p>
        </w:tc>
        <w:tc>
          <w:tcPr>
            <w:tcW w:w="1052" w:type="dxa"/>
          </w:tcPr>
          <w:p w14:paraId="48F9D6F9" w14:textId="77777777" w:rsidR="00DB7BD6" w:rsidRPr="003A69B5" w:rsidRDefault="00DB7BD6" w:rsidP="00DB7BD6">
            <w:pPr>
              <w:jc w:val="center"/>
            </w:pPr>
            <m:oMathPara>
              <m:oMath>
                <m:sSub>
                  <m:sSubPr>
                    <m:ctrlPr>
                      <w:rPr>
                        <w:rFonts w:ascii="Cambria Math" w:hAnsi="Cambria Math"/>
                        <w:i/>
                      </w:rPr>
                    </m:ctrlPr>
                  </m:sSubPr>
                  <m:e>
                    <m:r>
                      <w:rPr>
                        <w:rFonts w:ascii="Cambria Math" w:hAnsi="Cambria Math"/>
                      </w:rPr>
                      <m:t>A</m:t>
                    </m:r>
                  </m:e>
                  <m:sub>
                    <m:r>
                      <w:rPr>
                        <w:rFonts w:ascii="Cambria Math" w:hAnsi="Cambria Math"/>
                      </w:rPr>
                      <m:t>o</m:t>
                    </m:r>
                  </m:sub>
                </m:sSub>
              </m:oMath>
            </m:oMathPara>
          </w:p>
        </w:tc>
        <w:tc>
          <w:tcPr>
            <w:tcW w:w="3205" w:type="dxa"/>
          </w:tcPr>
          <w:p w14:paraId="33B8F1E3" w14:textId="77777777" w:rsidR="00DB7BD6" w:rsidRPr="003A69B5" w:rsidRDefault="00DB7BD6" w:rsidP="00DB7BD6">
            <w:pPr>
              <w:jc w:val="center"/>
            </w:pPr>
            <w:proofErr w:type="spellStart"/>
            <w:r>
              <w:t>Eqn</w:t>
            </w:r>
            <w:proofErr w:type="spellEnd"/>
            <w:r>
              <w:t xml:space="preserve"> 13.33, </w:t>
            </w:r>
            <w:proofErr w:type="spellStart"/>
            <w:r>
              <w:t>Eqn</w:t>
            </w:r>
            <w:proofErr w:type="spellEnd"/>
            <w:r>
              <w:t xml:space="preserve"> 13.34</w:t>
            </w:r>
          </w:p>
        </w:tc>
      </w:tr>
      <w:tr w:rsidR="00DB7BD6" w14:paraId="3F7E6B4F" w14:textId="77777777" w:rsidTr="00DB7BD6">
        <w:trPr>
          <w:jc w:val="center"/>
        </w:trPr>
        <w:tc>
          <w:tcPr>
            <w:tcW w:w="1126" w:type="dxa"/>
          </w:tcPr>
          <w:p w14:paraId="656BFE8C" w14:textId="77777777" w:rsidR="00DB7BD6" w:rsidRPr="003A69B5" w:rsidRDefault="00DB7BD6" w:rsidP="00DB7BD6">
            <w:pPr>
              <w:jc w:val="center"/>
            </w:pPr>
            <w:r>
              <w:t>13.33</w:t>
            </w:r>
          </w:p>
        </w:tc>
        <w:tc>
          <w:tcPr>
            <w:tcW w:w="2516" w:type="dxa"/>
          </w:tcPr>
          <w:p w14:paraId="7B113F09" w14:textId="77777777" w:rsidR="00DB7BD6" w:rsidRPr="003A69B5" w:rsidRDefault="00DB7BD6" w:rsidP="00DB7BD6">
            <w:pPr>
              <w:jc w:val="center"/>
            </w:pPr>
            <m:oMathPara>
              <m:oMath>
                <m:sSub>
                  <m:sSubPr>
                    <m:ctrlPr>
                      <w:rPr>
                        <w:rFonts w:ascii="Cambria Math" w:hAnsi="Cambria Math"/>
                        <w:b/>
                        <w:i/>
                      </w:rPr>
                    </m:ctrlPr>
                  </m:sSubPr>
                  <m:e>
                    <m:r>
                      <m:rPr>
                        <m:sty m:val="bi"/>
                      </m:rPr>
                      <w:rPr>
                        <w:rFonts w:ascii="Cambria Math" w:hAnsi="Cambria Math"/>
                      </w:rPr>
                      <m:t>A</m:t>
                    </m:r>
                  </m:e>
                  <m:sub>
                    <m:r>
                      <m:rPr>
                        <m:sty m:val="bi"/>
                      </m:rPr>
                      <w:rPr>
                        <w:rFonts w:ascii="Cambria Math" w:hAnsi="Cambria Math"/>
                      </w:rPr>
                      <m:t>o</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fi</m:t>
                    </m:r>
                  </m:sub>
                </m:sSub>
                <m:r>
                  <w:rPr>
                    <w:rFonts w:ascii="Cambria Math" w:hAnsi="Cambria Math"/>
                  </w:rPr>
                  <m:t>,</m:t>
                </m:r>
                <m:sSub>
                  <m:sSubPr>
                    <m:ctrlPr>
                      <w:rPr>
                        <w:rFonts w:ascii="Cambria Math" w:hAnsi="Cambria Math"/>
                        <w:i/>
                      </w:rPr>
                    </m:ctrlPr>
                  </m:sSubPr>
                  <m:e>
                    <m:r>
                      <w:rPr>
                        <w:rFonts w:ascii="Cambria Math" w:hAnsi="Cambria Math"/>
                      </w:rPr>
                      <m:t>L</m:t>
                    </m:r>
                  </m:e>
                  <m:sub>
                    <m:r>
                      <w:rPr>
                        <w:rFonts w:ascii="Cambria Math" w:hAnsi="Cambria Math"/>
                      </w:rPr>
                      <m:t>fi,th</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fi</m:t>
                    </m:r>
                  </m:sub>
                </m:sSub>
              </m:oMath>
            </m:oMathPara>
          </w:p>
        </w:tc>
        <w:tc>
          <w:tcPr>
            <w:tcW w:w="1052" w:type="dxa"/>
          </w:tcPr>
          <w:p w14:paraId="5FAC37F9" w14:textId="77777777" w:rsidR="00DB7BD6" w:rsidRPr="003A69B5" w:rsidRDefault="00DB7BD6" w:rsidP="00DB7BD6">
            <w:pPr>
              <w:jc w:val="center"/>
            </w:pPr>
            <m:oMathPara>
              <m:oMath>
                <m:sSub>
                  <m:sSubPr>
                    <m:ctrlPr>
                      <w:rPr>
                        <w:rFonts w:ascii="Cambria Math" w:hAnsi="Cambria Math"/>
                        <w:i/>
                      </w:rPr>
                    </m:ctrlPr>
                  </m:sSubPr>
                  <m:e>
                    <m:r>
                      <w:rPr>
                        <w:rFonts w:ascii="Cambria Math" w:hAnsi="Cambria Math"/>
                      </w:rPr>
                      <m:t>A</m:t>
                    </m:r>
                  </m:e>
                  <m:sub>
                    <m:r>
                      <w:rPr>
                        <w:rFonts w:ascii="Cambria Math" w:hAnsi="Cambria Math"/>
                      </w:rPr>
                      <m:t>fi</m:t>
                    </m:r>
                  </m:sub>
                </m:sSub>
              </m:oMath>
            </m:oMathPara>
          </w:p>
        </w:tc>
        <w:tc>
          <w:tcPr>
            <w:tcW w:w="3205" w:type="dxa"/>
          </w:tcPr>
          <w:p w14:paraId="6CEC4776" w14:textId="77777777" w:rsidR="00DB7BD6" w:rsidRPr="003A69B5" w:rsidRDefault="00DB7BD6" w:rsidP="00DB7BD6">
            <w:pPr>
              <w:jc w:val="center"/>
            </w:pPr>
            <w:proofErr w:type="spellStart"/>
            <w:r>
              <w:t>Eqn</w:t>
            </w:r>
            <w:proofErr w:type="spellEnd"/>
            <w:r>
              <w:t xml:space="preserve"> 13.34</w:t>
            </w:r>
          </w:p>
        </w:tc>
      </w:tr>
      <w:tr w:rsidR="00DB7BD6" w14:paraId="4622DBCB" w14:textId="77777777" w:rsidTr="00DB7BD6">
        <w:trPr>
          <w:jc w:val="center"/>
        </w:trPr>
        <w:tc>
          <w:tcPr>
            <w:tcW w:w="1126" w:type="dxa"/>
          </w:tcPr>
          <w:p w14:paraId="6FE78FD6" w14:textId="77777777" w:rsidR="00DB7BD6" w:rsidRPr="003A69B5" w:rsidRDefault="00DB7BD6" w:rsidP="00DB7BD6">
            <w:pPr>
              <w:jc w:val="center"/>
            </w:pPr>
            <w:r>
              <w:t>13.34</w:t>
            </w:r>
          </w:p>
        </w:tc>
        <w:tc>
          <w:tcPr>
            <w:tcW w:w="2516" w:type="dxa"/>
          </w:tcPr>
          <w:p w14:paraId="2185F24A" w14:textId="77777777" w:rsidR="00DB7BD6" w:rsidRPr="00AD7E0A" w:rsidRDefault="00DB7BD6" w:rsidP="00DB7BD6">
            <w:pPr>
              <w:jc w:val="center"/>
            </w:pPr>
            <m:oMathPara>
              <m:oMath>
                <m:sSub>
                  <m:sSubPr>
                    <m:ctrlPr>
                      <w:rPr>
                        <w:rFonts w:ascii="Cambria Math" w:hAnsi="Cambria Math"/>
                        <w:b/>
                        <w:i/>
                      </w:rPr>
                    </m:ctrlPr>
                  </m:sSubPr>
                  <m:e>
                    <m:r>
                      <m:rPr>
                        <m:sty m:val="bi"/>
                      </m:rPr>
                      <w:rPr>
                        <w:rFonts w:ascii="Cambria Math" w:hAnsi="Cambria Math"/>
                      </w:rPr>
                      <m:t>A</m:t>
                    </m:r>
                  </m:e>
                  <m:sub>
                    <m:r>
                      <m:rPr>
                        <m:sty m:val="bi"/>
                      </m:rPr>
                      <w:rPr>
                        <w:rFonts w:ascii="Cambria Math" w:hAnsi="Cambria Math"/>
                      </w:rPr>
                      <m:t>o</m:t>
                    </m:r>
                  </m:sub>
                </m:sSub>
                <m:r>
                  <w:rPr>
                    <w:rFonts w:ascii="Cambria Math" w:hAnsi="Cambria Math"/>
                  </w:rPr>
                  <m:t xml:space="preserve">, </m:t>
                </m:r>
                <m:sSub>
                  <m:sSubPr>
                    <m:ctrlPr>
                      <w:rPr>
                        <w:rFonts w:ascii="Cambria Math" w:hAnsi="Cambria Math"/>
                        <w:b/>
                        <w:i/>
                      </w:rPr>
                    </m:ctrlPr>
                  </m:sSubPr>
                  <m:e>
                    <m:r>
                      <m:rPr>
                        <m:sty m:val="bi"/>
                      </m:rPr>
                      <w:rPr>
                        <w:rFonts w:ascii="Cambria Math" w:hAnsi="Cambria Math"/>
                      </w:rPr>
                      <m:t>A</m:t>
                    </m:r>
                  </m:e>
                  <m:sub>
                    <m:r>
                      <m:rPr>
                        <m:sty m:val="bi"/>
                      </m:rPr>
                      <w:rPr>
                        <w:rFonts w:ascii="Cambria Math" w:hAnsi="Cambria Math"/>
                      </w:rPr>
                      <m:t>fi</m:t>
                    </m:r>
                  </m:sub>
                </m:sSub>
                <m:r>
                  <w:rPr>
                    <w:rFonts w:ascii="Cambria Math" w:hAnsi="Cambria Math"/>
                  </w:rPr>
                  <m:t>,</m:t>
                </m:r>
                <m:sSub>
                  <m:sSubPr>
                    <m:ctrlPr>
                      <w:rPr>
                        <w:rFonts w:ascii="Cambria Math" w:hAnsi="Cambria Math"/>
                        <w:i/>
                      </w:rPr>
                    </m:ctrlPr>
                  </m:sSubPr>
                  <m:e>
                    <m:r>
                      <w:rPr>
                        <w:rFonts w:ascii="Cambria Math" w:hAnsi="Cambria Math"/>
                      </w:rPr>
                      <m:t>η</m:t>
                    </m:r>
                  </m:e>
                  <m:sub>
                    <m:r>
                      <w:rPr>
                        <w:rFonts w:ascii="Cambria Math" w:hAnsi="Cambria Math"/>
                      </w:rPr>
                      <m:t>fi</m:t>
                    </m:r>
                  </m:sub>
                </m:sSub>
                <m:r>
                  <w:rPr>
                    <w:rFonts w:ascii="Cambria Math" w:hAnsi="Cambria Math"/>
                  </w:rPr>
                  <m:t>,</m:t>
                </m:r>
                <m:sSub>
                  <m:sSubPr>
                    <m:ctrlPr>
                      <w:rPr>
                        <w:rFonts w:ascii="Cambria Math" w:hAnsi="Cambria Math"/>
                        <w:i/>
                      </w:rPr>
                    </m:ctrlPr>
                  </m:sSubPr>
                  <m:e>
                    <m:r>
                      <w:rPr>
                        <w:rFonts w:ascii="Cambria Math" w:hAnsi="Cambria Math"/>
                      </w:rPr>
                      <m:t>h</m:t>
                    </m:r>
                  </m:e>
                  <m:sub>
                    <m:r>
                      <w:rPr>
                        <w:rFonts w:ascii="Cambria Math" w:hAnsi="Cambria Math"/>
                      </w:rPr>
                      <m:t>fi</m:t>
                    </m:r>
                  </m:sub>
                </m:sSub>
                <m:r>
                  <w:rPr>
                    <w:rFonts w:ascii="Cambria Math" w:hAnsi="Cambria Math"/>
                  </w:rPr>
                  <m:t>,</m:t>
                </m:r>
                <m:sSub>
                  <m:sSubPr>
                    <m:ctrlPr>
                      <w:rPr>
                        <w:rFonts w:ascii="Cambria Math" w:hAnsi="Cambria Math"/>
                        <w:i/>
                      </w:rPr>
                    </m:ctrlPr>
                  </m:sSubPr>
                  <m:e>
                    <m:r>
                      <w:rPr>
                        <w:rFonts w:ascii="Cambria Math" w:hAnsi="Cambria Math"/>
                      </w:rPr>
                      <m:t>h</m:t>
                    </m:r>
                  </m:e>
                  <m:sub>
                    <m:r>
                      <w:rPr>
                        <w:rFonts w:ascii="Cambria Math" w:hAnsi="Cambria Math"/>
                      </w:rPr>
                      <m:t>od,</m:t>
                    </m:r>
                  </m:sub>
                </m:sSub>
                <m:sSub>
                  <m:sSubPr>
                    <m:ctrlPr>
                      <w:rPr>
                        <w:rFonts w:ascii="Cambria Math" w:hAnsi="Cambria Math"/>
                        <w:i/>
                      </w:rPr>
                    </m:ctrlPr>
                  </m:sSubPr>
                  <m:e>
                    <m:r>
                      <w:rPr>
                        <w:rFonts w:ascii="Cambria Math" w:hAnsi="Cambria Math"/>
                      </w:rPr>
                      <m:t>D</m:t>
                    </m:r>
                  </m:e>
                  <m:sub>
                    <m:r>
                      <w:rPr>
                        <w:rFonts w:ascii="Cambria Math" w:hAnsi="Cambria Math"/>
                      </w:rPr>
                      <m:t>o</m:t>
                    </m:r>
                  </m:sub>
                </m:sSub>
              </m:oMath>
            </m:oMathPara>
          </w:p>
          <w:p w14:paraId="2AACC9F1" w14:textId="77777777" w:rsidR="00DB7BD6" w:rsidRPr="003A69B5" w:rsidRDefault="00DB7BD6" w:rsidP="00DB7BD6">
            <w:pPr>
              <w:jc w:val="center"/>
            </w:pPr>
            <m:oMathPara>
              <m:oMath>
                <m:sSub>
                  <m:sSubPr>
                    <m:ctrlPr>
                      <w:rPr>
                        <w:rFonts w:ascii="Cambria Math" w:hAnsi="Cambria Math"/>
                        <w:i/>
                      </w:rPr>
                    </m:ctrlPr>
                  </m:sSubPr>
                  <m:e>
                    <m:r>
                      <w:rPr>
                        <w:rFonts w:ascii="Cambria Math" w:hAnsi="Cambria Math"/>
                      </w:rPr>
                      <m:t>D</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w</m:t>
                    </m:r>
                  </m:sub>
                </m:sSub>
                <m:r>
                  <w:rPr>
                    <w:rFonts w:ascii="Cambria Math" w:hAnsi="Cambria Math"/>
                  </w:rPr>
                  <m:t>,</m:t>
                </m:r>
                <m:sSub>
                  <m:sSubPr>
                    <m:ctrlPr>
                      <w:rPr>
                        <w:rFonts w:ascii="Cambria Math" w:hAnsi="Cambria Math"/>
                        <w:i/>
                      </w:rPr>
                    </m:ctrlPr>
                  </m:sSubPr>
                  <m:e>
                    <m:r>
                      <w:rPr>
                        <w:rFonts w:ascii="Cambria Math" w:hAnsi="Cambria Math"/>
                      </w:rPr>
                      <m:t>h</m:t>
                    </m:r>
                  </m:e>
                  <m:sub>
                    <m:r>
                      <w:rPr>
                        <w:rFonts w:ascii="Cambria Math" w:hAnsi="Cambria Math"/>
                      </w:rPr>
                      <m:t>id</m:t>
                    </m:r>
                  </m:sub>
                </m:sSub>
                <m:r>
                  <w:rPr>
                    <w:rFonts w:ascii="Cambria Math" w:hAnsi="Cambria Math"/>
                  </w:rPr>
                  <m:t>,</m:t>
                </m:r>
                <m:sSub>
                  <m:sSubPr>
                    <m:ctrlPr>
                      <w:rPr>
                        <w:rFonts w:ascii="Cambria Math" w:hAnsi="Cambria Math"/>
                        <w:i/>
                      </w:rPr>
                    </m:ctrlPr>
                  </m:sSubPr>
                  <m:e>
                    <m:r>
                      <w:rPr>
                        <w:rFonts w:ascii="Cambria Math" w:hAnsi="Cambria Math"/>
                      </w:rPr>
                      <m:t>h</m:t>
                    </m:r>
                  </m:e>
                  <m:sub>
                    <m:r>
                      <w:rPr>
                        <w:rFonts w:ascii="Cambria Math" w:hAnsi="Cambria Math"/>
                      </w:rPr>
                      <m:t>i</m:t>
                    </m:r>
                  </m:sub>
                </m:sSub>
              </m:oMath>
            </m:oMathPara>
          </w:p>
        </w:tc>
        <w:tc>
          <w:tcPr>
            <w:tcW w:w="1052" w:type="dxa"/>
          </w:tcPr>
          <w:p w14:paraId="41CBD9D9" w14:textId="77777777" w:rsidR="00DB7BD6" w:rsidRPr="003A69B5" w:rsidRDefault="00DB7BD6" w:rsidP="00DB7BD6">
            <w:pPr>
              <w:jc w:val="center"/>
            </w:pPr>
            <w:r>
              <w:t>U</w:t>
            </w:r>
          </w:p>
        </w:tc>
        <w:tc>
          <w:tcPr>
            <w:tcW w:w="3205" w:type="dxa"/>
          </w:tcPr>
          <w:p w14:paraId="4471359F" w14:textId="77777777" w:rsidR="00DB7BD6" w:rsidRPr="003A69B5" w:rsidRDefault="00DB7BD6" w:rsidP="00DB7BD6">
            <w:pPr>
              <w:jc w:val="center"/>
            </w:pPr>
            <w:proofErr w:type="spellStart"/>
            <w:r>
              <w:t>Eqn</w:t>
            </w:r>
            <w:proofErr w:type="spellEnd"/>
            <w:r>
              <w:t xml:space="preserve"> 13.5</w:t>
            </w:r>
          </w:p>
        </w:tc>
      </w:tr>
      <w:tr w:rsidR="00DB7BD6" w14:paraId="3D54580F" w14:textId="77777777" w:rsidTr="00DB7BD6">
        <w:trPr>
          <w:jc w:val="center"/>
        </w:trPr>
        <w:tc>
          <w:tcPr>
            <w:tcW w:w="1126" w:type="dxa"/>
          </w:tcPr>
          <w:p w14:paraId="4256DC14" w14:textId="77777777" w:rsidR="00DB7BD6" w:rsidRPr="003A69B5" w:rsidRDefault="00DB7BD6" w:rsidP="00DB7BD6">
            <w:pPr>
              <w:jc w:val="center"/>
              <w:rPr>
                <w:color w:val="404040" w:themeColor="text1" w:themeTint="BF"/>
              </w:rPr>
            </w:pPr>
            <w:r w:rsidRPr="003A69B5">
              <w:rPr>
                <w:color w:val="404040" w:themeColor="text1" w:themeTint="BF"/>
              </w:rPr>
              <w:t>13.28</w:t>
            </w:r>
          </w:p>
        </w:tc>
        <w:tc>
          <w:tcPr>
            <w:tcW w:w="2516" w:type="dxa"/>
          </w:tcPr>
          <w:p w14:paraId="1945C33C" w14:textId="77777777" w:rsidR="00DB7BD6" w:rsidRPr="003A69B5" w:rsidRDefault="00DB7BD6" w:rsidP="00DB7BD6">
            <w:pPr>
              <w:jc w:val="center"/>
              <w:rPr>
                <w:b/>
                <w:color w:val="404040" w:themeColor="text1" w:themeTint="BF"/>
              </w:rPr>
            </w:pPr>
            <m:oMathPara>
              <m:oMath>
                <m:sSub>
                  <m:sSubPr>
                    <m:ctrlPr>
                      <w:rPr>
                        <w:rFonts w:ascii="Cambria Math" w:hAnsi="Cambria Math"/>
                        <w:b/>
                        <w:i/>
                        <w:color w:val="404040" w:themeColor="text1" w:themeTint="BF"/>
                      </w:rPr>
                    </m:ctrlPr>
                  </m:sSubPr>
                  <m:e>
                    <m:r>
                      <m:rPr>
                        <m:sty m:val="bi"/>
                      </m:rPr>
                      <w:rPr>
                        <w:rFonts w:ascii="Cambria Math" w:hAnsi="Cambria Math"/>
                        <w:color w:val="404040" w:themeColor="text1" w:themeTint="BF"/>
                      </w:rPr>
                      <m:t>v</m:t>
                    </m:r>
                  </m:e>
                  <m:sub>
                    <m:r>
                      <m:rPr>
                        <m:sty m:val="bi"/>
                      </m:rPr>
                      <w:rPr>
                        <w:rFonts w:ascii="Cambria Math" w:hAnsi="Cambria Math"/>
                        <w:color w:val="404040" w:themeColor="text1" w:themeTint="BF"/>
                      </w:rPr>
                      <m:t>tu</m:t>
                    </m:r>
                  </m:sub>
                </m:sSub>
                <m:r>
                  <w:rPr>
                    <w:rFonts w:ascii="Cambria Math" w:hAnsi="Cambria Math"/>
                    <w:color w:val="404040" w:themeColor="text1" w:themeTint="BF"/>
                  </w:rPr>
                  <m:t>,</m:t>
                </m:r>
                <m:sSub>
                  <m:sSubPr>
                    <m:ctrlPr>
                      <w:rPr>
                        <w:rFonts w:ascii="Cambria Math" w:hAnsi="Cambria Math"/>
                        <w:i/>
                        <w:color w:val="404040" w:themeColor="text1" w:themeTint="BF"/>
                      </w:rPr>
                    </m:ctrlPr>
                  </m:sSubPr>
                  <m:e>
                    <m:r>
                      <w:rPr>
                        <w:rFonts w:ascii="Cambria Math" w:hAnsi="Cambria Math"/>
                        <w:color w:val="404040" w:themeColor="text1" w:themeTint="BF"/>
                      </w:rPr>
                      <m:t>N</m:t>
                    </m:r>
                  </m:e>
                  <m:sub>
                    <m:r>
                      <w:rPr>
                        <w:rFonts w:ascii="Cambria Math" w:hAnsi="Cambria Math"/>
                        <w:color w:val="404040" w:themeColor="text1" w:themeTint="BF"/>
                      </w:rPr>
                      <m:t>pass</m:t>
                    </m:r>
                  </m:sub>
                </m:sSub>
                <m:r>
                  <w:rPr>
                    <w:rFonts w:ascii="Cambria Math" w:hAnsi="Cambria Math"/>
                    <w:color w:val="404040" w:themeColor="text1" w:themeTint="BF"/>
                  </w:rPr>
                  <m:t>,</m:t>
                </m:r>
                <m:sSub>
                  <m:sSubPr>
                    <m:ctrlPr>
                      <w:rPr>
                        <w:rFonts w:ascii="Cambria Math" w:hAnsi="Cambria Math"/>
                        <w:i/>
                        <w:color w:val="404040" w:themeColor="text1" w:themeTint="BF"/>
                      </w:rPr>
                    </m:ctrlPr>
                  </m:sSubPr>
                  <m:e>
                    <m:r>
                      <w:rPr>
                        <w:rFonts w:ascii="Cambria Math" w:hAnsi="Cambria Math"/>
                        <w:color w:val="404040" w:themeColor="text1" w:themeTint="BF"/>
                      </w:rPr>
                      <m:t>j</m:t>
                    </m:r>
                  </m:e>
                  <m:sub>
                    <m:r>
                      <w:rPr>
                        <w:rFonts w:ascii="Cambria Math" w:hAnsi="Cambria Math"/>
                        <w:color w:val="404040" w:themeColor="text1" w:themeTint="BF"/>
                      </w:rPr>
                      <m:t>tu</m:t>
                    </m:r>
                  </m:sub>
                </m:sSub>
                <m:r>
                  <w:rPr>
                    <w:rFonts w:ascii="Cambria Math" w:hAnsi="Cambria Math"/>
                    <w:color w:val="404040" w:themeColor="text1" w:themeTint="BF"/>
                  </w:rPr>
                  <m:t>,L,</m:t>
                </m:r>
                <m:sSub>
                  <m:sSubPr>
                    <m:ctrlPr>
                      <w:rPr>
                        <w:rFonts w:ascii="Cambria Math" w:hAnsi="Cambria Math"/>
                        <w:i/>
                        <w:color w:val="404040" w:themeColor="text1" w:themeTint="BF"/>
                      </w:rPr>
                    </m:ctrlPr>
                  </m:sSubPr>
                  <m:e>
                    <m:r>
                      <w:rPr>
                        <w:rFonts w:ascii="Cambria Math" w:hAnsi="Cambria Math"/>
                        <w:color w:val="404040" w:themeColor="text1" w:themeTint="BF"/>
                      </w:rPr>
                      <m:t>D</m:t>
                    </m:r>
                  </m:e>
                  <m:sub>
                    <m:r>
                      <w:rPr>
                        <w:rFonts w:ascii="Cambria Math" w:hAnsi="Cambria Math"/>
                        <w:color w:val="404040" w:themeColor="text1" w:themeTint="BF"/>
                      </w:rPr>
                      <m:t>i,</m:t>
                    </m:r>
                  </m:sub>
                </m:sSub>
                <m:sSub>
                  <m:sSubPr>
                    <m:ctrlPr>
                      <w:rPr>
                        <w:rFonts w:ascii="Cambria Math" w:hAnsi="Cambria Math"/>
                        <w:i/>
                        <w:color w:val="404040" w:themeColor="text1" w:themeTint="BF"/>
                      </w:rPr>
                    </m:ctrlPr>
                  </m:sSubPr>
                  <m:e>
                    <m:r>
                      <w:rPr>
                        <w:rFonts w:ascii="Cambria Math" w:hAnsi="Cambria Math"/>
                        <w:color w:val="404040" w:themeColor="text1" w:themeTint="BF"/>
                      </w:rPr>
                      <m:t>ρ</m:t>
                    </m:r>
                  </m:e>
                  <m:sub>
                    <m:r>
                      <w:rPr>
                        <w:rFonts w:ascii="Cambria Math" w:hAnsi="Cambria Math"/>
                        <w:color w:val="404040" w:themeColor="text1" w:themeTint="BF"/>
                      </w:rPr>
                      <m:t>tu</m:t>
                    </m:r>
                  </m:sub>
                </m:sSub>
              </m:oMath>
            </m:oMathPara>
          </w:p>
        </w:tc>
        <w:tc>
          <w:tcPr>
            <w:tcW w:w="1052" w:type="dxa"/>
          </w:tcPr>
          <w:p w14:paraId="245F91B7" w14:textId="77777777" w:rsidR="00DB7BD6" w:rsidRPr="003A69B5" w:rsidRDefault="00DB7BD6" w:rsidP="00DB7BD6">
            <w:pPr>
              <w:jc w:val="center"/>
              <w:rPr>
                <w:color w:val="404040" w:themeColor="text1" w:themeTint="BF"/>
              </w:rPr>
            </w:pPr>
            <m:oMathPara>
              <m:oMath>
                <m:sSub>
                  <m:sSubPr>
                    <m:ctrlPr>
                      <w:rPr>
                        <w:rFonts w:ascii="Cambria Math" w:hAnsi="Cambria Math"/>
                        <w:i/>
                        <w:color w:val="404040" w:themeColor="text1" w:themeTint="BF"/>
                      </w:rPr>
                    </m:ctrlPr>
                  </m:sSubPr>
                  <m:e>
                    <m:r>
                      <w:rPr>
                        <w:rFonts w:ascii="Cambria Math" w:hAnsi="Cambria Math"/>
                        <w:color w:val="404040" w:themeColor="text1" w:themeTint="BF"/>
                      </w:rPr>
                      <m:t>∆P</m:t>
                    </m:r>
                  </m:e>
                  <m:sub>
                    <m:r>
                      <w:rPr>
                        <w:rFonts w:ascii="Cambria Math" w:hAnsi="Cambria Math"/>
                        <w:color w:val="404040" w:themeColor="text1" w:themeTint="BF"/>
                      </w:rPr>
                      <m:t>tu</m:t>
                    </m:r>
                  </m:sub>
                </m:sSub>
              </m:oMath>
            </m:oMathPara>
          </w:p>
        </w:tc>
        <w:tc>
          <w:tcPr>
            <w:tcW w:w="3205" w:type="dxa"/>
          </w:tcPr>
          <w:p w14:paraId="0165E6D0" w14:textId="77777777" w:rsidR="00DB7BD6" w:rsidRDefault="00DB7BD6" w:rsidP="00DB7BD6">
            <w:pPr>
              <w:jc w:val="center"/>
            </w:pPr>
            <w:r>
              <w:t xml:space="preserve"> </w:t>
            </w:r>
          </w:p>
        </w:tc>
      </w:tr>
      <w:tr w:rsidR="00DB7BD6" w14:paraId="1427007C" w14:textId="77777777" w:rsidTr="00DB7BD6">
        <w:trPr>
          <w:jc w:val="center"/>
        </w:trPr>
        <w:tc>
          <w:tcPr>
            <w:tcW w:w="1126" w:type="dxa"/>
          </w:tcPr>
          <w:p w14:paraId="67C30E84" w14:textId="77777777" w:rsidR="00DB7BD6" w:rsidRPr="003A69B5" w:rsidRDefault="00DB7BD6" w:rsidP="00DB7BD6">
            <w:pPr>
              <w:jc w:val="center"/>
              <w:rPr>
                <w:color w:val="404040" w:themeColor="text1" w:themeTint="BF"/>
              </w:rPr>
            </w:pPr>
            <w:r w:rsidRPr="003A69B5">
              <w:rPr>
                <w:color w:val="404040" w:themeColor="text1" w:themeTint="BF"/>
              </w:rPr>
              <w:t>13.29</w:t>
            </w:r>
          </w:p>
        </w:tc>
        <w:tc>
          <w:tcPr>
            <w:tcW w:w="2516" w:type="dxa"/>
          </w:tcPr>
          <w:p w14:paraId="4110C5CE" w14:textId="77777777" w:rsidR="00DB7BD6" w:rsidRPr="003A69B5" w:rsidRDefault="00DB7BD6" w:rsidP="00DB7BD6">
            <w:pPr>
              <w:jc w:val="center"/>
              <w:rPr>
                <w:color w:val="404040" w:themeColor="text1" w:themeTint="BF"/>
              </w:rPr>
            </w:pPr>
            <m:oMathPara>
              <m:oMath>
                <m:sSub>
                  <m:sSubPr>
                    <m:ctrlPr>
                      <w:rPr>
                        <w:rFonts w:ascii="Cambria Math" w:hAnsi="Cambria Math"/>
                        <w:b/>
                        <w:i/>
                        <w:color w:val="404040" w:themeColor="text1" w:themeTint="BF"/>
                      </w:rPr>
                    </m:ctrlPr>
                  </m:sSubPr>
                  <m:e>
                    <m:r>
                      <m:rPr>
                        <m:sty m:val="bi"/>
                      </m:rPr>
                      <w:rPr>
                        <w:rFonts w:ascii="Cambria Math" w:hAnsi="Cambria Math"/>
                        <w:color w:val="404040" w:themeColor="text1" w:themeTint="BF"/>
                      </w:rPr>
                      <m:t>D</m:t>
                    </m:r>
                  </m:e>
                  <m:sub>
                    <m:r>
                      <m:rPr>
                        <m:sty m:val="bi"/>
                      </m:rPr>
                      <w:rPr>
                        <w:rFonts w:ascii="Cambria Math" w:hAnsi="Cambria Math"/>
                        <w:color w:val="404040" w:themeColor="text1" w:themeTint="BF"/>
                      </w:rPr>
                      <m:t>s</m:t>
                    </m:r>
                  </m:sub>
                </m:sSub>
                <m:r>
                  <w:rPr>
                    <w:rFonts w:ascii="Cambria Math" w:hAnsi="Cambria Math"/>
                    <w:color w:val="404040" w:themeColor="text1" w:themeTint="BF"/>
                  </w:rPr>
                  <m:t>,</m:t>
                </m:r>
                <m:sSub>
                  <m:sSubPr>
                    <m:ctrlPr>
                      <w:rPr>
                        <w:rFonts w:ascii="Cambria Math" w:hAnsi="Cambria Math"/>
                        <w:b/>
                        <w:i/>
                        <w:color w:val="404040" w:themeColor="text1" w:themeTint="BF"/>
                      </w:rPr>
                    </m:ctrlPr>
                  </m:sSubPr>
                  <m:e>
                    <m:r>
                      <m:rPr>
                        <m:sty m:val="bi"/>
                      </m:rPr>
                      <w:rPr>
                        <w:rFonts w:ascii="Cambria Math" w:hAnsi="Cambria Math"/>
                        <w:color w:val="404040" w:themeColor="text1" w:themeTint="BF"/>
                      </w:rPr>
                      <m:t>G</m:t>
                    </m:r>
                  </m:e>
                  <m:sub>
                    <m:r>
                      <m:rPr>
                        <m:sty m:val="bi"/>
                      </m:rPr>
                      <w:rPr>
                        <w:rFonts w:ascii="Cambria Math" w:hAnsi="Cambria Math"/>
                        <w:color w:val="404040" w:themeColor="text1" w:themeTint="BF"/>
                      </w:rPr>
                      <m:t>s</m:t>
                    </m:r>
                  </m:sub>
                </m:sSub>
                <m:r>
                  <m:rPr>
                    <m:sty m:val="bi"/>
                  </m:rPr>
                  <w:rPr>
                    <w:rFonts w:ascii="Cambria Math" w:hAnsi="Cambria Math"/>
                    <w:color w:val="404040" w:themeColor="text1" w:themeTint="BF"/>
                  </w:rPr>
                  <m:t>,</m:t>
                </m:r>
                <m:sSub>
                  <m:sSubPr>
                    <m:ctrlPr>
                      <w:rPr>
                        <w:rFonts w:ascii="Cambria Math" w:hAnsi="Cambria Math"/>
                        <w:b/>
                        <w:i/>
                        <w:color w:val="404040" w:themeColor="text1" w:themeTint="BF"/>
                      </w:rPr>
                    </m:ctrlPr>
                  </m:sSubPr>
                  <m:e>
                    <m:sSub>
                      <m:sSubPr>
                        <m:ctrlPr>
                          <w:rPr>
                            <w:rFonts w:ascii="Cambria Math" w:hAnsi="Cambria Math"/>
                            <w:b/>
                            <w:i/>
                            <w:color w:val="404040" w:themeColor="text1" w:themeTint="BF"/>
                          </w:rPr>
                        </m:ctrlPr>
                      </m:sSubPr>
                      <m:e>
                        <m:r>
                          <m:rPr>
                            <m:sty m:val="bi"/>
                          </m:rPr>
                          <w:rPr>
                            <w:rFonts w:ascii="Cambria Math" w:hAnsi="Cambria Math"/>
                            <w:color w:val="404040" w:themeColor="text1" w:themeTint="BF"/>
                          </w:rPr>
                          <m:t>l</m:t>
                        </m:r>
                      </m:e>
                      <m:sub>
                        <m:r>
                          <m:rPr>
                            <m:sty m:val="bi"/>
                          </m:rPr>
                          <w:rPr>
                            <w:rFonts w:ascii="Cambria Math" w:hAnsi="Cambria Math"/>
                            <w:color w:val="404040" w:themeColor="text1" w:themeTint="BF"/>
                          </w:rPr>
                          <m:t>Ba</m:t>
                        </m:r>
                      </m:sub>
                    </m:sSub>
                    <m:r>
                      <m:rPr>
                        <m:sty m:val="bi"/>
                      </m:rPr>
                      <w:rPr>
                        <w:rFonts w:ascii="Cambria Math" w:hAnsi="Cambria Math"/>
                        <w:color w:val="404040" w:themeColor="text1" w:themeTint="BF"/>
                      </w:rPr>
                      <m:t>,D</m:t>
                    </m:r>
                  </m:e>
                  <m:sub>
                    <m:r>
                      <m:rPr>
                        <m:sty m:val="bi"/>
                      </m:rPr>
                      <w:rPr>
                        <w:rFonts w:ascii="Cambria Math" w:hAnsi="Cambria Math"/>
                        <w:color w:val="404040" w:themeColor="text1" w:themeTint="BF"/>
                      </w:rPr>
                      <m:t>e</m:t>
                    </m:r>
                  </m:sub>
                </m:sSub>
                <m:r>
                  <w:rPr>
                    <w:rFonts w:ascii="Cambria Math" w:hAnsi="Cambria Math"/>
                    <w:color w:val="404040" w:themeColor="text1" w:themeTint="BF"/>
                  </w:rPr>
                  <m:t>,</m:t>
                </m:r>
                <m:sSub>
                  <m:sSubPr>
                    <m:ctrlPr>
                      <w:rPr>
                        <w:rFonts w:ascii="Cambria Math" w:hAnsi="Cambria Math"/>
                        <w:i/>
                        <w:color w:val="404040" w:themeColor="text1" w:themeTint="BF"/>
                      </w:rPr>
                    </m:ctrlPr>
                  </m:sSubPr>
                  <m:e>
                    <m:r>
                      <w:rPr>
                        <w:rFonts w:ascii="Cambria Math" w:hAnsi="Cambria Math"/>
                        <w:color w:val="404040" w:themeColor="text1" w:themeTint="BF"/>
                      </w:rPr>
                      <m:t>j</m:t>
                    </m:r>
                  </m:e>
                  <m:sub>
                    <m:r>
                      <w:rPr>
                        <w:rFonts w:ascii="Cambria Math" w:hAnsi="Cambria Math"/>
                        <w:color w:val="404040" w:themeColor="text1" w:themeTint="BF"/>
                      </w:rPr>
                      <m:t>f,s</m:t>
                    </m:r>
                  </m:sub>
                </m:sSub>
                <m:r>
                  <w:rPr>
                    <w:rFonts w:ascii="Cambria Math" w:hAnsi="Cambria Math"/>
                    <w:color w:val="404040" w:themeColor="text1" w:themeTint="BF"/>
                  </w:rPr>
                  <m:t>,L,</m:t>
                </m:r>
                <m:sSub>
                  <m:sSubPr>
                    <m:ctrlPr>
                      <w:rPr>
                        <w:rFonts w:ascii="Cambria Math" w:hAnsi="Cambria Math"/>
                        <w:i/>
                        <w:color w:val="404040" w:themeColor="text1" w:themeTint="BF"/>
                      </w:rPr>
                    </m:ctrlPr>
                  </m:sSubPr>
                  <m:e>
                    <m:r>
                      <w:rPr>
                        <w:rFonts w:ascii="Cambria Math" w:hAnsi="Cambria Math"/>
                        <w:color w:val="404040" w:themeColor="text1" w:themeTint="BF"/>
                      </w:rPr>
                      <m:t>ρ</m:t>
                    </m:r>
                  </m:e>
                  <m:sub>
                    <m:r>
                      <w:rPr>
                        <w:rFonts w:ascii="Cambria Math" w:hAnsi="Cambria Math"/>
                        <w:color w:val="404040" w:themeColor="text1" w:themeTint="BF"/>
                      </w:rPr>
                      <m:t>s</m:t>
                    </m:r>
                  </m:sub>
                </m:sSub>
              </m:oMath>
            </m:oMathPara>
          </w:p>
        </w:tc>
        <w:tc>
          <w:tcPr>
            <w:tcW w:w="1052" w:type="dxa"/>
          </w:tcPr>
          <w:p w14:paraId="3B81403C" w14:textId="77777777" w:rsidR="00DB7BD6" w:rsidRPr="003A69B5" w:rsidRDefault="00DB7BD6" w:rsidP="00DB7BD6">
            <w:pPr>
              <w:jc w:val="center"/>
              <w:rPr>
                <w:color w:val="404040" w:themeColor="text1" w:themeTint="BF"/>
              </w:rPr>
            </w:pPr>
            <m:oMathPara>
              <m:oMath>
                <m:sSub>
                  <m:sSubPr>
                    <m:ctrlPr>
                      <w:rPr>
                        <w:rFonts w:ascii="Cambria Math" w:hAnsi="Cambria Math"/>
                        <w:i/>
                        <w:color w:val="404040" w:themeColor="text1" w:themeTint="BF"/>
                      </w:rPr>
                    </m:ctrlPr>
                  </m:sSubPr>
                  <m:e>
                    <m:r>
                      <w:rPr>
                        <w:rFonts w:ascii="Cambria Math" w:hAnsi="Cambria Math"/>
                        <w:color w:val="404040" w:themeColor="text1" w:themeTint="BF"/>
                      </w:rPr>
                      <m:t>∆P</m:t>
                    </m:r>
                  </m:e>
                  <m:sub>
                    <m:r>
                      <w:rPr>
                        <w:rFonts w:ascii="Cambria Math" w:hAnsi="Cambria Math"/>
                        <w:color w:val="404040" w:themeColor="text1" w:themeTint="BF"/>
                      </w:rPr>
                      <m:t>s</m:t>
                    </m:r>
                  </m:sub>
                </m:sSub>
              </m:oMath>
            </m:oMathPara>
          </w:p>
        </w:tc>
        <w:tc>
          <w:tcPr>
            <w:tcW w:w="3205" w:type="dxa"/>
          </w:tcPr>
          <w:p w14:paraId="688A13D0" w14:textId="77777777" w:rsidR="00DB7BD6" w:rsidRDefault="00DB7BD6" w:rsidP="00DB7BD6">
            <w:pPr>
              <w:jc w:val="center"/>
            </w:pPr>
          </w:p>
        </w:tc>
      </w:tr>
    </w:tbl>
    <w:p w14:paraId="4F05CAB9" w14:textId="77777777" w:rsidR="00DB7BD6" w:rsidRDefault="00DB7BD6" w:rsidP="00A7521D"/>
    <w:p w14:paraId="59CBC5C8" w14:textId="77777777" w:rsidR="00A7521D" w:rsidRDefault="00A7521D" w:rsidP="00A7521D">
      <w:pPr>
        <w:pStyle w:val="Heading2"/>
      </w:pPr>
      <w:bookmarkStart w:id="1038" w:name="_Toc525230058"/>
      <w:bookmarkStart w:id="1039" w:name="_Ref531344071"/>
      <w:bookmarkStart w:id="1040" w:name="_Toc7187606"/>
      <w:r>
        <w:t>Plate Heat Exchanger Equations</w:t>
      </w:r>
      <w:bookmarkEnd w:id="1038"/>
      <w:bookmarkEnd w:id="1039"/>
      <w:bookmarkEnd w:id="1040"/>
    </w:p>
    <w:p w14:paraId="796F61B2" w14:textId="4DA9B4EF" w:rsidR="00A7521D" w:rsidRDefault="00A7521D" w:rsidP="00A7521D">
      <w:r>
        <w:t xml:space="preserve">The equations used in the modelling of the HEX-P, as calculated in section </w:t>
      </w:r>
      <w:r w:rsidR="00D82F1A">
        <w:fldChar w:fldCharType="begin"/>
      </w:r>
      <w:r w:rsidR="00D82F1A">
        <w:instrText xml:space="preserve"> REF _Ref531345402 \n \h </w:instrText>
      </w:r>
      <w:r w:rsidR="00D82F1A">
        <w:fldChar w:fldCharType="separate"/>
      </w:r>
      <w:r w:rsidR="00CB7456">
        <w:t>5.1.1.4</w:t>
      </w:r>
      <w:r w:rsidR="00D82F1A">
        <w:fldChar w:fldCharType="end"/>
      </w:r>
      <w:r>
        <w:t xml:space="preserve">, are shown below. All equations came from Coulson and Richardson's Chemical Engineering Volume 6 - </w:t>
      </w:r>
      <w:r>
        <w:lastRenderedPageBreak/>
        <w:t xml:space="preserve">Chemical Engineering Design </w:t>
      </w:r>
      <w:r>
        <w:fldChar w:fldCharType="begin" w:fldLock="1"/>
      </w:r>
      <w:r w:rsidR="002A6A73">
        <w:instrText>ADDIN CSL_CITATION {"citationItems":[{"id":"ITEM-1","itemData":{"ISBN":"978-0-7506-6538-4","author":[{"dropping-particle":"","family":"Sinnott","given":"R.K.","non-dropping-particle":"","parse-names":false,"suffix":""}],"edition":"4","id":"ITEM-1","issued":{"date-parts":[["2005"]]},"number-of-pages":"60 - 132","publisher":"Elsevier","publisher-place":"Oxford, England","title":"Coulson and Richardson's Chemical Engineering Volume 6 - Chemical Engineering Design","type":"book"},"uris":["http://www.mendeley.com/documents/?uuid=8e00b24b-1ea1-4b70-9865-3b5bcae659ed"]}],"mendeley":{"formattedCitation":"(Sinnott, 2005b)","plainTextFormattedCitation":"(Sinnott, 2005b)","previouslyFormattedCitation":"(Sinnott, 2005b)"},"properties":{"noteIndex":0},"schema":"https://github.com/citation-style-language/schema/raw/master/csl-citation.json"}</w:instrText>
      </w:r>
      <w:r>
        <w:fldChar w:fldCharType="separate"/>
      </w:r>
      <w:r w:rsidR="002A6A73" w:rsidRPr="002A6A73">
        <w:rPr>
          <w:noProof/>
        </w:rPr>
        <w:t>(Sinnott, 2005b)</w:t>
      </w:r>
      <w:r>
        <w:fldChar w:fldCharType="end"/>
      </w:r>
      <w:r>
        <w:t>.</w:t>
      </w:r>
      <w:r w:rsidRPr="0033078D">
        <w:t xml:space="preserve"> </w:t>
      </w:r>
      <w:r>
        <w:t xml:space="preserve">The modelling process used Equation </w:t>
      </w:r>
      <w:r>
        <w:fldChar w:fldCharType="begin"/>
      </w:r>
      <w:r>
        <w:instrText xml:space="preserve"> REF _Ref531104888 \h </w:instrText>
      </w:r>
      <w:r>
        <w:fldChar w:fldCharType="separate"/>
      </w:r>
      <w:r w:rsidR="00CB7456">
        <w:rPr>
          <w:noProof/>
        </w:rPr>
        <w:t>13</w:t>
      </w:r>
      <w:r w:rsidR="00CB7456">
        <w:t>.</w:t>
      </w:r>
      <w:r w:rsidR="00CB7456">
        <w:rPr>
          <w:noProof/>
        </w:rPr>
        <w:t>1</w:t>
      </w:r>
      <w:r>
        <w:fldChar w:fldCharType="end"/>
      </w:r>
      <w:r>
        <w:t xml:space="preserve"> to Equation </w:t>
      </w:r>
      <w:r>
        <w:fldChar w:fldCharType="begin"/>
      </w:r>
      <w:r>
        <w:instrText xml:space="preserve"> REF _Ref531105153 \h </w:instrText>
      </w:r>
      <w:r>
        <w:fldChar w:fldCharType="separate"/>
      </w:r>
      <w:r w:rsidR="00CB7456">
        <w:rPr>
          <w:noProof/>
        </w:rPr>
        <w:t>13</w:t>
      </w:r>
      <w:r w:rsidR="00CB7456">
        <w:t>.</w:t>
      </w:r>
      <w:r w:rsidR="00CB7456">
        <w:rPr>
          <w:noProof/>
        </w:rPr>
        <w:t>4</w:t>
      </w:r>
      <w:r>
        <w:fldChar w:fldCharType="end"/>
      </w:r>
      <w:r>
        <w:t xml:space="preserve"> from the HEX-DP.</w:t>
      </w:r>
    </w:p>
    <w:p w14:paraId="1E5BA93B" w14:textId="33A0FBD8" w:rsidR="0075079C" w:rsidRDefault="0075079C" w:rsidP="00A7521D">
      <w:r>
        <w:t>The modelling of a HEX-P differed from the modelling of the HEX-DP with the equation for the number of transfer units.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37"/>
        <w:gridCol w:w="239"/>
        <w:gridCol w:w="822"/>
      </w:tblGrid>
      <w:tr w:rsidR="00A7521D" w14:paraId="6A25454E" w14:textId="77777777" w:rsidTr="00A7521D">
        <w:tc>
          <w:tcPr>
            <w:tcW w:w="7137" w:type="dxa"/>
            <w:hideMark/>
          </w:tcPr>
          <w:p w14:paraId="4103D3EA" w14:textId="7168560D" w:rsidR="00A7521D" w:rsidRDefault="00C73E04" w:rsidP="00A7521D">
            <w:pPr>
              <w:keepNext/>
              <w:rPr>
                <w:color w:val="FFFFFF"/>
              </w:rPr>
            </w:pPr>
            <m:oMathPara>
              <m:oMathParaPr>
                <m:jc m:val="left"/>
              </m:oMathParaPr>
              <m:oMath>
                <m:sSub>
                  <m:sSubPr>
                    <m:ctrlPr>
                      <w:rPr>
                        <w:rFonts w:ascii="Cambria Math" w:hAnsi="Cambria Math"/>
                        <w:i/>
                        <w:iCs/>
                      </w:rPr>
                    </m:ctrlPr>
                  </m:sSubPr>
                  <m:e>
                    <m:r>
                      <w:rPr>
                        <w:rFonts w:ascii="Cambria Math" w:hAnsi="Cambria Math"/>
                      </w:rPr>
                      <m:t>N</m:t>
                    </m:r>
                  </m:e>
                  <m:sub>
                    <m:r>
                      <w:rPr>
                        <w:rFonts w:ascii="Cambria Math" w:hAnsi="Cambria Math"/>
                      </w:rPr>
                      <m:t>TU</m:t>
                    </m:r>
                  </m:sub>
                </m:sSub>
                <m:r>
                  <w:rPr>
                    <w:rFonts w:ascii="Cambria Math" w:hAnsi="Cambria Math"/>
                  </w:rPr>
                  <m:t>=</m:t>
                </m:r>
                <m:f>
                  <m:fPr>
                    <m:ctrlPr>
                      <w:rPr>
                        <w:rFonts w:ascii="Cambria Math" w:hAnsi="Cambria Math"/>
                        <w:i/>
                        <w:iCs/>
                      </w:rPr>
                    </m:ctrlPr>
                  </m:fPr>
                  <m:num>
                    <m:d>
                      <m:dPr>
                        <m:ctrlPr>
                          <w:rPr>
                            <w:rFonts w:ascii="Cambria Math" w:hAnsi="Cambria Math"/>
                            <w:i/>
                            <w:iCs/>
                          </w:rPr>
                        </m:ctrlPr>
                      </m:dPr>
                      <m:e>
                        <m:sSub>
                          <m:sSubPr>
                            <m:ctrlPr>
                              <w:rPr>
                                <w:rFonts w:ascii="Cambria Math" w:hAnsi="Cambria Math"/>
                                <w:i/>
                                <w:iCs/>
                              </w:rPr>
                            </m:ctrlPr>
                          </m:sSubPr>
                          <m:e>
                            <m:r>
                              <w:rPr>
                                <w:rFonts w:ascii="Cambria Math" w:hAnsi="Cambria Math"/>
                              </w:rPr>
                              <m:t>T</m:t>
                            </m:r>
                          </m:e>
                          <m:sub>
                            <m:r>
                              <w:rPr>
                                <w:rFonts w:ascii="Cambria Math" w:hAnsi="Cambria Math"/>
                              </w:rPr>
                              <m:t>1</m:t>
                            </m:r>
                          </m:sub>
                        </m:sSub>
                        <m:r>
                          <w:rPr>
                            <w:rFonts w:ascii="Cambria Math" w:hAnsi="Cambria Math"/>
                          </w:rPr>
                          <m:t>-</m:t>
                        </m:r>
                        <m:sSub>
                          <m:sSubPr>
                            <m:ctrlPr>
                              <w:rPr>
                                <w:rFonts w:ascii="Cambria Math" w:hAnsi="Cambria Math"/>
                                <w:i/>
                                <w:iCs/>
                              </w:rPr>
                            </m:ctrlPr>
                          </m:sSubPr>
                          <m:e>
                            <m:r>
                              <w:rPr>
                                <w:rFonts w:ascii="Cambria Math" w:hAnsi="Cambria Math"/>
                              </w:rPr>
                              <m:t>T</m:t>
                            </m:r>
                          </m:e>
                          <m:sub>
                            <m:r>
                              <w:rPr>
                                <w:rFonts w:ascii="Cambria Math" w:hAnsi="Cambria Math"/>
                              </w:rPr>
                              <m:t>2</m:t>
                            </m:r>
                          </m:sub>
                        </m:sSub>
                      </m:e>
                    </m:d>
                  </m:num>
                  <m:den>
                    <m:r>
                      <w:rPr>
                        <w:rFonts w:ascii="Cambria Math" w:hAnsi="Cambria Math"/>
                      </w:rPr>
                      <m:t>∆</m:t>
                    </m:r>
                    <m:sSub>
                      <m:sSubPr>
                        <m:ctrlPr>
                          <w:rPr>
                            <w:rFonts w:ascii="Cambria Math" w:hAnsi="Cambria Math"/>
                            <w:i/>
                            <w:iCs/>
                          </w:rPr>
                        </m:ctrlPr>
                      </m:sSubPr>
                      <m:e>
                        <m:r>
                          <w:rPr>
                            <w:rFonts w:ascii="Cambria Math" w:hAnsi="Cambria Math"/>
                          </w:rPr>
                          <m:t>T</m:t>
                        </m:r>
                      </m:e>
                      <m:sub>
                        <m:r>
                          <w:rPr>
                            <w:rFonts w:ascii="Cambria Math" w:hAnsi="Cambria Math"/>
                          </w:rPr>
                          <m:t>lm</m:t>
                        </m:r>
                      </m:sub>
                    </m:sSub>
                  </m:den>
                </m:f>
              </m:oMath>
            </m:oMathPara>
          </w:p>
        </w:tc>
        <w:tc>
          <w:tcPr>
            <w:tcW w:w="239" w:type="dxa"/>
            <w:vAlign w:val="center"/>
            <w:hideMark/>
          </w:tcPr>
          <w:p w14:paraId="4AE5815D" w14:textId="77777777" w:rsidR="00A7521D" w:rsidRDefault="00A7521D" w:rsidP="00A7521D">
            <w:pPr>
              <w:pStyle w:val="Caption"/>
              <w:jc w:val="right"/>
            </w:pPr>
          </w:p>
        </w:tc>
        <w:tc>
          <w:tcPr>
            <w:tcW w:w="822" w:type="dxa"/>
            <w:vAlign w:val="center"/>
            <w:hideMark/>
          </w:tcPr>
          <w:p w14:paraId="61A09FF4" w14:textId="5D680E86" w:rsidR="00A7521D" w:rsidRDefault="00A7521D" w:rsidP="00A7521D">
            <w:pPr>
              <w:pStyle w:val="Caption"/>
              <w:jc w:val="right"/>
              <w:rPr>
                <w:b w:val="0"/>
              </w:rPr>
            </w:pPr>
            <w:r>
              <w:rPr>
                <w:noProof/>
              </w:rPr>
              <w:fldChar w:fldCharType="begin"/>
            </w:r>
            <w:r>
              <w:rPr>
                <w:noProof/>
              </w:rPr>
              <w:instrText xml:space="preserve"> STYLEREF 1 \s </w:instrText>
            </w:r>
            <w:r>
              <w:rPr>
                <w:noProof/>
              </w:rPr>
              <w:fldChar w:fldCharType="separate"/>
            </w:r>
            <w:r w:rsidR="00CB7456">
              <w:rPr>
                <w:noProof/>
              </w:rPr>
              <w:t>13</w:t>
            </w:r>
            <w:r>
              <w:rPr>
                <w:noProof/>
              </w:rPr>
              <w:fldChar w:fldCharType="end"/>
            </w:r>
            <w:r>
              <w:rPr>
                <w:noProof/>
              </w:rPr>
              <w:t>.</w:t>
            </w:r>
            <w:r>
              <w:rPr>
                <w:noProof/>
              </w:rPr>
              <w:fldChar w:fldCharType="begin"/>
            </w:r>
            <w:r>
              <w:rPr>
                <w:noProof/>
              </w:rPr>
              <w:instrText xml:space="preserve"> SEQ Equation \* ARABIC \s 1 </w:instrText>
            </w:r>
            <w:r>
              <w:rPr>
                <w:noProof/>
              </w:rPr>
              <w:fldChar w:fldCharType="separate"/>
            </w:r>
            <w:r w:rsidR="00CB7456">
              <w:rPr>
                <w:noProof/>
              </w:rPr>
              <w:t>35</w:t>
            </w:r>
            <w:r>
              <w:rPr>
                <w:noProof/>
              </w:rPr>
              <w:fldChar w:fldCharType="end"/>
            </w:r>
          </w:p>
        </w:tc>
      </w:tr>
    </w:tbl>
    <w:p w14:paraId="32E0B03B" w14:textId="77777777" w:rsidR="00A7521D" w:rsidRDefault="00A7521D" w:rsidP="00A7521D"/>
    <w:p w14:paraId="70D59AAD" w14:textId="41EA6F2E" w:rsidR="00A7521D" w:rsidRDefault="00C73E04" w:rsidP="00A7521D">
      <w:pPr>
        <w:rPr>
          <w:iCs/>
        </w:rPr>
      </w:pPr>
      <m:oMath>
        <m:sSub>
          <m:sSubPr>
            <m:ctrlPr>
              <w:rPr>
                <w:rFonts w:ascii="Cambria Math" w:hAnsi="Cambria Math"/>
                <w:i/>
                <w:iCs/>
              </w:rPr>
            </m:ctrlPr>
          </m:sSubPr>
          <m:e>
            <m:r>
              <w:rPr>
                <w:rFonts w:ascii="Cambria Math" w:hAnsi="Cambria Math"/>
              </w:rPr>
              <m:t>N</m:t>
            </m:r>
          </m:e>
          <m:sub>
            <m:r>
              <w:rPr>
                <w:rFonts w:ascii="Cambria Math" w:hAnsi="Cambria Math"/>
              </w:rPr>
              <m:t>TU</m:t>
            </m:r>
          </m:sub>
        </m:sSub>
      </m:oMath>
      <w:r w:rsidR="00A7521D">
        <w:rPr>
          <w:iCs/>
        </w:rPr>
        <w:t xml:space="preserve"> was the number of transfer units.</w:t>
      </w:r>
    </w:p>
    <w:p w14:paraId="59B7FCCB" w14:textId="48CEE6C8" w:rsidR="0075079C" w:rsidRDefault="0075079C" w:rsidP="00A7521D">
      <w:pPr>
        <w:rPr>
          <w:iCs/>
        </w:rPr>
      </w:pPr>
      <w:r>
        <w:rPr>
          <w:iCs/>
        </w:rPr>
        <w:t xml:space="preserve">The number of transfer units was dependent on the temperature difference of the hot stream and the logarithmic </w:t>
      </w:r>
      <w:r>
        <w:t>mean temperature difference.</w:t>
      </w:r>
    </w:p>
    <w:p w14:paraId="4D9BD77B" w14:textId="2804B6F7" w:rsidR="00A7521D" w:rsidRDefault="00A7521D" w:rsidP="00A7521D">
      <w:r>
        <w:t xml:space="preserve">Equation </w:t>
      </w:r>
      <w:r>
        <w:fldChar w:fldCharType="begin"/>
      </w:r>
      <w:r>
        <w:instrText xml:space="preserve"> REF _Ref531105227 \h </w:instrText>
      </w:r>
      <w:r>
        <w:fldChar w:fldCharType="separate"/>
      </w:r>
      <w:r w:rsidR="00CB7456">
        <w:rPr>
          <w:noProof/>
        </w:rPr>
        <w:t>13</w:t>
      </w:r>
      <w:r w:rsidR="00CB7456">
        <w:t>.</w:t>
      </w:r>
      <w:r w:rsidR="00CB7456">
        <w:rPr>
          <w:noProof/>
        </w:rPr>
        <w:t>5</w:t>
      </w:r>
      <w:r>
        <w:fldChar w:fldCharType="end"/>
      </w:r>
      <w:r>
        <w:t xml:space="preserve"> from the HEX-DP was used.</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37"/>
        <w:gridCol w:w="239"/>
        <w:gridCol w:w="822"/>
      </w:tblGrid>
      <w:tr w:rsidR="00A7521D" w14:paraId="3C9D0B31" w14:textId="77777777" w:rsidTr="00A7521D">
        <w:tc>
          <w:tcPr>
            <w:tcW w:w="7137" w:type="dxa"/>
            <w:hideMark/>
          </w:tcPr>
          <w:p w14:paraId="6EA6749B" w14:textId="77777777" w:rsidR="00A7521D" w:rsidRDefault="00C73E04" w:rsidP="00A7521D">
            <w:pPr>
              <w:keepNext/>
              <w:rPr>
                <w:color w:val="FFFFFF"/>
              </w:rPr>
            </w:pPr>
            <m:oMathPara>
              <m:oMathParaPr>
                <m:jc m:val="left"/>
              </m:oMathParaPr>
              <m:oMath>
                <m:sSub>
                  <m:sSubPr>
                    <m:ctrlPr>
                      <w:rPr>
                        <w:rFonts w:ascii="Cambria Math" w:hAnsi="Cambria Math"/>
                        <w:i/>
                        <w:iCs/>
                      </w:rPr>
                    </m:ctrlPr>
                  </m:sSubPr>
                  <m:e>
                    <m:r>
                      <w:rPr>
                        <w:rFonts w:ascii="Cambria Math" w:hAnsi="Cambria Math"/>
                      </w:rPr>
                      <m:t>N</m:t>
                    </m:r>
                  </m:e>
                  <m:sub>
                    <m:r>
                      <w:rPr>
                        <w:rFonts w:ascii="Cambria Math" w:hAnsi="Cambria Math"/>
                      </w:rPr>
                      <m:t>pl</m:t>
                    </m:r>
                  </m:sub>
                </m:sSub>
                <m:r>
                  <w:rPr>
                    <w:rFonts w:ascii="Cambria Math" w:hAnsi="Cambria Math"/>
                  </w:rPr>
                  <m:t>=</m:t>
                </m:r>
                <m:f>
                  <m:fPr>
                    <m:ctrlPr>
                      <w:rPr>
                        <w:rFonts w:ascii="Cambria Math" w:hAnsi="Cambria Math"/>
                        <w:i/>
                        <w:iCs/>
                      </w:rPr>
                    </m:ctrlPr>
                  </m:fPr>
                  <m:num>
                    <m:r>
                      <w:rPr>
                        <w:rFonts w:ascii="Cambria Math" w:hAnsi="Cambria Math"/>
                      </w:rPr>
                      <m:t>A</m:t>
                    </m:r>
                  </m:num>
                  <m:den>
                    <m:sSub>
                      <m:sSubPr>
                        <m:ctrlPr>
                          <w:rPr>
                            <w:rFonts w:ascii="Cambria Math" w:hAnsi="Cambria Math"/>
                            <w:i/>
                            <w:iCs/>
                          </w:rPr>
                        </m:ctrlPr>
                      </m:sSubPr>
                      <m:e>
                        <m:r>
                          <w:rPr>
                            <w:rFonts w:ascii="Cambria Math" w:hAnsi="Cambria Math"/>
                          </w:rPr>
                          <m:t>A</m:t>
                        </m:r>
                      </m:e>
                      <m:sub>
                        <m:r>
                          <w:rPr>
                            <w:rFonts w:ascii="Cambria Math" w:hAnsi="Cambria Math"/>
                          </w:rPr>
                          <m:t>pl</m:t>
                        </m:r>
                      </m:sub>
                    </m:sSub>
                  </m:den>
                </m:f>
              </m:oMath>
            </m:oMathPara>
          </w:p>
        </w:tc>
        <w:tc>
          <w:tcPr>
            <w:tcW w:w="239" w:type="dxa"/>
            <w:vAlign w:val="center"/>
            <w:hideMark/>
          </w:tcPr>
          <w:p w14:paraId="02D43FDF" w14:textId="77777777" w:rsidR="00A7521D" w:rsidRDefault="00A7521D" w:rsidP="00A7521D">
            <w:pPr>
              <w:pStyle w:val="Caption"/>
              <w:jc w:val="right"/>
            </w:pPr>
          </w:p>
        </w:tc>
        <w:tc>
          <w:tcPr>
            <w:tcW w:w="822" w:type="dxa"/>
            <w:vAlign w:val="center"/>
            <w:hideMark/>
          </w:tcPr>
          <w:p w14:paraId="23A2EE4F" w14:textId="4D5CD9D0" w:rsidR="00A7521D" w:rsidRDefault="00A7521D" w:rsidP="00A7521D">
            <w:pPr>
              <w:pStyle w:val="Caption"/>
              <w:jc w:val="right"/>
              <w:rPr>
                <w:b w:val="0"/>
              </w:rPr>
            </w:pPr>
            <w:r>
              <w:rPr>
                <w:noProof/>
              </w:rPr>
              <w:fldChar w:fldCharType="begin"/>
            </w:r>
            <w:r>
              <w:rPr>
                <w:noProof/>
              </w:rPr>
              <w:instrText xml:space="preserve"> STYLEREF 1 \s </w:instrText>
            </w:r>
            <w:r>
              <w:rPr>
                <w:noProof/>
              </w:rPr>
              <w:fldChar w:fldCharType="separate"/>
            </w:r>
            <w:r w:rsidR="00CB7456">
              <w:rPr>
                <w:noProof/>
              </w:rPr>
              <w:t>13</w:t>
            </w:r>
            <w:r>
              <w:rPr>
                <w:noProof/>
              </w:rPr>
              <w:fldChar w:fldCharType="end"/>
            </w:r>
            <w:r>
              <w:rPr>
                <w:noProof/>
              </w:rPr>
              <w:t>.</w:t>
            </w:r>
            <w:r>
              <w:rPr>
                <w:noProof/>
              </w:rPr>
              <w:fldChar w:fldCharType="begin"/>
            </w:r>
            <w:r>
              <w:rPr>
                <w:noProof/>
              </w:rPr>
              <w:instrText xml:space="preserve"> SEQ Equation \* ARABIC \s 1 </w:instrText>
            </w:r>
            <w:r>
              <w:rPr>
                <w:noProof/>
              </w:rPr>
              <w:fldChar w:fldCharType="separate"/>
            </w:r>
            <w:r w:rsidR="00CB7456">
              <w:rPr>
                <w:noProof/>
              </w:rPr>
              <w:t>36</w:t>
            </w:r>
            <w:r>
              <w:rPr>
                <w:noProof/>
              </w:rPr>
              <w:fldChar w:fldCharType="end"/>
            </w:r>
          </w:p>
        </w:tc>
      </w:tr>
    </w:tbl>
    <w:p w14:paraId="6FC33402" w14:textId="77777777" w:rsidR="00A7521D" w:rsidRDefault="00A7521D" w:rsidP="00A7521D">
      <w:pPr>
        <w:pStyle w:val="Caption"/>
      </w:pPr>
    </w:p>
    <w:p w14:paraId="2EAF2F6F" w14:textId="2750A390" w:rsidR="00A7521D" w:rsidRDefault="00C73E04" w:rsidP="00A7521D">
      <w:pPr>
        <w:pStyle w:val="NoSpacing"/>
      </w:pPr>
      <m:oMath>
        <m:sSub>
          <m:sSubPr>
            <m:ctrlPr>
              <w:rPr>
                <w:rFonts w:ascii="Cambria Math" w:hAnsi="Cambria Math"/>
                <w:i/>
              </w:rPr>
            </m:ctrlPr>
          </m:sSubPr>
          <m:e>
            <m:r>
              <w:rPr>
                <w:rFonts w:ascii="Cambria Math" w:hAnsi="Cambria Math"/>
              </w:rPr>
              <m:t>N</m:t>
            </m:r>
          </m:e>
          <m:sub>
            <m:r>
              <w:rPr>
                <w:rFonts w:ascii="Cambria Math" w:hAnsi="Cambria Math"/>
              </w:rPr>
              <m:t>pl</m:t>
            </m:r>
          </m:sub>
        </m:sSub>
      </m:oMath>
      <w:r w:rsidR="00A7521D">
        <w:t xml:space="preserve"> was the nu</w:t>
      </w:r>
      <w:proofErr w:type="spellStart"/>
      <w:r w:rsidR="00A7521D">
        <w:t>mber</w:t>
      </w:r>
      <w:proofErr w:type="spellEnd"/>
      <w:r w:rsidR="00A7521D">
        <w:t xml:space="preserve"> of plates.</w:t>
      </w:r>
    </w:p>
    <w:p w14:paraId="11BB6ECC" w14:textId="5B9FA12E" w:rsidR="00A7521D" w:rsidRDefault="00C73E04" w:rsidP="00A7521D">
      <w:pPr>
        <w:rPr>
          <w:iCs/>
        </w:rPr>
      </w:pPr>
      <m:oMath>
        <m:sSub>
          <m:sSubPr>
            <m:ctrlPr>
              <w:rPr>
                <w:rFonts w:ascii="Cambria Math" w:hAnsi="Cambria Math"/>
                <w:i/>
                <w:iCs/>
              </w:rPr>
            </m:ctrlPr>
          </m:sSubPr>
          <m:e>
            <m:r>
              <w:rPr>
                <w:rFonts w:ascii="Cambria Math" w:hAnsi="Cambria Math"/>
              </w:rPr>
              <m:t>A</m:t>
            </m:r>
          </m:e>
          <m:sub>
            <m:r>
              <w:rPr>
                <w:rFonts w:ascii="Cambria Math" w:hAnsi="Cambria Math"/>
              </w:rPr>
              <m:t>pl</m:t>
            </m:r>
          </m:sub>
        </m:sSub>
      </m:oMath>
      <w:r w:rsidR="00A7521D">
        <w:rPr>
          <w:iCs/>
        </w:rPr>
        <w:t xml:space="preserve"> was the effective plate area.</w:t>
      </w:r>
    </w:p>
    <w:p w14:paraId="5903BAD8" w14:textId="27A43021" w:rsidR="0075079C" w:rsidRDefault="0075079C" w:rsidP="00A7521D">
      <w:pPr>
        <w:rPr>
          <w:iCs/>
        </w:rPr>
      </w:pPr>
      <w:r>
        <w:rPr>
          <w:iCs/>
        </w:rPr>
        <w:t>The number of plates was dependent on the overall area and the effective plate area. The effective plate area was dependent on the physical characteristics of the plates.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37"/>
        <w:gridCol w:w="239"/>
        <w:gridCol w:w="822"/>
      </w:tblGrid>
      <w:tr w:rsidR="00A7521D" w14:paraId="4BE2A695" w14:textId="77777777" w:rsidTr="00A7521D">
        <w:tc>
          <w:tcPr>
            <w:tcW w:w="7137" w:type="dxa"/>
            <w:hideMark/>
          </w:tcPr>
          <w:p w14:paraId="5E9647CC" w14:textId="1A972D05" w:rsidR="00A7521D" w:rsidRDefault="00C73E04" w:rsidP="00A7521D">
            <w:pPr>
              <w:keepNext/>
              <w:rPr>
                <w:color w:val="FFFFFF"/>
              </w:rPr>
            </w:pPr>
            <m:oMathPara>
              <m:oMathParaPr>
                <m:jc m:val="left"/>
              </m:oMathParaPr>
              <m:oMath>
                <m:sSub>
                  <m:sSubPr>
                    <m:ctrlPr>
                      <w:rPr>
                        <w:rFonts w:ascii="Cambria Math" w:hAnsi="Cambria Math"/>
                        <w:i/>
                        <w:iCs/>
                      </w:rPr>
                    </m:ctrlPr>
                  </m:sSubPr>
                  <m:e>
                    <m:r>
                      <w:rPr>
                        <w:rFonts w:ascii="Cambria Math" w:hAnsi="Cambria Math"/>
                      </w:rPr>
                      <m:t>A</m:t>
                    </m:r>
                  </m:e>
                  <m:sub>
                    <m:r>
                      <w:rPr>
                        <w:rFonts w:ascii="Cambria Math" w:hAnsi="Cambria Math"/>
                      </w:rPr>
                      <m:t>cn</m:t>
                    </m:r>
                  </m:sub>
                </m:sSub>
                <m:r>
                  <w:rPr>
                    <w:rFonts w:ascii="Cambria Math" w:hAnsi="Cambria Math"/>
                  </w:rPr>
                  <m:t>=</m:t>
                </m:r>
                <m:sSub>
                  <m:sSubPr>
                    <m:ctrlPr>
                      <w:rPr>
                        <w:rFonts w:ascii="Cambria Math" w:hAnsi="Cambria Math"/>
                        <w:i/>
                      </w:rPr>
                    </m:ctrlPr>
                  </m:sSubPr>
                  <m:e>
                    <m:r>
                      <w:rPr>
                        <w:rFonts w:ascii="Cambria Math" w:hAnsi="Cambria Math"/>
                      </w:rPr>
                      <m:t>L</m:t>
                    </m:r>
                  </m:e>
                  <m:sub>
                    <m:r>
                      <w:rPr>
                        <w:rFonts w:ascii="Cambria Math" w:hAnsi="Cambria Math"/>
                      </w:rPr>
                      <m:t>p</m:t>
                    </m:r>
                  </m:sub>
                </m:sSub>
                <m:sSub>
                  <m:sSubPr>
                    <m:ctrlPr>
                      <w:rPr>
                        <w:rFonts w:ascii="Cambria Math" w:hAnsi="Cambria Math"/>
                        <w:i/>
                      </w:rPr>
                    </m:ctrlPr>
                  </m:sSubPr>
                  <m:e>
                    <m:r>
                      <w:rPr>
                        <w:rFonts w:ascii="Cambria Math" w:hAnsi="Cambria Math"/>
                      </w:rPr>
                      <m:t>L</m:t>
                    </m:r>
                  </m:e>
                  <m:sub>
                    <m:r>
                      <w:rPr>
                        <w:rFonts w:ascii="Cambria Math" w:hAnsi="Cambria Math"/>
                      </w:rPr>
                      <m:t>pl,th</m:t>
                    </m:r>
                  </m:sub>
                </m:sSub>
              </m:oMath>
            </m:oMathPara>
          </w:p>
        </w:tc>
        <w:tc>
          <w:tcPr>
            <w:tcW w:w="239" w:type="dxa"/>
            <w:vAlign w:val="center"/>
            <w:hideMark/>
          </w:tcPr>
          <w:p w14:paraId="464D4615" w14:textId="77777777" w:rsidR="00A7521D" w:rsidRDefault="00A7521D" w:rsidP="00A7521D">
            <w:pPr>
              <w:pStyle w:val="Caption"/>
              <w:jc w:val="right"/>
            </w:pPr>
          </w:p>
        </w:tc>
        <w:tc>
          <w:tcPr>
            <w:tcW w:w="822" w:type="dxa"/>
            <w:vAlign w:val="center"/>
            <w:hideMark/>
          </w:tcPr>
          <w:p w14:paraId="1D867FD4" w14:textId="545352E3" w:rsidR="00A7521D" w:rsidRDefault="00A7521D" w:rsidP="00A7521D">
            <w:pPr>
              <w:pStyle w:val="Caption"/>
              <w:jc w:val="right"/>
              <w:rPr>
                <w:b w:val="0"/>
              </w:rPr>
            </w:pPr>
            <w:r>
              <w:rPr>
                <w:noProof/>
              </w:rPr>
              <w:fldChar w:fldCharType="begin"/>
            </w:r>
            <w:r>
              <w:rPr>
                <w:noProof/>
              </w:rPr>
              <w:instrText xml:space="preserve"> STYLEREF 1 \s </w:instrText>
            </w:r>
            <w:r>
              <w:rPr>
                <w:noProof/>
              </w:rPr>
              <w:fldChar w:fldCharType="separate"/>
            </w:r>
            <w:r w:rsidR="00CB7456">
              <w:rPr>
                <w:noProof/>
              </w:rPr>
              <w:t>13</w:t>
            </w:r>
            <w:r>
              <w:rPr>
                <w:noProof/>
              </w:rPr>
              <w:fldChar w:fldCharType="end"/>
            </w:r>
            <w:r>
              <w:rPr>
                <w:noProof/>
              </w:rPr>
              <w:t>.</w:t>
            </w:r>
            <w:r>
              <w:rPr>
                <w:noProof/>
              </w:rPr>
              <w:fldChar w:fldCharType="begin"/>
            </w:r>
            <w:r>
              <w:rPr>
                <w:noProof/>
              </w:rPr>
              <w:instrText xml:space="preserve"> SEQ Equation \* ARABIC \s 1 </w:instrText>
            </w:r>
            <w:r>
              <w:rPr>
                <w:noProof/>
              </w:rPr>
              <w:fldChar w:fldCharType="separate"/>
            </w:r>
            <w:r w:rsidR="00CB7456">
              <w:rPr>
                <w:noProof/>
              </w:rPr>
              <w:t>37</w:t>
            </w:r>
            <w:r>
              <w:rPr>
                <w:noProof/>
              </w:rPr>
              <w:fldChar w:fldCharType="end"/>
            </w:r>
          </w:p>
        </w:tc>
      </w:tr>
    </w:tbl>
    <w:p w14:paraId="511D6F4E" w14:textId="77777777" w:rsidR="00A7521D" w:rsidRDefault="00A7521D" w:rsidP="00A7521D">
      <w:pPr>
        <w:rPr>
          <w:iCs/>
        </w:rPr>
      </w:pPr>
    </w:p>
    <w:p w14:paraId="7143E09E" w14:textId="77777777" w:rsidR="00A7521D" w:rsidRDefault="00C73E04" w:rsidP="00A7521D">
      <w:pPr>
        <w:pStyle w:val="NoSpacing"/>
      </w:pPr>
      <m:oMath>
        <m:sSub>
          <m:sSubPr>
            <m:ctrlPr>
              <w:rPr>
                <w:rFonts w:ascii="Cambria Math" w:hAnsi="Cambria Math"/>
                <w:i/>
              </w:rPr>
            </m:ctrlPr>
          </m:sSubPr>
          <m:e>
            <m:r>
              <w:rPr>
                <w:rFonts w:ascii="Cambria Math" w:hAnsi="Cambria Math"/>
              </w:rPr>
              <m:t>A</m:t>
            </m:r>
          </m:e>
          <m:sub>
            <m:r>
              <w:rPr>
                <w:rFonts w:ascii="Cambria Math" w:hAnsi="Cambria Math"/>
              </w:rPr>
              <m:t>cn</m:t>
            </m:r>
          </m:sub>
        </m:sSub>
      </m:oMath>
      <w:r w:rsidR="00A7521D">
        <w:t xml:space="preserve"> was the channel cross-sectional area (m</w:t>
      </w:r>
      <w:r w:rsidR="00A7521D">
        <w:rPr>
          <w:vertAlign w:val="superscript"/>
        </w:rPr>
        <w:t>2</w:t>
      </w:r>
      <w:r w:rsidR="00A7521D">
        <w:t>),</w:t>
      </w:r>
    </w:p>
    <w:p w14:paraId="540D1312" w14:textId="77777777" w:rsidR="00A7521D" w:rsidRDefault="00C73E04" w:rsidP="00A7521D">
      <w:pPr>
        <w:pStyle w:val="NoSpacing"/>
      </w:pPr>
      <m:oMath>
        <m:sSub>
          <m:sSubPr>
            <m:ctrlPr>
              <w:rPr>
                <w:rFonts w:ascii="Cambria Math" w:hAnsi="Cambria Math"/>
                <w:i/>
              </w:rPr>
            </m:ctrlPr>
          </m:sSubPr>
          <m:e>
            <m:r>
              <w:rPr>
                <w:rFonts w:ascii="Cambria Math" w:hAnsi="Cambria Math"/>
              </w:rPr>
              <m:t>L</m:t>
            </m:r>
          </m:e>
          <m:sub>
            <m:r>
              <w:rPr>
                <w:rFonts w:ascii="Cambria Math" w:hAnsi="Cambria Math"/>
              </w:rPr>
              <m:t>pl,th</m:t>
            </m:r>
          </m:sub>
        </m:sSub>
      </m:oMath>
      <w:r w:rsidR="00A7521D">
        <w:t xml:space="preserve"> was the effective plate width (m),</w:t>
      </w:r>
    </w:p>
    <w:p w14:paraId="14A1752E" w14:textId="60D71D08" w:rsidR="00A7521D" w:rsidRDefault="00C73E04" w:rsidP="00A7521D">
      <m:oMath>
        <m:sSub>
          <m:sSubPr>
            <m:ctrlPr>
              <w:rPr>
                <w:rFonts w:ascii="Cambria Math" w:hAnsi="Cambria Math"/>
                <w:i/>
              </w:rPr>
            </m:ctrlPr>
          </m:sSubPr>
          <m:e>
            <m:r>
              <w:rPr>
                <w:rFonts w:ascii="Cambria Math" w:hAnsi="Cambria Math"/>
              </w:rPr>
              <m:t>L</m:t>
            </m:r>
          </m:e>
          <m:sub>
            <m:r>
              <w:rPr>
                <w:rFonts w:ascii="Cambria Math" w:hAnsi="Cambria Math"/>
              </w:rPr>
              <m:t>p</m:t>
            </m:r>
          </m:sub>
        </m:sSub>
      </m:oMath>
      <w:r w:rsidR="00A7521D">
        <w:t xml:space="preserve"> was the typical plate spacing (m).</w:t>
      </w:r>
    </w:p>
    <w:p w14:paraId="37819AD7" w14:textId="1180DE20" w:rsidR="0075079C" w:rsidRDefault="0075079C" w:rsidP="00A7521D">
      <w:r>
        <w:t>The channel cross-sectional area was dependent on the effective plate width and the typical plate spacing. The effective plate width and the typical plate spacing were dependent on the physical characteristics of the plate.</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37"/>
        <w:gridCol w:w="239"/>
        <w:gridCol w:w="822"/>
      </w:tblGrid>
      <w:tr w:rsidR="00A7521D" w14:paraId="4143B8BF" w14:textId="77777777" w:rsidTr="00A7521D">
        <w:tc>
          <w:tcPr>
            <w:tcW w:w="7137" w:type="dxa"/>
            <w:hideMark/>
          </w:tcPr>
          <w:p w14:paraId="11191ECF" w14:textId="77777777" w:rsidR="00A7521D" w:rsidRDefault="00C73E04" w:rsidP="00A7521D">
            <w:pPr>
              <w:keepNext/>
              <w:rPr>
                <w:color w:val="FFFFFF"/>
              </w:rPr>
            </w:pPr>
            <m:oMathPara>
              <m:oMathParaPr>
                <m:jc m:val="left"/>
              </m:oMathParaPr>
              <m:oMath>
                <m:sSub>
                  <m:sSubPr>
                    <m:ctrlPr>
                      <w:rPr>
                        <w:rFonts w:ascii="Cambria Math" w:hAnsi="Cambria Math"/>
                        <w:i/>
                        <w:iCs/>
                      </w:rPr>
                    </m:ctrlPr>
                  </m:sSubPr>
                  <m:e>
                    <m:r>
                      <w:rPr>
                        <w:rFonts w:ascii="Cambria Math" w:hAnsi="Cambria Math"/>
                      </w:rPr>
                      <m:t>N</m:t>
                    </m:r>
                  </m:e>
                  <m:sub>
                    <m:r>
                      <w:rPr>
                        <w:rFonts w:ascii="Cambria Math" w:hAnsi="Cambria Math"/>
                      </w:rPr>
                      <m:t>cn</m:t>
                    </m:r>
                  </m:sub>
                </m:sSub>
                <m:r>
                  <w:rPr>
                    <w:rFonts w:ascii="Cambria Math" w:hAnsi="Cambria Math"/>
                  </w:rPr>
                  <m:t>=</m:t>
                </m:r>
                <m:f>
                  <m:fPr>
                    <m:ctrlPr>
                      <w:rPr>
                        <w:rFonts w:ascii="Cambria Math" w:hAnsi="Cambria Math"/>
                        <w:i/>
                        <w:iCs/>
                      </w:rPr>
                    </m:ctrlPr>
                  </m:fPr>
                  <m:num>
                    <m:sSub>
                      <m:sSubPr>
                        <m:ctrlPr>
                          <w:rPr>
                            <w:rFonts w:ascii="Cambria Math" w:hAnsi="Cambria Math"/>
                            <w:i/>
                            <w:iCs/>
                          </w:rPr>
                        </m:ctrlPr>
                      </m:sSubPr>
                      <m:e>
                        <m:r>
                          <w:rPr>
                            <w:rFonts w:ascii="Cambria Math" w:hAnsi="Cambria Math"/>
                          </w:rPr>
                          <m:t>N</m:t>
                        </m:r>
                      </m:e>
                      <m:sub>
                        <m:r>
                          <w:rPr>
                            <w:rFonts w:ascii="Cambria Math" w:hAnsi="Cambria Math"/>
                          </w:rPr>
                          <m:t>pl</m:t>
                        </m:r>
                      </m:sub>
                    </m:sSub>
                  </m:num>
                  <m:den>
                    <m:r>
                      <w:rPr>
                        <w:rFonts w:ascii="Cambria Math" w:hAnsi="Cambria Math"/>
                      </w:rPr>
                      <m:t>2</m:t>
                    </m:r>
                  </m:den>
                </m:f>
              </m:oMath>
            </m:oMathPara>
          </w:p>
        </w:tc>
        <w:tc>
          <w:tcPr>
            <w:tcW w:w="239" w:type="dxa"/>
            <w:vAlign w:val="center"/>
            <w:hideMark/>
          </w:tcPr>
          <w:p w14:paraId="0BBFAE6A" w14:textId="77777777" w:rsidR="00A7521D" w:rsidRDefault="00A7521D" w:rsidP="00A7521D">
            <w:pPr>
              <w:pStyle w:val="Caption"/>
              <w:jc w:val="right"/>
            </w:pPr>
          </w:p>
        </w:tc>
        <w:tc>
          <w:tcPr>
            <w:tcW w:w="822" w:type="dxa"/>
            <w:vAlign w:val="center"/>
            <w:hideMark/>
          </w:tcPr>
          <w:p w14:paraId="5392C95C" w14:textId="16314391" w:rsidR="00A7521D" w:rsidRDefault="00A7521D" w:rsidP="00A7521D">
            <w:pPr>
              <w:pStyle w:val="Caption"/>
              <w:jc w:val="right"/>
              <w:rPr>
                <w:b w:val="0"/>
              </w:rPr>
            </w:pPr>
            <w:r>
              <w:rPr>
                <w:noProof/>
              </w:rPr>
              <w:fldChar w:fldCharType="begin"/>
            </w:r>
            <w:r>
              <w:rPr>
                <w:noProof/>
              </w:rPr>
              <w:instrText xml:space="preserve"> STYLEREF 1 \s </w:instrText>
            </w:r>
            <w:r>
              <w:rPr>
                <w:noProof/>
              </w:rPr>
              <w:fldChar w:fldCharType="separate"/>
            </w:r>
            <w:r w:rsidR="00CB7456">
              <w:rPr>
                <w:noProof/>
              </w:rPr>
              <w:t>13</w:t>
            </w:r>
            <w:r>
              <w:rPr>
                <w:noProof/>
              </w:rPr>
              <w:fldChar w:fldCharType="end"/>
            </w:r>
            <w:r>
              <w:rPr>
                <w:noProof/>
              </w:rPr>
              <w:t>.</w:t>
            </w:r>
            <w:r>
              <w:rPr>
                <w:noProof/>
              </w:rPr>
              <w:fldChar w:fldCharType="begin"/>
            </w:r>
            <w:r>
              <w:rPr>
                <w:noProof/>
              </w:rPr>
              <w:instrText xml:space="preserve"> SEQ Equation \* ARABIC \s 1 </w:instrText>
            </w:r>
            <w:r>
              <w:rPr>
                <w:noProof/>
              </w:rPr>
              <w:fldChar w:fldCharType="separate"/>
            </w:r>
            <w:r w:rsidR="00CB7456">
              <w:rPr>
                <w:noProof/>
              </w:rPr>
              <w:t>38</w:t>
            </w:r>
            <w:r>
              <w:rPr>
                <w:noProof/>
              </w:rPr>
              <w:fldChar w:fldCharType="end"/>
            </w:r>
          </w:p>
        </w:tc>
      </w:tr>
    </w:tbl>
    <w:p w14:paraId="5E13478F" w14:textId="77777777" w:rsidR="00A7521D" w:rsidRDefault="00A7521D" w:rsidP="00A7521D"/>
    <w:p w14:paraId="24AD206D" w14:textId="17D62D6C" w:rsidR="00A7521D" w:rsidRDefault="00C73E04" w:rsidP="00A7521D">
      <w:pPr>
        <w:rPr>
          <w:iCs/>
        </w:rPr>
      </w:pPr>
      <m:oMath>
        <m:sSub>
          <m:sSubPr>
            <m:ctrlPr>
              <w:rPr>
                <w:rFonts w:ascii="Cambria Math" w:hAnsi="Cambria Math"/>
                <w:i/>
                <w:iCs/>
              </w:rPr>
            </m:ctrlPr>
          </m:sSubPr>
          <m:e>
            <m:r>
              <w:rPr>
                <w:rFonts w:ascii="Cambria Math" w:hAnsi="Cambria Math"/>
              </w:rPr>
              <m:t>N</m:t>
            </m:r>
          </m:e>
          <m:sub>
            <m:r>
              <w:rPr>
                <w:rFonts w:ascii="Cambria Math" w:hAnsi="Cambria Math"/>
              </w:rPr>
              <m:t>cn</m:t>
            </m:r>
          </m:sub>
        </m:sSub>
      </m:oMath>
      <w:r w:rsidR="00A7521D">
        <w:rPr>
          <w:iCs/>
        </w:rPr>
        <w:t xml:space="preserve"> was the number of channels per pass.</w:t>
      </w:r>
    </w:p>
    <w:p w14:paraId="0E9939C4" w14:textId="2991C776" w:rsidR="0075079C" w:rsidRDefault="0075079C" w:rsidP="00A7521D">
      <w:pPr>
        <w:rPr>
          <w:iCs/>
        </w:rPr>
      </w:pPr>
      <w:r>
        <w:rPr>
          <w:iCs/>
        </w:rPr>
        <w:t>The number of channels per pass was dependent on the number of plates.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37"/>
        <w:gridCol w:w="239"/>
        <w:gridCol w:w="822"/>
      </w:tblGrid>
      <w:tr w:rsidR="00A7521D" w14:paraId="18C908C6" w14:textId="77777777" w:rsidTr="00A7521D">
        <w:tc>
          <w:tcPr>
            <w:tcW w:w="7137" w:type="dxa"/>
            <w:hideMark/>
          </w:tcPr>
          <w:p w14:paraId="20C1C985" w14:textId="77777777" w:rsidR="00A7521D" w:rsidRDefault="00C73E04" w:rsidP="00A7521D">
            <w:pPr>
              <w:keepNext/>
              <w:rPr>
                <w:color w:val="FFFFFF"/>
              </w:rPr>
            </w:pPr>
            <m:oMathPara>
              <m:oMathParaPr>
                <m:jc m:val="left"/>
              </m:oMathParaPr>
              <m:oMath>
                <m:sSub>
                  <m:sSubPr>
                    <m:ctrlPr>
                      <w:rPr>
                        <w:rFonts w:ascii="Cambria Math" w:hAnsi="Cambria Math"/>
                        <w:i/>
                        <w:iCs/>
                      </w:rPr>
                    </m:ctrlPr>
                  </m:sSubPr>
                  <m:e>
                    <m:r>
                      <w:rPr>
                        <w:rFonts w:ascii="Cambria Math" w:hAnsi="Cambria Math"/>
                      </w:rPr>
                      <m:t>v</m:t>
                    </m:r>
                  </m:e>
                  <m:sub>
                    <m:r>
                      <w:rPr>
                        <w:rFonts w:ascii="Cambria Math" w:hAnsi="Cambria Math"/>
                      </w:rPr>
                      <m:t>h</m:t>
                    </m:r>
                  </m:sub>
                </m:sSub>
                <m:r>
                  <w:rPr>
                    <w:rFonts w:ascii="Cambria Math" w:hAnsi="Cambria Math"/>
                  </w:rPr>
                  <m:t>=</m:t>
                </m:r>
                <m:f>
                  <m:fPr>
                    <m:ctrlPr>
                      <w:rPr>
                        <w:rFonts w:ascii="Cambria Math" w:hAnsi="Cambria Math"/>
                        <w:i/>
                        <w:iCs/>
                      </w:rPr>
                    </m:ctrlPr>
                  </m:fPr>
                  <m:num>
                    <m:sSub>
                      <m:sSubPr>
                        <m:ctrlPr>
                          <w:rPr>
                            <w:rFonts w:ascii="Cambria Math" w:hAnsi="Cambria Math"/>
                            <w:i/>
                            <w:iCs/>
                          </w:rPr>
                        </m:ctrlPr>
                      </m:sSubPr>
                      <m:e>
                        <m:acc>
                          <m:accPr>
                            <m:chr m:val="̇"/>
                            <m:ctrlPr>
                              <w:rPr>
                                <w:rFonts w:ascii="Cambria Math" w:hAnsi="Cambria Math"/>
                                <w:i/>
                                <w:iCs/>
                              </w:rPr>
                            </m:ctrlPr>
                          </m:accPr>
                          <m:e>
                            <m:r>
                              <w:rPr>
                                <w:rFonts w:ascii="Cambria Math" w:hAnsi="Cambria Math"/>
                              </w:rPr>
                              <m:t>m</m:t>
                            </m:r>
                          </m:e>
                        </m:acc>
                      </m:e>
                      <m:sub>
                        <m:r>
                          <w:rPr>
                            <w:rFonts w:ascii="Cambria Math" w:hAnsi="Cambria Math"/>
                          </w:rPr>
                          <m:t>h</m:t>
                        </m:r>
                      </m:sub>
                    </m:sSub>
                  </m:num>
                  <m:den>
                    <m:sSub>
                      <m:sSubPr>
                        <m:ctrlPr>
                          <w:rPr>
                            <w:rFonts w:ascii="Cambria Math" w:hAnsi="Cambria Math"/>
                            <w:i/>
                            <w:iCs/>
                          </w:rPr>
                        </m:ctrlPr>
                      </m:sSubPr>
                      <m:e>
                        <m:r>
                          <w:rPr>
                            <w:rFonts w:ascii="Cambria Math" w:hAnsi="Cambria Math"/>
                          </w:rPr>
                          <m:t>ρ</m:t>
                        </m:r>
                      </m:e>
                      <m:sub>
                        <m:r>
                          <w:rPr>
                            <w:rFonts w:ascii="Cambria Math" w:hAnsi="Cambria Math"/>
                          </w:rPr>
                          <m:t>h</m:t>
                        </m:r>
                      </m:sub>
                    </m:sSub>
                    <m:sSub>
                      <m:sSubPr>
                        <m:ctrlPr>
                          <w:rPr>
                            <w:rFonts w:ascii="Cambria Math" w:hAnsi="Cambria Math"/>
                            <w:i/>
                            <w:iCs/>
                          </w:rPr>
                        </m:ctrlPr>
                      </m:sSubPr>
                      <m:e>
                        <m:r>
                          <w:rPr>
                            <w:rFonts w:ascii="Cambria Math" w:hAnsi="Cambria Math"/>
                          </w:rPr>
                          <m:t>A</m:t>
                        </m:r>
                      </m:e>
                      <m:sub>
                        <m:r>
                          <w:rPr>
                            <w:rFonts w:ascii="Cambria Math" w:hAnsi="Cambria Math"/>
                          </w:rPr>
                          <m:t>cn</m:t>
                        </m:r>
                      </m:sub>
                    </m:sSub>
                    <m:sSub>
                      <m:sSubPr>
                        <m:ctrlPr>
                          <w:rPr>
                            <w:rFonts w:ascii="Cambria Math" w:hAnsi="Cambria Math"/>
                            <w:i/>
                            <w:iCs/>
                          </w:rPr>
                        </m:ctrlPr>
                      </m:sSubPr>
                      <m:e>
                        <m:r>
                          <w:rPr>
                            <w:rFonts w:ascii="Cambria Math" w:hAnsi="Cambria Math"/>
                          </w:rPr>
                          <m:t>N</m:t>
                        </m:r>
                      </m:e>
                      <m:sub>
                        <m:r>
                          <w:rPr>
                            <w:rFonts w:ascii="Cambria Math" w:hAnsi="Cambria Math"/>
                          </w:rPr>
                          <m:t>cn</m:t>
                        </m:r>
                      </m:sub>
                    </m:sSub>
                  </m:den>
                </m:f>
              </m:oMath>
            </m:oMathPara>
          </w:p>
        </w:tc>
        <w:tc>
          <w:tcPr>
            <w:tcW w:w="239" w:type="dxa"/>
            <w:vAlign w:val="center"/>
            <w:hideMark/>
          </w:tcPr>
          <w:p w14:paraId="455CB793" w14:textId="77777777" w:rsidR="00A7521D" w:rsidRDefault="00A7521D" w:rsidP="00A7521D">
            <w:pPr>
              <w:pStyle w:val="Caption"/>
              <w:jc w:val="right"/>
            </w:pPr>
          </w:p>
        </w:tc>
        <w:tc>
          <w:tcPr>
            <w:tcW w:w="822" w:type="dxa"/>
            <w:vAlign w:val="center"/>
            <w:hideMark/>
          </w:tcPr>
          <w:p w14:paraId="10FB6E74" w14:textId="5FD10FA9" w:rsidR="00A7521D" w:rsidRDefault="00A7521D" w:rsidP="00A7521D">
            <w:pPr>
              <w:pStyle w:val="Caption"/>
              <w:jc w:val="right"/>
              <w:rPr>
                <w:b w:val="0"/>
              </w:rPr>
            </w:pPr>
            <w:r>
              <w:rPr>
                <w:noProof/>
              </w:rPr>
              <w:fldChar w:fldCharType="begin"/>
            </w:r>
            <w:r>
              <w:rPr>
                <w:noProof/>
              </w:rPr>
              <w:instrText xml:space="preserve"> STYLEREF 1 \s </w:instrText>
            </w:r>
            <w:r>
              <w:rPr>
                <w:noProof/>
              </w:rPr>
              <w:fldChar w:fldCharType="separate"/>
            </w:r>
            <w:r w:rsidR="00CB7456">
              <w:rPr>
                <w:noProof/>
              </w:rPr>
              <w:t>13</w:t>
            </w:r>
            <w:r>
              <w:rPr>
                <w:noProof/>
              </w:rPr>
              <w:fldChar w:fldCharType="end"/>
            </w:r>
            <w:r>
              <w:rPr>
                <w:noProof/>
              </w:rPr>
              <w:t>.</w:t>
            </w:r>
            <w:r>
              <w:rPr>
                <w:noProof/>
              </w:rPr>
              <w:fldChar w:fldCharType="begin"/>
            </w:r>
            <w:r>
              <w:rPr>
                <w:noProof/>
              </w:rPr>
              <w:instrText xml:space="preserve"> SEQ Equation \* ARABIC \s 1 </w:instrText>
            </w:r>
            <w:r>
              <w:rPr>
                <w:noProof/>
              </w:rPr>
              <w:fldChar w:fldCharType="separate"/>
            </w:r>
            <w:r w:rsidR="00CB7456">
              <w:rPr>
                <w:noProof/>
              </w:rPr>
              <w:t>39</w:t>
            </w:r>
            <w:r>
              <w:rPr>
                <w:noProof/>
              </w:rPr>
              <w:fldChar w:fldCharType="end"/>
            </w:r>
          </w:p>
        </w:tc>
      </w:tr>
    </w:tbl>
    <w:p w14:paraId="736242FB" w14:textId="77777777" w:rsidR="00A7521D" w:rsidRPr="00D91833" w:rsidRDefault="00A7521D" w:rsidP="00A7521D"/>
    <w:p w14:paraId="1BB09A16" w14:textId="77777777" w:rsidR="00A7521D" w:rsidRDefault="00C73E04" w:rsidP="00A7521D">
      <w:pPr>
        <w:pStyle w:val="NoSpacing"/>
      </w:pPr>
      <m:oMath>
        <m:sSub>
          <m:sSubPr>
            <m:ctrlPr>
              <w:rPr>
                <w:rFonts w:ascii="Cambria Math" w:hAnsi="Cambria Math"/>
                <w:i/>
              </w:rPr>
            </m:ctrlPr>
          </m:sSubPr>
          <m:e>
            <m:r>
              <w:rPr>
                <w:rFonts w:ascii="Cambria Math" w:hAnsi="Cambria Math"/>
              </w:rPr>
              <m:t>v</m:t>
            </m:r>
          </m:e>
          <m:sub>
            <m:r>
              <w:rPr>
                <w:rFonts w:ascii="Cambria Math" w:hAnsi="Cambria Math"/>
              </w:rPr>
              <m:t>h</m:t>
            </m:r>
          </m:sub>
        </m:sSub>
      </m:oMath>
      <w:r w:rsidR="00A7521D">
        <w:t xml:space="preserve"> was the hot fluid linear vel</w:t>
      </w:r>
      <w:proofErr w:type="spellStart"/>
      <w:r w:rsidR="00A7521D">
        <w:t>ocity</w:t>
      </w:r>
      <w:proofErr w:type="spellEnd"/>
      <w:r w:rsidR="00A7521D">
        <w:t xml:space="preserve"> (m/s),</w:t>
      </w:r>
    </w:p>
    <w:p w14:paraId="6113FE0E" w14:textId="77777777" w:rsidR="00A7521D" w:rsidRDefault="00C73E04" w:rsidP="00A7521D">
      <w:pPr>
        <w:pStyle w:val="NoSpacing"/>
      </w:pPr>
      <m:oMath>
        <m:sSub>
          <m:sSubPr>
            <m:ctrlPr>
              <w:rPr>
                <w:rFonts w:ascii="Cambria Math" w:hAnsi="Cambria Math"/>
                <w:i/>
              </w:rPr>
            </m:ctrlPr>
          </m:sSubPr>
          <m:e>
            <m:acc>
              <m:accPr>
                <m:chr m:val="̇"/>
                <m:ctrlPr>
                  <w:rPr>
                    <w:rFonts w:ascii="Cambria Math" w:hAnsi="Cambria Math"/>
                    <w:i/>
                  </w:rPr>
                </m:ctrlPr>
              </m:accPr>
              <m:e>
                <m:r>
                  <w:rPr>
                    <w:rFonts w:ascii="Cambria Math" w:hAnsi="Cambria Math"/>
                  </w:rPr>
                  <m:t>m</m:t>
                </m:r>
              </m:e>
            </m:acc>
          </m:e>
          <m:sub>
            <m:r>
              <w:rPr>
                <w:rFonts w:ascii="Cambria Math" w:hAnsi="Cambria Math"/>
              </w:rPr>
              <m:t>h</m:t>
            </m:r>
          </m:sub>
        </m:sSub>
      </m:oMath>
      <w:r w:rsidR="00A7521D">
        <w:t xml:space="preserve"> was the hot fluid mass flowrate (kg/s),</w:t>
      </w:r>
    </w:p>
    <w:p w14:paraId="5706448A" w14:textId="589DD14F" w:rsidR="00A7521D" w:rsidRDefault="00C73E04" w:rsidP="00A7521D">
      <w:pPr>
        <w:rPr>
          <w:iCs/>
        </w:rPr>
      </w:pPr>
      <m:oMath>
        <m:sSub>
          <m:sSubPr>
            <m:ctrlPr>
              <w:rPr>
                <w:rFonts w:ascii="Cambria Math" w:hAnsi="Cambria Math"/>
                <w:i/>
                <w:iCs/>
              </w:rPr>
            </m:ctrlPr>
          </m:sSubPr>
          <m:e>
            <m:r>
              <w:rPr>
                <w:rFonts w:ascii="Cambria Math" w:hAnsi="Cambria Math"/>
              </w:rPr>
              <m:t>ρ</m:t>
            </m:r>
          </m:e>
          <m:sub>
            <m:r>
              <w:rPr>
                <w:rFonts w:ascii="Cambria Math" w:hAnsi="Cambria Math"/>
              </w:rPr>
              <m:t>h</m:t>
            </m:r>
          </m:sub>
        </m:sSub>
      </m:oMath>
      <w:r w:rsidR="00A7521D">
        <w:rPr>
          <w:iCs/>
        </w:rPr>
        <w:t xml:space="preserve"> was the hot fluid density (kg/m</w:t>
      </w:r>
      <w:r w:rsidR="00A7521D">
        <w:rPr>
          <w:iCs/>
          <w:vertAlign w:val="superscript"/>
        </w:rPr>
        <w:t>3</w:t>
      </w:r>
      <w:r w:rsidR="00A7521D">
        <w:rPr>
          <w:iCs/>
        </w:rPr>
        <w:t>).</w:t>
      </w:r>
    </w:p>
    <w:p w14:paraId="39739C91" w14:textId="66BDC1A2" w:rsidR="0075079C" w:rsidRDefault="0075079C" w:rsidP="00A7521D">
      <w:pPr>
        <w:rPr>
          <w:iCs/>
        </w:rPr>
      </w:pPr>
      <w:r>
        <w:rPr>
          <w:iCs/>
        </w:rPr>
        <w:t xml:space="preserve">The hot fluid linear velocity was dependent on the hot fluid mass flowrate, the hot fluid density, </w:t>
      </w:r>
      <w:r>
        <w:t xml:space="preserve">the channel cross-sectional area and the </w:t>
      </w:r>
      <w:r>
        <w:rPr>
          <w:iCs/>
        </w:rPr>
        <w:t>number of channels per pass. The hot fluid mass flowrate was dependent on the industrial operation and the hot fluid density was dependent on the operating conditions and the choice of the hot fluid.</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37"/>
        <w:gridCol w:w="239"/>
        <w:gridCol w:w="822"/>
      </w:tblGrid>
      <w:tr w:rsidR="00A7521D" w14:paraId="7CD28961" w14:textId="77777777" w:rsidTr="00A7521D">
        <w:tc>
          <w:tcPr>
            <w:tcW w:w="7137" w:type="dxa"/>
            <w:hideMark/>
          </w:tcPr>
          <w:p w14:paraId="268039BA" w14:textId="34A6CFD1" w:rsidR="00A7521D" w:rsidRDefault="00C73E04" w:rsidP="00A7521D">
            <w:pPr>
              <w:keepNext/>
              <w:rPr>
                <w:color w:val="FFFFFF"/>
              </w:rPr>
            </w:pPr>
            <m:oMathPara>
              <m:oMathParaPr>
                <m:jc m:val="left"/>
              </m:oMathParaPr>
              <m:oMath>
                <m:sSub>
                  <m:sSubPr>
                    <m:ctrlPr>
                      <w:rPr>
                        <w:rFonts w:ascii="Cambria Math" w:hAnsi="Cambria Math"/>
                        <w:i/>
                        <w:iCs/>
                      </w:rPr>
                    </m:ctrlPr>
                  </m:sSubPr>
                  <m:e>
                    <m:r>
                      <w:rPr>
                        <w:rFonts w:ascii="Cambria Math" w:hAnsi="Cambria Math"/>
                      </w:rPr>
                      <m:t>D</m:t>
                    </m:r>
                  </m:e>
                  <m:sub>
                    <m:r>
                      <w:rPr>
                        <w:rFonts w:ascii="Cambria Math" w:hAnsi="Cambria Math"/>
                      </w:rPr>
                      <m:t>h</m:t>
                    </m:r>
                  </m:sub>
                </m:sSub>
                <m:r>
                  <w:rPr>
                    <w:rFonts w:ascii="Cambria Math" w:hAnsi="Cambria Math"/>
                  </w:rPr>
                  <m:t>=2</m:t>
                </m:r>
                <m:sSub>
                  <m:sSubPr>
                    <m:ctrlPr>
                      <w:rPr>
                        <w:rFonts w:ascii="Cambria Math" w:hAnsi="Cambria Math"/>
                        <w:i/>
                      </w:rPr>
                    </m:ctrlPr>
                  </m:sSubPr>
                  <m:e>
                    <m:r>
                      <w:rPr>
                        <w:rFonts w:ascii="Cambria Math" w:hAnsi="Cambria Math"/>
                      </w:rPr>
                      <m:t>L</m:t>
                    </m:r>
                  </m:e>
                  <m:sub>
                    <m:r>
                      <w:rPr>
                        <w:rFonts w:ascii="Cambria Math" w:hAnsi="Cambria Math"/>
                      </w:rPr>
                      <m:t>pl,th</m:t>
                    </m:r>
                  </m:sub>
                </m:sSub>
              </m:oMath>
            </m:oMathPara>
          </w:p>
        </w:tc>
        <w:tc>
          <w:tcPr>
            <w:tcW w:w="239" w:type="dxa"/>
            <w:vAlign w:val="center"/>
            <w:hideMark/>
          </w:tcPr>
          <w:p w14:paraId="20335503" w14:textId="77777777" w:rsidR="00A7521D" w:rsidRDefault="00A7521D" w:rsidP="00A7521D">
            <w:pPr>
              <w:pStyle w:val="Caption"/>
              <w:jc w:val="right"/>
            </w:pPr>
          </w:p>
        </w:tc>
        <w:tc>
          <w:tcPr>
            <w:tcW w:w="822" w:type="dxa"/>
            <w:vAlign w:val="center"/>
            <w:hideMark/>
          </w:tcPr>
          <w:p w14:paraId="6C510FA8" w14:textId="34B7D926" w:rsidR="00A7521D" w:rsidRDefault="00A7521D" w:rsidP="00A7521D">
            <w:pPr>
              <w:pStyle w:val="Caption"/>
              <w:jc w:val="right"/>
              <w:rPr>
                <w:b w:val="0"/>
              </w:rPr>
            </w:pPr>
            <w:r>
              <w:rPr>
                <w:noProof/>
              </w:rPr>
              <w:fldChar w:fldCharType="begin"/>
            </w:r>
            <w:r>
              <w:rPr>
                <w:noProof/>
              </w:rPr>
              <w:instrText xml:space="preserve"> STYLEREF 1 \s </w:instrText>
            </w:r>
            <w:r>
              <w:rPr>
                <w:noProof/>
              </w:rPr>
              <w:fldChar w:fldCharType="separate"/>
            </w:r>
            <w:r w:rsidR="00CB7456">
              <w:rPr>
                <w:noProof/>
              </w:rPr>
              <w:t>13</w:t>
            </w:r>
            <w:r>
              <w:rPr>
                <w:noProof/>
              </w:rPr>
              <w:fldChar w:fldCharType="end"/>
            </w:r>
            <w:r>
              <w:rPr>
                <w:noProof/>
              </w:rPr>
              <w:t>.</w:t>
            </w:r>
            <w:r>
              <w:rPr>
                <w:noProof/>
              </w:rPr>
              <w:fldChar w:fldCharType="begin"/>
            </w:r>
            <w:r>
              <w:rPr>
                <w:noProof/>
              </w:rPr>
              <w:instrText xml:space="preserve"> SEQ Equation \* ARABIC \s 1 </w:instrText>
            </w:r>
            <w:r>
              <w:rPr>
                <w:noProof/>
              </w:rPr>
              <w:fldChar w:fldCharType="separate"/>
            </w:r>
            <w:r w:rsidR="00CB7456">
              <w:rPr>
                <w:noProof/>
              </w:rPr>
              <w:t>40</w:t>
            </w:r>
            <w:r>
              <w:rPr>
                <w:noProof/>
              </w:rPr>
              <w:fldChar w:fldCharType="end"/>
            </w:r>
          </w:p>
        </w:tc>
      </w:tr>
    </w:tbl>
    <w:p w14:paraId="33ED3710" w14:textId="77777777" w:rsidR="00A7521D" w:rsidRDefault="00A7521D" w:rsidP="00A7521D">
      <w:pPr>
        <w:rPr>
          <w:iCs/>
        </w:rPr>
      </w:pPr>
    </w:p>
    <w:p w14:paraId="2E663F26" w14:textId="7E7F44D6" w:rsidR="00A7521D" w:rsidRDefault="00C73E04" w:rsidP="00A7521D">
      <w:pPr>
        <w:rPr>
          <w:iCs/>
        </w:rPr>
      </w:pPr>
      <m:oMath>
        <m:sSub>
          <m:sSubPr>
            <m:ctrlPr>
              <w:rPr>
                <w:rFonts w:ascii="Cambria Math" w:hAnsi="Cambria Math"/>
                <w:i/>
                <w:iCs/>
              </w:rPr>
            </m:ctrlPr>
          </m:sSubPr>
          <m:e>
            <m:r>
              <w:rPr>
                <w:rFonts w:ascii="Cambria Math" w:hAnsi="Cambria Math"/>
              </w:rPr>
              <m:t>D</m:t>
            </m:r>
          </m:e>
          <m:sub>
            <m:r>
              <w:rPr>
                <w:rFonts w:ascii="Cambria Math" w:hAnsi="Cambria Math"/>
              </w:rPr>
              <m:t>h</m:t>
            </m:r>
          </m:sub>
        </m:sSub>
      </m:oMath>
      <w:r w:rsidR="00A7521D">
        <w:rPr>
          <w:iCs/>
        </w:rPr>
        <w:t xml:space="preserve"> was the hydraulic mean diameter.</w:t>
      </w:r>
    </w:p>
    <w:p w14:paraId="41106518" w14:textId="5C6F803C" w:rsidR="0075079C" w:rsidRDefault="0075079C" w:rsidP="00A7521D">
      <w:pPr>
        <w:rPr>
          <w:iCs/>
        </w:rPr>
      </w:pPr>
      <w:r>
        <w:rPr>
          <w:iCs/>
        </w:rPr>
        <w:t xml:space="preserve">The hydraulic mean diameter was dependent on the </w:t>
      </w:r>
      <w:r>
        <w:t>effective plate width.</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37"/>
        <w:gridCol w:w="239"/>
        <w:gridCol w:w="822"/>
      </w:tblGrid>
      <w:tr w:rsidR="00A7521D" w14:paraId="0175DC2E" w14:textId="77777777" w:rsidTr="00A7521D">
        <w:tc>
          <w:tcPr>
            <w:tcW w:w="7137" w:type="dxa"/>
            <w:hideMark/>
          </w:tcPr>
          <w:p w14:paraId="23916295" w14:textId="2DDD8A99" w:rsidR="00A7521D" w:rsidRDefault="00C73E04" w:rsidP="00A7521D">
            <w:pPr>
              <w:keepNext/>
              <w:rPr>
                <w:color w:val="FFFFFF"/>
              </w:rPr>
            </w:pPr>
            <m:oMathPara>
              <m:oMathParaPr>
                <m:jc m:val="left"/>
              </m:oMathParaPr>
              <m:oMath>
                <m:sSub>
                  <m:sSubPr>
                    <m:ctrlPr>
                      <w:rPr>
                        <w:rFonts w:ascii="Cambria Math" w:hAnsi="Cambria Math"/>
                        <w:i/>
                        <w:iCs/>
                      </w:rPr>
                    </m:ctrlPr>
                  </m:sSubPr>
                  <m:e>
                    <m:r>
                      <w:rPr>
                        <w:rFonts w:ascii="Cambria Math" w:hAnsi="Cambria Math"/>
                      </w:rPr>
                      <m:t>Re</m:t>
                    </m:r>
                  </m:e>
                  <m:sub>
                    <m:r>
                      <w:rPr>
                        <w:rFonts w:ascii="Cambria Math" w:hAnsi="Cambria Math"/>
                      </w:rPr>
                      <m:t>h</m:t>
                    </m:r>
                  </m:sub>
                </m:sSub>
                <m:r>
                  <w:rPr>
                    <w:rFonts w:ascii="Cambria Math" w:hAnsi="Cambria Math"/>
                  </w:rPr>
                  <m:t>=</m:t>
                </m:r>
                <m:f>
                  <m:fPr>
                    <m:ctrlPr>
                      <w:rPr>
                        <w:rFonts w:ascii="Cambria Math" w:hAnsi="Cambria Math"/>
                        <w:i/>
                        <w:iCs/>
                      </w:rPr>
                    </m:ctrlPr>
                  </m:fPr>
                  <m:num>
                    <m:sSub>
                      <m:sSubPr>
                        <m:ctrlPr>
                          <w:rPr>
                            <w:rFonts w:ascii="Cambria Math" w:hAnsi="Cambria Math"/>
                            <w:i/>
                            <w:iCs/>
                          </w:rPr>
                        </m:ctrlPr>
                      </m:sSubPr>
                      <m:e>
                        <m:r>
                          <w:rPr>
                            <w:rFonts w:ascii="Cambria Math" w:hAnsi="Cambria Math"/>
                          </w:rPr>
                          <m:t>ρ</m:t>
                        </m:r>
                      </m:e>
                      <m:sub>
                        <m:r>
                          <w:rPr>
                            <w:rFonts w:ascii="Cambria Math" w:hAnsi="Cambria Math"/>
                          </w:rPr>
                          <m:t>h</m:t>
                        </m:r>
                      </m:sub>
                    </m:sSub>
                    <m:sSub>
                      <m:sSubPr>
                        <m:ctrlPr>
                          <w:rPr>
                            <w:rFonts w:ascii="Cambria Math" w:hAnsi="Cambria Math"/>
                            <w:i/>
                            <w:iCs/>
                          </w:rPr>
                        </m:ctrlPr>
                      </m:sSubPr>
                      <m:e>
                        <m:r>
                          <w:rPr>
                            <w:rFonts w:ascii="Cambria Math" w:hAnsi="Cambria Math"/>
                          </w:rPr>
                          <m:t>v</m:t>
                        </m:r>
                      </m:e>
                      <m:sub>
                        <m:r>
                          <w:rPr>
                            <w:rFonts w:ascii="Cambria Math" w:hAnsi="Cambria Math"/>
                          </w:rPr>
                          <m:t>h</m:t>
                        </m:r>
                      </m:sub>
                    </m:sSub>
                    <m:sSub>
                      <m:sSubPr>
                        <m:ctrlPr>
                          <w:rPr>
                            <w:rFonts w:ascii="Cambria Math" w:hAnsi="Cambria Math"/>
                            <w:i/>
                            <w:iCs/>
                          </w:rPr>
                        </m:ctrlPr>
                      </m:sSubPr>
                      <m:e>
                        <m:r>
                          <w:rPr>
                            <w:rFonts w:ascii="Cambria Math" w:hAnsi="Cambria Math"/>
                          </w:rPr>
                          <m:t>D</m:t>
                        </m:r>
                      </m:e>
                      <m:sub>
                        <m:r>
                          <w:rPr>
                            <w:rFonts w:ascii="Cambria Math" w:hAnsi="Cambria Math"/>
                          </w:rPr>
                          <m:t>h</m:t>
                        </m:r>
                      </m:sub>
                    </m:sSub>
                  </m:num>
                  <m:den>
                    <m:sSub>
                      <m:sSubPr>
                        <m:ctrlPr>
                          <w:rPr>
                            <w:rFonts w:ascii="Cambria Math" w:hAnsi="Cambria Math"/>
                            <w:i/>
                            <w:iCs/>
                          </w:rPr>
                        </m:ctrlPr>
                      </m:sSubPr>
                      <m:e>
                        <m:r>
                          <w:rPr>
                            <w:rFonts w:ascii="Cambria Math" w:hAnsi="Cambria Math"/>
                          </w:rPr>
                          <m:t>μ</m:t>
                        </m:r>
                      </m:e>
                      <m:sub>
                        <m:r>
                          <w:rPr>
                            <w:rFonts w:ascii="Cambria Math" w:hAnsi="Cambria Math"/>
                          </w:rPr>
                          <m:t>h</m:t>
                        </m:r>
                      </m:sub>
                    </m:sSub>
                  </m:den>
                </m:f>
              </m:oMath>
            </m:oMathPara>
          </w:p>
        </w:tc>
        <w:tc>
          <w:tcPr>
            <w:tcW w:w="239" w:type="dxa"/>
            <w:vAlign w:val="center"/>
            <w:hideMark/>
          </w:tcPr>
          <w:p w14:paraId="1B7FB670" w14:textId="77777777" w:rsidR="00A7521D" w:rsidRDefault="00A7521D" w:rsidP="00A7521D">
            <w:pPr>
              <w:pStyle w:val="Caption"/>
              <w:jc w:val="right"/>
            </w:pPr>
          </w:p>
        </w:tc>
        <w:tc>
          <w:tcPr>
            <w:tcW w:w="822" w:type="dxa"/>
            <w:vAlign w:val="center"/>
            <w:hideMark/>
          </w:tcPr>
          <w:p w14:paraId="0D86A508" w14:textId="6D0148D8" w:rsidR="00A7521D" w:rsidRDefault="00A7521D" w:rsidP="00A7521D">
            <w:pPr>
              <w:pStyle w:val="Caption"/>
              <w:jc w:val="right"/>
              <w:rPr>
                <w:b w:val="0"/>
              </w:rPr>
            </w:pPr>
            <w:r>
              <w:rPr>
                <w:noProof/>
              </w:rPr>
              <w:fldChar w:fldCharType="begin"/>
            </w:r>
            <w:r>
              <w:rPr>
                <w:noProof/>
              </w:rPr>
              <w:instrText xml:space="preserve"> STYLEREF 1 \s </w:instrText>
            </w:r>
            <w:r>
              <w:rPr>
                <w:noProof/>
              </w:rPr>
              <w:fldChar w:fldCharType="separate"/>
            </w:r>
            <w:r w:rsidR="00CB7456">
              <w:rPr>
                <w:noProof/>
              </w:rPr>
              <w:t>13</w:t>
            </w:r>
            <w:r>
              <w:rPr>
                <w:noProof/>
              </w:rPr>
              <w:fldChar w:fldCharType="end"/>
            </w:r>
            <w:r>
              <w:rPr>
                <w:noProof/>
              </w:rPr>
              <w:t>.</w:t>
            </w:r>
            <w:r>
              <w:rPr>
                <w:noProof/>
              </w:rPr>
              <w:fldChar w:fldCharType="begin"/>
            </w:r>
            <w:r>
              <w:rPr>
                <w:noProof/>
              </w:rPr>
              <w:instrText xml:space="preserve"> SEQ Equation \* ARABIC \s 1 </w:instrText>
            </w:r>
            <w:r>
              <w:rPr>
                <w:noProof/>
              </w:rPr>
              <w:fldChar w:fldCharType="separate"/>
            </w:r>
            <w:r w:rsidR="00CB7456">
              <w:rPr>
                <w:noProof/>
              </w:rPr>
              <w:t>41</w:t>
            </w:r>
            <w:r>
              <w:rPr>
                <w:noProof/>
              </w:rPr>
              <w:fldChar w:fldCharType="end"/>
            </w:r>
          </w:p>
        </w:tc>
      </w:tr>
    </w:tbl>
    <w:p w14:paraId="218C9400" w14:textId="77777777" w:rsidR="00A7521D" w:rsidRPr="00FE799E" w:rsidRDefault="00A7521D" w:rsidP="00A7521D"/>
    <w:p w14:paraId="29167BD3" w14:textId="77777777" w:rsidR="00A7521D" w:rsidRDefault="00C73E04" w:rsidP="00A7521D">
      <w:pPr>
        <w:pStyle w:val="NoSpacing"/>
      </w:pPr>
      <m:oMath>
        <m:sSub>
          <m:sSubPr>
            <m:ctrlPr>
              <w:rPr>
                <w:rFonts w:ascii="Cambria Math" w:hAnsi="Cambria Math"/>
                <w:i/>
              </w:rPr>
            </m:ctrlPr>
          </m:sSubPr>
          <m:e>
            <m:r>
              <w:rPr>
                <w:rFonts w:ascii="Cambria Math" w:hAnsi="Cambria Math"/>
              </w:rPr>
              <m:t>Re</m:t>
            </m:r>
          </m:e>
          <m:sub>
            <m:r>
              <w:rPr>
                <w:rFonts w:ascii="Cambria Math" w:hAnsi="Cambria Math"/>
              </w:rPr>
              <m:t>h</m:t>
            </m:r>
          </m:sub>
        </m:sSub>
      </m:oMath>
      <w:r w:rsidR="00A7521D">
        <w:t xml:space="preserve"> was the hot fluid Reynolds number,</w:t>
      </w:r>
    </w:p>
    <w:p w14:paraId="5E9918FE" w14:textId="3C9752B1" w:rsidR="00A7521D" w:rsidRDefault="00C73E04" w:rsidP="00A7521D">
      <w:pPr>
        <w:rPr>
          <w:iCs/>
        </w:rPr>
      </w:pPr>
      <m:oMath>
        <m:sSub>
          <m:sSubPr>
            <m:ctrlPr>
              <w:rPr>
                <w:rFonts w:ascii="Cambria Math" w:hAnsi="Cambria Math"/>
                <w:i/>
                <w:iCs/>
              </w:rPr>
            </m:ctrlPr>
          </m:sSubPr>
          <m:e>
            <m:r>
              <w:rPr>
                <w:rFonts w:ascii="Cambria Math" w:hAnsi="Cambria Math"/>
              </w:rPr>
              <m:t>μ</m:t>
            </m:r>
          </m:e>
          <m:sub>
            <m:r>
              <w:rPr>
                <w:rFonts w:ascii="Cambria Math" w:hAnsi="Cambria Math"/>
              </w:rPr>
              <m:t>h</m:t>
            </m:r>
          </m:sub>
        </m:sSub>
      </m:oMath>
      <w:r w:rsidR="00A7521D">
        <w:rPr>
          <w:iCs/>
        </w:rPr>
        <w:t xml:space="preserve"> was the hot fluid viscosity (Pas).</w:t>
      </w:r>
    </w:p>
    <w:p w14:paraId="144C226D" w14:textId="0184D584" w:rsidR="0075079C" w:rsidRDefault="0075079C" w:rsidP="00A7521D">
      <w:pPr>
        <w:rPr>
          <w:iCs/>
        </w:rPr>
      </w:pPr>
      <w:r>
        <w:rPr>
          <w:iCs/>
        </w:rPr>
        <w:t xml:space="preserve">The hot fluid Reynolds number was dependent on the HT volume of the hot fluid SA, the hydraulic diameter and the </w:t>
      </w:r>
      <w:r w:rsidR="003F68D3">
        <w:rPr>
          <w:iCs/>
        </w:rPr>
        <w:t>hot fluid viscosity.</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37"/>
        <w:gridCol w:w="239"/>
        <w:gridCol w:w="822"/>
      </w:tblGrid>
      <w:tr w:rsidR="00A7521D" w14:paraId="2D91A99C" w14:textId="77777777" w:rsidTr="00A7521D">
        <w:tc>
          <w:tcPr>
            <w:tcW w:w="7137" w:type="dxa"/>
            <w:hideMark/>
          </w:tcPr>
          <w:p w14:paraId="3260A779" w14:textId="77777777" w:rsidR="00A7521D" w:rsidRDefault="00C73E04" w:rsidP="00A7521D">
            <w:pPr>
              <w:keepNext/>
              <w:rPr>
                <w:color w:val="FFFFFF"/>
              </w:rPr>
            </w:pPr>
            <m:oMathPara>
              <m:oMathParaPr>
                <m:jc m:val="left"/>
              </m:oMathParaPr>
              <m:oMath>
                <m:sSub>
                  <m:sSubPr>
                    <m:ctrlPr>
                      <w:rPr>
                        <w:rFonts w:ascii="Cambria Math" w:hAnsi="Cambria Math"/>
                        <w:i/>
                        <w:iCs/>
                      </w:rPr>
                    </m:ctrlPr>
                  </m:sSubPr>
                  <m:e>
                    <m:r>
                      <w:rPr>
                        <w:rFonts w:ascii="Cambria Math" w:hAnsi="Cambria Math"/>
                      </w:rPr>
                      <m:t>Pr</m:t>
                    </m:r>
                  </m:e>
                  <m:sub>
                    <m:r>
                      <w:rPr>
                        <w:rFonts w:ascii="Cambria Math" w:hAnsi="Cambria Math"/>
                      </w:rPr>
                      <m:t>h</m:t>
                    </m:r>
                  </m:sub>
                </m:sSub>
                <m:r>
                  <w:rPr>
                    <w:rFonts w:ascii="Cambria Math" w:hAnsi="Cambria Math"/>
                  </w:rPr>
                  <m:t>=</m:t>
                </m:r>
                <m:f>
                  <m:fPr>
                    <m:ctrlPr>
                      <w:rPr>
                        <w:rFonts w:ascii="Cambria Math" w:hAnsi="Cambria Math"/>
                        <w:i/>
                        <w:iCs/>
                      </w:rPr>
                    </m:ctrlPr>
                  </m:fPr>
                  <m:num>
                    <m:sSub>
                      <m:sSubPr>
                        <m:ctrlPr>
                          <w:rPr>
                            <w:rFonts w:ascii="Cambria Math" w:hAnsi="Cambria Math"/>
                            <w:i/>
                            <w:iCs/>
                          </w:rPr>
                        </m:ctrlPr>
                      </m:sSubPr>
                      <m:e>
                        <m:r>
                          <w:rPr>
                            <w:rFonts w:ascii="Cambria Math" w:hAnsi="Cambria Math"/>
                          </w:rPr>
                          <m:t>c</m:t>
                        </m:r>
                      </m:e>
                      <m:sub>
                        <m:r>
                          <w:rPr>
                            <w:rFonts w:ascii="Cambria Math" w:hAnsi="Cambria Math"/>
                          </w:rPr>
                          <m:t>p,h</m:t>
                        </m:r>
                      </m:sub>
                    </m:sSub>
                    <m:sSub>
                      <m:sSubPr>
                        <m:ctrlPr>
                          <w:rPr>
                            <w:rFonts w:ascii="Cambria Math" w:hAnsi="Cambria Math"/>
                            <w:i/>
                            <w:iCs/>
                          </w:rPr>
                        </m:ctrlPr>
                      </m:sSubPr>
                      <m:e>
                        <m:r>
                          <w:rPr>
                            <w:rFonts w:ascii="Cambria Math" w:hAnsi="Cambria Math"/>
                          </w:rPr>
                          <m:t>μ</m:t>
                        </m:r>
                      </m:e>
                      <m:sub>
                        <m:r>
                          <w:rPr>
                            <w:rFonts w:ascii="Cambria Math" w:hAnsi="Cambria Math"/>
                          </w:rPr>
                          <m:t>h</m:t>
                        </m:r>
                      </m:sub>
                    </m:sSub>
                  </m:num>
                  <m:den>
                    <m:sSub>
                      <m:sSubPr>
                        <m:ctrlPr>
                          <w:rPr>
                            <w:rFonts w:ascii="Cambria Math" w:hAnsi="Cambria Math"/>
                            <w:i/>
                            <w:iCs/>
                          </w:rPr>
                        </m:ctrlPr>
                      </m:sSubPr>
                      <m:e>
                        <m:r>
                          <w:rPr>
                            <w:rFonts w:ascii="Cambria Math" w:hAnsi="Cambria Math"/>
                          </w:rPr>
                          <m:t>k</m:t>
                        </m:r>
                      </m:e>
                      <m:sub>
                        <m:r>
                          <w:rPr>
                            <w:rFonts w:ascii="Cambria Math" w:hAnsi="Cambria Math"/>
                          </w:rPr>
                          <m:t>f,h</m:t>
                        </m:r>
                      </m:sub>
                    </m:sSub>
                  </m:den>
                </m:f>
              </m:oMath>
            </m:oMathPara>
          </w:p>
        </w:tc>
        <w:tc>
          <w:tcPr>
            <w:tcW w:w="239" w:type="dxa"/>
            <w:vAlign w:val="center"/>
            <w:hideMark/>
          </w:tcPr>
          <w:p w14:paraId="41058AFF" w14:textId="77777777" w:rsidR="00A7521D" w:rsidRDefault="00A7521D" w:rsidP="00A7521D">
            <w:pPr>
              <w:pStyle w:val="Caption"/>
              <w:jc w:val="right"/>
            </w:pPr>
          </w:p>
        </w:tc>
        <w:tc>
          <w:tcPr>
            <w:tcW w:w="822" w:type="dxa"/>
            <w:vAlign w:val="center"/>
            <w:hideMark/>
          </w:tcPr>
          <w:p w14:paraId="0CB241C4" w14:textId="59691E70" w:rsidR="00A7521D" w:rsidRDefault="00A7521D" w:rsidP="00A7521D">
            <w:pPr>
              <w:pStyle w:val="Caption"/>
              <w:jc w:val="right"/>
              <w:rPr>
                <w:b w:val="0"/>
              </w:rPr>
            </w:pPr>
            <w:r>
              <w:rPr>
                <w:noProof/>
              </w:rPr>
              <w:fldChar w:fldCharType="begin"/>
            </w:r>
            <w:r>
              <w:rPr>
                <w:noProof/>
              </w:rPr>
              <w:instrText xml:space="preserve"> STYLEREF 1 \s </w:instrText>
            </w:r>
            <w:r>
              <w:rPr>
                <w:noProof/>
              </w:rPr>
              <w:fldChar w:fldCharType="separate"/>
            </w:r>
            <w:r w:rsidR="00CB7456">
              <w:rPr>
                <w:noProof/>
              </w:rPr>
              <w:t>13</w:t>
            </w:r>
            <w:r>
              <w:rPr>
                <w:noProof/>
              </w:rPr>
              <w:fldChar w:fldCharType="end"/>
            </w:r>
            <w:r>
              <w:rPr>
                <w:noProof/>
              </w:rPr>
              <w:t>.</w:t>
            </w:r>
            <w:r>
              <w:rPr>
                <w:noProof/>
              </w:rPr>
              <w:fldChar w:fldCharType="begin"/>
            </w:r>
            <w:r>
              <w:rPr>
                <w:noProof/>
              </w:rPr>
              <w:instrText xml:space="preserve"> SEQ Equation \* ARABIC \s 1 </w:instrText>
            </w:r>
            <w:r>
              <w:rPr>
                <w:noProof/>
              </w:rPr>
              <w:fldChar w:fldCharType="separate"/>
            </w:r>
            <w:r w:rsidR="00CB7456">
              <w:rPr>
                <w:noProof/>
              </w:rPr>
              <w:t>42</w:t>
            </w:r>
            <w:r>
              <w:rPr>
                <w:noProof/>
              </w:rPr>
              <w:fldChar w:fldCharType="end"/>
            </w:r>
          </w:p>
        </w:tc>
      </w:tr>
    </w:tbl>
    <w:p w14:paraId="4824A25C" w14:textId="77777777" w:rsidR="00A7521D" w:rsidRDefault="00A7521D" w:rsidP="00A7521D">
      <w:pPr>
        <w:rPr>
          <w:iCs/>
        </w:rPr>
      </w:pPr>
    </w:p>
    <w:p w14:paraId="40757159" w14:textId="77777777" w:rsidR="00A7521D" w:rsidRDefault="00C73E04" w:rsidP="00A7521D">
      <w:pPr>
        <w:pStyle w:val="NoSpacing"/>
      </w:pPr>
      <m:oMath>
        <m:sSub>
          <m:sSubPr>
            <m:ctrlPr>
              <w:rPr>
                <w:rFonts w:ascii="Cambria Math" w:hAnsi="Cambria Math"/>
                <w:i/>
              </w:rPr>
            </m:ctrlPr>
          </m:sSubPr>
          <m:e>
            <m:r>
              <w:rPr>
                <w:rFonts w:ascii="Cambria Math" w:hAnsi="Cambria Math"/>
              </w:rPr>
              <m:t>Pr</m:t>
            </m:r>
          </m:e>
          <m:sub>
            <m:r>
              <w:rPr>
                <w:rFonts w:ascii="Cambria Math" w:hAnsi="Cambria Math"/>
              </w:rPr>
              <m:t>h</m:t>
            </m:r>
          </m:sub>
        </m:sSub>
      </m:oMath>
      <w:r w:rsidR="00A7521D">
        <w:t xml:space="preserve"> was the hot fluid Prandtl number,</w:t>
      </w:r>
    </w:p>
    <w:p w14:paraId="748A3992" w14:textId="77777777" w:rsidR="00A7521D" w:rsidRDefault="00C73E04" w:rsidP="00A7521D">
      <w:pPr>
        <w:pStyle w:val="NoSpacing"/>
      </w:pPr>
      <m:oMath>
        <m:sSub>
          <m:sSubPr>
            <m:ctrlPr>
              <w:rPr>
                <w:rFonts w:ascii="Cambria Math" w:hAnsi="Cambria Math"/>
                <w:i/>
              </w:rPr>
            </m:ctrlPr>
          </m:sSubPr>
          <m:e>
            <m:r>
              <w:rPr>
                <w:rFonts w:ascii="Cambria Math" w:hAnsi="Cambria Math"/>
              </w:rPr>
              <m:t>c</m:t>
            </m:r>
          </m:e>
          <m:sub>
            <m:r>
              <w:rPr>
                <w:rFonts w:ascii="Cambria Math" w:hAnsi="Cambria Math"/>
              </w:rPr>
              <m:t>p,h</m:t>
            </m:r>
          </m:sub>
        </m:sSub>
      </m:oMath>
      <w:r w:rsidR="00A7521D">
        <w:t xml:space="preserve"> was the hot fluid specific heat capacity (kJ/[kg°C]),</w:t>
      </w:r>
    </w:p>
    <w:p w14:paraId="75CF98DC" w14:textId="5FFFDFE0" w:rsidR="00A7521D" w:rsidRDefault="00C73E04" w:rsidP="00A7521D">
      <w:pPr>
        <w:rPr>
          <w:iCs/>
        </w:rPr>
      </w:pPr>
      <m:oMath>
        <m:sSub>
          <m:sSubPr>
            <m:ctrlPr>
              <w:rPr>
                <w:rFonts w:ascii="Cambria Math" w:hAnsi="Cambria Math"/>
                <w:i/>
                <w:iCs/>
              </w:rPr>
            </m:ctrlPr>
          </m:sSubPr>
          <m:e>
            <m:r>
              <w:rPr>
                <w:rFonts w:ascii="Cambria Math" w:hAnsi="Cambria Math"/>
              </w:rPr>
              <m:t>k</m:t>
            </m:r>
          </m:e>
          <m:sub>
            <m:r>
              <w:rPr>
                <w:rFonts w:ascii="Cambria Math" w:hAnsi="Cambria Math"/>
              </w:rPr>
              <m:t>f,h</m:t>
            </m:r>
          </m:sub>
        </m:sSub>
      </m:oMath>
      <w:r w:rsidR="00A7521D">
        <w:rPr>
          <w:iCs/>
        </w:rPr>
        <w:t xml:space="preserve"> was the </w:t>
      </w:r>
      <w:r w:rsidR="00A7521D">
        <w:t xml:space="preserve">hot fluid </w:t>
      </w:r>
      <w:r w:rsidR="00A7521D">
        <w:rPr>
          <w:iCs/>
        </w:rPr>
        <w:t>thermal conductivity (W/[</w:t>
      </w:r>
      <w:proofErr w:type="spellStart"/>
      <w:r w:rsidR="00A7521D">
        <w:rPr>
          <w:iCs/>
        </w:rPr>
        <w:t>mK</w:t>
      </w:r>
      <w:proofErr w:type="spellEnd"/>
      <w:r w:rsidR="00A7521D">
        <w:rPr>
          <w:iCs/>
        </w:rPr>
        <w:t>]).</w:t>
      </w:r>
    </w:p>
    <w:p w14:paraId="763C73AF" w14:textId="59B95866" w:rsidR="003F68D3" w:rsidRDefault="003F68D3" w:rsidP="00A7521D">
      <w:pPr>
        <w:rPr>
          <w:iCs/>
        </w:rPr>
      </w:pPr>
      <w:r>
        <w:rPr>
          <w:iCs/>
        </w:rPr>
        <w:t xml:space="preserve">The hot fluid Prandtl number </w:t>
      </w:r>
      <w:r w:rsidR="007E36ED">
        <w:rPr>
          <w:iCs/>
        </w:rPr>
        <w:t>was dependent on the hot fluid specific heat capacity, viscosity and thermal conductivity which were dependent on the choice of fluid and operating conditions.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37"/>
        <w:gridCol w:w="239"/>
        <w:gridCol w:w="822"/>
      </w:tblGrid>
      <w:tr w:rsidR="00A7521D" w14:paraId="67DD65AC" w14:textId="77777777" w:rsidTr="00A7521D">
        <w:tc>
          <w:tcPr>
            <w:tcW w:w="7137" w:type="dxa"/>
            <w:hideMark/>
          </w:tcPr>
          <w:p w14:paraId="382835D2" w14:textId="77777777" w:rsidR="00A7521D" w:rsidRDefault="00C73E04" w:rsidP="00A7521D">
            <w:pPr>
              <w:keepNext/>
              <w:rPr>
                <w:color w:val="FFFFFF"/>
              </w:rPr>
            </w:pPr>
            <m:oMathPara>
              <m:oMathParaPr>
                <m:jc m:val="left"/>
              </m:oMathParaPr>
              <m:oMath>
                <m:sSub>
                  <m:sSubPr>
                    <m:ctrlPr>
                      <w:rPr>
                        <w:rFonts w:ascii="Cambria Math" w:hAnsi="Cambria Math"/>
                        <w:i/>
                        <w:iCs/>
                      </w:rPr>
                    </m:ctrlPr>
                  </m:sSubPr>
                  <m:e>
                    <m:r>
                      <w:rPr>
                        <w:rFonts w:ascii="Cambria Math" w:hAnsi="Cambria Math"/>
                      </w:rPr>
                      <m:t>Nu</m:t>
                    </m:r>
                  </m:e>
                  <m:sub>
                    <m:r>
                      <w:rPr>
                        <w:rFonts w:ascii="Cambria Math" w:hAnsi="Cambria Math"/>
                      </w:rPr>
                      <m:t>h</m:t>
                    </m:r>
                  </m:sub>
                </m:sSub>
                <m:r>
                  <w:rPr>
                    <w:rFonts w:ascii="Cambria Math" w:hAnsi="Cambria Math"/>
                  </w:rPr>
                  <m:t>=0.26</m:t>
                </m:r>
                <m:sSubSup>
                  <m:sSubSupPr>
                    <m:ctrlPr>
                      <w:rPr>
                        <w:rFonts w:ascii="Cambria Math" w:hAnsi="Cambria Math"/>
                        <w:i/>
                        <w:iCs/>
                      </w:rPr>
                    </m:ctrlPr>
                  </m:sSubSupPr>
                  <m:e>
                    <m:r>
                      <w:rPr>
                        <w:rFonts w:ascii="Cambria Math" w:hAnsi="Cambria Math"/>
                      </w:rPr>
                      <m:t>Re</m:t>
                    </m:r>
                  </m:e>
                  <m:sub>
                    <m:r>
                      <w:rPr>
                        <w:rFonts w:ascii="Cambria Math" w:hAnsi="Cambria Math"/>
                      </w:rPr>
                      <m:t>h</m:t>
                    </m:r>
                  </m:sub>
                  <m:sup>
                    <m:r>
                      <w:rPr>
                        <w:rFonts w:ascii="Cambria Math" w:hAnsi="Cambria Math"/>
                      </w:rPr>
                      <m:t>0.65</m:t>
                    </m:r>
                  </m:sup>
                </m:sSubSup>
                <m:sSubSup>
                  <m:sSubSupPr>
                    <m:ctrlPr>
                      <w:rPr>
                        <w:rFonts w:ascii="Cambria Math" w:hAnsi="Cambria Math"/>
                        <w:i/>
                        <w:iCs/>
                      </w:rPr>
                    </m:ctrlPr>
                  </m:sSubSupPr>
                  <m:e>
                    <m:r>
                      <w:rPr>
                        <w:rFonts w:ascii="Cambria Math" w:hAnsi="Cambria Math"/>
                      </w:rPr>
                      <m:t>Pr</m:t>
                    </m:r>
                  </m:e>
                  <m:sub>
                    <m:r>
                      <w:rPr>
                        <w:rFonts w:ascii="Cambria Math" w:hAnsi="Cambria Math"/>
                      </w:rPr>
                      <m:t>h</m:t>
                    </m:r>
                  </m:sub>
                  <m:sup>
                    <m:r>
                      <w:rPr>
                        <w:rFonts w:ascii="Cambria Math" w:hAnsi="Cambria Math"/>
                      </w:rPr>
                      <m:t>0.4</m:t>
                    </m:r>
                  </m:sup>
                </m:sSubSup>
              </m:oMath>
            </m:oMathPara>
          </w:p>
        </w:tc>
        <w:tc>
          <w:tcPr>
            <w:tcW w:w="239" w:type="dxa"/>
            <w:vAlign w:val="center"/>
            <w:hideMark/>
          </w:tcPr>
          <w:p w14:paraId="79A5838A" w14:textId="77777777" w:rsidR="00A7521D" w:rsidRDefault="00A7521D" w:rsidP="00A7521D">
            <w:pPr>
              <w:pStyle w:val="Caption"/>
              <w:jc w:val="right"/>
            </w:pPr>
          </w:p>
        </w:tc>
        <w:tc>
          <w:tcPr>
            <w:tcW w:w="822" w:type="dxa"/>
            <w:vAlign w:val="center"/>
            <w:hideMark/>
          </w:tcPr>
          <w:p w14:paraId="5DB4458F" w14:textId="7F0EA92C" w:rsidR="00A7521D" w:rsidRDefault="00A7521D" w:rsidP="00A7521D">
            <w:pPr>
              <w:pStyle w:val="Caption"/>
              <w:jc w:val="right"/>
              <w:rPr>
                <w:b w:val="0"/>
              </w:rPr>
            </w:pPr>
            <w:r>
              <w:rPr>
                <w:noProof/>
              </w:rPr>
              <w:fldChar w:fldCharType="begin"/>
            </w:r>
            <w:r>
              <w:rPr>
                <w:noProof/>
              </w:rPr>
              <w:instrText xml:space="preserve"> STYLEREF 1 \s </w:instrText>
            </w:r>
            <w:r>
              <w:rPr>
                <w:noProof/>
              </w:rPr>
              <w:fldChar w:fldCharType="separate"/>
            </w:r>
            <w:r w:rsidR="00CB7456">
              <w:rPr>
                <w:noProof/>
              </w:rPr>
              <w:t>13</w:t>
            </w:r>
            <w:r>
              <w:rPr>
                <w:noProof/>
              </w:rPr>
              <w:fldChar w:fldCharType="end"/>
            </w:r>
            <w:r>
              <w:rPr>
                <w:noProof/>
              </w:rPr>
              <w:t>.</w:t>
            </w:r>
            <w:r>
              <w:rPr>
                <w:noProof/>
              </w:rPr>
              <w:fldChar w:fldCharType="begin"/>
            </w:r>
            <w:r>
              <w:rPr>
                <w:noProof/>
              </w:rPr>
              <w:instrText xml:space="preserve"> SEQ Equation \* ARABIC \s 1 </w:instrText>
            </w:r>
            <w:r>
              <w:rPr>
                <w:noProof/>
              </w:rPr>
              <w:fldChar w:fldCharType="separate"/>
            </w:r>
            <w:r w:rsidR="00CB7456">
              <w:rPr>
                <w:noProof/>
              </w:rPr>
              <w:t>43</w:t>
            </w:r>
            <w:r>
              <w:rPr>
                <w:noProof/>
              </w:rPr>
              <w:fldChar w:fldCharType="end"/>
            </w:r>
          </w:p>
        </w:tc>
      </w:tr>
    </w:tbl>
    <w:p w14:paraId="339278D0" w14:textId="77777777" w:rsidR="00A7521D" w:rsidRDefault="00A7521D" w:rsidP="00A7521D">
      <w:pPr>
        <w:rPr>
          <w:iCs/>
        </w:rPr>
      </w:pPr>
    </w:p>
    <w:p w14:paraId="15318AAC" w14:textId="368132A6" w:rsidR="00A7521D" w:rsidRDefault="00C73E04" w:rsidP="00A7521D">
      <m:oMath>
        <m:sSub>
          <m:sSubPr>
            <m:ctrlPr>
              <w:rPr>
                <w:rFonts w:ascii="Cambria Math" w:hAnsi="Cambria Math"/>
                <w:i/>
              </w:rPr>
            </m:ctrlPr>
          </m:sSubPr>
          <m:e>
            <m:r>
              <w:rPr>
                <w:rFonts w:ascii="Cambria Math" w:hAnsi="Cambria Math"/>
              </w:rPr>
              <m:t>Nu</m:t>
            </m:r>
          </m:e>
          <m:sub>
            <m:r>
              <w:rPr>
                <w:rFonts w:ascii="Cambria Math" w:hAnsi="Cambria Math"/>
              </w:rPr>
              <m:t>h</m:t>
            </m:r>
          </m:sub>
        </m:sSub>
      </m:oMath>
      <w:r w:rsidR="00A7521D">
        <w:t xml:space="preserve"> was the hot fluid Nus</w:t>
      </w:r>
      <w:proofErr w:type="spellStart"/>
      <w:r w:rsidR="00A7521D">
        <w:t>selt</w:t>
      </w:r>
      <w:proofErr w:type="spellEnd"/>
      <w:r w:rsidR="00A7521D">
        <w:t xml:space="preserve"> number.</w:t>
      </w:r>
    </w:p>
    <w:p w14:paraId="1580D755" w14:textId="37FE8F37" w:rsidR="007E36ED" w:rsidRDefault="007E36ED" w:rsidP="00A7521D">
      <w:r>
        <w:t>The hot fluid Nusselt number was dependent on the hot fluid Reynold and Prandtl numbers.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37"/>
        <w:gridCol w:w="239"/>
        <w:gridCol w:w="822"/>
      </w:tblGrid>
      <w:tr w:rsidR="00A7521D" w14:paraId="7377EE89" w14:textId="77777777" w:rsidTr="00A7521D">
        <w:tc>
          <w:tcPr>
            <w:tcW w:w="7137" w:type="dxa"/>
            <w:hideMark/>
          </w:tcPr>
          <w:p w14:paraId="28A1AA6C" w14:textId="4A9152E9" w:rsidR="00A7521D" w:rsidRDefault="00C73E04" w:rsidP="00A7521D">
            <w:pPr>
              <w:keepNext/>
              <w:rPr>
                <w:color w:val="FFFFFF"/>
              </w:rPr>
            </w:pPr>
            <m:oMathPara>
              <m:oMathParaPr>
                <m:jc m:val="left"/>
              </m:oMathParaPr>
              <m:oMath>
                <m:sSub>
                  <m:sSubPr>
                    <m:ctrlPr>
                      <w:rPr>
                        <w:rFonts w:ascii="Cambria Math" w:hAnsi="Cambria Math"/>
                        <w:i/>
                        <w:iCs/>
                      </w:rPr>
                    </m:ctrlPr>
                  </m:sSubPr>
                  <m:e>
                    <m:r>
                      <w:rPr>
                        <w:rFonts w:ascii="Cambria Math" w:hAnsi="Cambria Math"/>
                      </w:rPr>
                      <m:t>h</m:t>
                    </m:r>
                  </m:e>
                  <m:sub>
                    <m:r>
                      <w:rPr>
                        <w:rFonts w:ascii="Cambria Math" w:hAnsi="Cambria Math"/>
                      </w:rPr>
                      <m:t>pl,h</m:t>
                    </m:r>
                  </m:sub>
                </m:sSub>
                <m:r>
                  <w:rPr>
                    <w:rFonts w:ascii="Cambria Math" w:hAnsi="Cambria Math"/>
                  </w:rPr>
                  <m:t>=</m:t>
                </m:r>
                <m:f>
                  <m:fPr>
                    <m:ctrlPr>
                      <w:rPr>
                        <w:rFonts w:ascii="Cambria Math" w:hAnsi="Cambria Math"/>
                        <w:i/>
                        <w:iCs/>
                      </w:rPr>
                    </m:ctrlPr>
                  </m:fPr>
                  <m:num>
                    <m:sSub>
                      <m:sSubPr>
                        <m:ctrlPr>
                          <w:rPr>
                            <w:rFonts w:ascii="Cambria Math" w:hAnsi="Cambria Math"/>
                            <w:i/>
                            <w:iCs/>
                          </w:rPr>
                        </m:ctrlPr>
                      </m:sSubPr>
                      <m:e>
                        <m:r>
                          <w:rPr>
                            <w:rFonts w:ascii="Cambria Math" w:hAnsi="Cambria Math"/>
                          </w:rPr>
                          <m:t>Nu</m:t>
                        </m:r>
                      </m:e>
                      <m:sub>
                        <m:r>
                          <w:rPr>
                            <w:rFonts w:ascii="Cambria Math" w:hAnsi="Cambria Math"/>
                          </w:rPr>
                          <m:t>h</m:t>
                        </m:r>
                      </m:sub>
                    </m:sSub>
                    <m:sSub>
                      <m:sSubPr>
                        <m:ctrlPr>
                          <w:rPr>
                            <w:rFonts w:ascii="Cambria Math" w:hAnsi="Cambria Math"/>
                            <w:i/>
                            <w:iCs/>
                          </w:rPr>
                        </m:ctrlPr>
                      </m:sSubPr>
                      <m:e>
                        <m:r>
                          <w:rPr>
                            <w:rFonts w:ascii="Cambria Math" w:hAnsi="Cambria Math"/>
                          </w:rPr>
                          <m:t>k</m:t>
                        </m:r>
                      </m:e>
                      <m:sub>
                        <m:r>
                          <w:rPr>
                            <w:rFonts w:ascii="Cambria Math" w:hAnsi="Cambria Math"/>
                          </w:rPr>
                          <m:t>f,h</m:t>
                        </m:r>
                      </m:sub>
                    </m:sSub>
                  </m:num>
                  <m:den>
                    <m:sSub>
                      <m:sSubPr>
                        <m:ctrlPr>
                          <w:rPr>
                            <w:rFonts w:ascii="Cambria Math" w:hAnsi="Cambria Math"/>
                            <w:i/>
                            <w:iCs/>
                          </w:rPr>
                        </m:ctrlPr>
                      </m:sSubPr>
                      <m:e>
                        <m:r>
                          <w:rPr>
                            <w:rFonts w:ascii="Cambria Math" w:hAnsi="Cambria Math"/>
                          </w:rPr>
                          <m:t>D</m:t>
                        </m:r>
                      </m:e>
                      <m:sub>
                        <m:r>
                          <w:rPr>
                            <w:rFonts w:ascii="Cambria Math" w:hAnsi="Cambria Math"/>
                          </w:rPr>
                          <m:t>h</m:t>
                        </m:r>
                      </m:sub>
                    </m:sSub>
                  </m:den>
                </m:f>
              </m:oMath>
            </m:oMathPara>
          </w:p>
        </w:tc>
        <w:tc>
          <w:tcPr>
            <w:tcW w:w="239" w:type="dxa"/>
            <w:vAlign w:val="center"/>
            <w:hideMark/>
          </w:tcPr>
          <w:p w14:paraId="5D13C514" w14:textId="77777777" w:rsidR="00A7521D" w:rsidRDefault="00A7521D" w:rsidP="00A7521D">
            <w:pPr>
              <w:pStyle w:val="Caption"/>
              <w:jc w:val="right"/>
            </w:pPr>
          </w:p>
        </w:tc>
        <w:tc>
          <w:tcPr>
            <w:tcW w:w="822" w:type="dxa"/>
            <w:vAlign w:val="center"/>
            <w:hideMark/>
          </w:tcPr>
          <w:p w14:paraId="5A7C73EB" w14:textId="6A3089B7" w:rsidR="00A7521D" w:rsidRDefault="00A7521D" w:rsidP="00A7521D">
            <w:pPr>
              <w:pStyle w:val="Caption"/>
              <w:jc w:val="right"/>
              <w:rPr>
                <w:b w:val="0"/>
              </w:rPr>
            </w:pPr>
            <w:r>
              <w:rPr>
                <w:noProof/>
              </w:rPr>
              <w:fldChar w:fldCharType="begin"/>
            </w:r>
            <w:r>
              <w:rPr>
                <w:noProof/>
              </w:rPr>
              <w:instrText xml:space="preserve"> STYLEREF 1 \s </w:instrText>
            </w:r>
            <w:r>
              <w:rPr>
                <w:noProof/>
              </w:rPr>
              <w:fldChar w:fldCharType="separate"/>
            </w:r>
            <w:r w:rsidR="00CB7456">
              <w:rPr>
                <w:noProof/>
              </w:rPr>
              <w:t>13</w:t>
            </w:r>
            <w:r>
              <w:rPr>
                <w:noProof/>
              </w:rPr>
              <w:fldChar w:fldCharType="end"/>
            </w:r>
            <w:r>
              <w:rPr>
                <w:noProof/>
              </w:rPr>
              <w:t>.</w:t>
            </w:r>
            <w:r>
              <w:rPr>
                <w:noProof/>
              </w:rPr>
              <w:fldChar w:fldCharType="begin"/>
            </w:r>
            <w:r>
              <w:rPr>
                <w:noProof/>
              </w:rPr>
              <w:instrText xml:space="preserve"> SEQ Equation \* ARABIC \s 1 </w:instrText>
            </w:r>
            <w:r>
              <w:rPr>
                <w:noProof/>
              </w:rPr>
              <w:fldChar w:fldCharType="separate"/>
            </w:r>
            <w:r w:rsidR="00CB7456">
              <w:rPr>
                <w:noProof/>
              </w:rPr>
              <w:t>44</w:t>
            </w:r>
            <w:r>
              <w:rPr>
                <w:noProof/>
              </w:rPr>
              <w:fldChar w:fldCharType="end"/>
            </w:r>
          </w:p>
        </w:tc>
      </w:tr>
    </w:tbl>
    <w:p w14:paraId="5B06FAC0" w14:textId="77777777" w:rsidR="00A7521D" w:rsidRDefault="00A7521D" w:rsidP="00A7521D"/>
    <w:p w14:paraId="35CE70B1" w14:textId="32DA2F75" w:rsidR="00A7521D" w:rsidRDefault="00C73E04" w:rsidP="00A7521D">
      <w:pPr>
        <w:rPr>
          <w:iCs/>
        </w:rPr>
      </w:pPr>
      <m:oMath>
        <m:sSub>
          <m:sSubPr>
            <m:ctrlPr>
              <w:rPr>
                <w:rFonts w:ascii="Cambria Math" w:hAnsi="Cambria Math"/>
                <w:i/>
                <w:iCs/>
              </w:rPr>
            </m:ctrlPr>
          </m:sSubPr>
          <m:e>
            <m:r>
              <w:rPr>
                <w:rFonts w:ascii="Cambria Math" w:hAnsi="Cambria Math"/>
              </w:rPr>
              <m:t>h</m:t>
            </m:r>
          </m:e>
          <m:sub>
            <m:r>
              <w:rPr>
                <w:rFonts w:ascii="Cambria Math" w:hAnsi="Cambria Math"/>
              </w:rPr>
              <m:t>pl,h</m:t>
            </m:r>
          </m:sub>
        </m:sSub>
      </m:oMath>
      <w:r w:rsidR="00A7521D">
        <w:rPr>
          <w:iCs/>
        </w:rPr>
        <w:t xml:space="preserve"> was the hot fluid plate film coefficient (W/[m</w:t>
      </w:r>
      <w:r w:rsidR="00A7521D">
        <w:rPr>
          <w:iCs/>
          <w:vertAlign w:val="superscript"/>
        </w:rPr>
        <w:t>2</w:t>
      </w:r>
      <w:r w:rsidR="00A7521D">
        <w:rPr>
          <w:iCs/>
        </w:rPr>
        <w:t>°C]).</w:t>
      </w:r>
    </w:p>
    <w:p w14:paraId="775B68C0" w14:textId="1BE56EDE" w:rsidR="00696755" w:rsidRDefault="00696755" w:rsidP="00A7521D">
      <w:pPr>
        <w:rPr>
          <w:iCs/>
        </w:rPr>
      </w:pPr>
      <w:r>
        <w:rPr>
          <w:iCs/>
        </w:rPr>
        <w:t xml:space="preserve">The hot fluid plate film coefficient was dependent on the </w:t>
      </w:r>
      <w:r>
        <w:t xml:space="preserve">hot fluid Nusselt number, the hot fluid </w:t>
      </w:r>
      <w:r>
        <w:rPr>
          <w:iCs/>
        </w:rPr>
        <w:t>thermal conductivity and the hydraulic mean diameter.</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37"/>
        <w:gridCol w:w="239"/>
        <w:gridCol w:w="822"/>
      </w:tblGrid>
      <w:tr w:rsidR="00A7521D" w14:paraId="7468B38B" w14:textId="77777777" w:rsidTr="00A7521D">
        <w:tc>
          <w:tcPr>
            <w:tcW w:w="7137" w:type="dxa"/>
            <w:hideMark/>
          </w:tcPr>
          <w:p w14:paraId="4BC60114" w14:textId="1CE99EED" w:rsidR="00A7521D" w:rsidRDefault="00C73E04" w:rsidP="00A7521D">
            <w:pPr>
              <w:keepNext/>
              <w:rPr>
                <w:color w:val="FFFFFF"/>
              </w:rPr>
            </w:pPr>
            <m:oMathPara>
              <m:oMathParaPr>
                <m:jc m:val="left"/>
              </m:oMathParaPr>
              <m:oMath>
                <m:sSub>
                  <m:sSubPr>
                    <m:ctrlPr>
                      <w:rPr>
                        <w:rFonts w:ascii="Cambria Math" w:hAnsi="Cambria Math"/>
                        <w:i/>
                        <w:iCs/>
                      </w:rPr>
                    </m:ctrlPr>
                  </m:sSubPr>
                  <m:e>
                    <m:r>
                      <w:rPr>
                        <w:rFonts w:ascii="Cambria Math" w:hAnsi="Cambria Math"/>
                      </w:rPr>
                      <m:t>v</m:t>
                    </m:r>
                  </m:e>
                  <m:sub>
                    <m:r>
                      <w:rPr>
                        <w:rFonts w:ascii="Cambria Math" w:hAnsi="Cambria Math"/>
                      </w:rPr>
                      <m:t>c</m:t>
                    </m:r>
                  </m:sub>
                </m:sSub>
                <m:r>
                  <w:rPr>
                    <w:rFonts w:ascii="Cambria Math" w:hAnsi="Cambria Math"/>
                  </w:rPr>
                  <m:t>=</m:t>
                </m:r>
                <m:f>
                  <m:fPr>
                    <m:ctrlPr>
                      <w:rPr>
                        <w:rFonts w:ascii="Cambria Math" w:hAnsi="Cambria Math"/>
                        <w:i/>
                        <w:iCs/>
                      </w:rPr>
                    </m:ctrlPr>
                  </m:fPr>
                  <m:num>
                    <m:sSub>
                      <m:sSubPr>
                        <m:ctrlPr>
                          <w:rPr>
                            <w:rFonts w:ascii="Cambria Math" w:hAnsi="Cambria Math"/>
                            <w:i/>
                            <w:iCs/>
                          </w:rPr>
                        </m:ctrlPr>
                      </m:sSubPr>
                      <m:e>
                        <m:acc>
                          <m:accPr>
                            <m:chr m:val="̇"/>
                            <m:ctrlPr>
                              <w:rPr>
                                <w:rFonts w:ascii="Cambria Math" w:hAnsi="Cambria Math"/>
                                <w:i/>
                                <w:iCs/>
                              </w:rPr>
                            </m:ctrlPr>
                          </m:accPr>
                          <m:e>
                            <m:r>
                              <w:rPr>
                                <w:rFonts w:ascii="Cambria Math" w:hAnsi="Cambria Math"/>
                              </w:rPr>
                              <m:t>m</m:t>
                            </m:r>
                          </m:e>
                        </m:acc>
                      </m:e>
                      <m:sub>
                        <m:r>
                          <w:rPr>
                            <w:rFonts w:ascii="Cambria Math" w:hAnsi="Cambria Math"/>
                          </w:rPr>
                          <m:t>c</m:t>
                        </m:r>
                      </m:sub>
                    </m:sSub>
                  </m:num>
                  <m:den>
                    <m:sSub>
                      <m:sSubPr>
                        <m:ctrlPr>
                          <w:rPr>
                            <w:rFonts w:ascii="Cambria Math" w:hAnsi="Cambria Math"/>
                            <w:i/>
                            <w:iCs/>
                          </w:rPr>
                        </m:ctrlPr>
                      </m:sSubPr>
                      <m:e>
                        <m:r>
                          <w:rPr>
                            <w:rFonts w:ascii="Cambria Math" w:hAnsi="Cambria Math"/>
                          </w:rPr>
                          <m:t>ρ</m:t>
                        </m:r>
                      </m:e>
                      <m:sub>
                        <m:r>
                          <w:rPr>
                            <w:rFonts w:ascii="Cambria Math" w:hAnsi="Cambria Math"/>
                          </w:rPr>
                          <m:t>c</m:t>
                        </m:r>
                      </m:sub>
                    </m:sSub>
                    <m:sSub>
                      <m:sSubPr>
                        <m:ctrlPr>
                          <w:rPr>
                            <w:rFonts w:ascii="Cambria Math" w:hAnsi="Cambria Math"/>
                            <w:i/>
                            <w:iCs/>
                          </w:rPr>
                        </m:ctrlPr>
                      </m:sSubPr>
                      <m:e>
                        <m:r>
                          <w:rPr>
                            <w:rFonts w:ascii="Cambria Math" w:hAnsi="Cambria Math"/>
                          </w:rPr>
                          <m:t>A</m:t>
                        </m:r>
                      </m:e>
                      <m:sub>
                        <m:r>
                          <w:rPr>
                            <w:rFonts w:ascii="Cambria Math" w:hAnsi="Cambria Math"/>
                          </w:rPr>
                          <m:t>cn</m:t>
                        </m:r>
                      </m:sub>
                    </m:sSub>
                    <m:sSub>
                      <m:sSubPr>
                        <m:ctrlPr>
                          <w:rPr>
                            <w:rFonts w:ascii="Cambria Math" w:hAnsi="Cambria Math"/>
                            <w:i/>
                            <w:iCs/>
                          </w:rPr>
                        </m:ctrlPr>
                      </m:sSubPr>
                      <m:e>
                        <m:r>
                          <w:rPr>
                            <w:rFonts w:ascii="Cambria Math" w:hAnsi="Cambria Math"/>
                          </w:rPr>
                          <m:t>N</m:t>
                        </m:r>
                      </m:e>
                      <m:sub>
                        <m:r>
                          <w:rPr>
                            <w:rFonts w:ascii="Cambria Math" w:hAnsi="Cambria Math"/>
                          </w:rPr>
                          <m:t>cn</m:t>
                        </m:r>
                      </m:sub>
                    </m:sSub>
                  </m:den>
                </m:f>
              </m:oMath>
            </m:oMathPara>
          </w:p>
        </w:tc>
        <w:tc>
          <w:tcPr>
            <w:tcW w:w="239" w:type="dxa"/>
            <w:vAlign w:val="center"/>
            <w:hideMark/>
          </w:tcPr>
          <w:p w14:paraId="062440C0" w14:textId="77777777" w:rsidR="00A7521D" w:rsidRDefault="00A7521D" w:rsidP="00A7521D">
            <w:pPr>
              <w:pStyle w:val="Caption"/>
              <w:jc w:val="right"/>
            </w:pPr>
          </w:p>
        </w:tc>
        <w:tc>
          <w:tcPr>
            <w:tcW w:w="822" w:type="dxa"/>
            <w:vAlign w:val="center"/>
            <w:hideMark/>
          </w:tcPr>
          <w:p w14:paraId="37D4A91E" w14:textId="4C370F62" w:rsidR="00A7521D" w:rsidRDefault="00A7521D" w:rsidP="00A7521D">
            <w:pPr>
              <w:pStyle w:val="Caption"/>
              <w:jc w:val="right"/>
              <w:rPr>
                <w:b w:val="0"/>
              </w:rPr>
            </w:pPr>
            <w:r>
              <w:rPr>
                <w:noProof/>
              </w:rPr>
              <w:fldChar w:fldCharType="begin"/>
            </w:r>
            <w:r>
              <w:rPr>
                <w:noProof/>
              </w:rPr>
              <w:instrText xml:space="preserve"> STYLEREF 1 \s </w:instrText>
            </w:r>
            <w:r>
              <w:rPr>
                <w:noProof/>
              </w:rPr>
              <w:fldChar w:fldCharType="separate"/>
            </w:r>
            <w:r w:rsidR="00CB7456">
              <w:rPr>
                <w:noProof/>
              </w:rPr>
              <w:t>13</w:t>
            </w:r>
            <w:r>
              <w:rPr>
                <w:noProof/>
              </w:rPr>
              <w:fldChar w:fldCharType="end"/>
            </w:r>
            <w:r>
              <w:rPr>
                <w:noProof/>
              </w:rPr>
              <w:t>.</w:t>
            </w:r>
            <w:r>
              <w:rPr>
                <w:noProof/>
              </w:rPr>
              <w:fldChar w:fldCharType="begin"/>
            </w:r>
            <w:r>
              <w:rPr>
                <w:noProof/>
              </w:rPr>
              <w:instrText xml:space="preserve"> SEQ Equation \* ARABIC \s 1 </w:instrText>
            </w:r>
            <w:r>
              <w:rPr>
                <w:noProof/>
              </w:rPr>
              <w:fldChar w:fldCharType="separate"/>
            </w:r>
            <w:r w:rsidR="00CB7456">
              <w:rPr>
                <w:noProof/>
              </w:rPr>
              <w:t>45</w:t>
            </w:r>
            <w:r>
              <w:rPr>
                <w:noProof/>
              </w:rPr>
              <w:fldChar w:fldCharType="end"/>
            </w:r>
          </w:p>
        </w:tc>
      </w:tr>
    </w:tbl>
    <w:p w14:paraId="6FBCDEEB" w14:textId="77777777" w:rsidR="00A7521D" w:rsidRDefault="00A7521D" w:rsidP="00A7521D">
      <w:pPr>
        <w:rPr>
          <w:iCs/>
        </w:rPr>
      </w:pPr>
    </w:p>
    <w:p w14:paraId="3BC0CE4A" w14:textId="77777777" w:rsidR="00A7521D" w:rsidRDefault="00C73E04" w:rsidP="00A7521D">
      <w:pPr>
        <w:pStyle w:val="NoSpacing"/>
      </w:pPr>
      <m:oMath>
        <m:sSub>
          <m:sSubPr>
            <m:ctrlPr>
              <w:rPr>
                <w:rFonts w:ascii="Cambria Math" w:hAnsi="Cambria Math"/>
                <w:i/>
              </w:rPr>
            </m:ctrlPr>
          </m:sSubPr>
          <m:e>
            <m:r>
              <w:rPr>
                <w:rFonts w:ascii="Cambria Math" w:hAnsi="Cambria Math"/>
              </w:rPr>
              <m:t>v</m:t>
            </m:r>
          </m:e>
          <m:sub>
            <m:r>
              <w:rPr>
                <w:rFonts w:ascii="Cambria Math" w:hAnsi="Cambria Math"/>
              </w:rPr>
              <m:t>c</m:t>
            </m:r>
          </m:sub>
        </m:sSub>
      </m:oMath>
      <w:r w:rsidR="00A7521D">
        <w:t xml:space="preserve"> was the cold fluid linear velocity (m/s),</w:t>
      </w:r>
    </w:p>
    <w:p w14:paraId="6EB6BC87" w14:textId="77777777" w:rsidR="00A7521D" w:rsidRDefault="00C73E04" w:rsidP="00A7521D">
      <w:pPr>
        <w:pStyle w:val="NoSpacing"/>
      </w:pPr>
      <m:oMath>
        <m:sSub>
          <m:sSubPr>
            <m:ctrlPr>
              <w:rPr>
                <w:rFonts w:ascii="Cambria Math" w:hAnsi="Cambria Math"/>
                <w:i/>
              </w:rPr>
            </m:ctrlPr>
          </m:sSubPr>
          <m:e>
            <m:acc>
              <m:accPr>
                <m:chr m:val="̇"/>
                <m:ctrlPr>
                  <w:rPr>
                    <w:rFonts w:ascii="Cambria Math" w:hAnsi="Cambria Math"/>
                    <w:i/>
                  </w:rPr>
                </m:ctrlPr>
              </m:accPr>
              <m:e>
                <m:r>
                  <w:rPr>
                    <w:rFonts w:ascii="Cambria Math" w:hAnsi="Cambria Math"/>
                  </w:rPr>
                  <m:t>m</m:t>
                </m:r>
              </m:e>
            </m:acc>
          </m:e>
          <m:sub>
            <m:r>
              <w:rPr>
                <w:rFonts w:ascii="Cambria Math" w:hAnsi="Cambria Math"/>
              </w:rPr>
              <m:t>c</m:t>
            </m:r>
          </m:sub>
        </m:sSub>
      </m:oMath>
      <w:r w:rsidR="00A7521D">
        <w:t xml:space="preserve"> was the cold fluid mass flowrate (kg/s),</w:t>
      </w:r>
    </w:p>
    <w:p w14:paraId="736B8A77" w14:textId="4BDB0A4C" w:rsidR="00A7521D" w:rsidRDefault="00C73E04" w:rsidP="00A7521D">
      <w:pPr>
        <w:rPr>
          <w:iCs/>
        </w:rPr>
      </w:pPr>
      <m:oMath>
        <m:sSub>
          <m:sSubPr>
            <m:ctrlPr>
              <w:rPr>
                <w:rFonts w:ascii="Cambria Math" w:hAnsi="Cambria Math"/>
                <w:i/>
                <w:iCs/>
              </w:rPr>
            </m:ctrlPr>
          </m:sSubPr>
          <m:e>
            <m:r>
              <w:rPr>
                <w:rFonts w:ascii="Cambria Math" w:hAnsi="Cambria Math"/>
              </w:rPr>
              <m:t>ρ</m:t>
            </m:r>
          </m:e>
          <m:sub>
            <m:r>
              <w:rPr>
                <w:rFonts w:ascii="Cambria Math" w:hAnsi="Cambria Math"/>
              </w:rPr>
              <m:t>c</m:t>
            </m:r>
          </m:sub>
        </m:sSub>
      </m:oMath>
      <w:r w:rsidR="00A7521D">
        <w:rPr>
          <w:iCs/>
        </w:rPr>
        <w:t xml:space="preserve"> was the cold fluid density (kg/m</w:t>
      </w:r>
      <w:r w:rsidR="00A7521D">
        <w:rPr>
          <w:iCs/>
          <w:vertAlign w:val="superscript"/>
        </w:rPr>
        <w:t>3</w:t>
      </w:r>
      <w:r w:rsidR="00A7521D">
        <w:rPr>
          <w:iCs/>
        </w:rPr>
        <w:t>).</w:t>
      </w:r>
    </w:p>
    <w:p w14:paraId="2D26E2AC" w14:textId="03FF8F86" w:rsidR="00696755" w:rsidRDefault="00696755" w:rsidP="00A7521D">
      <w:pPr>
        <w:rPr>
          <w:iCs/>
        </w:rPr>
      </w:pPr>
      <w:r>
        <w:rPr>
          <w:iCs/>
        </w:rPr>
        <w:t xml:space="preserve">The cold fluid linear velocity was dependent on the cold fluid mass flowrate, the cold fluid density, </w:t>
      </w:r>
      <w:r>
        <w:t xml:space="preserve">the channel cross-sectional area and the </w:t>
      </w:r>
      <w:r>
        <w:rPr>
          <w:iCs/>
        </w:rPr>
        <w:t>number of channels per pass. The cold fluid mass flowrate was dependent on the industrial conditions. The cold fluid density was dependent on the operating conditions and the choice of cold fluid.</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37"/>
        <w:gridCol w:w="239"/>
        <w:gridCol w:w="822"/>
      </w:tblGrid>
      <w:tr w:rsidR="00A7521D" w14:paraId="1FCE292B" w14:textId="77777777" w:rsidTr="00A7521D">
        <w:tc>
          <w:tcPr>
            <w:tcW w:w="7137" w:type="dxa"/>
            <w:hideMark/>
          </w:tcPr>
          <w:p w14:paraId="7FABE825" w14:textId="44269CB8" w:rsidR="00A7521D" w:rsidRDefault="00C73E04" w:rsidP="00A7521D">
            <w:pPr>
              <w:keepNext/>
              <w:rPr>
                <w:color w:val="FFFFFF"/>
              </w:rPr>
            </w:pPr>
            <m:oMathPara>
              <m:oMathParaPr>
                <m:jc m:val="left"/>
              </m:oMathParaPr>
              <m:oMath>
                <m:sSub>
                  <m:sSubPr>
                    <m:ctrlPr>
                      <w:rPr>
                        <w:rFonts w:ascii="Cambria Math" w:hAnsi="Cambria Math"/>
                        <w:i/>
                        <w:iCs/>
                      </w:rPr>
                    </m:ctrlPr>
                  </m:sSubPr>
                  <m:e>
                    <m:r>
                      <w:rPr>
                        <w:rFonts w:ascii="Cambria Math" w:hAnsi="Cambria Math"/>
                      </w:rPr>
                      <m:t>Re</m:t>
                    </m:r>
                  </m:e>
                  <m:sub>
                    <m:r>
                      <w:rPr>
                        <w:rFonts w:ascii="Cambria Math" w:hAnsi="Cambria Math"/>
                      </w:rPr>
                      <m:t>c</m:t>
                    </m:r>
                  </m:sub>
                </m:sSub>
                <m:r>
                  <w:rPr>
                    <w:rFonts w:ascii="Cambria Math" w:hAnsi="Cambria Math"/>
                  </w:rPr>
                  <m:t>=</m:t>
                </m:r>
                <m:f>
                  <m:fPr>
                    <m:ctrlPr>
                      <w:rPr>
                        <w:rFonts w:ascii="Cambria Math" w:hAnsi="Cambria Math"/>
                        <w:i/>
                        <w:iCs/>
                      </w:rPr>
                    </m:ctrlPr>
                  </m:fPr>
                  <m:num>
                    <m:sSub>
                      <m:sSubPr>
                        <m:ctrlPr>
                          <w:rPr>
                            <w:rFonts w:ascii="Cambria Math" w:hAnsi="Cambria Math"/>
                            <w:i/>
                            <w:iCs/>
                          </w:rPr>
                        </m:ctrlPr>
                      </m:sSubPr>
                      <m:e>
                        <m:r>
                          <w:rPr>
                            <w:rFonts w:ascii="Cambria Math" w:hAnsi="Cambria Math"/>
                          </w:rPr>
                          <m:t>ρ</m:t>
                        </m:r>
                      </m:e>
                      <m:sub>
                        <m:r>
                          <w:rPr>
                            <w:rFonts w:ascii="Cambria Math" w:hAnsi="Cambria Math"/>
                          </w:rPr>
                          <m:t>c</m:t>
                        </m:r>
                      </m:sub>
                    </m:sSub>
                    <m:sSub>
                      <m:sSubPr>
                        <m:ctrlPr>
                          <w:rPr>
                            <w:rFonts w:ascii="Cambria Math" w:hAnsi="Cambria Math"/>
                            <w:i/>
                            <w:iCs/>
                          </w:rPr>
                        </m:ctrlPr>
                      </m:sSubPr>
                      <m:e>
                        <m:r>
                          <w:rPr>
                            <w:rFonts w:ascii="Cambria Math" w:hAnsi="Cambria Math"/>
                          </w:rPr>
                          <m:t>v</m:t>
                        </m:r>
                      </m:e>
                      <m:sub>
                        <m:r>
                          <w:rPr>
                            <w:rFonts w:ascii="Cambria Math" w:hAnsi="Cambria Math"/>
                          </w:rPr>
                          <m:t>c</m:t>
                        </m:r>
                      </m:sub>
                    </m:sSub>
                    <m:sSub>
                      <m:sSubPr>
                        <m:ctrlPr>
                          <w:rPr>
                            <w:rFonts w:ascii="Cambria Math" w:hAnsi="Cambria Math"/>
                            <w:i/>
                            <w:iCs/>
                          </w:rPr>
                        </m:ctrlPr>
                      </m:sSubPr>
                      <m:e>
                        <m:r>
                          <w:rPr>
                            <w:rFonts w:ascii="Cambria Math" w:hAnsi="Cambria Math"/>
                          </w:rPr>
                          <m:t>D</m:t>
                        </m:r>
                      </m:e>
                      <m:sub>
                        <m:r>
                          <w:rPr>
                            <w:rFonts w:ascii="Cambria Math" w:hAnsi="Cambria Math"/>
                          </w:rPr>
                          <m:t>h</m:t>
                        </m:r>
                      </m:sub>
                    </m:sSub>
                  </m:num>
                  <m:den>
                    <m:sSub>
                      <m:sSubPr>
                        <m:ctrlPr>
                          <w:rPr>
                            <w:rFonts w:ascii="Cambria Math" w:hAnsi="Cambria Math"/>
                            <w:i/>
                            <w:iCs/>
                          </w:rPr>
                        </m:ctrlPr>
                      </m:sSubPr>
                      <m:e>
                        <m:r>
                          <w:rPr>
                            <w:rFonts w:ascii="Cambria Math" w:hAnsi="Cambria Math"/>
                          </w:rPr>
                          <m:t>μ</m:t>
                        </m:r>
                      </m:e>
                      <m:sub>
                        <m:r>
                          <w:rPr>
                            <w:rFonts w:ascii="Cambria Math" w:hAnsi="Cambria Math"/>
                          </w:rPr>
                          <m:t>c</m:t>
                        </m:r>
                      </m:sub>
                    </m:sSub>
                  </m:den>
                </m:f>
              </m:oMath>
            </m:oMathPara>
          </w:p>
        </w:tc>
        <w:tc>
          <w:tcPr>
            <w:tcW w:w="239" w:type="dxa"/>
            <w:vAlign w:val="center"/>
            <w:hideMark/>
          </w:tcPr>
          <w:p w14:paraId="00F5C975" w14:textId="77777777" w:rsidR="00A7521D" w:rsidRDefault="00A7521D" w:rsidP="00A7521D">
            <w:pPr>
              <w:pStyle w:val="Caption"/>
              <w:jc w:val="right"/>
            </w:pPr>
          </w:p>
        </w:tc>
        <w:tc>
          <w:tcPr>
            <w:tcW w:w="822" w:type="dxa"/>
            <w:vAlign w:val="center"/>
            <w:hideMark/>
          </w:tcPr>
          <w:p w14:paraId="703E4446" w14:textId="6A425EF6" w:rsidR="00A7521D" w:rsidRDefault="00A7521D" w:rsidP="00A7521D">
            <w:pPr>
              <w:pStyle w:val="Caption"/>
              <w:jc w:val="right"/>
              <w:rPr>
                <w:b w:val="0"/>
              </w:rPr>
            </w:pPr>
            <w:r>
              <w:rPr>
                <w:noProof/>
              </w:rPr>
              <w:fldChar w:fldCharType="begin"/>
            </w:r>
            <w:r>
              <w:rPr>
                <w:noProof/>
              </w:rPr>
              <w:instrText xml:space="preserve"> STYLEREF 1 \s </w:instrText>
            </w:r>
            <w:r>
              <w:rPr>
                <w:noProof/>
              </w:rPr>
              <w:fldChar w:fldCharType="separate"/>
            </w:r>
            <w:r w:rsidR="00CB7456">
              <w:rPr>
                <w:noProof/>
              </w:rPr>
              <w:t>13</w:t>
            </w:r>
            <w:r>
              <w:rPr>
                <w:noProof/>
              </w:rPr>
              <w:fldChar w:fldCharType="end"/>
            </w:r>
            <w:r>
              <w:rPr>
                <w:noProof/>
              </w:rPr>
              <w:t>.</w:t>
            </w:r>
            <w:r>
              <w:rPr>
                <w:noProof/>
              </w:rPr>
              <w:fldChar w:fldCharType="begin"/>
            </w:r>
            <w:r>
              <w:rPr>
                <w:noProof/>
              </w:rPr>
              <w:instrText xml:space="preserve"> SEQ Equation \* ARABIC \s 1 </w:instrText>
            </w:r>
            <w:r>
              <w:rPr>
                <w:noProof/>
              </w:rPr>
              <w:fldChar w:fldCharType="separate"/>
            </w:r>
            <w:r w:rsidR="00CB7456">
              <w:rPr>
                <w:noProof/>
              </w:rPr>
              <w:t>46</w:t>
            </w:r>
            <w:r>
              <w:rPr>
                <w:noProof/>
              </w:rPr>
              <w:fldChar w:fldCharType="end"/>
            </w:r>
          </w:p>
        </w:tc>
      </w:tr>
    </w:tbl>
    <w:p w14:paraId="430E1FAD" w14:textId="77777777" w:rsidR="00A7521D" w:rsidRDefault="00A7521D" w:rsidP="00A7521D">
      <w:pPr>
        <w:rPr>
          <w:iCs/>
        </w:rPr>
      </w:pPr>
    </w:p>
    <w:p w14:paraId="0FE20D83" w14:textId="77777777" w:rsidR="00A7521D" w:rsidRDefault="00C73E04" w:rsidP="00A7521D">
      <w:pPr>
        <w:pStyle w:val="NoSpacing"/>
      </w:pPr>
      <m:oMath>
        <m:sSub>
          <m:sSubPr>
            <m:ctrlPr>
              <w:rPr>
                <w:rFonts w:ascii="Cambria Math" w:hAnsi="Cambria Math"/>
                <w:i/>
              </w:rPr>
            </m:ctrlPr>
          </m:sSubPr>
          <m:e>
            <m:r>
              <w:rPr>
                <w:rFonts w:ascii="Cambria Math" w:hAnsi="Cambria Math"/>
              </w:rPr>
              <m:t>Re</m:t>
            </m:r>
          </m:e>
          <m:sub>
            <m:r>
              <w:rPr>
                <w:rFonts w:ascii="Cambria Math" w:hAnsi="Cambria Math"/>
              </w:rPr>
              <m:t>c</m:t>
            </m:r>
          </m:sub>
        </m:sSub>
      </m:oMath>
      <w:r w:rsidR="00A7521D">
        <w:t xml:space="preserve"> was the cold fluid Reynolds number,</w:t>
      </w:r>
    </w:p>
    <w:p w14:paraId="6E2D1003" w14:textId="7E31CC63" w:rsidR="00A7521D" w:rsidRDefault="00C73E04" w:rsidP="00A7521D">
      <w:pPr>
        <w:rPr>
          <w:iCs/>
        </w:rPr>
      </w:pPr>
      <m:oMath>
        <m:sSub>
          <m:sSubPr>
            <m:ctrlPr>
              <w:rPr>
                <w:rFonts w:ascii="Cambria Math" w:hAnsi="Cambria Math"/>
                <w:i/>
                <w:iCs/>
              </w:rPr>
            </m:ctrlPr>
          </m:sSubPr>
          <m:e>
            <m:r>
              <w:rPr>
                <w:rFonts w:ascii="Cambria Math" w:hAnsi="Cambria Math"/>
              </w:rPr>
              <m:t>μ</m:t>
            </m:r>
          </m:e>
          <m:sub>
            <m:r>
              <w:rPr>
                <w:rFonts w:ascii="Cambria Math" w:hAnsi="Cambria Math"/>
              </w:rPr>
              <m:t>c</m:t>
            </m:r>
          </m:sub>
        </m:sSub>
      </m:oMath>
      <w:r w:rsidR="00A7521D">
        <w:rPr>
          <w:iCs/>
        </w:rPr>
        <w:t xml:space="preserve"> was the cold fluid viscosity (Pas).</w:t>
      </w:r>
    </w:p>
    <w:p w14:paraId="5C64F904" w14:textId="77777777" w:rsidR="00696755" w:rsidRDefault="00696755" w:rsidP="00696755">
      <w:pPr>
        <w:rPr>
          <w:iCs/>
        </w:rPr>
      </w:pPr>
      <w:r>
        <w:rPr>
          <w:iCs/>
        </w:rPr>
        <w:t>The cold fluid Reynolds number was dependent on the cold fluid density, the cold fluid linear velocity, the hydraulic mean diameter and the cold fluid viscosity. The cold fluid viscosity was dependent on the operating conditions and the choice of cold fluid.</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37"/>
        <w:gridCol w:w="239"/>
        <w:gridCol w:w="822"/>
      </w:tblGrid>
      <w:tr w:rsidR="00A7521D" w14:paraId="42BB812C" w14:textId="77777777" w:rsidTr="00A7521D">
        <w:tc>
          <w:tcPr>
            <w:tcW w:w="7137" w:type="dxa"/>
            <w:hideMark/>
          </w:tcPr>
          <w:p w14:paraId="51CC307C" w14:textId="62128F75" w:rsidR="00A7521D" w:rsidRDefault="00C73E04" w:rsidP="00A7521D">
            <w:pPr>
              <w:keepNext/>
              <w:rPr>
                <w:color w:val="FFFFFF"/>
              </w:rPr>
            </w:pPr>
            <m:oMathPara>
              <m:oMathParaPr>
                <m:jc m:val="left"/>
              </m:oMathParaPr>
              <m:oMath>
                <m:sSub>
                  <m:sSubPr>
                    <m:ctrlPr>
                      <w:rPr>
                        <w:rFonts w:ascii="Cambria Math" w:hAnsi="Cambria Math"/>
                        <w:i/>
                        <w:iCs/>
                      </w:rPr>
                    </m:ctrlPr>
                  </m:sSubPr>
                  <m:e>
                    <m:r>
                      <w:rPr>
                        <w:rFonts w:ascii="Cambria Math" w:hAnsi="Cambria Math"/>
                      </w:rPr>
                      <m:t>Pr</m:t>
                    </m:r>
                  </m:e>
                  <m:sub>
                    <m:r>
                      <w:rPr>
                        <w:rFonts w:ascii="Cambria Math" w:hAnsi="Cambria Math"/>
                      </w:rPr>
                      <m:t>c</m:t>
                    </m:r>
                  </m:sub>
                </m:sSub>
                <m:r>
                  <w:rPr>
                    <w:rFonts w:ascii="Cambria Math" w:hAnsi="Cambria Math"/>
                  </w:rPr>
                  <m:t>=</m:t>
                </m:r>
                <m:f>
                  <m:fPr>
                    <m:ctrlPr>
                      <w:rPr>
                        <w:rFonts w:ascii="Cambria Math" w:hAnsi="Cambria Math"/>
                        <w:i/>
                        <w:iCs/>
                      </w:rPr>
                    </m:ctrlPr>
                  </m:fPr>
                  <m:num>
                    <m:sSub>
                      <m:sSubPr>
                        <m:ctrlPr>
                          <w:rPr>
                            <w:rFonts w:ascii="Cambria Math" w:hAnsi="Cambria Math"/>
                            <w:i/>
                            <w:iCs/>
                          </w:rPr>
                        </m:ctrlPr>
                      </m:sSubPr>
                      <m:e>
                        <m:r>
                          <w:rPr>
                            <w:rFonts w:ascii="Cambria Math" w:hAnsi="Cambria Math"/>
                          </w:rPr>
                          <m:t>c</m:t>
                        </m:r>
                      </m:e>
                      <m:sub>
                        <m:r>
                          <w:rPr>
                            <w:rFonts w:ascii="Cambria Math" w:hAnsi="Cambria Math"/>
                          </w:rPr>
                          <m:t>p,c</m:t>
                        </m:r>
                      </m:sub>
                    </m:sSub>
                    <m:sSub>
                      <m:sSubPr>
                        <m:ctrlPr>
                          <w:rPr>
                            <w:rFonts w:ascii="Cambria Math" w:hAnsi="Cambria Math"/>
                            <w:i/>
                            <w:iCs/>
                          </w:rPr>
                        </m:ctrlPr>
                      </m:sSubPr>
                      <m:e>
                        <m:r>
                          <w:rPr>
                            <w:rFonts w:ascii="Cambria Math" w:hAnsi="Cambria Math"/>
                          </w:rPr>
                          <m:t>μ</m:t>
                        </m:r>
                      </m:e>
                      <m:sub>
                        <m:r>
                          <w:rPr>
                            <w:rFonts w:ascii="Cambria Math" w:hAnsi="Cambria Math"/>
                          </w:rPr>
                          <m:t>c</m:t>
                        </m:r>
                      </m:sub>
                    </m:sSub>
                  </m:num>
                  <m:den>
                    <m:sSub>
                      <m:sSubPr>
                        <m:ctrlPr>
                          <w:rPr>
                            <w:rFonts w:ascii="Cambria Math" w:hAnsi="Cambria Math"/>
                            <w:i/>
                            <w:iCs/>
                          </w:rPr>
                        </m:ctrlPr>
                      </m:sSubPr>
                      <m:e>
                        <m:r>
                          <w:rPr>
                            <w:rFonts w:ascii="Cambria Math" w:hAnsi="Cambria Math"/>
                          </w:rPr>
                          <m:t>k</m:t>
                        </m:r>
                      </m:e>
                      <m:sub>
                        <m:r>
                          <w:rPr>
                            <w:rFonts w:ascii="Cambria Math" w:hAnsi="Cambria Math"/>
                          </w:rPr>
                          <m:t>f,c</m:t>
                        </m:r>
                      </m:sub>
                    </m:sSub>
                  </m:den>
                </m:f>
              </m:oMath>
            </m:oMathPara>
          </w:p>
        </w:tc>
        <w:tc>
          <w:tcPr>
            <w:tcW w:w="239" w:type="dxa"/>
            <w:vAlign w:val="center"/>
            <w:hideMark/>
          </w:tcPr>
          <w:p w14:paraId="216CE662" w14:textId="77777777" w:rsidR="00A7521D" w:rsidRDefault="00A7521D" w:rsidP="00A7521D">
            <w:pPr>
              <w:pStyle w:val="Caption"/>
              <w:jc w:val="right"/>
            </w:pPr>
          </w:p>
        </w:tc>
        <w:tc>
          <w:tcPr>
            <w:tcW w:w="822" w:type="dxa"/>
            <w:vAlign w:val="center"/>
            <w:hideMark/>
          </w:tcPr>
          <w:p w14:paraId="69CEEF34" w14:textId="668325BB" w:rsidR="00A7521D" w:rsidRDefault="00A7521D" w:rsidP="00A7521D">
            <w:pPr>
              <w:pStyle w:val="Caption"/>
              <w:jc w:val="right"/>
              <w:rPr>
                <w:b w:val="0"/>
              </w:rPr>
            </w:pPr>
            <w:r>
              <w:rPr>
                <w:noProof/>
              </w:rPr>
              <w:fldChar w:fldCharType="begin"/>
            </w:r>
            <w:r>
              <w:rPr>
                <w:noProof/>
              </w:rPr>
              <w:instrText xml:space="preserve"> STYLEREF 1 \s </w:instrText>
            </w:r>
            <w:r>
              <w:rPr>
                <w:noProof/>
              </w:rPr>
              <w:fldChar w:fldCharType="separate"/>
            </w:r>
            <w:r w:rsidR="00CB7456">
              <w:rPr>
                <w:noProof/>
              </w:rPr>
              <w:t>13</w:t>
            </w:r>
            <w:r>
              <w:rPr>
                <w:noProof/>
              </w:rPr>
              <w:fldChar w:fldCharType="end"/>
            </w:r>
            <w:r>
              <w:rPr>
                <w:noProof/>
              </w:rPr>
              <w:t>.</w:t>
            </w:r>
            <w:r>
              <w:rPr>
                <w:noProof/>
              </w:rPr>
              <w:fldChar w:fldCharType="begin"/>
            </w:r>
            <w:r>
              <w:rPr>
                <w:noProof/>
              </w:rPr>
              <w:instrText xml:space="preserve"> SEQ Equation \* ARABIC \s 1 </w:instrText>
            </w:r>
            <w:r>
              <w:rPr>
                <w:noProof/>
              </w:rPr>
              <w:fldChar w:fldCharType="separate"/>
            </w:r>
            <w:r w:rsidR="00CB7456">
              <w:rPr>
                <w:noProof/>
              </w:rPr>
              <w:t>47</w:t>
            </w:r>
            <w:r>
              <w:rPr>
                <w:noProof/>
              </w:rPr>
              <w:fldChar w:fldCharType="end"/>
            </w:r>
          </w:p>
        </w:tc>
      </w:tr>
    </w:tbl>
    <w:p w14:paraId="2E574250" w14:textId="77777777" w:rsidR="00A7521D" w:rsidRDefault="00A7521D" w:rsidP="00A7521D">
      <w:pPr>
        <w:rPr>
          <w:iCs/>
        </w:rPr>
      </w:pPr>
    </w:p>
    <w:p w14:paraId="6497BBEB" w14:textId="77777777" w:rsidR="00A7521D" w:rsidRDefault="00C73E04" w:rsidP="00A7521D">
      <w:pPr>
        <w:pStyle w:val="NoSpacing"/>
      </w:pPr>
      <m:oMath>
        <m:sSub>
          <m:sSubPr>
            <m:ctrlPr>
              <w:rPr>
                <w:rFonts w:ascii="Cambria Math" w:hAnsi="Cambria Math"/>
                <w:i/>
              </w:rPr>
            </m:ctrlPr>
          </m:sSubPr>
          <m:e>
            <m:r>
              <w:rPr>
                <w:rFonts w:ascii="Cambria Math" w:hAnsi="Cambria Math"/>
              </w:rPr>
              <m:t>Pr</m:t>
            </m:r>
          </m:e>
          <m:sub>
            <m:r>
              <w:rPr>
                <w:rFonts w:ascii="Cambria Math" w:hAnsi="Cambria Math"/>
              </w:rPr>
              <m:t>c</m:t>
            </m:r>
          </m:sub>
        </m:sSub>
      </m:oMath>
      <w:r w:rsidR="00A7521D">
        <w:t xml:space="preserve"> was the cold fluid Prandtl number,</w:t>
      </w:r>
    </w:p>
    <w:p w14:paraId="2C1123CD" w14:textId="77777777" w:rsidR="00A7521D" w:rsidRDefault="00C73E04" w:rsidP="00A7521D">
      <w:pPr>
        <w:pStyle w:val="NoSpacing"/>
      </w:pPr>
      <m:oMath>
        <m:sSub>
          <m:sSubPr>
            <m:ctrlPr>
              <w:rPr>
                <w:rFonts w:ascii="Cambria Math" w:hAnsi="Cambria Math"/>
                <w:i/>
              </w:rPr>
            </m:ctrlPr>
          </m:sSubPr>
          <m:e>
            <m:r>
              <w:rPr>
                <w:rFonts w:ascii="Cambria Math" w:hAnsi="Cambria Math"/>
              </w:rPr>
              <m:t>c</m:t>
            </m:r>
          </m:e>
          <m:sub>
            <m:r>
              <w:rPr>
                <w:rFonts w:ascii="Cambria Math" w:hAnsi="Cambria Math"/>
              </w:rPr>
              <m:t>p,c</m:t>
            </m:r>
          </m:sub>
        </m:sSub>
      </m:oMath>
      <w:r w:rsidR="00A7521D">
        <w:t xml:space="preserve"> was the cold fluid specific heat capacity (kJ/[kg°C]),</w:t>
      </w:r>
    </w:p>
    <w:p w14:paraId="28974BDC" w14:textId="28B1E3B9" w:rsidR="00A7521D" w:rsidRDefault="00C73E04" w:rsidP="00A7521D">
      <w:pPr>
        <w:rPr>
          <w:iCs/>
        </w:rPr>
      </w:pPr>
      <m:oMath>
        <m:sSub>
          <m:sSubPr>
            <m:ctrlPr>
              <w:rPr>
                <w:rFonts w:ascii="Cambria Math" w:hAnsi="Cambria Math"/>
                <w:i/>
                <w:iCs/>
              </w:rPr>
            </m:ctrlPr>
          </m:sSubPr>
          <m:e>
            <m:r>
              <w:rPr>
                <w:rFonts w:ascii="Cambria Math" w:hAnsi="Cambria Math"/>
              </w:rPr>
              <m:t>k</m:t>
            </m:r>
          </m:e>
          <m:sub>
            <m:r>
              <w:rPr>
                <w:rFonts w:ascii="Cambria Math" w:hAnsi="Cambria Math"/>
              </w:rPr>
              <m:t>f,c</m:t>
            </m:r>
          </m:sub>
        </m:sSub>
      </m:oMath>
      <w:r w:rsidR="00A7521D">
        <w:rPr>
          <w:iCs/>
        </w:rPr>
        <w:t xml:space="preserve"> was the </w:t>
      </w:r>
      <w:r w:rsidR="00A7521D">
        <w:t xml:space="preserve">cold fluid </w:t>
      </w:r>
      <w:r w:rsidR="00A7521D">
        <w:rPr>
          <w:iCs/>
        </w:rPr>
        <w:t>thermal conductivity (W/[</w:t>
      </w:r>
      <w:proofErr w:type="spellStart"/>
      <w:r w:rsidR="00A7521D">
        <w:rPr>
          <w:iCs/>
        </w:rPr>
        <w:t>mK</w:t>
      </w:r>
      <w:proofErr w:type="spellEnd"/>
      <w:r w:rsidR="00A7521D">
        <w:rPr>
          <w:iCs/>
        </w:rPr>
        <w:t>]).</w:t>
      </w:r>
    </w:p>
    <w:p w14:paraId="35018907" w14:textId="16F2A40B" w:rsidR="00696755" w:rsidRDefault="00696755" w:rsidP="00696755">
      <w:pPr>
        <w:rPr>
          <w:iCs/>
        </w:rPr>
      </w:pPr>
      <w:r>
        <w:rPr>
          <w:iCs/>
        </w:rPr>
        <w:t>The cold fluid Prandtl number was dependent on the cold fluid specific heat capacity, viscosity and thermal conductivity. The cold fluid conductivity was dependent on the operating conditions and the choice of cold fluid.</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37"/>
        <w:gridCol w:w="239"/>
        <w:gridCol w:w="822"/>
      </w:tblGrid>
      <w:tr w:rsidR="00A7521D" w14:paraId="55B2F38E" w14:textId="77777777" w:rsidTr="00A7521D">
        <w:tc>
          <w:tcPr>
            <w:tcW w:w="7137" w:type="dxa"/>
            <w:hideMark/>
          </w:tcPr>
          <w:p w14:paraId="4F460F56" w14:textId="77777777" w:rsidR="00A7521D" w:rsidRDefault="00C73E04" w:rsidP="00A7521D">
            <w:pPr>
              <w:keepNext/>
              <w:rPr>
                <w:color w:val="FFFFFF"/>
              </w:rPr>
            </w:pPr>
            <m:oMathPara>
              <m:oMathParaPr>
                <m:jc m:val="left"/>
              </m:oMathParaPr>
              <m:oMath>
                <m:sSub>
                  <m:sSubPr>
                    <m:ctrlPr>
                      <w:rPr>
                        <w:rFonts w:ascii="Cambria Math" w:hAnsi="Cambria Math"/>
                        <w:i/>
                        <w:iCs/>
                      </w:rPr>
                    </m:ctrlPr>
                  </m:sSubPr>
                  <m:e>
                    <m:r>
                      <w:rPr>
                        <w:rFonts w:ascii="Cambria Math" w:hAnsi="Cambria Math"/>
                      </w:rPr>
                      <m:t>Nu</m:t>
                    </m:r>
                  </m:e>
                  <m:sub>
                    <m:r>
                      <w:rPr>
                        <w:rFonts w:ascii="Cambria Math" w:hAnsi="Cambria Math"/>
                      </w:rPr>
                      <m:t>c</m:t>
                    </m:r>
                  </m:sub>
                </m:sSub>
                <m:r>
                  <w:rPr>
                    <w:rFonts w:ascii="Cambria Math" w:hAnsi="Cambria Math"/>
                  </w:rPr>
                  <m:t>=0.26</m:t>
                </m:r>
                <m:sSubSup>
                  <m:sSubSupPr>
                    <m:ctrlPr>
                      <w:rPr>
                        <w:rFonts w:ascii="Cambria Math" w:hAnsi="Cambria Math"/>
                        <w:i/>
                        <w:iCs/>
                      </w:rPr>
                    </m:ctrlPr>
                  </m:sSubSupPr>
                  <m:e>
                    <m:r>
                      <w:rPr>
                        <w:rFonts w:ascii="Cambria Math" w:hAnsi="Cambria Math"/>
                      </w:rPr>
                      <m:t>Re</m:t>
                    </m:r>
                  </m:e>
                  <m:sub>
                    <m:r>
                      <w:rPr>
                        <w:rFonts w:ascii="Cambria Math" w:hAnsi="Cambria Math"/>
                      </w:rPr>
                      <m:t>c</m:t>
                    </m:r>
                  </m:sub>
                  <m:sup>
                    <m:r>
                      <w:rPr>
                        <w:rFonts w:ascii="Cambria Math" w:hAnsi="Cambria Math"/>
                      </w:rPr>
                      <m:t>0.65</m:t>
                    </m:r>
                  </m:sup>
                </m:sSubSup>
                <m:sSubSup>
                  <m:sSubSupPr>
                    <m:ctrlPr>
                      <w:rPr>
                        <w:rFonts w:ascii="Cambria Math" w:hAnsi="Cambria Math"/>
                        <w:i/>
                        <w:iCs/>
                      </w:rPr>
                    </m:ctrlPr>
                  </m:sSubSupPr>
                  <m:e>
                    <m:r>
                      <w:rPr>
                        <w:rFonts w:ascii="Cambria Math" w:hAnsi="Cambria Math"/>
                      </w:rPr>
                      <m:t>Pr</m:t>
                    </m:r>
                  </m:e>
                  <m:sub>
                    <m:r>
                      <w:rPr>
                        <w:rFonts w:ascii="Cambria Math" w:hAnsi="Cambria Math"/>
                      </w:rPr>
                      <m:t>c</m:t>
                    </m:r>
                  </m:sub>
                  <m:sup>
                    <m:r>
                      <w:rPr>
                        <w:rFonts w:ascii="Cambria Math" w:hAnsi="Cambria Math"/>
                      </w:rPr>
                      <m:t>0.4</m:t>
                    </m:r>
                  </m:sup>
                </m:sSubSup>
              </m:oMath>
            </m:oMathPara>
          </w:p>
        </w:tc>
        <w:tc>
          <w:tcPr>
            <w:tcW w:w="239" w:type="dxa"/>
            <w:vAlign w:val="center"/>
            <w:hideMark/>
          </w:tcPr>
          <w:p w14:paraId="4DC73CF8" w14:textId="77777777" w:rsidR="00A7521D" w:rsidRDefault="00A7521D" w:rsidP="00A7521D">
            <w:pPr>
              <w:pStyle w:val="Caption"/>
              <w:jc w:val="right"/>
            </w:pPr>
          </w:p>
        </w:tc>
        <w:tc>
          <w:tcPr>
            <w:tcW w:w="822" w:type="dxa"/>
            <w:vAlign w:val="center"/>
            <w:hideMark/>
          </w:tcPr>
          <w:p w14:paraId="6F7AD10E" w14:textId="1368BB8A" w:rsidR="00A7521D" w:rsidRDefault="00A7521D" w:rsidP="00A7521D">
            <w:pPr>
              <w:pStyle w:val="Caption"/>
              <w:jc w:val="right"/>
              <w:rPr>
                <w:b w:val="0"/>
              </w:rPr>
            </w:pPr>
            <w:r>
              <w:rPr>
                <w:noProof/>
              </w:rPr>
              <w:fldChar w:fldCharType="begin"/>
            </w:r>
            <w:r>
              <w:rPr>
                <w:noProof/>
              </w:rPr>
              <w:instrText xml:space="preserve"> STYLEREF 1 \s </w:instrText>
            </w:r>
            <w:r>
              <w:rPr>
                <w:noProof/>
              </w:rPr>
              <w:fldChar w:fldCharType="separate"/>
            </w:r>
            <w:r w:rsidR="00CB7456">
              <w:rPr>
                <w:noProof/>
              </w:rPr>
              <w:t>13</w:t>
            </w:r>
            <w:r>
              <w:rPr>
                <w:noProof/>
              </w:rPr>
              <w:fldChar w:fldCharType="end"/>
            </w:r>
            <w:r>
              <w:rPr>
                <w:noProof/>
              </w:rPr>
              <w:t>.</w:t>
            </w:r>
            <w:r>
              <w:rPr>
                <w:noProof/>
              </w:rPr>
              <w:fldChar w:fldCharType="begin"/>
            </w:r>
            <w:r>
              <w:rPr>
                <w:noProof/>
              </w:rPr>
              <w:instrText xml:space="preserve"> SEQ Equation \* ARABIC \s 1 </w:instrText>
            </w:r>
            <w:r>
              <w:rPr>
                <w:noProof/>
              </w:rPr>
              <w:fldChar w:fldCharType="separate"/>
            </w:r>
            <w:r w:rsidR="00CB7456">
              <w:rPr>
                <w:noProof/>
              </w:rPr>
              <w:t>48</w:t>
            </w:r>
            <w:r>
              <w:rPr>
                <w:noProof/>
              </w:rPr>
              <w:fldChar w:fldCharType="end"/>
            </w:r>
          </w:p>
        </w:tc>
      </w:tr>
    </w:tbl>
    <w:p w14:paraId="4D3676F6" w14:textId="77777777" w:rsidR="00A7521D" w:rsidRDefault="00A7521D" w:rsidP="00A7521D">
      <w:pPr>
        <w:rPr>
          <w:iCs/>
        </w:rPr>
      </w:pPr>
    </w:p>
    <w:p w14:paraId="3D7E962E" w14:textId="758BECF2" w:rsidR="00A7521D" w:rsidRDefault="00C73E04" w:rsidP="00A7521D">
      <m:oMath>
        <m:sSub>
          <m:sSubPr>
            <m:ctrlPr>
              <w:rPr>
                <w:rFonts w:ascii="Cambria Math" w:hAnsi="Cambria Math"/>
                <w:i/>
              </w:rPr>
            </m:ctrlPr>
          </m:sSubPr>
          <m:e>
            <m:r>
              <w:rPr>
                <w:rFonts w:ascii="Cambria Math" w:hAnsi="Cambria Math"/>
              </w:rPr>
              <m:t>Nu</m:t>
            </m:r>
          </m:e>
          <m:sub>
            <m:r>
              <w:rPr>
                <w:rFonts w:ascii="Cambria Math" w:hAnsi="Cambria Math"/>
              </w:rPr>
              <m:t>c</m:t>
            </m:r>
          </m:sub>
        </m:sSub>
      </m:oMath>
      <w:r w:rsidR="00A7521D">
        <w:t xml:space="preserve"> was the cold fluid Nusselt number.</w:t>
      </w:r>
    </w:p>
    <w:p w14:paraId="140DED8A" w14:textId="23A0A4DA" w:rsidR="00696755" w:rsidRDefault="00696755" w:rsidP="00A7521D">
      <w:r>
        <w:t>The cold fluid Nusselt number was dependent on the cold fluid Reynolds number and the cold fluid Prandtl number.</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37"/>
        <w:gridCol w:w="239"/>
        <w:gridCol w:w="822"/>
      </w:tblGrid>
      <w:tr w:rsidR="00A7521D" w14:paraId="51FF61C3" w14:textId="77777777" w:rsidTr="00A7521D">
        <w:tc>
          <w:tcPr>
            <w:tcW w:w="7137" w:type="dxa"/>
            <w:hideMark/>
          </w:tcPr>
          <w:p w14:paraId="3C54423F" w14:textId="7D166A8B" w:rsidR="00A7521D" w:rsidRDefault="00C73E04" w:rsidP="00A7521D">
            <w:pPr>
              <w:keepNext/>
              <w:rPr>
                <w:color w:val="FFFFFF"/>
              </w:rPr>
            </w:pPr>
            <m:oMathPara>
              <m:oMathParaPr>
                <m:jc m:val="left"/>
              </m:oMathParaPr>
              <m:oMath>
                <m:sSub>
                  <m:sSubPr>
                    <m:ctrlPr>
                      <w:rPr>
                        <w:rFonts w:ascii="Cambria Math" w:hAnsi="Cambria Math"/>
                        <w:i/>
                        <w:iCs/>
                      </w:rPr>
                    </m:ctrlPr>
                  </m:sSubPr>
                  <m:e>
                    <m:r>
                      <w:rPr>
                        <w:rFonts w:ascii="Cambria Math" w:hAnsi="Cambria Math"/>
                      </w:rPr>
                      <m:t>h</m:t>
                    </m:r>
                  </m:e>
                  <m:sub>
                    <m:r>
                      <w:rPr>
                        <w:rFonts w:ascii="Cambria Math" w:hAnsi="Cambria Math"/>
                      </w:rPr>
                      <m:t>p,c</m:t>
                    </m:r>
                  </m:sub>
                </m:sSub>
                <m:r>
                  <w:rPr>
                    <w:rFonts w:ascii="Cambria Math" w:hAnsi="Cambria Math"/>
                  </w:rPr>
                  <m:t>=</m:t>
                </m:r>
                <m:f>
                  <m:fPr>
                    <m:ctrlPr>
                      <w:rPr>
                        <w:rFonts w:ascii="Cambria Math" w:hAnsi="Cambria Math"/>
                        <w:i/>
                        <w:iCs/>
                      </w:rPr>
                    </m:ctrlPr>
                  </m:fPr>
                  <m:num>
                    <m:sSub>
                      <m:sSubPr>
                        <m:ctrlPr>
                          <w:rPr>
                            <w:rFonts w:ascii="Cambria Math" w:hAnsi="Cambria Math"/>
                            <w:i/>
                            <w:iCs/>
                          </w:rPr>
                        </m:ctrlPr>
                      </m:sSubPr>
                      <m:e>
                        <m:r>
                          <w:rPr>
                            <w:rFonts w:ascii="Cambria Math" w:hAnsi="Cambria Math"/>
                          </w:rPr>
                          <m:t>Nu</m:t>
                        </m:r>
                      </m:e>
                      <m:sub>
                        <m:r>
                          <w:rPr>
                            <w:rFonts w:ascii="Cambria Math" w:hAnsi="Cambria Math"/>
                          </w:rPr>
                          <m:t>c</m:t>
                        </m:r>
                      </m:sub>
                    </m:sSub>
                    <m:sSub>
                      <m:sSubPr>
                        <m:ctrlPr>
                          <w:rPr>
                            <w:rFonts w:ascii="Cambria Math" w:hAnsi="Cambria Math"/>
                            <w:i/>
                            <w:iCs/>
                          </w:rPr>
                        </m:ctrlPr>
                      </m:sSubPr>
                      <m:e>
                        <m:r>
                          <w:rPr>
                            <w:rFonts w:ascii="Cambria Math" w:hAnsi="Cambria Math"/>
                          </w:rPr>
                          <m:t>k</m:t>
                        </m:r>
                      </m:e>
                      <m:sub>
                        <m:r>
                          <w:rPr>
                            <w:rFonts w:ascii="Cambria Math" w:hAnsi="Cambria Math"/>
                          </w:rPr>
                          <m:t>f,c</m:t>
                        </m:r>
                      </m:sub>
                    </m:sSub>
                  </m:num>
                  <m:den>
                    <m:sSub>
                      <m:sSubPr>
                        <m:ctrlPr>
                          <w:rPr>
                            <w:rFonts w:ascii="Cambria Math" w:hAnsi="Cambria Math"/>
                            <w:i/>
                            <w:iCs/>
                          </w:rPr>
                        </m:ctrlPr>
                      </m:sSubPr>
                      <m:e>
                        <m:r>
                          <w:rPr>
                            <w:rFonts w:ascii="Cambria Math" w:hAnsi="Cambria Math"/>
                          </w:rPr>
                          <m:t>D</m:t>
                        </m:r>
                      </m:e>
                      <m:sub>
                        <m:r>
                          <w:rPr>
                            <w:rFonts w:ascii="Cambria Math" w:hAnsi="Cambria Math"/>
                          </w:rPr>
                          <m:t>h</m:t>
                        </m:r>
                      </m:sub>
                    </m:sSub>
                  </m:den>
                </m:f>
              </m:oMath>
            </m:oMathPara>
          </w:p>
        </w:tc>
        <w:tc>
          <w:tcPr>
            <w:tcW w:w="239" w:type="dxa"/>
            <w:vAlign w:val="center"/>
            <w:hideMark/>
          </w:tcPr>
          <w:p w14:paraId="077E3512" w14:textId="77777777" w:rsidR="00A7521D" w:rsidRDefault="00A7521D" w:rsidP="00A7521D">
            <w:pPr>
              <w:pStyle w:val="Caption"/>
              <w:jc w:val="right"/>
            </w:pPr>
          </w:p>
        </w:tc>
        <w:tc>
          <w:tcPr>
            <w:tcW w:w="822" w:type="dxa"/>
            <w:vAlign w:val="center"/>
            <w:hideMark/>
          </w:tcPr>
          <w:p w14:paraId="0FC6A046" w14:textId="0EBB5CA8" w:rsidR="00A7521D" w:rsidRDefault="00A7521D" w:rsidP="00A7521D">
            <w:pPr>
              <w:pStyle w:val="Caption"/>
              <w:jc w:val="right"/>
              <w:rPr>
                <w:b w:val="0"/>
              </w:rPr>
            </w:pPr>
            <w:r>
              <w:rPr>
                <w:noProof/>
              </w:rPr>
              <w:fldChar w:fldCharType="begin"/>
            </w:r>
            <w:r>
              <w:rPr>
                <w:noProof/>
              </w:rPr>
              <w:instrText xml:space="preserve"> STYLEREF 1 \s </w:instrText>
            </w:r>
            <w:r>
              <w:rPr>
                <w:noProof/>
              </w:rPr>
              <w:fldChar w:fldCharType="separate"/>
            </w:r>
            <w:r w:rsidR="00CB7456">
              <w:rPr>
                <w:noProof/>
              </w:rPr>
              <w:t>13</w:t>
            </w:r>
            <w:r>
              <w:rPr>
                <w:noProof/>
              </w:rPr>
              <w:fldChar w:fldCharType="end"/>
            </w:r>
            <w:r>
              <w:rPr>
                <w:noProof/>
              </w:rPr>
              <w:t>.</w:t>
            </w:r>
            <w:r>
              <w:rPr>
                <w:noProof/>
              </w:rPr>
              <w:fldChar w:fldCharType="begin"/>
            </w:r>
            <w:r>
              <w:rPr>
                <w:noProof/>
              </w:rPr>
              <w:instrText xml:space="preserve"> SEQ Equation \* ARABIC \s 1 </w:instrText>
            </w:r>
            <w:r>
              <w:rPr>
                <w:noProof/>
              </w:rPr>
              <w:fldChar w:fldCharType="separate"/>
            </w:r>
            <w:r w:rsidR="00CB7456">
              <w:rPr>
                <w:noProof/>
              </w:rPr>
              <w:t>49</w:t>
            </w:r>
            <w:r>
              <w:rPr>
                <w:noProof/>
              </w:rPr>
              <w:fldChar w:fldCharType="end"/>
            </w:r>
          </w:p>
        </w:tc>
      </w:tr>
    </w:tbl>
    <w:p w14:paraId="4D5668DB" w14:textId="77777777" w:rsidR="00A7521D" w:rsidRDefault="00A7521D" w:rsidP="00A7521D"/>
    <w:p w14:paraId="07016C6F" w14:textId="288921EE" w:rsidR="00A7521D" w:rsidRDefault="00C73E04" w:rsidP="00A7521D">
      <w:pPr>
        <w:rPr>
          <w:iCs/>
        </w:rPr>
      </w:pPr>
      <m:oMath>
        <m:sSub>
          <m:sSubPr>
            <m:ctrlPr>
              <w:rPr>
                <w:rFonts w:ascii="Cambria Math" w:hAnsi="Cambria Math"/>
                <w:i/>
                <w:iCs/>
              </w:rPr>
            </m:ctrlPr>
          </m:sSubPr>
          <m:e>
            <m:r>
              <w:rPr>
                <w:rFonts w:ascii="Cambria Math" w:hAnsi="Cambria Math"/>
              </w:rPr>
              <m:t>h</m:t>
            </m:r>
          </m:e>
          <m:sub>
            <m:r>
              <w:rPr>
                <w:rFonts w:ascii="Cambria Math" w:hAnsi="Cambria Math"/>
              </w:rPr>
              <m:t>p,c</m:t>
            </m:r>
          </m:sub>
        </m:sSub>
      </m:oMath>
      <w:r w:rsidR="00A7521D">
        <w:rPr>
          <w:iCs/>
        </w:rPr>
        <w:t xml:space="preserve"> was the cold fluid plate film coefficient (W/[m</w:t>
      </w:r>
      <w:r w:rsidR="00A7521D">
        <w:rPr>
          <w:iCs/>
          <w:vertAlign w:val="superscript"/>
        </w:rPr>
        <w:t>2</w:t>
      </w:r>
      <w:r w:rsidR="00A7521D">
        <w:rPr>
          <w:iCs/>
        </w:rPr>
        <w:t>°C]).</w:t>
      </w:r>
    </w:p>
    <w:p w14:paraId="2FE762F5" w14:textId="3895EE7B" w:rsidR="00F65AE4" w:rsidRDefault="00F65AE4" w:rsidP="00A7521D">
      <w:pPr>
        <w:rPr>
          <w:iCs/>
        </w:rPr>
      </w:pPr>
      <w:r>
        <w:rPr>
          <w:iCs/>
        </w:rPr>
        <w:lastRenderedPageBreak/>
        <w:t xml:space="preserve">The </w:t>
      </w:r>
      <w:r w:rsidR="00890DCF">
        <w:rPr>
          <w:iCs/>
        </w:rPr>
        <w:t>cold fluid plate film coefficient was dependent on the cold fluid Nusselt number, the cold fluid thermal conductivity and the hydraulic mean diameter.</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37"/>
        <w:gridCol w:w="239"/>
        <w:gridCol w:w="822"/>
      </w:tblGrid>
      <w:tr w:rsidR="00A7521D" w14:paraId="354351BB" w14:textId="77777777" w:rsidTr="00A7521D">
        <w:tc>
          <w:tcPr>
            <w:tcW w:w="7137" w:type="dxa"/>
            <w:hideMark/>
          </w:tcPr>
          <w:p w14:paraId="5CA98DC1" w14:textId="77777777" w:rsidR="00A7521D" w:rsidRDefault="00C73E04" w:rsidP="00A7521D">
            <w:pPr>
              <w:keepNext/>
              <w:rPr>
                <w:color w:val="FFFFFF"/>
              </w:rPr>
            </w:pPr>
            <m:oMathPara>
              <m:oMathParaPr>
                <m:jc m:val="left"/>
              </m:oMathParaPr>
              <m:oMath>
                <m:f>
                  <m:fPr>
                    <m:ctrlPr>
                      <w:rPr>
                        <w:rFonts w:ascii="Cambria Math" w:hAnsi="Cambria Math"/>
                        <w:i/>
                        <w:iCs/>
                      </w:rPr>
                    </m:ctrlPr>
                  </m:fPr>
                  <m:num>
                    <m:r>
                      <w:rPr>
                        <w:rFonts w:ascii="Cambria Math" w:hAnsi="Cambria Math"/>
                      </w:rPr>
                      <m:t>1</m:t>
                    </m:r>
                  </m:num>
                  <m:den>
                    <m:sSub>
                      <m:sSubPr>
                        <m:ctrlPr>
                          <w:rPr>
                            <w:rFonts w:ascii="Cambria Math" w:hAnsi="Cambria Math"/>
                            <w:i/>
                            <w:iCs/>
                          </w:rPr>
                        </m:ctrlPr>
                      </m:sSubPr>
                      <m:e>
                        <m:r>
                          <w:rPr>
                            <w:rFonts w:ascii="Cambria Math" w:hAnsi="Cambria Math"/>
                          </w:rPr>
                          <m:t>U</m:t>
                        </m:r>
                      </m:e>
                      <m:sub>
                        <m:r>
                          <w:rPr>
                            <w:rFonts w:ascii="Cambria Math" w:hAnsi="Cambria Math"/>
                          </w:rPr>
                          <m:t>0</m:t>
                        </m:r>
                      </m:sub>
                    </m:sSub>
                  </m:den>
                </m:f>
                <m:r>
                  <w:rPr>
                    <w:rFonts w:ascii="Cambria Math" w:hAnsi="Cambria Math"/>
                  </w:rPr>
                  <m:t>=</m:t>
                </m:r>
                <m:f>
                  <m:fPr>
                    <m:ctrlPr>
                      <w:rPr>
                        <w:rFonts w:ascii="Cambria Math" w:hAnsi="Cambria Math"/>
                        <w:i/>
                        <w:iCs/>
                      </w:rPr>
                    </m:ctrlPr>
                  </m:fPr>
                  <m:num>
                    <m:r>
                      <w:rPr>
                        <w:rFonts w:ascii="Cambria Math" w:hAnsi="Cambria Math"/>
                      </w:rPr>
                      <m:t>1</m:t>
                    </m:r>
                  </m:num>
                  <m:den>
                    <m:sSub>
                      <m:sSubPr>
                        <m:ctrlPr>
                          <w:rPr>
                            <w:rFonts w:ascii="Cambria Math" w:hAnsi="Cambria Math"/>
                            <w:i/>
                            <w:iCs/>
                          </w:rPr>
                        </m:ctrlPr>
                      </m:sSubPr>
                      <m:e>
                        <m:r>
                          <w:rPr>
                            <w:rFonts w:ascii="Cambria Math" w:hAnsi="Cambria Math"/>
                          </w:rPr>
                          <m:t>h</m:t>
                        </m:r>
                      </m:e>
                      <m:sub>
                        <m:r>
                          <w:rPr>
                            <w:rFonts w:ascii="Cambria Math" w:hAnsi="Cambria Math"/>
                          </w:rPr>
                          <m:t>p,h</m:t>
                        </m:r>
                      </m:sub>
                    </m:sSub>
                  </m:den>
                </m:f>
                <m:r>
                  <w:rPr>
                    <w:rFonts w:ascii="Cambria Math" w:hAnsi="Cambria Math"/>
                  </w:rPr>
                  <m:t>+</m:t>
                </m:r>
                <m:f>
                  <m:fPr>
                    <m:ctrlPr>
                      <w:rPr>
                        <w:rFonts w:ascii="Cambria Math" w:hAnsi="Cambria Math"/>
                        <w:i/>
                        <w:iCs/>
                      </w:rPr>
                    </m:ctrlPr>
                  </m:fPr>
                  <m:num>
                    <m:r>
                      <w:rPr>
                        <w:rFonts w:ascii="Cambria Math" w:hAnsi="Cambria Math"/>
                      </w:rPr>
                      <m:t>1</m:t>
                    </m:r>
                  </m:num>
                  <m:den>
                    <m:sSub>
                      <m:sSubPr>
                        <m:ctrlPr>
                          <w:rPr>
                            <w:rFonts w:ascii="Cambria Math" w:hAnsi="Cambria Math"/>
                            <w:i/>
                            <w:iCs/>
                          </w:rPr>
                        </m:ctrlPr>
                      </m:sSubPr>
                      <m:e>
                        <m:r>
                          <w:rPr>
                            <w:rFonts w:ascii="Cambria Math" w:hAnsi="Cambria Math"/>
                          </w:rPr>
                          <m:t>h</m:t>
                        </m:r>
                      </m:e>
                      <m:sub>
                        <m:r>
                          <w:rPr>
                            <w:rFonts w:ascii="Cambria Math" w:hAnsi="Cambria Math"/>
                          </w:rPr>
                          <m:t>od</m:t>
                        </m:r>
                      </m:sub>
                    </m:sSub>
                  </m:den>
                </m:f>
                <m:r>
                  <w:rPr>
                    <w:rFonts w:ascii="Cambria Math" w:hAnsi="Cambria Math"/>
                  </w:rPr>
                  <m:t>+</m:t>
                </m:r>
                <m:f>
                  <m:fPr>
                    <m:ctrlPr>
                      <w:rPr>
                        <w:rFonts w:ascii="Cambria Math" w:hAnsi="Cambria Math"/>
                        <w:i/>
                        <w:iCs/>
                      </w:rPr>
                    </m:ctrlPr>
                  </m:fPr>
                  <m:num>
                    <m:sSub>
                      <m:sSubPr>
                        <m:ctrlPr>
                          <w:rPr>
                            <w:rFonts w:ascii="Cambria Math" w:hAnsi="Cambria Math"/>
                            <w:i/>
                            <w:iCs/>
                          </w:rPr>
                        </m:ctrlPr>
                      </m:sSubPr>
                      <m:e>
                        <m:r>
                          <w:rPr>
                            <w:rFonts w:ascii="Cambria Math" w:hAnsi="Cambria Math"/>
                          </w:rPr>
                          <m:t>D</m:t>
                        </m:r>
                      </m:e>
                      <m:sub>
                        <m:r>
                          <w:rPr>
                            <w:rFonts w:ascii="Cambria Math" w:hAnsi="Cambria Math"/>
                          </w:rPr>
                          <m:t>th</m:t>
                        </m:r>
                      </m:sub>
                    </m:sSub>
                  </m:num>
                  <m:den>
                    <m:sSub>
                      <m:sSubPr>
                        <m:ctrlPr>
                          <w:rPr>
                            <w:rFonts w:ascii="Cambria Math" w:hAnsi="Cambria Math"/>
                            <w:i/>
                            <w:iCs/>
                          </w:rPr>
                        </m:ctrlPr>
                      </m:sSubPr>
                      <m:e>
                        <m:r>
                          <w:rPr>
                            <w:rFonts w:ascii="Cambria Math" w:hAnsi="Cambria Math"/>
                          </w:rPr>
                          <m:t>k</m:t>
                        </m:r>
                      </m:e>
                      <m:sub>
                        <m:r>
                          <w:rPr>
                            <w:rFonts w:ascii="Cambria Math" w:hAnsi="Cambria Math"/>
                          </w:rPr>
                          <m:t>w</m:t>
                        </m:r>
                      </m:sub>
                    </m:sSub>
                  </m:den>
                </m:f>
                <m:r>
                  <w:rPr>
                    <w:rFonts w:ascii="Cambria Math" w:hAnsi="Cambria Math"/>
                  </w:rPr>
                  <m:t>+</m:t>
                </m:r>
                <m:f>
                  <m:fPr>
                    <m:ctrlPr>
                      <w:rPr>
                        <w:rFonts w:ascii="Cambria Math" w:hAnsi="Cambria Math"/>
                        <w:i/>
                        <w:iCs/>
                      </w:rPr>
                    </m:ctrlPr>
                  </m:fPr>
                  <m:num>
                    <m:r>
                      <w:rPr>
                        <w:rFonts w:ascii="Cambria Math" w:hAnsi="Cambria Math"/>
                      </w:rPr>
                      <m:t>1</m:t>
                    </m:r>
                  </m:num>
                  <m:den>
                    <m:sSub>
                      <m:sSubPr>
                        <m:ctrlPr>
                          <w:rPr>
                            <w:rFonts w:ascii="Cambria Math" w:hAnsi="Cambria Math"/>
                            <w:i/>
                            <w:iCs/>
                          </w:rPr>
                        </m:ctrlPr>
                      </m:sSubPr>
                      <m:e>
                        <m:r>
                          <w:rPr>
                            <w:rFonts w:ascii="Cambria Math" w:hAnsi="Cambria Math"/>
                          </w:rPr>
                          <m:t>h</m:t>
                        </m:r>
                      </m:e>
                      <m:sub>
                        <m:r>
                          <w:rPr>
                            <w:rFonts w:ascii="Cambria Math" w:hAnsi="Cambria Math"/>
                          </w:rPr>
                          <m:t>id</m:t>
                        </m:r>
                      </m:sub>
                    </m:sSub>
                  </m:den>
                </m:f>
                <m:r>
                  <w:rPr>
                    <w:rFonts w:ascii="Cambria Math" w:hAnsi="Cambria Math"/>
                  </w:rPr>
                  <m:t>+</m:t>
                </m:r>
                <m:f>
                  <m:fPr>
                    <m:ctrlPr>
                      <w:rPr>
                        <w:rFonts w:ascii="Cambria Math" w:hAnsi="Cambria Math"/>
                        <w:i/>
                        <w:iCs/>
                      </w:rPr>
                    </m:ctrlPr>
                  </m:fPr>
                  <m:num>
                    <m:r>
                      <w:rPr>
                        <w:rFonts w:ascii="Cambria Math" w:hAnsi="Cambria Math"/>
                      </w:rPr>
                      <m:t>1</m:t>
                    </m:r>
                  </m:num>
                  <m:den>
                    <m:sSub>
                      <m:sSubPr>
                        <m:ctrlPr>
                          <w:rPr>
                            <w:rFonts w:ascii="Cambria Math" w:hAnsi="Cambria Math"/>
                            <w:i/>
                            <w:iCs/>
                          </w:rPr>
                        </m:ctrlPr>
                      </m:sSubPr>
                      <m:e>
                        <m:r>
                          <w:rPr>
                            <w:rFonts w:ascii="Cambria Math" w:hAnsi="Cambria Math"/>
                          </w:rPr>
                          <m:t>h</m:t>
                        </m:r>
                      </m:e>
                      <m:sub>
                        <m:r>
                          <w:rPr>
                            <w:rFonts w:ascii="Cambria Math" w:hAnsi="Cambria Math"/>
                          </w:rPr>
                          <m:t>p,c</m:t>
                        </m:r>
                      </m:sub>
                    </m:sSub>
                  </m:den>
                </m:f>
              </m:oMath>
            </m:oMathPara>
          </w:p>
        </w:tc>
        <w:tc>
          <w:tcPr>
            <w:tcW w:w="239" w:type="dxa"/>
            <w:vAlign w:val="center"/>
            <w:hideMark/>
          </w:tcPr>
          <w:p w14:paraId="6FAFFE20" w14:textId="77777777" w:rsidR="00A7521D" w:rsidRDefault="00A7521D" w:rsidP="00A7521D">
            <w:pPr>
              <w:pStyle w:val="Caption"/>
              <w:jc w:val="right"/>
            </w:pPr>
          </w:p>
        </w:tc>
        <w:tc>
          <w:tcPr>
            <w:tcW w:w="822" w:type="dxa"/>
            <w:vAlign w:val="center"/>
            <w:hideMark/>
          </w:tcPr>
          <w:p w14:paraId="4DB509BC" w14:textId="1F3E0CC5" w:rsidR="00A7521D" w:rsidRDefault="00A7521D" w:rsidP="00A7521D">
            <w:pPr>
              <w:pStyle w:val="Caption"/>
              <w:jc w:val="right"/>
              <w:rPr>
                <w:b w:val="0"/>
              </w:rPr>
            </w:pPr>
            <w:r>
              <w:rPr>
                <w:noProof/>
              </w:rPr>
              <w:fldChar w:fldCharType="begin"/>
            </w:r>
            <w:r>
              <w:rPr>
                <w:noProof/>
              </w:rPr>
              <w:instrText xml:space="preserve"> STYLEREF 1 \s </w:instrText>
            </w:r>
            <w:r>
              <w:rPr>
                <w:noProof/>
              </w:rPr>
              <w:fldChar w:fldCharType="separate"/>
            </w:r>
            <w:r w:rsidR="00CB7456">
              <w:rPr>
                <w:noProof/>
              </w:rPr>
              <w:t>13</w:t>
            </w:r>
            <w:r>
              <w:rPr>
                <w:noProof/>
              </w:rPr>
              <w:fldChar w:fldCharType="end"/>
            </w:r>
            <w:r>
              <w:rPr>
                <w:noProof/>
              </w:rPr>
              <w:t>.</w:t>
            </w:r>
            <w:r>
              <w:rPr>
                <w:noProof/>
              </w:rPr>
              <w:fldChar w:fldCharType="begin"/>
            </w:r>
            <w:r>
              <w:rPr>
                <w:noProof/>
              </w:rPr>
              <w:instrText xml:space="preserve"> SEQ Equation \* ARABIC \s 1 </w:instrText>
            </w:r>
            <w:r>
              <w:rPr>
                <w:noProof/>
              </w:rPr>
              <w:fldChar w:fldCharType="separate"/>
            </w:r>
            <w:r w:rsidR="00CB7456">
              <w:rPr>
                <w:noProof/>
              </w:rPr>
              <w:t>50</w:t>
            </w:r>
            <w:r>
              <w:rPr>
                <w:noProof/>
              </w:rPr>
              <w:fldChar w:fldCharType="end"/>
            </w:r>
          </w:p>
        </w:tc>
      </w:tr>
    </w:tbl>
    <w:p w14:paraId="72A34401" w14:textId="77777777" w:rsidR="00A7521D" w:rsidRDefault="00A7521D" w:rsidP="00A7521D">
      <w:pPr>
        <w:rPr>
          <w:iCs/>
        </w:rPr>
      </w:pPr>
    </w:p>
    <w:p w14:paraId="7C74C8BB" w14:textId="77777777" w:rsidR="00A7521D" w:rsidRDefault="00C73E04" w:rsidP="00A7521D">
      <w:pPr>
        <w:pStyle w:val="NoSpacing"/>
      </w:pPr>
      <m:oMath>
        <m:sSub>
          <m:sSubPr>
            <m:ctrlPr>
              <w:rPr>
                <w:rFonts w:ascii="Cambria Math" w:hAnsi="Cambria Math"/>
                <w:i/>
                <w:iCs/>
              </w:rPr>
            </m:ctrlPr>
          </m:sSubPr>
          <m:e>
            <m:r>
              <w:rPr>
                <w:rFonts w:ascii="Cambria Math" w:hAnsi="Cambria Math"/>
              </w:rPr>
              <m:t>U</m:t>
            </m:r>
          </m:e>
          <m:sub>
            <m:r>
              <w:rPr>
                <w:rFonts w:ascii="Cambria Math" w:hAnsi="Cambria Math"/>
              </w:rPr>
              <m:t>0</m:t>
            </m:r>
          </m:sub>
        </m:sSub>
      </m:oMath>
      <w:r w:rsidR="00A7521D">
        <w:rPr>
          <w:iCs/>
        </w:rPr>
        <w:t xml:space="preserve"> was </w:t>
      </w:r>
      <w:r w:rsidR="00A7521D">
        <w:t xml:space="preserve">the overall HTC </w:t>
      </w:r>
      <w:r w:rsidR="00A7521D">
        <w:rPr>
          <w:iCs/>
        </w:rPr>
        <w:t>(W/[m</w:t>
      </w:r>
      <w:r w:rsidR="00A7521D">
        <w:rPr>
          <w:iCs/>
          <w:vertAlign w:val="superscript"/>
        </w:rPr>
        <w:t>2</w:t>
      </w:r>
      <w:r w:rsidR="00A7521D">
        <w:rPr>
          <w:iCs/>
        </w:rPr>
        <w:t>°C])</w:t>
      </w:r>
      <w:r w:rsidR="00A7521D">
        <w:t>,</w:t>
      </w:r>
    </w:p>
    <w:p w14:paraId="27459D34" w14:textId="77777777" w:rsidR="00A7521D" w:rsidRDefault="00C73E04" w:rsidP="00A7521D">
      <w:pPr>
        <w:pStyle w:val="NoSpacing"/>
      </w:pPr>
      <m:oMath>
        <m:sSub>
          <m:sSubPr>
            <m:ctrlPr>
              <w:rPr>
                <w:rFonts w:ascii="Cambria Math" w:hAnsi="Cambria Math"/>
                <w:i/>
              </w:rPr>
            </m:ctrlPr>
          </m:sSubPr>
          <m:e>
            <m:r>
              <w:rPr>
                <w:rFonts w:ascii="Cambria Math" w:hAnsi="Cambria Math"/>
              </w:rPr>
              <m:t>h</m:t>
            </m:r>
          </m:e>
          <m:sub>
            <m:r>
              <w:rPr>
                <w:rFonts w:ascii="Cambria Math" w:hAnsi="Cambria Math"/>
              </w:rPr>
              <m:t>od</m:t>
            </m:r>
          </m:sub>
        </m:sSub>
      </m:oMath>
      <w:r w:rsidR="00A7521D">
        <w:t xml:space="preserve"> was the outside dirt coefficie</w:t>
      </w:r>
      <w:proofErr w:type="spellStart"/>
      <w:r w:rsidR="00A7521D">
        <w:t>nt</w:t>
      </w:r>
      <w:proofErr w:type="spellEnd"/>
      <w:r w:rsidR="00A7521D">
        <w:t xml:space="preserve"> </w:t>
      </w:r>
      <w:r w:rsidR="00A7521D">
        <w:rPr>
          <w:iCs/>
        </w:rPr>
        <w:t>(W/[m</w:t>
      </w:r>
      <w:r w:rsidR="00A7521D">
        <w:rPr>
          <w:iCs/>
          <w:vertAlign w:val="superscript"/>
        </w:rPr>
        <w:t>2</w:t>
      </w:r>
      <w:r w:rsidR="00A7521D">
        <w:rPr>
          <w:iCs/>
        </w:rPr>
        <w:t>°C])</w:t>
      </w:r>
      <w:r w:rsidR="00A7521D">
        <w:t>,</w:t>
      </w:r>
    </w:p>
    <w:p w14:paraId="34ACA3B1" w14:textId="77777777" w:rsidR="00A7521D" w:rsidRDefault="00C73E04" w:rsidP="00A7521D">
      <w:pPr>
        <w:pStyle w:val="NoSpacing"/>
      </w:pPr>
      <m:oMath>
        <m:sSub>
          <m:sSubPr>
            <m:ctrlPr>
              <w:rPr>
                <w:rFonts w:ascii="Cambria Math" w:hAnsi="Cambria Math"/>
                <w:i/>
                <w:iCs/>
              </w:rPr>
            </m:ctrlPr>
          </m:sSubPr>
          <m:e>
            <m:r>
              <w:rPr>
                <w:rFonts w:ascii="Cambria Math" w:hAnsi="Cambria Math"/>
              </w:rPr>
              <m:t>D</m:t>
            </m:r>
          </m:e>
          <m:sub>
            <m:r>
              <w:rPr>
                <w:rFonts w:ascii="Cambria Math" w:hAnsi="Cambria Math"/>
              </w:rPr>
              <m:t>th</m:t>
            </m:r>
          </m:sub>
        </m:sSub>
      </m:oMath>
      <w:r w:rsidR="00A7521D">
        <w:rPr>
          <w:iCs/>
        </w:rPr>
        <w:t xml:space="preserve"> was the typical plate thickness (m),</w:t>
      </w:r>
    </w:p>
    <w:p w14:paraId="5E1081EF" w14:textId="77777777" w:rsidR="00A7521D" w:rsidRDefault="00C73E04" w:rsidP="00A7521D">
      <w:pPr>
        <w:pStyle w:val="NoSpacing"/>
      </w:pPr>
      <m:oMath>
        <m:sSub>
          <m:sSubPr>
            <m:ctrlPr>
              <w:rPr>
                <w:rFonts w:ascii="Cambria Math" w:hAnsi="Cambria Math"/>
                <w:i/>
                <w:iCs/>
              </w:rPr>
            </m:ctrlPr>
          </m:sSubPr>
          <m:e>
            <m:r>
              <w:rPr>
                <w:rFonts w:ascii="Cambria Math" w:hAnsi="Cambria Math"/>
              </w:rPr>
              <m:t>k</m:t>
            </m:r>
          </m:e>
          <m:sub>
            <m:r>
              <w:rPr>
                <w:rFonts w:ascii="Cambria Math" w:hAnsi="Cambria Math"/>
              </w:rPr>
              <m:t>w</m:t>
            </m:r>
          </m:sub>
        </m:sSub>
      </m:oMath>
      <w:r w:rsidR="00A7521D">
        <w:rPr>
          <w:iCs/>
        </w:rPr>
        <w:t xml:space="preserve"> was the thermal conductivity of the wall material (W/[mK]),</w:t>
      </w:r>
    </w:p>
    <w:p w14:paraId="3A55965A" w14:textId="6AEAB587" w:rsidR="00A7521D" w:rsidRDefault="00C73E04" w:rsidP="00A7521D">
      <m:oMath>
        <m:sSub>
          <m:sSubPr>
            <m:ctrlPr>
              <w:rPr>
                <w:rFonts w:ascii="Cambria Math" w:hAnsi="Cambria Math"/>
                <w:i/>
              </w:rPr>
            </m:ctrlPr>
          </m:sSubPr>
          <m:e>
            <m:r>
              <w:rPr>
                <w:rFonts w:ascii="Cambria Math" w:hAnsi="Cambria Math"/>
              </w:rPr>
              <m:t>h</m:t>
            </m:r>
          </m:e>
          <m:sub>
            <m:r>
              <w:rPr>
                <w:rFonts w:ascii="Cambria Math" w:hAnsi="Cambria Math"/>
              </w:rPr>
              <m:t>id</m:t>
            </m:r>
          </m:sub>
        </m:sSub>
      </m:oMath>
      <w:r w:rsidR="00A7521D">
        <w:t xml:space="preserve"> was the outside dirt coefficient </w:t>
      </w:r>
      <w:r w:rsidR="00A7521D">
        <w:rPr>
          <w:iCs/>
        </w:rPr>
        <w:t>(W/[m</w:t>
      </w:r>
      <w:r w:rsidR="00A7521D">
        <w:rPr>
          <w:iCs/>
          <w:vertAlign w:val="superscript"/>
        </w:rPr>
        <w:t>2</w:t>
      </w:r>
      <w:r w:rsidR="00A7521D">
        <w:rPr>
          <w:iCs/>
        </w:rPr>
        <w:t>°C])</w:t>
      </w:r>
      <w:r w:rsidR="00A7521D">
        <w:t>.</w:t>
      </w:r>
    </w:p>
    <w:p w14:paraId="0075BD16" w14:textId="4D4A02D7" w:rsidR="00A7521D" w:rsidRDefault="00890DCF" w:rsidP="00890DCF">
      <w:r>
        <w:t xml:space="preserve">The overall HTC was dependent on the hot and cold fluid plate film coefficients, the inside and outside dirt coefficients, the typical plate thickness and the thermal conductivity of the wall material. The typical plate thickness was dependent on the physical parameters of the plate. The </w:t>
      </w:r>
      <w:r>
        <w:rPr>
          <w:iCs/>
        </w:rPr>
        <w:t xml:space="preserve">thermal conductivity of the wall material was dependent on the choice of the plate material and the operating conditions. The </w:t>
      </w:r>
      <w:r>
        <w:t xml:space="preserve">inside and outside dirt coefficients </w:t>
      </w:r>
      <w:r w:rsidR="00A7521D">
        <w:t xml:space="preserve">were found using Table 12.2 </w:t>
      </w:r>
      <w:r w:rsidR="00A7521D">
        <w:fldChar w:fldCharType="begin" w:fldLock="1"/>
      </w:r>
      <w:r w:rsidR="002A6A73">
        <w:instrText>ADDIN CSL_CITATION {"citationItems":[{"id":"ITEM-1","itemData":{"ISBN":"978-0-7506-6538-4","author":[{"dropping-particle":"","family":"Sinnott","given":"R.K.","non-dropping-particle":"","parse-names":false,"suffix":""}],"edition":"4","id":"ITEM-1","issued":{"date-parts":[["2005"]]},"number-of-pages":"60 - 132","publisher":"Elsevier","publisher-place":"Oxford, England","title":"Coulson and Richardson's Chemical Engineering Volume 6 - Chemical Engineering Design","type":"book"},"uris":["http://www.mendeley.com/documents/?uuid=8e00b24b-1ea1-4b70-9865-3b5bcae659ed"]}],"mendeley":{"formattedCitation":"(Sinnott, 2005b)","plainTextFormattedCitation":"(Sinnott, 2005b)","previouslyFormattedCitation":"(Sinnott, 2005b)"},"properties":{"noteIndex":0},"schema":"https://github.com/citation-style-language/schema/raw/master/csl-citation.json"}</w:instrText>
      </w:r>
      <w:r w:rsidR="00A7521D">
        <w:fldChar w:fldCharType="separate"/>
      </w:r>
      <w:r w:rsidR="002A6A73" w:rsidRPr="002A6A73">
        <w:rPr>
          <w:noProof/>
        </w:rPr>
        <w:t>(Sinnott, 2005b)</w:t>
      </w:r>
      <w:r w:rsidR="00A7521D">
        <w:fldChar w:fldCharType="end"/>
      </w:r>
      <w:r w:rsidR="00A7521D">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37"/>
        <w:gridCol w:w="239"/>
        <w:gridCol w:w="822"/>
      </w:tblGrid>
      <w:tr w:rsidR="00A7521D" w14:paraId="7DBA6B42" w14:textId="77777777" w:rsidTr="00A7521D">
        <w:tc>
          <w:tcPr>
            <w:tcW w:w="7137" w:type="dxa"/>
            <w:hideMark/>
          </w:tcPr>
          <w:p w14:paraId="3FE3A5EC" w14:textId="77777777" w:rsidR="00A7521D" w:rsidRDefault="00C73E04" w:rsidP="00A7521D">
            <w:pPr>
              <w:keepNext/>
              <w:rPr>
                <w:color w:val="FFFFFF"/>
              </w:rPr>
            </w:pPr>
            <m:oMathPara>
              <m:oMathParaPr>
                <m:jc m:val="left"/>
              </m:oMathParaPr>
              <m:oMath>
                <m:sSub>
                  <m:sSubPr>
                    <m:ctrlPr>
                      <w:rPr>
                        <w:rFonts w:ascii="Cambria Math" w:hAnsi="Cambria Math"/>
                        <w:i/>
                        <w:iCs/>
                      </w:rPr>
                    </m:ctrlPr>
                  </m:sSubPr>
                  <m:e>
                    <m:r>
                      <w:rPr>
                        <w:rFonts w:ascii="Cambria Math" w:hAnsi="Cambria Math"/>
                      </w:rPr>
                      <m:t>j</m:t>
                    </m:r>
                  </m:e>
                  <m:sub>
                    <m:r>
                      <w:rPr>
                        <w:rFonts w:ascii="Cambria Math" w:hAnsi="Cambria Math"/>
                      </w:rPr>
                      <m:t>f,h</m:t>
                    </m:r>
                  </m:sub>
                </m:sSub>
                <m:r>
                  <w:rPr>
                    <w:rFonts w:ascii="Cambria Math" w:hAnsi="Cambria Math"/>
                  </w:rPr>
                  <m:t>=0.6</m:t>
                </m:r>
                <m:sSubSup>
                  <m:sSubSupPr>
                    <m:ctrlPr>
                      <w:rPr>
                        <w:rFonts w:ascii="Cambria Math" w:hAnsi="Cambria Math"/>
                        <w:i/>
                        <w:iCs/>
                      </w:rPr>
                    </m:ctrlPr>
                  </m:sSubSupPr>
                  <m:e>
                    <m:r>
                      <w:rPr>
                        <w:rFonts w:ascii="Cambria Math" w:hAnsi="Cambria Math"/>
                      </w:rPr>
                      <m:t>Re</m:t>
                    </m:r>
                  </m:e>
                  <m:sub>
                    <m:r>
                      <w:rPr>
                        <w:rFonts w:ascii="Cambria Math" w:hAnsi="Cambria Math"/>
                      </w:rPr>
                      <m:t>h</m:t>
                    </m:r>
                  </m:sub>
                  <m:sup>
                    <m:r>
                      <w:rPr>
                        <w:rFonts w:ascii="Cambria Math" w:hAnsi="Cambria Math"/>
                      </w:rPr>
                      <m:t>-0.3</m:t>
                    </m:r>
                  </m:sup>
                </m:sSubSup>
              </m:oMath>
            </m:oMathPara>
          </w:p>
        </w:tc>
        <w:tc>
          <w:tcPr>
            <w:tcW w:w="239" w:type="dxa"/>
            <w:vAlign w:val="center"/>
            <w:hideMark/>
          </w:tcPr>
          <w:p w14:paraId="1B6119AB" w14:textId="77777777" w:rsidR="00A7521D" w:rsidRDefault="00A7521D" w:rsidP="00A7521D">
            <w:pPr>
              <w:pStyle w:val="Caption"/>
              <w:jc w:val="right"/>
            </w:pPr>
          </w:p>
        </w:tc>
        <w:tc>
          <w:tcPr>
            <w:tcW w:w="822" w:type="dxa"/>
            <w:vAlign w:val="center"/>
            <w:hideMark/>
          </w:tcPr>
          <w:p w14:paraId="77226645" w14:textId="62A4F577" w:rsidR="00A7521D" w:rsidRDefault="00A7521D" w:rsidP="00A7521D">
            <w:pPr>
              <w:pStyle w:val="Caption"/>
              <w:jc w:val="right"/>
              <w:rPr>
                <w:b w:val="0"/>
              </w:rPr>
            </w:pPr>
            <w:r>
              <w:rPr>
                <w:noProof/>
              </w:rPr>
              <w:fldChar w:fldCharType="begin"/>
            </w:r>
            <w:r>
              <w:rPr>
                <w:noProof/>
              </w:rPr>
              <w:instrText xml:space="preserve"> STYLEREF 1 \s </w:instrText>
            </w:r>
            <w:r>
              <w:rPr>
                <w:noProof/>
              </w:rPr>
              <w:fldChar w:fldCharType="separate"/>
            </w:r>
            <w:r w:rsidR="00CB7456">
              <w:rPr>
                <w:noProof/>
              </w:rPr>
              <w:t>13</w:t>
            </w:r>
            <w:r>
              <w:rPr>
                <w:noProof/>
              </w:rPr>
              <w:fldChar w:fldCharType="end"/>
            </w:r>
            <w:r>
              <w:rPr>
                <w:noProof/>
              </w:rPr>
              <w:t>.</w:t>
            </w:r>
            <w:r>
              <w:rPr>
                <w:noProof/>
              </w:rPr>
              <w:fldChar w:fldCharType="begin"/>
            </w:r>
            <w:r>
              <w:rPr>
                <w:noProof/>
              </w:rPr>
              <w:instrText xml:space="preserve"> SEQ Equation \* ARABIC \s 1 </w:instrText>
            </w:r>
            <w:r>
              <w:rPr>
                <w:noProof/>
              </w:rPr>
              <w:fldChar w:fldCharType="separate"/>
            </w:r>
            <w:r w:rsidR="00CB7456">
              <w:rPr>
                <w:noProof/>
              </w:rPr>
              <w:t>51</w:t>
            </w:r>
            <w:r>
              <w:rPr>
                <w:noProof/>
              </w:rPr>
              <w:fldChar w:fldCharType="end"/>
            </w:r>
          </w:p>
        </w:tc>
      </w:tr>
    </w:tbl>
    <w:p w14:paraId="73B1CF77" w14:textId="77777777" w:rsidR="00A7521D" w:rsidRDefault="00A7521D" w:rsidP="00A7521D"/>
    <w:p w14:paraId="0770F841" w14:textId="2B5BD34A" w:rsidR="00A7521D" w:rsidRDefault="00C73E04" w:rsidP="00A7521D">
      <w:pPr>
        <w:rPr>
          <w:iCs/>
        </w:rPr>
      </w:pPr>
      <m:oMath>
        <m:sSub>
          <m:sSubPr>
            <m:ctrlPr>
              <w:rPr>
                <w:rFonts w:ascii="Cambria Math" w:hAnsi="Cambria Math"/>
                <w:i/>
                <w:iCs/>
              </w:rPr>
            </m:ctrlPr>
          </m:sSubPr>
          <m:e>
            <m:r>
              <w:rPr>
                <w:rFonts w:ascii="Cambria Math" w:hAnsi="Cambria Math"/>
              </w:rPr>
              <m:t>j</m:t>
            </m:r>
          </m:e>
          <m:sub>
            <m:r>
              <w:rPr>
                <w:rFonts w:ascii="Cambria Math" w:hAnsi="Cambria Math"/>
              </w:rPr>
              <m:t>f,h</m:t>
            </m:r>
          </m:sub>
        </m:sSub>
      </m:oMath>
      <w:r w:rsidR="00A7521D">
        <w:rPr>
          <w:iCs/>
        </w:rPr>
        <w:t xml:space="preserve"> was the hot fluid friction factor.</w:t>
      </w:r>
    </w:p>
    <w:p w14:paraId="7CC587E9" w14:textId="59F2648C" w:rsidR="00890DCF" w:rsidRDefault="00890DCF" w:rsidP="00A7521D">
      <w:pPr>
        <w:rPr>
          <w:iCs/>
        </w:rPr>
      </w:pPr>
      <w:r>
        <w:rPr>
          <w:iCs/>
        </w:rPr>
        <w:t>The hot fluid friction factor was dependent on the hot fluid Reynolds number.</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37"/>
        <w:gridCol w:w="239"/>
        <w:gridCol w:w="822"/>
      </w:tblGrid>
      <w:tr w:rsidR="00A7521D" w14:paraId="46F772D2" w14:textId="77777777" w:rsidTr="00A7521D">
        <w:tc>
          <w:tcPr>
            <w:tcW w:w="7137" w:type="dxa"/>
            <w:hideMark/>
          </w:tcPr>
          <w:p w14:paraId="13F07802" w14:textId="60025E0A" w:rsidR="00A7521D" w:rsidRDefault="00C73E04" w:rsidP="00A7521D">
            <w:pPr>
              <w:keepNext/>
              <w:rPr>
                <w:color w:val="FFFFFF"/>
              </w:rPr>
            </w:pPr>
            <m:oMathPara>
              <m:oMathParaPr>
                <m:jc m:val="left"/>
              </m:oMathParaPr>
              <m:oMath>
                <m:sSub>
                  <m:sSubPr>
                    <m:ctrlPr>
                      <w:rPr>
                        <w:rFonts w:ascii="Cambria Math" w:hAnsi="Cambria Math"/>
                        <w:i/>
                        <w:iCs/>
                      </w:rPr>
                    </m:ctrlPr>
                  </m:sSubPr>
                  <m:e>
                    <m:r>
                      <w:rPr>
                        <w:rFonts w:ascii="Cambria Math" w:hAnsi="Cambria Math"/>
                      </w:rPr>
                      <m:t>L</m:t>
                    </m:r>
                  </m:e>
                  <m:sub>
                    <m:r>
                      <w:rPr>
                        <w:rFonts w:ascii="Cambria Math" w:hAnsi="Cambria Math"/>
                      </w:rPr>
                      <m:t>pass</m:t>
                    </m:r>
                  </m:sub>
                </m:sSub>
                <m:r>
                  <w:rPr>
                    <w:rFonts w:ascii="Cambria Math" w:hAnsi="Cambria Math"/>
                  </w:rPr>
                  <m:t>=</m:t>
                </m:r>
                <m:sSub>
                  <m:sSubPr>
                    <m:ctrlPr>
                      <w:rPr>
                        <w:rFonts w:ascii="Cambria Math" w:hAnsi="Cambria Math"/>
                        <w:i/>
                        <w:iCs/>
                      </w:rPr>
                    </m:ctrlPr>
                  </m:sSubPr>
                  <m:e>
                    <m:r>
                      <w:rPr>
                        <w:rFonts w:ascii="Cambria Math" w:hAnsi="Cambria Math"/>
                      </w:rPr>
                      <m:t>N</m:t>
                    </m:r>
                  </m:e>
                  <m:sub>
                    <m:r>
                      <w:rPr>
                        <w:rFonts w:ascii="Cambria Math" w:hAnsi="Cambria Math"/>
                      </w:rPr>
                      <m:t>p</m:t>
                    </m:r>
                    <m:r>
                      <w:rPr>
                        <w:rFonts w:ascii="Cambria Math" w:hAnsi="Cambria Math"/>
                      </w:rPr>
                      <m:t>l</m:t>
                    </m:r>
                  </m:sub>
                </m:sSub>
                <m:sSub>
                  <m:sSubPr>
                    <m:ctrlPr>
                      <w:rPr>
                        <w:rFonts w:ascii="Cambria Math" w:hAnsi="Cambria Math"/>
                        <w:i/>
                        <w:iCs/>
                      </w:rPr>
                    </m:ctrlPr>
                  </m:sSubPr>
                  <m:e>
                    <m:r>
                      <w:rPr>
                        <w:rFonts w:ascii="Cambria Math" w:hAnsi="Cambria Math"/>
                      </w:rPr>
                      <m:t>L</m:t>
                    </m:r>
                  </m:e>
                  <m:sub>
                    <m:r>
                      <w:rPr>
                        <w:rFonts w:ascii="Cambria Math" w:hAnsi="Cambria Math"/>
                      </w:rPr>
                      <m:t>pl,th</m:t>
                    </m:r>
                  </m:sub>
                </m:sSub>
              </m:oMath>
            </m:oMathPara>
          </w:p>
        </w:tc>
        <w:tc>
          <w:tcPr>
            <w:tcW w:w="239" w:type="dxa"/>
            <w:vAlign w:val="center"/>
            <w:hideMark/>
          </w:tcPr>
          <w:p w14:paraId="0B38A684" w14:textId="77777777" w:rsidR="00A7521D" w:rsidRDefault="00A7521D" w:rsidP="00A7521D">
            <w:pPr>
              <w:pStyle w:val="Caption"/>
              <w:jc w:val="right"/>
            </w:pPr>
          </w:p>
        </w:tc>
        <w:tc>
          <w:tcPr>
            <w:tcW w:w="822" w:type="dxa"/>
            <w:vAlign w:val="center"/>
            <w:hideMark/>
          </w:tcPr>
          <w:p w14:paraId="1758DBDD" w14:textId="04791042" w:rsidR="00A7521D" w:rsidRDefault="00A7521D" w:rsidP="00A7521D">
            <w:pPr>
              <w:pStyle w:val="Caption"/>
              <w:jc w:val="right"/>
              <w:rPr>
                <w:b w:val="0"/>
              </w:rPr>
            </w:pPr>
            <w:r>
              <w:rPr>
                <w:noProof/>
              </w:rPr>
              <w:fldChar w:fldCharType="begin"/>
            </w:r>
            <w:r>
              <w:rPr>
                <w:noProof/>
              </w:rPr>
              <w:instrText xml:space="preserve"> STYLEREF 1 \s </w:instrText>
            </w:r>
            <w:r>
              <w:rPr>
                <w:noProof/>
              </w:rPr>
              <w:fldChar w:fldCharType="separate"/>
            </w:r>
            <w:r w:rsidR="00CB7456">
              <w:rPr>
                <w:noProof/>
              </w:rPr>
              <w:t>13</w:t>
            </w:r>
            <w:r>
              <w:rPr>
                <w:noProof/>
              </w:rPr>
              <w:fldChar w:fldCharType="end"/>
            </w:r>
            <w:r>
              <w:rPr>
                <w:noProof/>
              </w:rPr>
              <w:t>.</w:t>
            </w:r>
            <w:r>
              <w:rPr>
                <w:noProof/>
              </w:rPr>
              <w:fldChar w:fldCharType="begin"/>
            </w:r>
            <w:r>
              <w:rPr>
                <w:noProof/>
              </w:rPr>
              <w:instrText xml:space="preserve"> SEQ Equation \* ARABIC \s 1 </w:instrText>
            </w:r>
            <w:r>
              <w:rPr>
                <w:noProof/>
              </w:rPr>
              <w:fldChar w:fldCharType="separate"/>
            </w:r>
            <w:r w:rsidR="00CB7456">
              <w:rPr>
                <w:noProof/>
              </w:rPr>
              <w:t>52</w:t>
            </w:r>
            <w:r>
              <w:rPr>
                <w:noProof/>
              </w:rPr>
              <w:fldChar w:fldCharType="end"/>
            </w:r>
          </w:p>
        </w:tc>
      </w:tr>
    </w:tbl>
    <w:p w14:paraId="1DFCAB59" w14:textId="77777777" w:rsidR="00A7521D" w:rsidRDefault="00A7521D" w:rsidP="00A7521D">
      <w:pPr>
        <w:rPr>
          <w:iCs/>
        </w:rPr>
      </w:pPr>
    </w:p>
    <w:p w14:paraId="01462CA2" w14:textId="08BB101F" w:rsidR="00A7521D" w:rsidRDefault="00C73E04" w:rsidP="00A7521D">
      <w:pPr>
        <w:rPr>
          <w:iCs/>
        </w:rPr>
      </w:pPr>
      <m:oMath>
        <m:sSub>
          <m:sSubPr>
            <m:ctrlPr>
              <w:rPr>
                <w:rFonts w:ascii="Cambria Math" w:hAnsi="Cambria Math"/>
                <w:i/>
                <w:iCs/>
              </w:rPr>
            </m:ctrlPr>
          </m:sSubPr>
          <m:e>
            <m:r>
              <w:rPr>
                <w:rFonts w:ascii="Cambria Math" w:hAnsi="Cambria Math"/>
              </w:rPr>
              <m:t>L</m:t>
            </m:r>
          </m:e>
          <m:sub>
            <m:r>
              <w:rPr>
                <w:rFonts w:ascii="Cambria Math" w:hAnsi="Cambria Math"/>
              </w:rPr>
              <m:t>pass</m:t>
            </m:r>
          </m:sub>
        </m:sSub>
      </m:oMath>
      <w:r w:rsidR="00A7521D">
        <w:rPr>
          <w:iCs/>
        </w:rPr>
        <w:t xml:space="preserve"> was the path length (m).</w:t>
      </w:r>
    </w:p>
    <w:p w14:paraId="0B661CC1" w14:textId="7377DE7C" w:rsidR="00890DCF" w:rsidRDefault="00890DCF" w:rsidP="00A7521D">
      <w:pPr>
        <w:rPr>
          <w:iCs/>
        </w:rPr>
      </w:pPr>
      <w:r>
        <w:rPr>
          <w:iCs/>
        </w:rPr>
        <w:t xml:space="preserve">The path length was dependent on the number of plates and the </w:t>
      </w:r>
      <w:r>
        <w:t>effective plate width.</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37"/>
        <w:gridCol w:w="239"/>
        <w:gridCol w:w="822"/>
      </w:tblGrid>
      <w:tr w:rsidR="00A7521D" w14:paraId="222C7C99" w14:textId="77777777" w:rsidTr="00A7521D">
        <w:tc>
          <w:tcPr>
            <w:tcW w:w="7137" w:type="dxa"/>
            <w:hideMark/>
          </w:tcPr>
          <w:p w14:paraId="7C2AF846" w14:textId="55DE9619" w:rsidR="00A7521D" w:rsidRDefault="00C73E04" w:rsidP="00A7521D">
            <w:pPr>
              <w:keepNext/>
              <w:rPr>
                <w:color w:val="FFFFFF"/>
              </w:rPr>
            </w:pPr>
            <m:oMathPara>
              <m:oMathParaPr>
                <m:jc m:val="left"/>
              </m:oMathParaPr>
              <m:oMath>
                <m:sSub>
                  <m:sSubPr>
                    <m:ctrlPr>
                      <w:rPr>
                        <w:rFonts w:ascii="Cambria Math" w:hAnsi="Cambria Math"/>
                        <w:i/>
                        <w:iCs/>
                      </w:rPr>
                    </m:ctrlPr>
                  </m:sSubPr>
                  <m:e>
                    <m:r>
                      <w:rPr>
                        <w:rFonts w:ascii="Cambria Math" w:hAnsi="Cambria Math"/>
                      </w:rPr>
                      <m:t>∆P</m:t>
                    </m:r>
                  </m:e>
                  <m:sub>
                    <m:r>
                      <w:rPr>
                        <w:rFonts w:ascii="Cambria Math" w:hAnsi="Cambria Math"/>
                      </w:rPr>
                      <m:t>pl,h</m:t>
                    </m:r>
                  </m:sub>
                </m:sSub>
                <m:r>
                  <w:rPr>
                    <w:rFonts w:ascii="Cambria Math" w:hAnsi="Cambria Math"/>
                  </w:rPr>
                  <m:t>=8</m:t>
                </m:r>
                <m:sSub>
                  <m:sSubPr>
                    <m:ctrlPr>
                      <w:rPr>
                        <w:rFonts w:ascii="Cambria Math" w:hAnsi="Cambria Math"/>
                        <w:i/>
                        <w:iCs/>
                      </w:rPr>
                    </m:ctrlPr>
                  </m:sSubPr>
                  <m:e>
                    <m:r>
                      <w:rPr>
                        <w:rFonts w:ascii="Cambria Math" w:hAnsi="Cambria Math"/>
                      </w:rPr>
                      <m:t>j</m:t>
                    </m:r>
                  </m:e>
                  <m:sub>
                    <m:r>
                      <w:rPr>
                        <w:rFonts w:ascii="Cambria Math" w:hAnsi="Cambria Math"/>
                      </w:rPr>
                      <m:t>f,h</m:t>
                    </m:r>
                  </m:sub>
                </m:sSub>
                <m:d>
                  <m:dPr>
                    <m:ctrlPr>
                      <w:rPr>
                        <w:rFonts w:ascii="Cambria Math" w:hAnsi="Cambria Math"/>
                        <w:i/>
                        <w:iCs/>
                      </w:rPr>
                    </m:ctrlPr>
                  </m:dPr>
                  <m:e>
                    <m:f>
                      <m:fPr>
                        <m:ctrlPr>
                          <w:rPr>
                            <w:rFonts w:ascii="Cambria Math" w:hAnsi="Cambria Math"/>
                            <w:i/>
                            <w:iCs/>
                          </w:rPr>
                        </m:ctrlPr>
                      </m:fPr>
                      <m:num>
                        <m:sSub>
                          <m:sSubPr>
                            <m:ctrlPr>
                              <w:rPr>
                                <w:rFonts w:ascii="Cambria Math" w:hAnsi="Cambria Math"/>
                                <w:i/>
                                <w:iCs/>
                              </w:rPr>
                            </m:ctrlPr>
                          </m:sSubPr>
                          <m:e>
                            <m:r>
                              <w:rPr>
                                <w:rFonts w:ascii="Cambria Math" w:hAnsi="Cambria Math"/>
                              </w:rPr>
                              <m:t>L</m:t>
                            </m:r>
                          </m:e>
                          <m:sub>
                            <m:r>
                              <w:rPr>
                                <w:rFonts w:ascii="Cambria Math" w:hAnsi="Cambria Math"/>
                              </w:rPr>
                              <m:t>pl,th</m:t>
                            </m:r>
                          </m:sub>
                        </m:sSub>
                      </m:num>
                      <m:den>
                        <m:sSub>
                          <m:sSubPr>
                            <m:ctrlPr>
                              <w:rPr>
                                <w:rFonts w:ascii="Cambria Math" w:hAnsi="Cambria Math"/>
                                <w:i/>
                                <w:iCs/>
                              </w:rPr>
                            </m:ctrlPr>
                          </m:sSubPr>
                          <m:e>
                            <m:r>
                              <w:rPr>
                                <w:rFonts w:ascii="Cambria Math" w:hAnsi="Cambria Math"/>
                              </w:rPr>
                              <m:t>D</m:t>
                            </m:r>
                          </m:e>
                          <m:sub>
                            <m:r>
                              <w:rPr>
                                <w:rFonts w:ascii="Cambria Math" w:hAnsi="Cambria Math"/>
                              </w:rPr>
                              <m:t>h</m:t>
                            </m:r>
                          </m:sub>
                        </m:sSub>
                      </m:den>
                    </m:f>
                  </m:e>
                </m:d>
                <m:f>
                  <m:fPr>
                    <m:ctrlPr>
                      <w:rPr>
                        <w:rFonts w:ascii="Cambria Math" w:hAnsi="Cambria Math"/>
                        <w:i/>
                        <w:iCs/>
                      </w:rPr>
                    </m:ctrlPr>
                  </m:fPr>
                  <m:num>
                    <m:sSub>
                      <m:sSubPr>
                        <m:ctrlPr>
                          <w:rPr>
                            <w:rFonts w:ascii="Cambria Math" w:hAnsi="Cambria Math"/>
                            <w:i/>
                            <w:iCs/>
                          </w:rPr>
                        </m:ctrlPr>
                      </m:sSubPr>
                      <m:e>
                        <m:r>
                          <w:rPr>
                            <w:rFonts w:ascii="Cambria Math" w:hAnsi="Cambria Math"/>
                          </w:rPr>
                          <m:t>ρ</m:t>
                        </m:r>
                      </m:e>
                      <m:sub>
                        <m:r>
                          <w:rPr>
                            <w:rFonts w:ascii="Cambria Math" w:hAnsi="Cambria Math"/>
                          </w:rPr>
                          <m:t>h</m:t>
                        </m:r>
                      </m:sub>
                    </m:sSub>
                    <m:sSup>
                      <m:sSupPr>
                        <m:ctrlPr>
                          <w:rPr>
                            <w:rFonts w:ascii="Cambria Math" w:hAnsi="Cambria Math"/>
                            <w:i/>
                            <w:iCs/>
                          </w:rPr>
                        </m:ctrlPr>
                      </m:sSupPr>
                      <m:e>
                        <m:sSub>
                          <m:sSubPr>
                            <m:ctrlPr>
                              <w:rPr>
                                <w:rFonts w:ascii="Cambria Math" w:hAnsi="Cambria Math"/>
                                <w:i/>
                                <w:iCs/>
                              </w:rPr>
                            </m:ctrlPr>
                          </m:sSubPr>
                          <m:e>
                            <m:r>
                              <w:rPr>
                                <w:rFonts w:ascii="Cambria Math" w:hAnsi="Cambria Math"/>
                              </w:rPr>
                              <m:t>v</m:t>
                            </m:r>
                          </m:e>
                          <m:sub>
                            <m:r>
                              <w:rPr>
                                <w:rFonts w:ascii="Cambria Math" w:hAnsi="Cambria Math"/>
                              </w:rPr>
                              <m:t>h</m:t>
                            </m:r>
                          </m:sub>
                        </m:sSub>
                      </m:e>
                      <m:sup>
                        <m:r>
                          <w:rPr>
                            <w:rFonts w:ascii="Cambria Math" w:hAnsi="Cambria Math"/>
                          </w:rPr>
                          <m:t>2</m:t>
                        </m:r>
                      </m:sup>
                    </m:sSup>
                  </m:num>
                  <m:den>
                    <m:r>
                      <w:rPr>
                        <w:rFonts w:ascii="Cambria Math" w:hAnsi="Cambria Math"/>
                      </w:rPr>
                      <m:t>2</m:t>
                    </m:r>
                  </m:den>
                </m:f>
              </m:oMath>
            </m:oMathPara>
          </w:p>
        </w:tc>
        <w:tc>
          <w:tcPr>
            <w:tcW w:w="239" w:type="dxa"/>
            <w:vAlign w:val="center"/>
            <w:hideMark/>
          </w:tcPr>
          <w:p w14:paraId="178382D4" w14:textId="77777777" w:rsidR="00A7521D" w:rsidRDefault="00A7521D" w:rsidP="00A7521D">
            <w:pPr>
              <w:pStyle w:val="Caption"/>
              <w:jc w:val="right"/>
            </w:pPr>
          </w:p>
        </w:tc>
        <w:tc>
          <w:tcPr>
            <w:tcW w:w="822" w:type="dxa"/>
            <w:vAlign w:val="center"/>
            <w:hideMark/>
          </w:tcPr>
          <w:p w14:paraId="2B3EC586" w14:textId="66ECBCA8" w:rsidR="00A7521D" w:rsidRDefault="00A7521D" w:rsidP="00A7521D">
            <w:pPr>
              <w:pStyle w:val="Caption"/>
              <w:jc w:val="right"/>
              <w:rPr>
                <w:b w:val="0"/>
              </w:rPr>
            </w:pPr>
            <w:r>
              <w:rPr>
                <w:noProof/>
              </w:rPr>
              <w:fldChar w:fldCharType="begin"/>
            </w:r>
            <w:r>
              <w:rPr>
                <w:noProof/>
              </w:rPr>
              <w:instrText xml:space="preserve"> STYLEREF 1 \s </w:instrText>
            </w:r>
            <w:r>
              <w:rPr>
                <w:noProof/>
              </w:rPr>
              <w:fldChar w:fldCharType="separate"/>
            </w:r>
            <w:r w:rsidR="00CB7456">
              <w:rPr>
                <w:noProof/>
              </w:rPr>
              <w:t>13</w:t>
            </w:r>
            <w:r>
              <w:rPr>
                <w:noProof/>
              </w:rPr>
              <w:fldChar w:fldCharType="end"/>
            </w:r>
            <w:r>
              <w:rPr>
                <w:noProof/>
              </w:rPr>
              <w:t>.</w:t>
            </w:r>
            <w:r>
              <w:rPr>
                <w:noProof/>
              </w:rPr>
              <w:fldChar w:fldCharType="begin"/>
            </w:r>
            <w:r>
              <w:rPr>
                <w:noProof/>
              </w:rPr>
              <w:instrText xml:space="preserve"> SEQ Equation \* ARABIC \s 1 </w:instrText>
            </w:r>
            <w:r>
              <w:rPr>
                <w:noProof/>
              </w:rPr>
              <w:fldChar w:fldCharType="separate"/>
            </w:r>
            <w:r w:rsidR="00CB7456">
              <w:rPr>
                <w:noProof/>
              </w:rPr>
              <w:t>53</w:t>
            </w:r>
            <w:r>
              <w:rPr>
                <w:noProof/>
              </w:rPr>
              <w:fldChar w:fldCharType="end"/>
            </w:r>
          </w:p>
        </w:tc>
      </w:tr>
    </w:tbl>
    <w:p w14:paraId="1FB4C809" w14:textId="77777777" w:rsidR="00A7521D" w:rsidRDefault="00A7521D" w:rsidP="00A7521D">
      <w:pPr>
        <w:rPr>
          <w:iCs/>
        </w:rPr>
      </w:pPr>
    </w:p>
    <w:p w14:paraId="756ABB90" w14:textId="53A6A865" w:rsidR="00A7521D" w:rsidRDefault="00C73E04" w:rsidP="00A7521D">
      <w:pPr>
        <w:rPr>
          <w:iCs/>
        </w:rPr>
      </w:pPr>
      <m:oMath>
        <m:sSub>
          <m:sSubPr>
            <m:ctrlPr>
              <w:rPr>
                <w:rFonts w:ascii="Cambria Math" w:hAnsi="Cambria Math"/>
                <w:i/>
                <w:iCs/>
              </w:rPr>
            </m:ctrlPr>
          </m:sSubPr>
          <m:e>
            <m:r>
              <w:rPr>
                <w:rFonts w:ascii="Cambria Math" w:hAnsi="Cambria Math"/>
              </w:rPr>
              <m:t>∆P</m:t>
            </m:r>
          </m:e>
          <m:sub>
            <m:r>
              <w:rPr>
                <w:rFonts w:ascii="Cambria Math" w:hAnsi="Cambria Math"/>
              </w:rPr>
              <m:t>pl,h</m:t>
            </m:r>
          </m:sub>
        </m:sSub>
      </m:oMath>
      <w:r w:rsidR="00A7521D">
        <w:rPr>
          <w:iCs/>
        </w:rPr>
        <w:t xml:space="preserve"> was the hot fluid plate pressure drop (kPa).</w:t>
      </w:r>
    </w:p>
    <w:p w14:paraId="3B9705F4" w14:textId="20C3009F" w:rsidR="00890DCF" w:rsidRDefault="00890DCF" w:rsidP="00A7521D">
      <w:pPr>
        <w:rPr>
          <w:iCs/>
        </w:rPr>
      </w:pPr>
      <w:r>
        <w:rPr>
          <w:iCs/>
        </w:rPr>
        <w:t>The hot fluid plate pressure drop was dependent on the hot fluid friction factor, the effective plate width, the hydraulic mean diameter, the hot fluid density and the hot fluid linear velocity.</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37"/>
        <w:gridCol w:w="239"/>
        <w:gridCol w:w="822"/>
      </w:tblGrid>
      <w:tr w:rsidR="00A7521D" w14:paraId="13FDB01B" w14:textId="77777777" w:rsidTr="00A7521D">
        <w:tc>
          <w:tcPr>
            <w:tcW w:w="7137" w:type="dxa"/>
            <w:hideMark/>
          </w:tcPr>
          <w:p w14:paraId="1AAA694B" w14:textId="1DEF3A2B" w:rsidR="00A7521D" w:rsidRDefault="00C73E04" w:rsidP="00A7521D">
            <w:pPr>
              <w:keepNext/>
              <w:rPr>
                <w:color w:val="FFFFFF"/>
              </w:rPr>
            </w:pPr>
            <m:oMathPara>
              <m:oMathParaPr>
                <m:jc m:val="left"/>
              </m:oMathParaPr>
              <m:oMath>
                <m:sSub>
                  <m:sSubPr>
                    <m:ctrlPr>
                      <w:rPr>
                        <w:rFonts w:ascii="Cambria Math" w:hAnsi="Cambria Math"/>
                        <w:i/>
                        <w:iCs/>
                      </w:rPr>
                    </m:ctrlPr>
                  </m:sSubPr>
                  <m:e>
                    <m:r>
                      <w:rPr>
                        <w:rFonts w:ascii="Cambria Math" w:hAnsi="Cambria Math"/>
                      </w:rPr>
                      <m:t>u</m:t>
                    </m:r>
                  </m:e>
                  <m:sub>
                    <m:r>
                      <w:rPr>
                        <w:rFonts w:ascii="Cambria Math" w:hAnsi="Cambria Math"/>
                      </w:rPr>
                      <m:t>pl,h</m:t>
                    </m:r>
                  </m:sub>
                </m:sSub>
                <m:r>
                  <w:rPr>
                    <w:rFonts w:ascii="Cambria Math" w:hAnsi="Cambria Math"/>
                  </w:rPr>
                  <m:t>=</m:t>
                </m:r>
                <m:f>
                  <m:fPr>
                    <m:ctrlPr>
                      <w:rPr>
                        <w:rFonts w:ascii="Cambria Math" w:hAnsi="Cambria Math"/>
                        <w:i/>
                        <w:iCs/>
                      </w:rPr>
                    </m:ctrlPr>
                  </m:fPr>
                  <m:num>
                    <m:sSub>
                      <m:sSubPr>
                        <m:ctrlPr>
                          <w:rPr>
                            <w:rFonts w:ascii="Cambria Math" w:hAnsi="Cambria Math"/>
                            <w:i/>
                            <w:iCs/>
                          </w:rPr>
                        </m:ctrlPr>
                      </m:sSubPr>
                      <m:e>
                        <m:acc>
                          <m:accPr>
                            <m:chr m:val="̇"/>
                            <m:ctrlPr>
                              <w:rPr>
                                <w:rFonts w:ascii="Cambria Math" w:hAnsi="Cambria Math"/>
                                <w:i/>
                                <w:iCs/>
                              </w:rPr>
                            </m:ctrlPr>
                          </m:accPr>
                          <m:e>
                            <m:r>
                              <w:rPr>
                                <w:rFonts w:ascii="Cambria Math" w:hAnsi="Cambria Math"/>
                              </w:rPr>
                              <m:t>m</m:t>
                            </m:r>
                          </m:e>
                        </m:acc>
                      </m:e>
                      <m:sub>
                        <m:r>
                          <w:rPr>
                            <w:rFonts w:ascii="Cambria Math" w:hAnsi="Cambria Math"/>
                          </w:rPr>
                          <m:t>h</m:t>
                        </m:r>
                      </m:sub>
                    </m:sSub>
                    <m:sSub>
                      <m:sSubPr>
                        <m:ctrlPr>
                          <w:rPr>
                            <w:rFonts w:ascii="Cambria Math" w:hAnsi="Cambria Math"/>
                            <w:i/>
                            <w:iCs/>
                          </w:rPr>
                        </m:ctrlPr>
                      </m:sSubPr>
                      <m:e>
                        <m:r>
                          <w:rPr>
                            <w:rFonts w:ascii="Cambria Math" w:hAnsi="Cambria Math"/>
                          </w:rPr>
                          <m:t>A</m:t>
                        </m:r>
                      </m:e>
                      <m:sub>
                        <m:r>
                          <w:rPr>
                            <w:rFonts w:ascii="Cambria Math" w:hAnsi="Cambria Math"/>
                          </w:rPr>
                          <m:t>pl</m:t>
                        </m:r>
                      </m:sub>
                    </m:sSub>
                  </m:num>
                  <m:den>
                    <m:sSub>
                      <m:sSubPr>
                        <m:ctrlPr>
                          <w:rPr>
                            <w:rFonts w:ascii="Cambria Math" w:hAnsi="Cambria Math"/>
                            <w:i/>
                            <w:iCs/>
                          </w:rPr>
                        </m:ctrlPr>
                      </m:sSubPr>
                      <m:e>
                        <m:r>
                          <w:rPr>
                            <w:rFonts w:ascii="Cambria Math" w:hAnsi="Cambria Math"/>
                          </w:rPr>
                          <m:t>ρ</m:t>
                        </m:r>
                      </m:e>
                      <m:sub>
                        <m:r>
                          <w:rPr>
                            <w:rFonts w:ascii="Cambria Math" w:hAnsi="Cambria Math"/>
                          </w:rPr>
                          <m:t>h</m:t>
                        </m:r>
                      </m:sub>
                    </m:sSub>
                  </m:den>
                </m:f>
              </m:oMath>
            </m:oMathPara>
          </w:p>
        </w:tc>
        <w:tc>
          <w:tcPr>
            <w:tcW w:w="239" w:type="dxa"/>
            <w:vAlign w:val="center"/>
            <w:hideMark/>
          </w:tcPr>
          <w:p w14:paraId="16961DF8" w14:textId="77777777" w:rsidR="00A7521D" w:rsidRDefault="00A7521D" w:rsidP="00A7521D">
            <w:pPr>
              <w:pStyle w:val="Caption"/>
              <w:jc w:val="right"/>
            </w:pPr>
          </w:p>
        </w:tc>
        <w:tc>
          <w:tcPr>
            <w:tcW w:w="822" w:type="dxa"/>
            <w:vAlign w:val="center"/>
            <w:hideMark/>
          </w:tcPr>
          <w:p w14:paraId="18085DA8" w14:textId="76546BD9" w:rsidR="00A7521D" w:rsidRDefault="00A7521D" w:rsidP="00A7521D">
            <w:pPr>
              <w:pStyle w:val="Caption"/>
              <w:jc w:val="right"/>
              <w:rPr>
                <w:b w:val="0"/>
              </w:rPr>
            </w:pPr>
            <w:r>
              <w:rPr>
                <w:noProof/>
              </w:rPr>
              <w:fldChar w:fldCharType="begin"/>
            </w:r>
            <w:r>
              <w:rPr>
                <w:noProof/>
              </w:rPr>
              <w:instrText xml:space="preserve"> STYLEREF 1 \s </w:instrText>
            </w:r>
            <w:r>
              <w:rPr>
                <w:noProof/>
              </w:rPr>
              <w:fldChar w:fldCharType="separate"/>
            </w:r>
            <w:r w:rsidR="00CB7456">
              <w:rPr>
                <w:noProof/>
              </w:rPr>
              <w:t>13</w:t>
            </w:r>
            <w:r>
              <w:rPr>
                <w:noProof/>
              </w:rPr>
              <w:fldChar w:fldCharType="end"/>
            </w:r>
            <w:r>
              <w:rPr>
                <w:noProof/>
              </w:rPr>
              <w:t>.</w:t>
            </w:r>
            <w:r>
              <w:rPr>
                <w:noProof/>
              </w:rPr>
              <w:fldChar w:fldCharType="begin"/>
            </w:r>
            <w:r>
              <w:rPr>
                <w:noProof/>
              </w:rPr>
              <w:instrText xml:space="preserve"> SEQ Equation \* ARABIC \s 1 </w:instrText>
            </w:r>
            <w:r>
              <w:rPr>
                <w:noProof/>
              </w:rPr>
              <w:fldChar w:fldCharType="separate"/>
            </w:r>
            <w:r w:rsidR="00CB7456">
              <w:rPr>
                <w:noProof/>
              </w:rPr>
              <w:t>54</w:t>
            </w:r>
            <w:r>
              <w:rPr>
                <w:noProof/>
              </w:rPr>
              <w:fldChar w:fldCharType="end"/>
            </w:r>
          </w:p>
        </w:tc>
      </w:tr>
    </w:tbl>
    <w:p w14:paraId="0659A686" w14:textId="77777777" w:rsidR="00A7521D" w:rsidRDefault="00A7521D" w:rsidP="00A7521D">
      <w:pPr>
        <w:rPr>
          <w:iCs/>
        </w:rPr>
      </w:pPr>
    </w:p>
    <w:p w14:paraId="38560453" w14:textId="73FBA37C" w:rsidR="00A7521D" w:rsidRDefault="00C73E04" w:rsidP="00A7521D">
      <w:pPr>
        <w:rPr>
          <w:iCs/>
        </w:rPr>
      </w:pPr>
      <m:oMath>
        <m:sSub>
          <m:sSubPr>
            <m:ctrlPr>
              <w:rPr>
                <w:rFonts w:ascii="Cambria Math" w:hAnsi="Cambria Math"/>
                <w:i/>
                <w:iCs/>
              </w:rPr>
            </m:ctrlPr>
          </m:sSubPr>
          <m:e>
            <m:r>
              <w:rPr>
                <w:rFonts w:ascii="Cambria Math" w:hAnsi="Cambria Math"/>
              </w:rPr>
              <m:t>u</m:t>
            </m:r>
          </m:e>
          <m:sub>
            <m:r>
              <w:rPr>
                <w:rFonts w:ascii="Cambria Math" w:hAnsi="Cambria Math"/>
              </w:rPr>
              <m:t>pl,h</m:t>
            </m:r>
          </m:sub>
        </m:sSub>
      </m:oMath>
      <w:r w:rsidR="00A7521D">
        <w:rPr>
          <w:iCs/>
        </w:rPr>
        <w:t xml:space="preserve"> was the hot fluid velocity through the port [m/s].</w:t>
      </w:r>
    </w:p>
    <w:p w14:paraId="17BBB014" w14:textId="5B851908" w:rsidR="00890DCF" w:rsidRDefault="00890DCF" w:rsidP="00A7521D">
      <w:pPr>
        <w:rPr>
          <w:iCs/>
        </w:rPr>
      </w:pPr>
      <w:r>
        <w:rPr>
          <w:iCs/>
        </w:rPr>
        <w:lastRenderedPageBreak/>
        <w:t>The hot fluid velocity through the port was dependent on the hot fluid mass flowrate, the hot fluid density and the effective plate area.</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37"/>
        <w:gridCol w:w="239"/>
        <w:gridCol w:w="822"/>
      </w:tblGrid>
      <w:tr w:rsidR="00A7521D" w14:paraId="30FE4389" w14:textId="77777777" w:rsidTr="00A7521D">
        <w:tc>
          <w:tcPr>
            <w:tcW w:w="7137" w:type="dxa"/>
            <w:hideMark/>
          </w:tcPr>
          <w:p w14:paraId="56F0ACFB" w14:textId="77DDDE32" w:rsidR="00A7521D" w:rsidRDefault="00C73E04" w:rsidP="00A7521D">
            <w:pPr>
              <w:keepNext/>
              <w:rPr>
                <w:color w:val="FFFFFF"/>
              </w:rPr>
            </w:pPr>
            <m:oMathPara>
              <m:oMathParaPr>
                <m:jc m:val="left"/>
              </m:oMathParaPr>
              <m:oMath>
                <m:sSub>
                  <m:sSubPr>
                    <m:ctrlPr>
                      <w:rPr>
                        <w:rFonts w:ascii="Cambria Math" w:hAnsi="Cambria Math"/>
                        <w:i/>
                        <w:iCs/>
                      </w:rPr>
                    </m:ctrlPr>
                  </m:sSubPr>
                  <m:e>
                    <m:r>
                      <w:rPr>
                        <w:rFonts w:ascii="Cambria Math" w:hAnsi="Cambria Math"/>
                      </w:rPr>
                      <m:t>∆P</m:t>
                    </m:r>
                  </m:e>
                  <m:sub>
                    <m:r>
                      <w:rPr>
                        <w:rFonts w:ascii="Cambria Math" w:hAnsi="Cambria Math"/>
                      </w:rPr>
                      <m:t>po,t</m:t>
                    </m:r>
                  </m:sub>
                </m:sSub>
                <m:r>
                  <w:rPr>
                    <w:rFonts w:ascii="Cambria Math" w:hAnsi="Cambria Math"/>
                  </w:rPr>
                  <m:t>=1.3</m:t>
                </m:r>
                <m:f>
                  <m:fPr>
                    <m:ctrlPr>
                      <w:rPr>
                        <w:rFonts w:ascii="Cambria Math" w:hAnsi="Cambria Math"/>
                        <w:i/>
                        <w:iCs/>
                      </w:rPr>
                    </m:ctrlPr>
                  </m:fPr>
                  <m:num>
                    <m:d>
                      <m:dPr>
                        <m:ctrlPr>
                          <w:rPr>
                            <w:rFonts w:ascii="Cambria Math" w:hAnsi="Cambria Math"/>
                            <w:i/>
                            <w:iCs/>
                          </w:rPr>
                        </m:ctrlPr>
                      </m:dPr>
                      <m:e>
                        <m:sSub>
                          <m:sSubPr>
                            <m:ctrlPr>
                              <w:rPr>
                                <w:rFonts w:ascii="Cambria Math" w:hAnsi="Cambria Math"/>
                                <w:i/>
                                <w:iCs/>
                              </w:rPr>
                            </m:ctrlPr>
                          </m:sSubPr>
                          <m:e>
                            <m:r>
                              <w:rPr>
                                <w:rFonts w:ascii="Cambria Math" w:hAnsi="Cambria Math"/>
                              </w:rPr>
                              <m:t>ρ</m:t>
                            </m:r>
                          </m:e>
                          <m:sub>
                            <m:r>
                              <w:rPr>
                                <w:rFonts w:ascii="Cambria Math" w:hAnsi="Cambria Math"/>
                              </w:rPr>
                              <m:t>h</m:t>
                            </m:r>
                          </m:sub>
                        </m:sSub>
                        <m:sSup>
                          <m:sSupPr>
                            <m:ctrlPr>
                              <w:rPr>
                                <w:rFonts w:ascii="Cambria Math" w:hAnsi="Cambria Math"/>
                                <w:i/>
                                <w:iCs/>
                              </w:rPr>
                            </m:ctrlPr>
                          </m:sSupPr>
                          <m:e>
                            <m:sSub>
                              <m:sSubPr>
                                <m:ctrlPr>
                                  <w:rPr>
                                    <w:rFonts w:ascii="Cambria Math" w:hAnsi="Cambria Math"/>
                                    <w:i/>
                                    <w:iCs/>
                                  </w:rPr>
                                </m:ctrlPr>
                              </m:sSubPr>
                              <m:e>
                                <m:r>
                                  <w:rPr>
                                    <w:rFonts w:ascii="Cambria Math" w:hAnsi="Cambria Math"/>
                                  </w:rPr>
                                  <m:t>v</m:t>
                                </m:r>
                              </m:e>
                              <m:sub>
                                <m:r>
                                  <w:rPr>
                                    <w:rFonts w:ascii="Cambria Math" w:hAnsi="Cambria Math"/>
                                  </w:rPr>
                                  <m:t>pl,h</m:t>
                                </m:r>
                              </m:sub>
                            </m:sSub>
                          </m:e>
                          <m:sup>
                            <m:r>
                              <w:rPr>
                                <w:rFonts w:ascii="Cambria Math" w:hAnsi="Cambria Math"/>
                              </w:rPr>
                              <m:t>2</m:t>
                            </m:r>
                          </m:sup>
                        </m:sSup>
                      </m:e>
                    </m:d>
                  </m:num>
                  <m:den>
                    <m:r>
                      <w:rPr>
                        <w:rFonts w:ascii="Cambria Math" w:hAnsi="Cambria Math"/>
                      </w:rPr>
                      <m:t>2</m:t>
                    </m:r>
                  </m:den>
                </m:f>
                <m:sSub>
                  <m:sSubPr>
                    <m:ctrlPr>
                      <w:rPr>
                        <w:rFonts w:ascii="Cambria Math" w:hAnsi="Cambria Math"/>
                        <w:i/>
                        <w:iCs/>
                      </w:rPr>
                    </m:ctrlPr>
                  </m:sSubPr>
                  <m:e>
                    <m:r>
                      <w:rPr>
                        <w:rFonts w:ascii="Cambria Math" w:hAnsi="Cambria Math"/>
                      </w:rPr>
                      <m:t>N</m:t>
                    </m:r>
                  </m:e>
                  <m:sub>
                    <m:r>
                      <w:rPr>
                        <w:rFonts w:ascii="Cambria Math" w:hAnsi="Cambria Math"/>
                      </w:rPr>
                      <m:t>p</m:t>
                    </m:r>
                    <m:r>
                      <w:rPr>
                        <w:rFonts w:ascii="Cambria Math" w:hAnsi="Cambria Math"/>
                      </w:rPr>
                      <m:t>l</m:t>
                    </m:r>
                  </m:sub>
                </m:sSub>
              </m:oMath>
            </m:oMathPara>
          </w:p>
        </w:tc>
        <w:tc>
          <w:tcPr>
            <w:tcW w:w="239" w:type="dxa"/>
            <w:vAlign w:val="center"/>
            <w:hideMark/>
          </w:tcPr>
          <w:p w14:paraId="6A29084D" w14:textId="77777777" w:rsidR="00A7521D" w:rsidRDefault="00A7521D" w:rsidP="00A7521D">
            <w:pPr>
              <w:pStyle w:val="Caption"/>
              <w:jc w:val="right"/>
            </w:pPr>
          </w:p>
        </w:tc>
        <w:tc>
          <w:tcPr>
            <w:tcW w:w="822" w:type="dxa"/>
            <w:vAlign w:val="center"/>
            <w:hideMark/>
          </w:tcPr>
          <w:p w14:paraId="43305A20" w14:textId="79D0A23C" w:rsidR="00A7521D" w:rsidRDefault="00A7521D" w:rsidP="00A7521D">
            <w:pPr>
              <w:pStyle w:val="Caption"/>
              <w:jc w:val="right"/>
              <w:rPr>
                <w:b w:val="0"/>
              </w:rPr>
            </w:pPr>
            <w:r>
              <w:rPr>
                <w:noProof/>
              </w:rPr>
              <w:fldChar w:fldCharType="begin"/>
            </w:r>
            <w:r>
              <w:rPr>
                <w:noProof/>
              </w:rPr>
              <w:instrText xml:space="preserve"> STYLEREF 1 \s </w:instrText>
            </w:r>
            <w:r>
              <w:rPr>
                <w:noProof/>
              </w:rPr>
              <w:fldChar w:fldCharType="separate"/>
            </w:r>
            <w:r w:rsidR="00CB7456">
              <w:rPr>
                <w:noProof/>
              </w:rPr>
              <w:t>13</w:t>
            </w:r>
            <w:r>
              <w:rPr>
                <w:noProof/>
              </w:rPr>
              <w:fldChar w:fldCharType="end"/>
            </w:r>
            <w:r>
              <w:rPr>
                <w:noProof/>
              </w:rPr>
              <w:t>.</w:t>
            </w:r>
            <w:r>
              <w:rPr>
                <w:noProof/>
              </w:rPr>
              <w:fldChar w:fldCharType="begin"/>
            </w:r>
            <w:r>
              <w:rPr>
                <w:noProof/>
              </w:rPr>
              <w:instrText xml:space="preserve"> SEQ Equation \* ARABIC \s 1 </w:instrText>
            </w:r>
            <w:r>
              <w:rPr>
                <w:noProof/>
              </w:rPr>
              <w:fldChar w:fldCharType="separate"/>
            </w:r>
            <w:r w:rsidR="00CB7456">
              <w:rPr>
                <w:noProof/>
              </w:rPr>
              <w:t>55</w:t>
            </w:r>
            <w:r>
              <w:rPr>
                <w:noProof/>
              </w:rPr>
              <w:fldChar w:fldCharType="end"/>
            </w:r>
          </w:p>
        </w:tc>
      </w:tr>
    </w:tbl>
    <w:p w14:paraId="2571A44E" w14:textId="77777777" w:rsidR="00A7521D" w:rsidRPr="00B90585" w:rsidRDefault="00A7521D" w:rsidP="00A7521D"/>
    <w:p w14:paraId="13B90D65" w14:textId="1C1E2D23" w:rsidR="00A7521D" w:rsidRDefault="00C73E04" w:rsidP="00A7521D">
      <w:pPr>
        <w:rPr>
          <w:iCs/>
        </w:rPr>
      </w:pPr>
      <m:oMath>
        <m:sSub>
          <m:sSubPr>
            <m:ctrlPr>
              <w:rPr>
                <w:rFonts w:ascii="Cambria Math" w:hAnsi="Cambria Math"/>
                <w:i/>
                <w:iCs/>
              </w:rPr>
            </m:ctrlPr>
          </m:sSubPr>
          <m:e>
            <m:r>
              <w:rPr>
                <w:rFonts w:ascii="Cambria Math" w:hAnsi="Cambria Math"/>
              </w:rPr>
              <m:t>∆P</m:t>
            </m:r>
          </m:e>
          <m:sub>
            <m:r>
              <w:rPr>
                <w:rFonts w:ascii="Cambria Math" w:hAnsi="Cambria Math"/>
              </w:rPr>
              <m:t>po,t</m:t>
            </m:r>
          </m:sub>
        </m:sSub>
      </m:oMath>
      <w:r w:rsidR="00A7521D">
        <w:rPr>
          <w:iCs/>
        </w:rPr>
        <w:t xml:space="preserve"> was the hot fluid port pressure drop (kPa).</w:t>
      </w:r>
    </w:p>
    <w:p w14:paraId="4CB65A67" w14:textId="24DE19BD" w:rsidR="00890DCF" w:rsidRDefault="00890DCF" w:rsidP="00A7521D">
      <w:pPr>
        <w:rPr>
          <w:iCs/>
        </w:rPr>
      </w:pPr>
      <w:r>
        <w:rPr>
          <w:iCs/>
        </w:rPr>
        <w:t xml:space="preserve">The hot fluid port pressure drop was dependent on the hot fluid density, the </w:t>
      </w:r>
      <w:r w:rsidR="00794076">
        <w:rPr>
          <w:iCs/>
        </w:rPr>
        <w:t>hot fluid velocity through the port and the number of plates.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37"/>
        <w:gridCol w:w="239"/>
        <w:gridCol w:w="822"/>
      </w:tblGrid>
      <w:tr w:rsidR="00A7521D" w14:paraId="7CFD99C7" w14:textId="77777777" w:rsidTr="00A7521D">
        <w:tc>
          <w:tcPr>
            <w:tcW w:w="7137" w:type="dxa"/>
            <w:hideMark/>
          </w:tcPr>
          <w:p w14:paraId="3D4392FD" w14:textId="77777777" w:rsidR="00A7521D" w:rsidRDefault="00C73E04" w:rsidP="00A7521D">
            <w:pPr>
              <w:keepNext/>
              <w:rPr>
                <w:color w:val="FFFFFF"/>
              </w:rPr>
            </w:pPr>
            <m:oMathPara>
              <m:oMathParaPr>
                <m:jc m:val="left"/>
              </m:oMathParaPr>
              <m:oMath>
                <m:sSub>
                  <m:sSubPr>
                    <m:ctrlPr>
                      <w:rPr>
                        <w:rFonts w:ascii="Cambria Math" w:hAnsi="Cambria Math"/>
                        <w:i/>
                        <w:iCs/>
                      </w:rPr>
                    </m:ctrlPr>
                  </m:sSubPr>
                  <m:e>
                    <m:r>
                      <w:rPr>
                        <w:rFonts w:ascii="Cambria Math" w:hAnsi="Cambria Math"/>
                      </w:rPr>
                      <m:t>j</m:t>
                    </m:r>
                  </m:e>
                  <m:sub>
                    <m:r>
                      <w:rPr>
                        <w:rFonts w:ascii="Cambria Math" w:hAnsi="Cambria Math"/>
                      </w:rPr>
                      <m:t>f,c</m:t>
                    </m:r>
                  </m:sub>
                </m:sSub>
                <m:r>
                  <w:rPr>
                    <w:rFonts w:ascii="Cambria Math" w:hAnsi="Cambria Math"/>
                  </w:rPr>
                  <m:t>=0.6</m:t>
                </m:r>
                <m:sSubSup>
                  <m:sSubSupPr>
                    <m:ctrlPr>
                      <w:rPr>
                        <w:rFonts w:ascii="Cambria Math" w:hAnsi="Cambria Math"/>
                        <w:i/>
                        <w:iCs/>
                      </w:rPr>
                    </m:ctrlPr>
                  </m:sSubSupPr>
                  <m:e>
                    <m:r>
                      <w:rPr>
                        <w:rFonts w:ascii="Cambria Math" w:hAnsi="Cambria Math"/>
                      </w:rPr>
                      <m:t>Re</m:t>
                    </m:r>
                  </m:e>
                  <m:sub>
                    <m:r>
                      <w:rPr>
                        <w:rFonts w:ascii="Cambria Math" w:hAnsi="Cambria Math"/>
                      </w:rPr>
                      <m:t>c</m:t>
                    </m:r>
                  </m:sub>
                  <m:sup>
                    <m:r>
                      <w:rPr>
                        <w:rFonts w:ascii="Cambria Math" w:hAnsi="Cambria Math"/>
                      </w:rPr>
                      <m:t>-0.3</m:t>
                    </m:r>
                  </m:sup>
                </m:sSubSup>
              </m:oMath>
            </m:oMathPara>
          </w:p>
        </w:tc>
        <w:tc>
          <w:tcPr>
            <w:tcW w:w="239" w:type="dxa"/>
            <w:vAlign w:val="center"/>
            <w:hideMark/>
          </w:tcPr>
          <w:p w14:paraId="646ACFB2" w14:textId="77777777" w:rsidR="00A7521D" w:rsidRDefault="00A7521D" w:rsidP="00A7521D">
            <w:pPr>
              <w:pStyle w:val="Caption"/>
              <w:jc w:val="right"/>
            </w:pPr>
          </w:p>
        </w:tc>
        <w:tc>
          <w:tcPr>
            <w:tcW w:w="822" w:type="dxa"/>
            <w:vAlign w:val="center"/>
            <w:hideMark/>
          </w:tcPr>
          <w:p w14:paraId="70AECD0F" w14:textId="586081FD" w:rsidR="00A7521D" w:rsidRDefault="00A7521D" w:rsidP="00A7521D">
            <w:pPr>
              <w:pStyle w:val="Caption"/>
              <w:jc w:val="right"/>
              <w:rPr>
                <w:b w:val="0"/>
              </w:rPr>
            </w:pPr>
            <w:r>
              <w:rPr>
                <w:noProof/>
              </w:rPr>
              <w:fldChar w:fldCharType="begin"/>
            </w:r>
            <w:r>
              <w:rPr>
                <w:noProof/>
              </w:rPr>
              <w:instrText xml:space="preserve"> STYLEREF 1 \s </w:instrText>
            </w:r>
            <w:r>
              <w:rPr>
                <w:noProof/>
              </w:rPr>
              <w:fldChar w:fldCharType="separate"/>
            </w:r>
            <w:r w:rsidR="00CB7456">
              <w:rPr>
                <w:noProof/>
              </w:rPr>
              <w:t>13</w:t>
            </w:r>
            <w:r>
              <w:rPr>
                <w:noProof/>
              </w:rPr>
              <w:fldChar w:fldCharType="end"/>
            </w:r>
            <w:r>
              <w:rPr>
                <w:noProof/>
              </w:rPr>
              <w:t>.</w:t>
            </w:r>
            <w:r>
              <w:rPr>
                <w:noProof/>
              </w:rPr>
              <w:fldChar w:fldCharType="begin"/>
            </w:r>
            <w:r>
              <w:rPr>
                <w:noProof/>
              </w:rPr>
              <w:instrText xml:space="preserve"> SEQ Equation \* ARABIC \s 1 </w:instrText>
            </w:r>
            <w:r>
              <w:rPr>
                <w:noProof/>
              </w:rPr>
              <w:fldChar w:fldCharType="separate"/>
            </w:r>
            <w:r w:rsidR="00CB7456">
              <w:rPr>
                <w:noProof/>
              </w:rPr>
              <w:t>56</w:t>
            </w:r>
            <w:r>
              <w:rPr>
                <w:noProof/>
              </w:rPr>
              <w:fldChar w:fldCharType="end"/>
            </w:r>
          </w:p>
        </w:tc>
      </w:tr>
    </w:tbl>
    <w:p w14:paraId="280165B3" w14:textId="77777777" w:rsidR="00A7521D" w:rsidRPr="00B90585" w:rsidRDefault="00A7521D" w:rsidP="00A7521D"/>
    <w:p w14:paraId="58A747FC" w14:textId="778E367B" w:rsidR="00A7521D" w:rsidRDefault="00C73E04" w:rsidP="00A7521D">
      <w:pPr>
        <w:rPr>
          <w:iCs/>
        </w:rPr>
      </w:pPr>
      <m:oMath>
        <m:sSub>
          <m:sSubPr>
            <m:ctrlPr>
              <w:rPr>
                <w:rFonts w:ascii="Cambria Math" w:hAnsi="Cambria Math"/>
                <w:i/>
                <w:iCs/>
              </w:rPr>
            </m:ctrlPr>
          </m:sSubPr>
          <m:e>
            <m:r>
              <w:rPr>
                <w:rFonts w:ascii="Cambria Math" w:hAnsi="Cambria Math"/>
              </w:rPr>
              <m:t>j</m:t>
            </m:r>
          </m:e>
          <m:sub>
            <m:r>
              <w:rPr>
                <w:rFonts w:ascii="Cambria Math" w:hAnsi="Cambria Math"/>
              </w:rPr>
              <m:t>f,c</m:t>
            </m:r>
          </m:sub>
        </m:sSub>
      </m:oMath>
      <w:r w:rsidR="00A7521D">
        <w:rPr>
          <w:iCs/>
        </w:rPr>
        <w:t xml:space="preserve"> was the cold fluid friction factor.</w:t>
      </w:r>
    </w:p>
    <w:p w14:paraId="25CD102F" w14:textId="40DFAFF0" w:rsidR="00794076" w:rsidRDefault="00794076" w:rsidP="00A7521D">
      <w:pPr>
        <w:rPr>
          <w:iCs/>
        </w:rPr>
      </w:pPr>
      <w:r>
        <w:rPr>
          <w:iCs/>
        </w:rPr>
        <w:t>The cold fluid friction factor was dependent on the cold fluid Reynolds number.</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37"/>
        <w:gridCol w:w="239"/>
        <w:gridCol w:w="822"/>
      </w:tblGrid>
      <w:tr w:rsidR="00A7521D" w14:paraId="43069B32" w14:textId="77777777" w:rsidTr="00A7521D">
        <w:tc>
          <w:tcPr>
            <w:tcW w:w="7137" w:type="dxa"/>
            <w:hideMark/>
          </w:tcPr>
          <w:p w14:paraId="24818516" w14:textId="2E7A5995" w:rsidR="00A7521D" w:rsidRDefault="00C73E04" w:rsidP="00A7521D">
            <w:pPr>
              <w:keepNext/>
              <w:rPr>
                <w:color w:val="FFFFFF"/>
              </w:rPr>
            </w:pPr>
            <m:oMathPara>
              <m:oMathParaPr>
                <m:jc m:val="left"/>
              </m:oMathParaPr>
              <m:oMath>
                <m:sSub>
                  <m:sSubPr>
                    <m:ctrlPr>
                      <w:rPr>
                        <w:rFonts w:ascii="Cambria Math" w:hAnsi="Cambria Math"/>
                        <w:i/>
                        <w:iCs/>
                      </w:rPr>
                    </m:ctrlPr>
                  </m:sSubPr>
                  <m:e>
                    <m:r>
                      <w:rPr>
                        <w:rFonts w:ascii="Cambria Math" w:hAnsi="Cambria Math"/>
                      </w:rPr>
                      <m:t>∆P</m:t>
                    </m:r>
                  </m:e>
                  <m:sub>
                    <m:r>
                      <w:rPr>
                        <w:rFonts w:ascii="Cambria Math" w:hAnsi="Cambria Math"/>
                      </w:rPr>
                      <m:t>p,c</m:t>
                    </m:r>
                  </m:sub>
                </m:sSub>
                <m:r>
                  <w:rPr>
                    <w:rFonts w:ascii="Cambria Math" w:hAnsi="Cambria Math"/>
                  </w:rPr>
                  <m:t>=8</m:t>
                </m:r>
                <m:sSub>
                  <m:sSubPr>
                    <m:ctrlPr>
                      <w:rPr>
                        <w:rFonts w:ascii="Cambria Math" w:hAnsi="Cambria Math"/>
                        <w:i/>
                        <w:iCs/>
                      </w:rPr>
                    </m:ctrlPr>
                  </m:sSubPr>
                  <m:e>
                    <m:r>
                      <w:rPr>
                        <w:rFonts w:ascii="Cambria Math" w:hAnsi="Cambria Math"/>
                      </w:rPr>
                      <m:t>j</m:t>
                    </m:r>
                  </m:e>
                  <m:sub>
                    <m:r>
                      <w:rPr>
                        <w:rFonts w:ascii="Cambria Math" w:hAnsi="Cambria Math"/>
                      </w:rPr>
                      <m:t>f,c</m:t>
                    </m:r>
                  </m:sub>
                </m:sSub>
                <m:d>
                  <m:dPr>
                    <m:ctrlPr>
                      <w:rPr>
                        <w:rFonts w:ascii="Cambria Math" w:hAnsi="Cambria Math"/>
                        <w:i/>
                        <w:iCs/>
                      </w:rPr>
                    </m:ctrlPr>
                  </m:dPr>
                  <m:e>
                    <m:f>
                      <m:fPr>
                        <m:ctrlPr>
                          <w:rPr>
                            <w:rFonts w:ascii="Cambria Math" w:hAnsi="Cambria Math"/>
                            <w:i/>
                            <w:iCs/>
                          </w:rPr>
                        </m:ctrlPr>
                      </m:fPr>
                      <m:num>
                        <m:sSub>
                          <m:sSubPr>
                            <m:ctrlPr>
                              <w:rPr>
                                <w:rFonts w:ascii="Cambria Math" w:hAnsi="Cambria Math"/>
                                <w:i/>
                                <w:iCs/>
                              </w:rPr>
                            </m:ctrlPr>
                          </m:sSubPr>
                          <m:e>
                            <m:r>
                              <w:rPr>
                                <w:rFonts w:ascii="Cambria Math" w:hAnsi="Cambria Math"/>
                              </w:rPr>
                              <m:t>L</m:t>
                            </m:r>
                          </m:e>
                          <m:sub>
                            <m:r>
                              <w:rPr>
                                <w:rFonts w:ascii="Cambria Math" w:hAnsi="Cambria Math"/>
                              </w:rPr>
                              <m:t>pl,th</m:t>
                            </m:r>
                          </m:sub>
                        </m:sSub>
                      </m:num>
                      <m:den>
                        <m:sSub>
                          <m:sSubPr>
                            <m:ctrlPr>
                              <w:rPr>
                                <w:rFonts w:ascii="Cambria Math" w:hAnsi="Cambria Math"/>
                                <w:i/>
                                <w:iCs/>
                              </w:rPr>
                            </m:ctrlPr>
                          </m:sSubPr>
                          <m:e>
                            <m:r>
                              <w:rPr>
                                <w:rFonts w:ascii="Cambria Math" w:hAnsi="Cambria Math"/>
                              </w:rPr>
                              <m:t>D</m:t>
                            </m:r>
                          </m:e>
                          <m:sub>
                            <m:r>
                              <w:rPr>
                                <w:rFonts w:ascii="Cambria Math" w:hAnsi="Cambria Math"/>
                              </w:rPr>
                              <m:t>h</m:t>
                            </m:r>
                          </m:sub>
                        </m:sSub>
                      </m:den>
                    </m:f>
                  </m:e>
                </m:d>
                <m:f>
                  <m:fPr>
                    <m:ctrlPr>
                      <w:rPr>
                        <w:rFonts w:ascii="Cambria Math" w:hAnsi="Cambria Math"/>
                        <w:i/>
                        <w:iCs/>
                      </w:rPr>
                    </m:ctrlPr>
                  </m:fPr>
                  <m:num>
                    <m:sSub>
                      <m:sSubPr>
                        <m:ctrlPr>
                          <w:rPr>
                            <w:rFonts w:ascii="Cambria Math" w:hAnsi="Cambria Math"/>
                            <w:i/>
                            <w:iCs/>
                          </w:rPr>
                        </m:ctrlPr>
                      </m:sSubPr>
                      <m:e>
                        <m:r>
                          <w:rPr>
                            <w:rFonts w:ascii="Cambria Math" w:hAnsi="Cambria Math"/>
                          </w:rPr>
                          <m:t>ρ</m:t>
                        </m:r>
                      </m:e>
                      <m:sub>
                        <m:r>
                          <w:rPr>
                            <w:rFonts w:ascii="Cambria Math" w:hAnsi="Cambria Math"/>
                          </w:rPr>
                          <m:t>c</m:t>
                        </m:r>
                      </m:sub>
                    </m:sSub>
                    <m:sSup>
                      <m:sSupPr>
                        <m:ctrlPr>
                          <w:rPr>
                            <w:rFonts w:ascii="Cambria Math" w:hAnsi="Cambria Math"/>
                            <w:i/>
                            <w:iCs/>
                          </w:rPr>
                        </m:ctrlPr>
                      </m:sSupPr>
                      <m:e>
                        <m:sSub>
                          <m:sSubPr>
                            <m:ctrlPr>
                              <w:rPr>
                                <w:rFonts w:ascii="Cambria Math" w:hAnsi="Cambria Math"/>
                                <w:i/>
                                <w:iCs/>
                              </w:rPr>
                            </m:ctrlPr>
                          </m:sSubPr>
                          <m:e>
                            <m:r>
                              <w:rPr>
                                <w:rFonts w:ascii="Cambria Math" w:hAnsi="Cambria Math"/>
                              </w:rPr>
                              <m:t>v</m:t>
                            </m:r>
                          </m:e>
                          <m:sub>
                            <m:r>
                              <w:rPr>
                                <w:rFonts w:ascii="Cambria Math" w:hAnsi="Cambria Math"/>
                              </w:rPr>
                              <m:t>c</m:t>
                            </m:r>
                          </m:sub>
                        </m:sSub>
                      </m:e>
                      <m:sup>
                        <m:r>
                          <w:rPr>
                            <w:rFonts w:ascii="Cambria Math" w:hAnsi="Cambria Math"/>
                          </w:rPr>
                          <m:t>2</m:t>
                        </m:r>
                      </m:sup>
                    </m:sSup>
                  </m:num>
                  <m:den>
                    <m:r>
                      <w:rPr>
                        <w:rFonts w:ascii="Cambria Math" w:hAnsi="Cambria Math"/>
                      </w:rPr>
                      <m:t>2</m:t>
                    </m:r>
                  </m:den>
                </m:f>
              </m:oMath>
            </m:oMathPara>
          </w:p>
        </w:tc>
        <w:tc>
          <w:tcPr>
            <w:tcW w:w="239" w:type="dxa"/>
            <w:vAlign w:val="center"/>
            <w:hideMark/>
          </w:tcPr>
          <w:p w14:paraId="17DB5E1C" w14:textId="77777777" w:rsidR="00A7521D" w:rsidRDefault="00A7521D" w:rsidP="00A7521D">
            <w:pPr>
              <w:pStyle w:val="Caption"/>
              <w:jc w:val="right"/>
            </w:pPr>
          </w:p>
        </w:tc>
        <w:tc>
          <w:tcPr>
            <w:tcW w:w="822" w:type="dxa"/>
            <w:vAlign w:val="center"/>
            <w:hideMark/>
          </w:tcPr>
          <w:p w14:paraId="55B605BA" w14:textId="57D9A5CB" w:rsidR="00A7521D" w:rsidRDefault="00A7521D" w:rsidP="00A7521D">
            <w:pPr>
              <w:pStyle w:val="Caption"/>
              <w:jc w:val="right"/>
              <w:rPr>
                <w:b w:val="0"/>
              </w:rPr>
            </w:pPr>
            <w:r>
              <w:rPr>
                <w:noProof/>
              </w:rPr>
              <w:fldChar w:fldCharType="begin"/>
            </w:r>
            <w:r>
              <w:rPr>
                <w:noProof/>
              </w:rPr>
              <w:instrText xml:space="preserve"> STYLEREF 1 \s </w:instrText>
            </w:r>
            <w:r>
              <w:rPr>
                <w:noProof/>
              </w:rPr>
              <w:fldChar w:fldCharType="separate"/>
            </w:r>
            <w:r w:rsidR="00CB7456">
              <w:rPr>
                <w:noProof/>
              </w:rPr>
              <w:t>13</w:t>
            </w:r>
            <w:r>
              <w:rPr>
                <w:noProof/>
              </w:rPr>
              <w:fldChar w:fldCharType="end"/>
            </w:r>
            <w:r>
              <w:rPr>
                <w:noProof/>
              </w:rPr>
              <w:t>.</w:t>
            </w:r>
            <w:r>
              <w:rPr>
                <w:noProof/>
              </w:rPr>
              <w:fldChar w:fldCharType="begin"/>
            </w:r>
            <w:r>
              <w:rPr>
                <w:noProof/>
              </w:rPr>
              <w:instrText xml:space="preserve"> SEQ Equation \* ARABIC \s 1 </w:instrText>
            </w:r>
            <w:r>
              <w:rPr>
                <w:noProof/>
              </w:rPr>
              <w:fldChar w:fldCharType="separate"/>
            </w:r>
            <w:r w:rsidR="00CB7456">
              <w:rPr>
                <w:noProof/>
              </w:rPr>
              <w:t>57</w:t>
            </w:r>
            <w:r>
              <w:rPr>
                <w:noProof/>
              </w:rPr>
              <w:fldChar w:fldCharType="end"/>
            </w:r>
          </w:p>
        </w:tc>
      </w:tr>
    </w:tbl>
    <w:p w14:paraId="6F7C92D8" w14:textId="77777777" w:rsidR="00A7521D" w:rsidRDefault="00A7521D" w:rsidP="00A7521D">
      <w:pPr>
        <w:rPr>
          <w:iCs/>
        </w:rPr>
      </w:pPr>
    </w:p>
    <w:p w14:paraId="191A65D4" w14:textId="606D6BF8" w:rsidR="00A7521D" w:rsidRDefault="00C73E04" w:rsidP="00A7521D">
      <w:pPr>
        <w:rPr>
          <w:iCs/>
        </w:rPr>
      </w:pPr>
      <m:oMath>
        <m:sSub>
          <m:sSubPr>
            <m:ctrlPr>
              <w:rPr>
                <w:rFonts w:ascii="Cambria Math" w:hAnsi="Cambria Math"/>
                <w:i/>
                <w:iCs/>
              </w:rPr>
            </m:ctrlPr>
          </m:sSubPr>
          <m:e>
            <m:r>
              <w:rPr>
                <w:rFonts w:ascii="Cambria Math" w:hAnsi="Cambria Math"/>
              </w:rPr>
              <m:t>∆P</m:t>
            </m:r>
          </m:e>
          <m:sub>
            <m:r>
              <w:rPr>
                <w:rFonts w:ascii="Cambria Math" w:hAnsi="Cambria Math"/>
              </w:rPr>
              <m:t>p,c</m:t>
            </m:r>
          </m:sub>
        </m:sSub>
      </m:oMath>
      <w:r w:rsidR="00A7521D">
        <w:rPr>
          <w:iCs/>
        </w:rPr>
        <w:t xml:space="preserve"> was the cold fluid plate pressure drop (kPa).</w:t>
      </w:r>
    </w:p>
    <w:p w14:paraId="60D3E481" w14:textId="5CA12421" w:rsidR="00794076" w:rsidRDefault="00794076" w:rsidP="00A7521D">
      <w:pPr>
        <w:rPr>
          <w:iCs/>
        </w:rPr>
      </w:pPr>
      <w:r>
        <w:rPr>
          <w:iCs/>
        </w:rPr>
        <w:t>The cold fluid plate pressure drop was dependent on the cold fluid friction factor, the effective plate width, the hydraulic mean diameter, the cold fluid density and the cold fluid linear velocity.</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37"/>
        <w:gridCol w:w="239"/>
        <w:gridCol w:w="822"/>
      </w:tblGrid>
      <w:tr w:rsidR="00A7521D" w14:paraId="51ED4F4D" w14:textId="77777777" w:rsidTr="00A7521D">
        <w:tc>
          <w:tcPr>
            <w:tcW w:w="7137" w:type="dxa"/>
            <w:hideMark/>
          </w:tcPr>
          <w:p w14:paraId="24C12526" w14:textId="43222DF9" w:rsidR="00A7521D" w:rsidRDefault="00C73E04" w:rsidP="00A7521D">
            <w:pPr>
              <w:keepNext/>
              <w:rPr>
                <w:color w:val="FFFFFF"/>
              </w:rPr>
            </w:pPr>
            <m:oMathPara>
              <m:oMathParaPr>
                <m:jc m:val="left"/>
              </m:oMathParaPr>
              <m:oMath>
                <m:sSub>
                  <m:sSubPr>
                    <m:ctrlPr>
                      <w:rPr>
                        <w:rFonts w:ascii="Cambria Math" w:hAnsi="Cambria Math"/>
                        <w:i/>
                        <w:iCs/>
                      </w:rPr>
                    </m:ctrlPr>
                  </m:sSubPr>
                  <m:e>
                    <m:r>
                      <w:rPr>
                        <w:rFonts w:ascii="Cambria Math" w:hAnsi="Cambria Math"/>
                      </w:rPr>
                      <m:t>u</m:t>
                    </m:r>
                  </m:e>
                  <m:sub>
                    <m:r>
                      <w:rPr>
                        <w:rFonts w:ascii="Cambria Math" w:hAnsi="Cambria Math"/>
                      </w:rPr>
                      <m:t>p,c</m:t>
                    </m:r>
                  </m:sub>
                </m:sSub>
                <m:r>
                  <w:rPr>
                    <w:rFonts w:ascii="Cambria Math" w:hAnsi="Cambria Math"/>
                  </w:rPr>
                  <m:t>=</m:t>
                </m:r>
                <m:f>
                  <m:fPr>
                    <m:ctrlPr>
                      <w:rPr>
                        <w:rFonts w:ascii="Cambria Math" w:hAnsi="Cambria Math"/>
                        <w:i/>
                        <w:iCs/>
                      </w:rPr>
                    </m:ctrlPr>
                  </m:fPr>
                  <m:num>
                    <m:sSub>
                      <m:sSubPr>
                        <m:ctrlPr>
                          <w:rPr>
                            <w:rFonts w:ascii="Cambria Math" w:hAnsi="Cambria Math"/>
                            <w:i/>
                            <w:iCs/>
                          </w:rPr>
                        </m:ctrlPr>
                      </m:sSubPr>
                      <m:e>
                        <m:acc>
                          <m:accPr>
                            <m:chr m:val="̇"/>
                            <m:ctrlPr>
                              <w:rPr>
                                <w:rFonts w:ascii="Cambria Math" w:hAnsi="Cambria Math"/>
                                <w:i/>
                                <w:iCs/>
                              </w:rPr>
                            </m:ctrlPr>
                          </m:accPr>
                          <m:e>
                            <m:r>
                              <w:rPr>
                                <w:rFonts w:ascii="Cambria Math" w:hAnsi="Cambria Math"/>
                              </w:rPr>
                              <m:t>m</m:t>
                            </m:r>
                          </m:e>
                        </m:acc>
                      </m:e>
                      <m:sub>
                        <m:r>
                          <w:rPr>
                            <w:rFonts w:ascii="Cambria Math" w:hAnsi="Cambria Math"/>
                          </w:rPr>
                          <m:t>c</m:t>
                        </m:r>
                      </m:sub>
                    </m:sSub>
                    <m:sSub>
                      <m:sSubPr>
                        <m:ctrlPr>
                          <w:rPr>
                            <w:rFonts w:ascii="Cambria Math" w:hAnsi="Cambria Math"/>
                            <w:i/>
                            <w:iCs/>
                          </w:rPr>
                        </m:ctrlPr>
                      </m:sSubPr>
                      <m:e>
                        <m:r>
                          <w:rPr>
                            <w:rFonts w:ascii="Cambria Math" w:hAnsi="Cambria Math"/>
                          </w:rPr>
                          <m:t>A</m:t>
                        </m:r>
                      </m:e>
                      <m:sub>
                        <m:r>
                          <w:rPr>
                            <w:rFonts w:ascii="Cambria Math" w:hAnsi="Cambria Math"/>
                          </w:rPr>
                          <m:t>pl</m:t>
                        </m:r>
                      </m:sub>
                    </m:sSub>
                  </m:num>
                  <m:den>
                    <m:sSub>
                      <m:sSubPr>
                        <m:ctrlPr>
                          <w:rPr>
                            <w:rFonts w:ascii="Cambria Math" w:hAnsi="Cambria Math"/>
                            <w:i/>
                            <w:iCs/>
                          </w:rPr>
                        </m:ctrlPr>
                      </m:sSubPr>
                      <m:e>
                        <m:r>
                          <w:rPr>
                            <w:rFonts w:ascii="Cambria Math" w:hAnsi="Cambria Math"/>
                          </w:rPr>
                          <m:t>ρ</m:t>
                        </m:r>
                      </m:e>
                      <m:sub>
                        <m:r>
                          <w:rPr>
                            <w:rFonts w:ascii="Cambria Math" w:hAnsi="Cambria Math"/>
                          </w:rPr>
                          <m:t>c</m:t>
                        </m:r>
                      </m:sub>
                    </m:sSub>
                  </m:den>
                </m:f>
              </m:oMath>
            </m:oMathPara>
          </w:p>
        </w:tc>
        <w:tc>
          <w:tcPr>
            <w:tcW w:w="239" w:type="dxa"/>
            <w:vAlign w:val="center"/>
            <w:hideMark/>
          </w:tcPr>
          <w:p w14:paraId="20BADFF3" w14:textId="77777777" w:rsidR="00A7521D" w:rsidRDefault="00A7521D" w:rsidP="00A7521D">
            <w:pPr>
              <w:pStyle w:val="Caption"/>
              <w:jc w:val="right"/>
            </w:pPr>
          </w:p>
        </w:tc>
        <w:tc>
          <w:tcPr>
            <w:tcW w:w="822" w:type="dxa"/>
            <w:vAlign w:val="center"/>
            <w:hideMark/>
          </w:tcPr>
          <w:p w14:paraId="3C2E2925" w14:textId="06073D25" w:rsidR="00A7521D" w:rsidRDefault="00A7521D" w:rsidP="00A7521D">
            <w:pPr>
              <w:pStyle w:val="Caption"/>
              <w:jc w:val="right"/>
              <w:rPr>
                <w:b w:val="0"/>
              </w:rPr>
            </w:pPr>
            <w:r>
              <w:rPr>
                <w:noProof/>
              </w:rPr>
              <w:fldChar w:fldCharType="begin"/>
            </w:r>
            <w:r>
              <w:rPr>
                <w:noProof/>
              </w:rPr>
              <w:instrText xml:space="preserve"> STYLEREF 1 \s </w:instrText>
            </w:r>
            <w:r>
              <w:rPr>
                <w:noProof/>
              </w:rPr>
              <w:fldChar w:fldCharType="separate"/>
            </w:r>
            <w:r w:rsidR="00CB7456">
              <w:rPr>
                <w:noProof/>
              </w:rPr>
              <w:t>13</w:t>
            </w:r>
            <w:r>
              <w:rPr>
                <w:noProof/>
              </w:rPr>
              <w:fldChar w:fldCharType="end"/>
            </w:r>
            <w:r>
              <w:rPr>
                <w:noProof/>
              </w:rPr>
              <w:t>.</w:t>
            </w:r>
            <w:r>
              <w:rPr>
                <w:noProof/>
              </w:rPr>
              <w:fldChar w:fldCharType="begin"/>
            </w:r>
            <w:r>
              <w:rPr>
                <w:noProof/>
              </w:rPr>
              <w:instrText xml:space="preserve"> SEQ Equation \* ARABIC \s 1 </w:instrText>
            </w:r>
            <w:r>
              <w:rPr>
                <w:noProof/>
              </w:rPr>
              <w:fldChar w:fldCharType="separate"/>
            </w:r>
            <w:r w:rsidR="00CB7456">
              <w:rPr>
                <w:noProof/>
              </w:rPr>
              <w:t>58</w:t>
            </w:r>
            <w:r>
              <w:rPr>
                <w:noProof/>
              </w:rPr>
              <w:fldChar w:fldCharType="end"/>
            </w:r>
          </w:p>
        </w:tc>
      </w:tr>
    </w:tbl>
    <w:p w14:paraId="1808152B" w14:textId="77777777" w:rsidR="00A7521D" w:rsidRDefault="00A7521D" w:rsidP="00A7521D">
      <w:pPr>
        <w:rPr>
          <w:iCs/>
        </w:rPr>
      </w:pPr>
    </w:p>
    <w:p w14:paraId="0920BE15" w14:textId="2CF3FCC0" w:rsidR="00A7521D" w:rsidRDefault="00C73E04" w:rsidP="00A7521D">
      <w:pPr>
        <w:rPr>
          <w:iCs/>
        </w:rPr>
      </w:pPr>
      <m:oMath>
        <m:sSub>
          <m:sSubPr>
            <m:ctrlPr>
              <w:rPr>
                <w:rFonts w:ascii="Cambria Math" w:hAnsi="Cambria Math"/>
                <w:i/>
                <w:iCs/>
              </w:rPr>
            </m:ctrlPr>
          </m:sSubPr>
          <m:e>
            <m:r>
              <w:rPr>
                <w:rFonts w:ascii="Cambria Math" w:hAnsi="Cambria Math"/>
              </w:rPr>
              <m:t>v</m:t>
            </m:r>
          </m:e>
          <m:sub>
            <m:r>
              <w:rPr>
                <w:rFonts w:ascii="Cambria Math" w:hAnsi="Cambria Math"/>
              </w:rPr>
              <m:t>p,c</m:t>
            </m:r>
          </m:sub>
        </m:sSub>
      </m:oMath>
      <w:r w:rsidR="00A7521D">
        <w:rPr>
          <w:iCs/>
        </w:rPr>
        <w:t xml:space="preserve"> was the cold fluid velocity through the port (m/s).</w:t>
      </w:r>
    </w:p>
    <w:p w14:paraId="78ADEB20" w14:textId="549875E2" w:rsidR="00794076" w:rsidRDefault="00794076" w:rsidP="00794076">
      <w:pPr>
        <w:rPr>
          <w:iCs/>
        </w:rPr>
      </w:pPr>
      <w:r>
        <w:rPr>
          <w:iCs/>
        </w:rPr>
        <w:t>The cold fluid velocity through the port was dependent on the cold fluid mass flowrate, the cold fluid density and the effective plate area.</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37"/>
        <w:gridCol w:w="239"/>
        <w:gridCol w:w="822"/>
      </w:tblGrid>
      <w:tr w:rsidR="00A7521D" w14:paraId="263013A1" w14:textId="77777777" w:rsidTr="00A7521D">
        <w:tc>
          <w:tcPr>
            <w:tcW w:w="7137" w:type="dxa"/>
            <w:hideMark/>
          </w:tcPr>
          <w:p w14:paraId="4828EC97" w14:textId="102B9E09" w:rsidR="00A7521D" w:rsidRDefault="00C73E04" w:rsidP="00A7521D">
            <w:pPr>
              <w:keepNext/>
              <w:rPr>
                <w:color w:val="FFFFFF"/>
              </w:rPr>
            </w:pPr>
            <m:oMathPara>
              <m:oMathParaPr>
                <m:jc m:val="left"/>
              </m:oMathParaPr>
              <m:oMath>
                <m:sSub>
                  <m:sSubPr>
                    <m:ctrlPr>
                      <w:rPr>
                        <w:rFonts w:ascii="Cambria Math" w:hAnsi="Cambria Math"/>
                        <w:i/>
                        <w:iCs/>
                      </w:rPr>
                    </m:ctrlPr>
                  </m:sSubPr>
                  <m:e>
                    <m:r>
                      <w:rPr>
                        <w:rFonts w:ascii="Cambria Math" w:hAnsi="Cambria Math"/>
                      </w:rPr>
                      <m:t>∆P</m:t>
                    </m:r>
                  </m:e>
                  <m:sub>
                    <m:r>
                      <w:rPr>
                        <w:rFonts w:ascii="Cambria Math" w:hAnsi="Cambria Math"/>
                      </w:rPr>
                      <m:t>p,c</m:t>
                    </m:r>
                  </m:sub>
                </m:sSub>
                <m:r>
                  <w:rPr>
                    <w:rFonts w:ascii="Cambria Math" w:hAnsi="Cambria Math"/>
                  </w:rPr>
                  <m:t>=1.3</m:t>
                </m:r>
                <m:f>
                  <m:fPr>
                    <m:ctrlPr>
                      <w:rPr>
                        <w:rFonts w:ascii="Cambria Math" w:hAnsi="Cambria Math"/>
                        <w:i/>
                        <w:iCs/>
                      </w:rPr>
                    </m:ctrlPr>
                  </m:fPr>
                  <m:num>
                    <m:d>
                      <m:dPr>
                        <m:ctrlPr>
                          <w:rPr>
                            <w:rFonts w:ascii="Cambria Math" w:hAnsi="Cambria Math"/>
                            <w:i/>
                            <w:iCs/>
                          </w:rPr>
                        </m:ctrlPr>
                      </m:dPr>
                      <m:e>
                        <m:sSub>
                          <m:sSubPr>
                            <m:ctrlPr>
                              <w:rPr>
                                <w:rFonts w:ascii="Cambria Math" w:hAnsi="Cambria Math"/>
                                <w:i/>
                              </w:rPr>
                            </m:ctrlPr>
                          </m:sSubPr>
                          <m:e>
                            <m:r>
                              <w:rPr>
                                <w:rFonts w:ascii="Cambria Math" w:hAnsi="Cambria Math"/>
                              </w:rPr>
                              <m:t>ρ</m:t>
                            </m:r>
                          </m:e>
                          <m:sub>
                            <m:r>
                              <w:rPr>
                                <w:rFonts w:ascii="Cambria Math" w:hAnsi="Cambria Math"/>
                              </w:rPr>
                              <m:t>c</m:t>
                            </m:r>
                          </m:sub>
                        </m:sSub>
                        <m:sSup>
                          <m:sSupPr>
                            <m:ctrlPr>
                              <w:rPr>
                                <w:rFonts w:ascii="Cambria Math" w:hAnsi="Cambria Math"/>
                                <w:i/>
                                <w:iCs/>
                              </w:rPr>
                            </m:ctrlPr>
                          </m:sSupPr>
                          <m:e>
                            <m:sSub>
                              <m:sSubPr>
                                <m:ctrlPr>
                                  <w:rPr>
                                    <w:rFonts w:ascii="Cambria Math" w:hAnsi="Cambria Math"/>
                                    <w:i/>
                                    <w:iCs/>
                                  </w:rPr>
                                </m:ctrlPr>
                              </m:sSubPr>
                              <m:e>
                                <m:r>
                                  <w:rPr>
                                    <w:rFonts w:ascii="Cambria Math" w:hAnsi="Cambria Math"/>
                                  </w:rPr>
                                  <m:t>u</m:t>
                                </m:r>
                              </m:e>
                              <m:sub>
                                <m:r>
                                  <w:rPr>
                                    <w:rFonts w:ascii="Cambria Math" w:hAnsi="Cambria Math"/>
                                  </w:rPr>
                                  <m:t>pc</m:t>
                                </m:r>
                              </m:sub>
                            </m:sSub>
                          </m:e>
                          <m:sup>
                            <m:r>
                              <w:rPr>
                                <w:rFonts w:ascii="Cambria Math" w:hAnsi="Cambria Math"/>
                              </w:rPr>
                              <m:t>2</m:t>
                            </m:r>
                          </m:sup>
                        </m:sSup>
                      </m:e>
                    </m:d>
                  </m:num>
                  <m:den>
                    <m:r>
                      <w:rPr>
                        <w:rFonts w:ascii="Cambria Math" w:hAnsi="Cambria Math"/>
                      </w:rPr>
                      <m:t>2</m:t>
                    </m:r>
                  </m:den>
                </m:f>
                <m:sSub>
                  <m:sSubPr>
                    <m:ctrlPr>
                      <w:rPr>
                        <w:rFonts w:ascii="Cambria Math" w:hAnsi="Cambria Math"/>
                        <w:i/>
                        <w:iCs/>
                      </w:rPr>
                    </m:ctrlPr>
                  </m:sSubPr>
                  <m:e>
                    <m:r>
                      <w:rPr>
                        <w:rFonts w:ascii="Cambria Math" w:hAnsi="Cambria Math"/>
                      </w:rPr>
                      <m:t>N</m:t>
                    </m:r>
                  </m:e>
                  <m:sub>
                    <m:r>
                      <w:rPr>
                        <w:rFonts w:ascii="Cambria Math" w:hAnsi="Cambria Math"/>
                      </w:rPr>
                      <m:t>p</m:t>
                    </m:r>
                    <m:r>
                      <w:rPr>
                        <w:rFonts w:ascii="Cambria Math" w:hAnsi="Cambria Math"/>
                      </w:rPr>
                      <m:t>l</m:t>
                    </m:r>
                  </m:sub>
                </m:sSub>
              </m:oMath>
            </m:oMathPara>
          </w:p>
        </w:tc>
        <w:tc>
          <w:tcPr>
            <w:tcW w:w="239" w:type="dxa"/>
            <w:vAlign w:val="center"/>
            <w:hideMark/>
          </w:tcPr>
          <w:p w14:paraId="65094933" w14:textId="77777777" w:rsidR="00A7521D" w:rsidRDefault="00A7521D" w:rsidP="00A7521D">
            <w:pPr>
              <w:pStyle w:val="Caption"/>
              <w:jc w:val="right"/>
            </w:pPr>
          </w:p>
        </w:tc>
        <w:tc>
          <w:tcPr>
            <w:tcW w:w="822" w:type="dxa"/>
            <w:vAlign w:val="center"/>
            <w:hideMark/>
          </w:tcPr>
          <w:p w14:paraId="304A1C65" w14:textId="3EB6780B" w:rsidR="00A7521D" w:rsidRDefault="00A7521D" w:rsidP="00A7521D">
            <w:pPr>
              <w:pStyle w:val="Caption"/>
              <w:jc w:val="right"/>
              <w:rPr>
                <w:b w:val="0"/>
              </w:rPr>
            </w:pPr>
            <w:r>
              <w:rPr>
                <w:noProof/>
              </w:rPr>
              <w:fldChar w:fldCharType="begin"/>
            </w:r>
            <w:r>
              <w:rPr>
                <w:noProof/>
              </w:rPr>
              <w:instrText xml:space="preserve"> STYLEREF 1 \s </w:instrText>
            </w:r>
            <w:r>
              <w:rPr>
                <w:noProof/>
              </w:rPr>
              <w:fldChar w:fldCharType="separate"/>
            </w:r>
            <w:r w:rsidR="00CB7456">
              <w:rPr>
                <w:noProof/>
              </w:rPr>
              <w:t>13</w:t>
            </w:r>
            <w:r>
              <w:rPr>
                <w:noProof/>
              </w:rPr>
              <w:fldChar w:fldCharType="end"/>
            </w:r>
            <w:r>
              <w:rPr>
                <w:noProof/>
              </w:rPr>
              <w:t>.</w:t>
            </w:r>
            <w:r>
              <w:rPr>
                <w:noProof/>
              </w:rPr>
              <w:fldChar w:fldCharType="begin"/>
            </w:r>
            <w:r>
              <w:rPr>
                <w:noProof/>
              </w:rPr>
              <w:instrText xml:space="preserve"> SEQ Equation \* ARABIC \s 1 </w:instrText>
            </w:r>
            <w:r>
              <w:rPr>
                <w:noProof/>
              </w:rPr>
              <w:fldChar w:fldCharType="separate"/>
            </w:r>
            <w:r w:rsidR="00CB7456">
              <w:rPr>
                <w:noProof/>
              </w:rPr>
              <w:t>59</w:t>
            </w:r>
            <w:r>
              <w:rPr>
                <w:noProof/>
              </w:rPr>
              <w:fldChar w:fldCharType="end"/>
            </w:r>
          </w:p>
        </w:tc>
      </w:tr>
    </w:tbl>
    <w:p w14:paraId="1D6DBF2A" w14:textId="77777777" w:rsidR="00A7521D" w:rsidRPr="00B90585" w:rsidRDefault="00A7521D" w:rsidP="00A7521D"/>
    <w:p w14:paraId="164B602A" w14:textId="14EB1342" w:rsidR="00A7521D" w:rsidRDefault="00C73E04" w:rsidP="00A7521D">
      <w:pPr>
        <w:rPr>
          <w:iCs/>
        </w:rPr>
      </w:pPr>
      <m:oMath>
        <m:sSub>
          <m:sSubPr>
            <m:ctrlPr>
              <w:rPr>
                <w:rFonts w:ascii="Cambria Math" w:hAnsi="Cambria Math"/>
                <w:i/>
                <w:iCs/>
              </w:rPr>
            </m:ctrlPr>
          </m:sSubPr>
          <m:e>
            <m:r>
              <w:rPr>
                <w:rFonts w:ascii="Cambria Math" w:hAnsi="Cambria Math"/>
              </w:rPr>
              <m:t>∆P</m:t>
            </m:r>
          </m:e>
          <m:sub>
            <m:r>
              <w:rPr>
                <w:rFonts w:ascii="Cambria Math" w:hAnsi="Cambria Math"/>
              </w:rPr>
              <m:t>p,c</m:t>
            </m:r>
          </m:sub>
        </m:sSub>
      </m:oMath>
      <w:r w:rsidR="00A7521D">
        <w:rPr>
          <w:iCs/>
        </w:rPr>
        <w:t xml:space="preserve"> was the cold fluid port pressure drop (kPa).</w:t>
      </w:r>
    </w:p>
    <w:p w14:paraId="194E93F6" w14:textId="745A67E1" w:rsidR="00794076" w:rsidRDefault="00794076" w:rsidP="00A7521D">
      <w:pPr>
        <w:rPr>
          <w:iCs/>
        </w:rPr>
      </w:pPr>
      <w:r>
        <w:rPr>
          <w:iCs/>
        </w:rPr>
        <w:t>The cold fluid port pressure drop was dependent on the cold fluid density, the cold fluid velocity through the port and the number of plates.</w:t>
      </w:r>
    </w:p>
    <w:p w14:paraId="27014DBE" w14:textId="009ED93F" w:rsidR="00912229" w:rsidRDefault="00912229" w:rsidP="00912229">
      <w:pPr>
        <w:rPr>
          <w:b/>
          <w:bCs/>
          <w:sz w:val="18"/>
          <w:szCs w:val="18"/>
        </w:rPr>
      </w:pPr>
      <w:r>
        <w:rPr>
          <w:iCs/>
        </w:rPr>
        <w:fldChar w:fldCharType="begin"/>
      </w:r>
      <w:r>
        <w:rPr>
          <w:iCs/>
        </w:rPr>
        <w:instrText xml:space="preserve"> REF _Ref7185926 \h </w:instrText>
      </w:r>
      <w:r>
        <w:rPr>
          <w:iCs/>
        </w:rPr>
      </w:r>
      <w:r>
        <w:rPr>
          <w:iCs/>
        </w:rPr>
        <w:fldChar w:fldCharType="separate"/>
      </w:r>
      <w:r w:rsidR="00CB7456">
        <w:t xml:space="preserve">Table </w:t>
      </w:r>
      <w:r w:rsidR="00CB7456">
        <w:rPr>
          <w:noProof/>
        </w:rPr>
        <w:t>13</w:t>
      </w:r>
      <w:r w:rsidR="00CB7456">
        <w:t>.</w:t>
      </w:r>
      <w:r w:rsidR="00CB7456">
        <w:rPr>
          <w:noProof/>
        </w:rPr>
        <w:t>11</w:t>
      </w:r>
      <w:r>
        <w:rPr>
          <w:iCs/>
        </w:rPr>
        <w:fldChar w:fldCharType="end"/>
      </w:r>
      <w:r>
        <w:rPr>
          <w:iCs/>
        </w:rPr>
        <w:t xml:space="preserve"> shows how the complex series of equations used in the modelling of the HEX-P are linked to each other.</w:t>
      </w:r>
    </w:p>
    <w:p w14:paraId="557A115E" w14:textId="0E0B9244" w:rsidR="00912229" w:rsidRDefault="00912229" w:rsidP="00912229">
      <w:pPr>
        <w:pStyle w:val="Caption"/>
        <w:keepNext/>
      </w:pPr>
      <w:bookmarkStart w:id="1041" w:name="_Ref7185926"/>
      <w:bookmarkStart w:id="1042" w:name="_Toc7187728"/>
      <w:r>
        <w:lastRenderedPageBreak/>
        <w:t xml:space="preserve">Table </w:t>
      </w:r>
      <w:fldSimple w:instr=" STYLEREF 1 \s ">
        <w:r w:rsidR="00CB7456">
          <w:rPr>
            <w:noProof/>
          </w:rPr>
          <w:t>13</w:t>
        </w:r>
      </w:fldSimple>
      <w:r w:rsidR="009E1A67">
        <w:t>.</w:t>
      </w:r>
      <w:fldSimple w:instr=" SEQ Table \* ARABIC \s 1 ">
        <w:r w:rsidR="00CB7456">
          <w:rPr>
            <w:noProof/>
          </w:rPr>
          <w:t>11</w:t>
        </w:r>
      </w:fldSimple>
      <w:bookmarkEnd w:id="1041"/>
      <w:r>
        <w:t>:</w:t>
      </w:r>
      <w:r w:rsidRPr="00912229">
        <w:t xml:space="preserve"> </w:t>
      </w:r>
      <w:r>
        <w:t>How the equations in the modelling of the HEX-P are linked. Inputs in bold are outputs from other equations in the modelling of the HEX-P, input in grey come from the modelling of the other WHR components.</w:t>
      </w:r>
      <w:bookmarkEnd w:id="1042"/>
    </w:p>
    <w:tbl>
      <w:tblPr>
        <w:tblStyle w:val="TableGrid"/>
        <w:tblW w:w="0" w:type="auto"/>
        <w:jc w:val="center"/>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26"/>
        <w:gridCol w:w="2516"/>
        <w:gridCol w:w="1052"/>
        <w:gridCol w:w="3205"/>
      </w:tblGrid>
      <w:tr w:rsidR="00912229" w14:paraId="6AF8B527" w14:textId="77777777" w:rsidTr="00CD39BA">
        <w:trPr>
          <w:jc w:val="center"/>
        </w:trPr>
        <w:tc>
          <w:tcPr>
            <w:tcW w:w="1126" w:type="dxa"/>
            <w:tcBorders>
              <w:bottom w:val="single" w:sz="4" w:space="0" w:color="auto"/>
            </w:tcBorders>
          </w:tcPr>
          <w:p w14:paraId="3BC3265F" w14:textId="77777777" w:rsidR="00912229" w:rsidRDefault="00912229" w:rsidP="00CD39BA">
            <w:pPr>
              <w:jc w:val="center"/>
            </w:pPr>
            <w:r>
              <w:t>Equation</w:t>
            </w:r>
          </w:p>
        </w:tc>
        <w:tc>
          <w:tcPr>
            <w:tcW w:w="2516" w:type="dxa"/>
            <w:tcBorders>
              <w:bottom w:val="single" w:sz="4" w:space="0" w:color="auto"/>
            </w:tcBorders>
          </w:tcPr>
          <w:p w14:paraId="48A3D404" w14:textId="77777777" w:rsidR="00912229" w:rsidRDefault="00912229" w:rsidP="00CD39BA">
            <w:pPr>
              <w:jc w:val="center"/>
            </w:pPr>
            <w:r>
              <w:t>Inputs</w:t>
            </w:r>
          </w:p>
        </w:tc>
        <w:tc>
          <w:tcPr>
            <w:tcW w:w="1052" w:type="dxa"/>
            <w:tcBorders>
              <w:bottom w:val="single" w:sz="4" w:space="0" w:color="auto"/>
            </w:tcBorders>
          </w:tcPr>
          <w:p w14:paraId="50097E8F" w14:textId="77777777" w:rsidR="00912229" w:rsidRDefault="00912229" w:rsidP="00CD39BA">
            <w:pPr>
              <w:jc w:val="center"/>
            </w:pPr>
            <w:r>
              <w:t>Outputs</w:t>
            </w:r>
          </w:p>
        </w:tc>
        <w:tc>
          <w:tcPr>
            <w:tcW w:w="3205" w:type="dxa"/>
            <w:tcBorders>
              <w:bottom w:val="single" w:sz="4" w:space="0" w:color="auto"/>
            </w:tcBorders>
          </w:tcPr>
          <w:p w14:paraId="17491D60" w14:textId="77777777" w:rsidR="00912229" w:rsidRDefault="00912229" w:rsidP="00CD39BA">
            <w:pPr>
              <w:jc w:val="center"/>
            </w:pPr>
            <w:r>
              <w:t>Linked to Equation</w:t>
            </w:r>
          </w:p>
        </w:tc>
      </w:tr>
      <w:tr w:rsidR="00912229" w14:paraId="7343F160" w14:textId="77777777" w:rsidTr="00CD39BA">
        <w:trPr>
          <w:jc w:val="center"/>
        </w:trPr>
        <w:tc>
          <w:tcPr>
            <w:tcW w:w="1126" w:type="dxa"/>
            <w:tcBorders>
              <w:top w:val="single" w:sz="4" w:space="0" w:color="auto"/>
              <w:bottom w:val="nil"/>
            </w:tcBorders>
          </w:tcPr>
          <w:p w14:paraId="624A8BBB" w14:textId="77777777" w:rsidR="00912229" w:rsidRPr="00B44F5A" w:rsidRDefault="00912229" w:rsidP="00CD39BA">
            <w:pPr>
              <w:jc w:val="center"/>
              <w:rPr>
                <w:color w:val="404040" w:themeColor="text1" w:themeTint="BF"/>
              </w:rPr>
            </w:pPr>
            <w:r w:rsidRPr="00B44F5A">
              <w:rPr>
                <w:color w:val="404040" w:themeColor="text1" w:themeTint="BF"/>
              </w:rPr>
              <w:t>13.1</w:t>
            </w:r>
          </w:p>
        </w:tc>
        <w:tc>
          <w:tcPr>
            <w:tcW w:w="2516" w:type="dxa"/>
            <w:tcBorders>
              <w:top w:val="single" w:sz="4" w:space="0" w:color="auto"/>
              <w:bottom w:val="nil"/>
            </w:tcBorders>
          </w:tcPr>
          <w:p w14:paraId="60DF7ACB" w14:textId="77777777" w:rsidR="00912229" w:rsidRPr="00B44F5A" w:rsidRDefault="00912229" w:rsidP="00CD39BA">
            <w:pPr>
              <w:jc w:val="center"/>
              <w:rPr>
                <w:color w:val="404040" w:themeColor="text1" w:themeTint="BF"/>
              </w:rPr>
            </w:pPr>
            <m:oMathPara>
              <m:oMath>
                <m:sSub>
                  <m:sSubPr>
                    <m:ctrlPr>
                      <w:rPr>
                        <w:rFonts w:ascii="Cambria Math" w:hAnsi="Cambria Math"/>
                        <w:i/>
                        <w:color w:val="404040" w:themeColor="text1" w:themeTint="BF"/>
                      </w:rPr>
                    </m:ctrlPr>
                  </m:sSubPr>
                  <m:e>
                    <m:r>
                      <w:rPr>
                        <w:rFonts w:ascii="Cambria Math" w:hAnsi="Cambria Math"/>
                        <w:color w:val="404040" w:themeColor="text1" w:themeTint="BF"/>
                      </w:rPr>
                      <m:t>T</m:t>
                    </m:r>
                  </m:e>
                  <m:sub>
                    <m:r>
                      <w:rPr>
                        <w:rFonts w:ascii="Cambria Math" w:hAnsi="Cambria Math"/>
                        <w:color w:val="404040" w:themeColor="text1" w:themeTint="BF"/>
                      </w:rPr>
                      <m:t>1</m:t>
                    </m:r>
                  </m:sub>
                </m:sSub>
                <m:r>
                  <w:rPr>
                    <w:rFonts w:ascii="Cambria Math" w:hAnsi="Cambria Math"/>
                    <w:color w:val="404040" w:themeColor="text1" w:themeTint="BF"/>
                  </w:rPr>
                  <m:t>,</m:t>
                </m:r>
                <m:sSub>
                  <m:sSubPr>
                    <m:ctrlPr>
                      <w:rPr>
                        <w:rFonts w:ascii="Cambria Math" w:hAnsi="Cambria Math"/>
                        <w:i/>
                        <w:color w:val="404040" w:themeColor="text1" w:themeTint="BF"/>
                      </w:rPr>
                    </m:ctrlPr>
                  </m:sSubPr>
                  <m:e>
                    <m:r>
                      <w:rPr>
                        <w:rFonts w:ascii="Cambria Math" w:hAnsi="Cambria Math"/>
                        <w:color w:val="404040" w:themeColor="text1" w:themeTint="BF"/>
                      </w:rPr>
                      <m:t>T</m:t>
                    </m:r>
                  </m:e>
                  <m:sub>
                    <m:r>
                      <w:rPr>
                        <w:rFonts w:ascii="Cambria Math" w:hAnsi="Cambria Math"/>
                        <w:color w:val="404040" w:themeColor="text1" w:themeTint="BF"/>
                      </w:rPr>
                      <m:t>2</m:t>
                    </m:r>
                  </m:sub>
                </m:sSub>
                <m:r>
                  <w:rPr>
                    <w:rFonts w:ascii="Cambria Math" w:hAnsi="Cambria Math"/>
                    <w:color w:val="404040" w:themeColor="text1" w:themeTint="BF"/>
                  </w:rPr>
                  <m:t>,</m:t>
                </m:r>
                <m:sSub>
                  <m:sSubPr>
                    <m:ctrlPr>
                      <w:rPr>
                        <w:rFonts w:ascii="Cambria Math" w:hAnsi="Cambria Math"/>
                        <w:i/>
                        <w:color w:val="404040" w:themeColor="text1" w:themeTint="BF"/>
                      </w:rPr>
                    </m:ctrlPr>
                  </m:sSubPr>
                  <m:e>
                    <m:r>
                      <w:rPr>
                        <w:rFonts w:ascii="Cambria Math" w:hAnsi="Cambria Math"/>
                        <w:color w:val="404040" w:themeColor="text1" w:themeTint="BF"/>
                      </w:rPr>
                      <m:t>t</m:t>
                    </m:r>
                  </m:e>
                  <m:sub>
                    <m:r>
                      <w:rPr>
                        <w:rFonts w:ascii="Cambria Math" w:hAnsi="Cambria Math"/>
                        <w:color w:val="404040" w:themeColor="text1" w:themeTint="BF"/>
                      </w:rPr>
                      <m:t>1</m:t>
                    </m:r>
                  </m:sub>
                </m:sSub>
                <m:r>
                  <w:rPr>
                    <w:rFonts w:ascii="Cambria Math" w:hAnsi="Cambria Math"/>
                    <w:color w:val="404040" w:themeColor="text1" w:themeTint="BF"/>
                  </w:rPr>
                  <m:t>,</m:t>
                </m:r>
                <m:sSub>
                  <m:sSubPr>
                    <m:ctrlPr>
                      <w:rPr>
                        <w:rFonts w:ascii="Cambria Math" w:hAnsi="Cambria Math"/>
                        <w:i/>
                        <w:color w:val="404040" w:themeColor="text1" w:themeTint="BF"/>
                      </w:rPr>
                    </m:ctrlPr>
                  </m:sSubPr>
                  <m:e>
                    <m:r>
                      <w:rPr>
                        <w:rFonts w:ascii="Cambria Math" w:hAnsi="Cambria Math"/>
                        <w:color w:val="404040" w:themeColor="text1" w:themeTint="BF"/>
                      </w:rPr>
                      <m:t>t</m:t>
                    </m:r>
                  </m:e>
                  <m:sub>
                    <m:r>
                      <w:rPr>
                        <w:rFonts w:ascii="Cambria Math" w:hAnsi="Cambria Math"/>
                        <w:color w:val="404040" w:themeColor="text1" w:themeTint="BF"/>
                      </w:rPr>
                      <m:t>2</m:t>
                    </m:r>
                  </m:sub>
                </m:sSub>
              </m:oMath>
            </m:oMathPara>
          </w:p>
        </w:tc>
        <w:tc>
          <w:tcPr>
            <w:tcW w:w="1052" w:type="dxa"/>
            <w:tcBorders>
              <w:top w:val="single" w:sz="4" w:space="0" w:color="auto"/>
              <w:bottom w:val="nil"/>
            </w:tcBorders>
          </w:tcPr>
          <w:p w14:paraId="7876B33B" w14:textId="77777777" w:rsidR="00912229" w:rsidRPr="00B44F5A" w:rsidRDefault="00912229" w:rsidP="00CD39BA">
            <w:pPr>
              <w:jc w:val="center"/>
              <w:rPr>
                <w:color w:val="404040" w:themeColor="text1" w:themeTint="BF"/>
              </w:rPr>
            </w:pPr>
            <m:oMathPara>
              <m:oMath>
                <m:r>
                  <w:rPr>
                    <w:rFonts w:ascii="Cambria Math" w:hAnsi="Cambria Math"/>
                    <w:color w:val="404040" w:themeColor="text1" w:themeTint="BF"/>
                  </w:rPr>
                  <m:t>R</m:t>
                </m:r>
              </m:oMath>
            </m:oMathPara>
          </w:p>
        </w:tc>
        <w:tc>
          <w:tcPr>
            <w:tcW w:w="3205" w:type="dxa"/>
            <w:tcBorders>
              <w:top w:val="single" w:sz="4" w:space="0" w:color="auto"/>
              <w:bottom w:val="nil"/>
            </w:tcBorders>
          </w:tcPr>
          <w:p w14:paraId="7CC6D770" w14:textId="77777777" w:rsidR="00912229" w:rsidRPr="00B44F5A" w:rsidRDefault="00912229" w:rsidP="00CD39BA">
            <w:pPr>
              <w:jc w:val="center"/>
              <w:rPr>
                <w:color w:val="404040" w:themeColor="text1" w:themeTint="BF"/>
              </w:rPr>
            </w:pPr>
          </w:p>
        </w:tc>
      </w:tr>
      <w:tr w:rsidR="00912229" w14:paraId="2963518F" w14:textId="77777777" w:rsidTr="00CD39BA">
        <w:trPr>
          <w:jc w:val="center"/>
        </w:trPr>
        <w:tc>
          <w:tcPr>
            <w:tcW w:w="1126" w:type="dxa"/>
            <w:tcBorders>
              <w:top w:val="nil"/>
            </w:tcBorders>
          </w:tcPr>
          <w:p w14:paraId="108FDC4D" w14:textId="77777777" w:rsidR="00912229" w:rsidRPr="00B44F5A" w:rsidRDefault="00912229" w:rsidP="00CD39BA">
            <w:pPr>
              <w:jc w:val="center"/>
              <w:rPr>
                <w:color w:val="404040" w:themeColor="text1" w:themeTint="BF"/>
              </w:rPr>
            </w:pPr>
            <w:r w:rsidRPr="00B44F5A">
              <w:rPr>
                <w:color w:val="404040" w:themeColor="text1" w:themeTint="BF"/>
              </w:rPr>
              <w:t>13.2</w:t>
            </w:r>
          </w:p>
        </w:tc>
        <w:tc>
          <w:tcPr>
            <w:tcW w:w="2516" w:type="dxa"/>
            <w:tcBorders>
              <w:top w:val="nil"/>
            </w:tcBorders>
          </w:tcPr>
          <w:p w14:paraId="7A032327" w14:textId="77777777" w:rsidR="00912229" w:rsidRPr="00B44F5A" w:rsidRDefault="00912229" w:rsidP="00CD39BA">
            <w:pPr>
              <w:jc w:val="center"/>
              <w:rPr>
                <w:color w:val="404040" w:themeColor="text1" w:themeTint="BF"/>
              </w:rPr>
            </w:pPr>
            <m:oMathPara>
              <m:oMath>
                <m:sSub>
                  <m:sSubPr>
                    <m:ctrlPr>
                      <w:rPr>
                        <w:rFonts w:ascii="Cambria Math" w:hAnsi="Cambria Math"/>
                        <w:i/>
                        <w:color w:val="404040" w:themeColor="text1" w:themeTint="BF"/>
                      </w:rPr>
                    </m:ctrlPr>
                  </m:sSubPr>
                  <m:e>
                    <m:r>
                      <w:rPr>
                        <w:rFonts w:ascii="Cambria Math" w:hAnsi="Cambria Math"/>
                        <w:color w:val="404040" w:themeColor="text1" w:themeTint="BF"/>
                      </w:rPr>
                      <m:t>T</m:t>
                    </m:r>
                  </m:e>
                  <m:sub>
                    <m:r>
                      <w:rPr>
                        <w:rFonts w:ascii="Cambria Math" w:hAnsi="Cambria Math"/>
                        <w:color w:val="404040" w:themeColor="text1" w:themeTint="BF"/>
                      </w:rPr>
                      <m:t>1</m:t>
                    </m:r>
                  </m:sub>
                </m:sSub>
                <m:r>
                  <w:rPr>
                    <w:rFonts w:ascii="Cambria Math" w:hAnsi="Cambria Math"/>
                    <w:color w:val="404040" w:themeColor="text1" w:themeTint="BF"/>
                  </w:rPr>
                  <m:t>,</m:t>
                </m:r>
                <m:sSub>
                  <m:sSubPr>
                    <m:ctrlPr>
                      <w:rPr>
                        <w:rFonts w:ascii="Cambria Math" w:hAnsi="Cambria Math"/>
                        <w:i/>
                        <w:color w:val="404040" w:themeColor="text1" w:themeTint="BF"/>
                      </w:rPr>
                    </m:ctrlPr>
                  </m:sSubPr>
                  <m:e>
                    <m:r>
                      <w:rPr>
                        <w:rFonts w:ascii="Cambria Math" w:hAnsi="Cambria Math"/>
                        <w:color w:val="404040" w:themeColor="text1" w:themeTint="BF"/>
                      </w:rPr>
                      <m:t>T</m:t>
                    </m:r>
                  </m:e>
                  <m:sub>
                    <m:r>
                      <w:rPr>
                        <w:rFonts w:ascii="Cambria Math" w:hAnsi="Cambria Math"/>
                        <w:color w:val="404040" w:themeColor="text1" w:themeTint="BF"/>
                      </w:rPr>
                      <m:t>2</m:t>
                    </m:r>
                  </m:sub>
                </m:sSub>
                <m:r>
                  <w:rPr>
                    <w:rFonts w:ascii="Cambria Math" w:hAnsi="Cambria Math"/>
                    <w:color w:val="404040" w:themeColor="text1" w:themeTint="BF"/>
                  </w:rPr>
                  <m:t>,</m:t>
                </m:r>
                <m:sSub>
                  <m:sSubPr>
                    <m:ctrlPr>
                      <w:rPr>
                        <w:rFonts w:ascii="Cambria Math" w:hAnsi="Cambria Math"/>
                        <w:i/>
                        <w:color w:val="404040" w:themeColor="text1" w:themeTint="BF"/>
                      </w:rPr>
                    </m:ctrlPr>
                  </m:sSubPr>
                  <m:e>
                    <m:r>
                      <w:rPr>
                        <w:rFonts w:ascii="Cambria Math" w:hAnsi="Cambria Math"/>
                        <w:color w:val="404040" w:themeColor="text1" w:themeTint="BF"/>
                      </w:rPr>
                      <m:t>t</m:t>
                    </m:r>
                  </m:e>
                  <m:sub>
                    <m:r>
                      <w:rPr>
                        <w:rFonts w:ascii="Cambria Math" w:hAnsi="Cambria Math"/>
                        <w:color w:val="404040" w:themeColor="text1" w:themeTint="BF"/>
                      </w:rPr>
                      <m:t>1</m:t>
                    </m:r>
                  </m:sub>
                </m:sSub>
                <m:r>
                  <w:rPr>
                    <w:rFonts w:ascii="Cambria Math" w:hAnsi="Cambria Math"/>
                    <w:color w:val="404040" w:themeColor="text1" w:themeTint="BF"/>
                  </w:rPr>
                  <m:t>,</m:t>
                </m:r>
                <m:sSub>
                  <m:sSubPr>
                    <m:ctrlPr>
                      <w:rPr>
                        <w:rFonts w:ascii="Cambria Math" w:hAnsi="Cambria Math"/>
                        <w:i/>
                        <w:color w:val="404040" w:themeColor="text1" w:themeTint="BF"/>
                      </w:rPr>
                    </m:ctrlPr>
                  </m:sSubPr>
                  <m:e>
                    <m:r>
                      <w:rPr>
                        <w:rFonts w:ascii="Cambria Math" w:hAnsi="Cambria Math"/>
                        <w:color w:val="404040" w:themeColor="text1" w:themeTint="BF"/>
                      </w:rPr>
                      <m:t>t</m:t>
                    </m:r>
                  </m:e>
                  <m:sub>
                    <m:r>
                      <w:rPr>
                        <w:rFonts w:ascii="Cambria Math" w:hAnsi="Cambria Math"/>
                        <w:color w:val="404040" w:themeColor="text1" w:themeTint="BF"/>
                      </w:rPr>
                      <m:t>2</m:t>
                    </m:r>
                  </m:sub>
                </m:sSub>
              </m:oMath>
            </m:oMathPara>
          </w:p>
        </w:tc>
        <w:tc>
          <w:tcPr>
            <w:tcW w:w="1052" w:type="dxa"/>
            <w:tcBorders>
              <w:top w:val="nil"/>
            </w:tcBorders>
          </w:tcPr>
          <w:p w14:paraId="65687D50" w14:textId="77777777" w:rsidR="00912229" w:rsidRPr="00B44F5A" w:rsidRDefault="00912229" w:rsidP="00CD39BA">
            <w:pPr>
              <w:jc w:val="center"/>
              <w:rPr>
                <w:color w:val="404040" w:themeColor="text1" w:themeTint="BF"/>
              </w:rPr>
            </w:pPr>
            <m:oMathPara>
              <m:oMath>
                <m:r>
                  <w:rPr>
                    <w:rFonts w:ascii="Cambria Math" w:hAnsi="Cambria Math"/>
                    <w:color w:val="404040" w:themeColor="text1" w:themeTint="BF"/>
                  </w:rPr>
                  <m:t>S</m:t>
                </m:r>
              </m:oMath>
            </m:oMathPara>
          </w:p>
        </w:tc>
        <w:tc>
          <w:tcPr>
            <w:tcW w:w="3205" w:type="dxa"/>
            <w:tcBorders>
              <w:top w:val="nil"/>
            </w:tcBorders>
          </w:tcPr>
          <w:p w14:paraId="749C4080" w14:textId="77777777" w:rsidR="00912229" w:rsidRPr="00B44F5A" w:rsidRDefault="00912229" w:rsidP="00CD39BA">
            <w:pPr>
              <w:jc w:val="center"/>
              <w:rPr>
                <w:color w:val="404040" w:themeColor="text1" w:themeTint="BF"/>
              </w:rPr>
            </w:pPr>
          </w:p>
        </w:tc>
      </w:tr>
      <w:tr w:rsidR="00912229" w14:paraId="2FEBA5C7" w14:textId="77777777" w:rsidTr="00CD39BA">
        <w:trPr>
          <w:jc w:val="center"/>
        </w:trPr>
        <w:tc>
          <w:tcPr>
            <w:tcW w:w="1126" w:type="dxa"/>
          </w:tcPr>
          <w:p w14:paraId="623C9385" w14:textId="77777777" w:rsidR="00912229" w:rsidRPr="00B44F5A" w:rsidRDefault="00912229" w:rsidP="00CD39BA">
            <w:pPr>
              <w:jc w:val="center"/>
              <w:rPr>
                <w:color w:val="404040" w:themeColor="text1" w:themeTint="BF"/>
              </w:rPr>
            </w:pPr>
            <w:r w:rsidRPr="00B44F5A">
              <w:rPr>
                <w:color w:val="404040" w:themeColor="text1" w:themeTint="BF"/>
              </w:rPr>
              <w:t>13.3</w:t>
            </w:r>
          </w:p>
        </w:tc>
        <w:tc>
          <w:tcPr>
            <w:tcW w:w="2516" w:type="dxa"/>
          </w:tcPr>
          <w:p w14:paraId="48F4347A" w14:textId="77777777" w:rsidR="00912229" w:rsidRPr="00B44F5A" w:rsidRDefault="00912229" w:rsidP="00CD39BA">
            <w:pPr>
              <w:jc w:val="center"/>
              <w:rPr>
                <w:color w:val="404040" w:themeColor="text1" w:themeTint="BF"/>
              </w:rPr>
            </w:pPr>
            <m:oMathPara>
              <m:oMath>
                <m:sSub>
                  <m:sSubPr>
                    <m:ctrlPr>
                      <w:rPr>
                        <w:rFonts w:ascii="Cambria Math" w:hAnsi="Cambria Math"/>
                        <w:i/>
                        <w:color w:val="404040" w:themeColor="text1" w:themeTint="BF"/>
                      </w:rPr>
                    </m:ctrlPr>
                  </m:sSubPr>
                  <m:e>
                    <m:r>
                      <w:rPr>
                        <w:rFonts w:ascii="Cambria Math" w:hAnsi="Cambria Math"/>
                        <w:color w:val="404040" w:themeColor="text1" w:themeTint="BF"/>
                      </w:rPr>
                      <m:t>T</m:t>
                    </m:r>
                  </m:e>
                  <m:sub>
                    <m:r>
                      <w:rPr>
                        <w:rFonts w:ascii="Cambria Math" w:hAnsi="Cambria Math"/>
                        <w:color w:val="404040" w:themeColor="text1" w:themeTint="BF"/>
                      </w:rPr>
                      <m:t>1</m:t>
                    </m:r>
                  </m:sub>
                </m:sSub>
                <m:r>
                  <w:rPr>
                    <w:rFonts w:ascii="Cambria Math" w:hAnsi="Cambria Math"/>
                    <w:color w:val="404040" w:themeColor="text1" w:themeTint="BF"/>
                  </w:rPr>
                  <m:t>,</m:t>
                </m:r>
                <m:sSub>
                  <m:sSubPr>
                    <m:ctrlPr>
                      <w:rPr>
                        <w:rFonts w:ascii="Cambria Math" w:hAnsi="Cambria Math"/>
                        <w:i/>
                        <w:color w:val="404040" w:themeColor="text1" w:themeTint="BF"/>
                      </w:rPr>
                    </m:ctrlPr>
                  </m:sSubPr>
                  <m:e>
                    <m:r>
                      <w:rPr>
                        <w:rFonts w:ascii="Cambria Math" w:hAnsi="Cambria Math"/>
                        <w:color w:val="404040" w:themeColor="text1" w:themeTint="BF"/>
                      </w:rPr>
                      <m:t>T</m:t>
                    </m:r>
                  </m:e>
                  <m:sub>
                    <m:r>
                      <w:rPr>
                        <w:rFonts w:ascii="Cambria Math" w:hAnsi="Cambria Math"/>
                        <w:color w:val="404040" w:themeColor="text1" w:themeTint="BF"/>
                      </w:rPr>
                      <m:t>2</m:t>
                    </m:r>
                  </m:sub>
                </m:sSub>
                <m:r>
                  <w:rPr>
                    <w:rFonts w:ascii="Cambria Math" w:hAnsi="Cambria Math"/>
                    <w:color w:val="404040" w:themeColor="text1" w:themeTint="BF"/>
                  </w:rPr>
                  <m:t>,</m:t>
                </m:r>
                <m:sSub>
                  <m:sSubPr>
                    <m:ctrlPr>
                      <w:rPr>
                        <w:rFonts w:ascii="Cambria Math" w:hAnsi="Cambria Math"/>
                        <w:i/>
                        <w:color w:val="404040" w:themeColor="text1" w:themeTint="BF"/>
                      </w:rPr>
                    </m:ctrlPr>
                  </m:sSubPr>
                  <m:e>
                    <m:r>
                      <w:rPr>
                        <w:rFonts w:ascii="Cambria Math" w:hAnsi="Cambria Math"/>
                        <w:color w:val="404040" w:themeColor="text1" w:themeTint="BF"/>
                      </w:rPr>
                      <m:t>t</m:t>
                    </m:r>
                  </m:e>
                  <m:sub>
                    <m:r>
                      <w:rPr>
                        <w:rFonts w:ascii="Cambria Math" w:hAnsi="Cambria Math"/>
                        <w:color w:val="404040" w:themeColor="text1" w:themeTint="BF"/>
                      </w:rPr>
                      <m:t>1</m:t>
                    </m:r>
                  </m:sub>
                </m:sSub>
                <m:r>
                  <w:rPr>
                    <w:rFonts w:ascii="Cambria Math" w:hAnsi="Cambria Math"/>
                    <w:color w:val="404040" w:themeColor="text1" w:themeTint="BF"/>
                  </w:rPr>
                  <m:t>,</m:t>
                </m:r>
                <m:sSub>
                  <m:sSubPr>
                    <m:ctrlPr>
                      <w:rPr>
                        <w:rFonts w:ascii="Cambria Math" w:hAnsi="Cambria Math"/>
                        <w:i/>
                        <w:color w:val="404040" w:themeColor="text1" w:themeTint="BF"/>
                      </w:rPr>
                    </m:ctrlPr>
                  </m:sSubPr>
                  <m:e>
                    <m:r>
                      <w:rPr>
                        <w:rFonts w:ascii="Cambria Math" w:hAnsi="Cambria Math"/>
                        <w:color w:val="404040" w:themeColor="text1" w:themeTint="BF"/>
                      </w:rPr>
                      <m:t>t</m:t>
                    </m:r>
                  </m:e>
                  <m:sub>
                    <m:r>
                      <w:rPr>
                        <w:rFonts w:ascii="Cambria Math" w:hAnsi="Cambria Math"/>
                        <w:color w:val="404040" w:themeColor="text1" w:themeTint="BF"/>
                      </w:rPr>
                      <m:t>2</m:t>
                    </m:r>
                  </m:sub>
                </m:sSub>
              </m:oMath>
            </m:oMathPara>
          </w:p>
        </w:tc>
        <w:tc>
          <w:tcPr>
            <w:tcW w:w="1052" w:type="dxa"/>
          </w:tcPr>
          <w:p w14:paraId="5B8DFA05" w14:textId="77777777" w:rsidR="00912229" w:rsidRPr="00B44F5A" w:rsidRDefault="00912229" w:rsidP="00CD39BA">
            <w:pPr>
              <w:jc w:val="center"/>
              <w:rPr>
                <w:color w:val="404040" w:themeColor="text1" w:themeTint="BF"/>
              </w:rPr>
            </w:pPr>
            <m:oMathPara>
              <m:oMath>
                <m:sSub>
                  <m:sSubPr>
                    <m:ctrlPr>
                      <w:rPr>
                        <w:rFonts w:ascii="Cambria Math" w:hAnsi="Cambria Math"/>
                        <w:i/>
                        <w:color w:val="404040" w:themeColor="text1" w:themeTint="BF"/>
                      </w:rPr>
                    </m:ctrlPr>
                  </m:sSubPr>
                  <m:e>
                    <m:r>
                      <w:rPr>
                        <w:rFonts w:ascii="Cambria Math" w:hAnsi="Cambria Math"/>
                        <w:color w:val="404040" w:themeColor="text1" w:themeTint="BF"/>
                      </w:rPr>
                      <m:t>∆T</m:t>
                    </m:r>
                  </m:e>
                  <m:sub>
                    <m:r>
                      <w:rPr>
                        <w:rFonts w:ascii="Cambria Math" w:hAnsi="Cambria Math"/>
                        <w:color w:val="404040" w:themeColor="text1" w:themeTint="BF"/>
                      </w:rPr>
                      <m:t>lm</m:t>
                    </m:r>
                  </m:sub>
                </m:sSub>
              </m:oMath>
            </m:oMathPara>
          </w:p>
        </w:tc>
        <w:tc>
          <w:tcPr>
            <w:tcW w:w="3205" w:type="dxa"/>
          </w:tcPr>
          <w:p w14:paraId="70BD7984" w14:textId="77777777" w:rsidR="00912229" w:rsidRPr="00B44F5A" w:rsidRDefault="00912229" w:rsidP="00CD39BA">
            <w:pPr>
              <w:jc w:val="center"/>
              <w:rPr>
                <w:color w:val="404040" w:themeColor="text1" w:themeTint="BF"/>
              </w:rPr>
            </w:pPr>
            <w:proofErr w:type="spellStart"/>
            <w:r w:rsidRPr="00B44F5A">
              <w:rPr>
                <w:color w:val="404040" w:themeColor="text1" w:themeTint="BF"/>
              </w:rPr>
              <w:t>Eqn</w:t>
            </w:r>
            <w:proofErr w:type="spellEnd"/>
            <w:r w:rsidRPr="00B44F5A">
              <w:rPr>
                <w:color w:val="404040" w:themeColor="text1" w:themeTint="BF"/>
              </w:rPr>
              <w:t xml:space="preserve"> 13.4</w:t>
            </w:r>
            <w:r>
              <w:rPr>
                <w:color w:val="404040" w:themeColor="text1" w:themeTint="BF"/>
              </w:rPr>
              <w:t xml:space="preserve">, </w:t>
            </w:r>
            <w:proofErr w:type="spellStart"/>
            <w:r w:rsidRPr="00B44F5A">
              <w:rPr>
                <w:color w:val="000000" w:themeColor="text1"/>
              </w:rPr>
              <w:t>Eqn</w:t>
            </w:r>
            <w:proofErr w:type="spellEnd"/>
            <w:r w:rsidRPr="00B44F5A">
              <w:rPr>
                <w:color w:val="000000" w:themeColor="text1"/>
              </w:rPr>
              <w:t xml:space="preserve"> 13.35</w:t>
            </w:r>
          </w:p>
        </w:tc>
      </w:tr>
      <w:tr w:rsidR="00912229" w14:paraId="393F9361" w14:textId="77777777" w:rsidTr="00CD39BA">
        <w:trPr>
          <w:jc w:val="center"/>
        </w:trPr>
        <w:tc>
          <w:tcPr>
            <w:tcW w:w="1126" w:type="dxa"/>
          </w:tcPr>
          <w:p w14:paraId="7E43A1A0" w14:textId="77777777" w:rsidR="00912229" w:rsidRPr="00B44F5A" w:rsidRDefault="00912229" w:rsidP="00CD39BA">
            <w:pPr>
              <w:jc w:val="center"/>
              <w:rPr>
                <w:color w:val="404040" w:themeColor="text1" w:themeTint="BF"/>
              </w:rPr>
            </w:pPr>
            <w:r w:rsidRPr="00B44F5A">
              <w:rPr>
                <w:color w:val="404040" w:themeColor="text1" w:themeTint="BF"/>
              </w:rPr>
              <w:t>13.4</w:t>
            </w:r>
          </w:p>
        </w:tc>
        <w:tc>
          <w:tcPr>
            <w:tcW w:w="2516" w:type="dxa"/>
          </w:tcPr>
          <w:p w14:paraId="039C6B45" w14:textId="77777777" w:rsidR="00912229" w:rsidRPr="00B44F5A" w:rsidRDefault="00912229" w:rsidP="00CD39BA">
            <w:pPr>
              <w:jc w:val="center"/>
              <w:rPr>
                <w:color w:val="404040" w:themeColor="text1" w:themeTint="BF"/>
              </w:rPr>
            </w:pPr>
            <m:oMathPara>
              <m:oMath>
                <m:sSub>
                  <m:sSubPr>
                    <m:ctrlPr>
                      <w:rPr>
                        <w:rFonts w:ascii="Cambria Math" w:hAnsi="Cambria Math"/>
                        <w:b/>
                        <w:i/>
                        <w:color w:val="404040" w:themeColor="text1" w:themeTint="BF"/>
                      </w:rPr>
                    </m:ctrlPr>
                  </m:sSubPr>
                  <m:e>
                    <m:r>
                      <m:rPr>
                        <m:sty m:val="bi"/>
                      </m:rPr>
                      <w:rPr>
                        <w:rFonts w:ascii="Cambria Math" w:hAnsi="Cambria Math"/>
                        <w:color w:val="404040" w:themeColor="text1" w:themeTint="BF"/>
                      </w:rPr>
                      <m:t>∆T</m:t>
                    </m:r>
                  </m:e>
                  <m:sub>
                    <m:r>
                      <m:rPr>
                        <m:sty m:val="bi"/>
                      </m:rPr>
                      <w:rPr>
                        <w:rFonts w:ascii="Cambria Math" w:hAnsi="Cambria Math"/>
                        <w:color w:val="404040" w:themeColor="text1" w:themeTint="BF"/>
                      </w:rPr>
                      <m:t>lm</m:t>
                    </m:r>
                  </m:sub>
                </m:sSub>
                <m:r>
                  <w:rPr>
                    <w:rFonts w:ascii="Cambria Math" w:hAnsi="Cambria Math"/>
                    <w:color w:val="404040" w:themeColor="text1" w:themeTint="BF"/>
                  </w:rPr>
                  <m:t>,</m:t>
                </m:r>
                <m:sSub>
                  <m:sSubPr>
                    <m:ctrlPr>
                      <w:rPr>
                        <w:rFonts w:ascii="Cambria Math" w:hAnsi="Cambria Math"/>
                        <w:i/>
                        <w:color w:val="404040" w:themeColor="text1" w:themeTint="BF"/>
                      </w:rPr>
                    </m:ctrlPr>
                  </m:sSubPr>
                  <m:e>
                    <m:r>
                      <w:rPr>
                        <w:rFonts w:ascii="Cambria Math" w:hAnsi="Cambria Math"/>
                        <w:color w:val="404040" w:themeColor="text1" w:themeTint="BF"/>
                      </w:rPr>
                      <m:t>F</m:t>
                    </m:r>
                  </m:e>
                  <m:sub>
                    <m:r>
                      <w:rPr>
                        <w:rFonts w:ascii="Cambria Math" w:hAnsi="Cambria Math"/>
                        <w:color w:val="404040" w:themeColor="text1" w:themeTint="BF"/>
                      </w:rPr>
                      <m:t>t</m:t>
                    </m:r>
                  </m:sub>
                </m:sSub>
              </m:oMath>
            </m:oMathPara>
          </w:p>
        </w:tc>
        <w:tc>
          <w:tcPr>
            <w:tcW w:w="1052" w:type="dxa"/>
          </w:tcPr>
          <w:p w14:paraId="22CBD829" w14:textId="77777777" w:rsidR="00912229" w:rsidRPr="00B44F5A" w:rsidRDefault="00912229" w:rsidP="00CD39BA">
            <w:pPr>
              <w:jc w:val="center"/>
              <w:rPr>
                <w:color w:val="404040" w:themeColor="text1" w:themeTint="BF"/>
              </w:rPr>
            </w:pPr>
            <m:oMathPara>
              <m:oMath>
                <m:sSub>
                  <m:sSubPr>
                    <m:ctrlPr>
                      <w:rPr>
                        <w:rFonts w:ascii="Cambria Math" w:hAnsi="Cambria Math"/>
                        <w:i/>
                        <w:color w:val="404040" w:themeColor="text1" w:themeTint="BF"/>
                      </w:rPr>
                    </m:ctrlPr>
                  </m:sSubPr>
                  <m:e>
                    <m:r>
                      <w:rPr>
                        <w:rFonts w:ascii="Cambria Math" w:hAnsi="Cambria Math"/>
                        <w:color w:val="404040" w:themeColor="text1" w:themeTint="BF"/>
                      </w:rPr>
                      <m:t>∆T</m:t>
                    </m:r>
                  </m:e>
                  <m:sub>
                    <m:r>
                      <w:rPr>
                        <w:rFonts w:ascii="Cambria Math" w:hAnsi="Cambria Math"/>
                        <w:color w:val="404040" w:themeColor="text1" w:themeTint="BF"/>
                      </w:rPr>
                      <m:t>m</m:t>
                    </m:r>
                  </m:sub>
                </m:sSub>
              </m:oMath>
            </m:oMathPara>
          </w:p>
        </w:tc>
        <w:tc>
          <w:tcPr>
            <w:tcW w:w="3205" w:type="dxa"/>
          </w:tcPr>
          <w:p w14:paraId="0130692D" w14:textId="77777777" w:rsidR="00912229" w:rsidRPr="00B44F5A" w:rsidRDefault="00912229" w:rsidP="00CD39BA">
            <w:pPr>
              <w:jc w:val="center"/>
              <w:rPr>
                <w:color w:val="404040" w:themeColor="text1" w:themeTint="BF"/>
              </w:rPr>
            </w:pPr>
            <w:proofErr w:type="spellStart"/>
            <w:r w:rsidRPr="00B44F5A">
              <w:rPr>
                <w:color w:val="404040" w:themeColor="text1" w:themeTint="BF"/>
              </w:rPr>
              <w:t>Eqn</w:t>
            </w:r>
            <w:proofErr w:type="spellEnd"/>
            <w:r w:rsidRPr="00B44F5A">
              <w:rPr>
                <w:color w:val="404040" w:themeColor="text1" w:themeTint="BF"/>
              </w:rPr>
              <w:t xml:space="preserve"> 13.5</w:t>
            </w:r>
          </w:p>
        </w:tc>
      </w:tr>
      <w:tr w:rsidR="00912229" w14:paraId="1CA373AD" w14:textId="77777777" w:rsidTr="00CD39BA">
        <w:trPr>
          <w:jc w:val="center"/>
        </w:trPr>
        <w:tc>
          <w:tcPr>
            <w:tcW w:w="1126" w:type="dxa"/>
          </w:tcPr>
          <w:p w14:paraId="5705B446" w14:textId="77777777" w:rsidR="00912229" w:rsidRDefault="00912229" w:rsidP="00CD39BA">
            <w:pPr>
              <w:jc w:val="center"/>
            </w:pPr>
            <w:r>
              <w:t>13.35</w:t>
            </w:r>
          </w:p>
        </w:tc>
        <w:tc>
          <w:tcPr>
            <w:tcW w:w="2516" w:type="dxa"/>
          </w:tcPr>
          <w:p w14:paraId="10E1C40A" w14:textId="77777777" w:rsidR="00912229" w:rsidRDefault="00912229" w:rsidP="00CD39BA">
            <w:pPr>
              <w:jc w:val="center"/>
            </w:pPr>
            <m:oMathPara>
              <m:oMath>
                <m:sSub>
                  <m:sSubPr>
                    <m:ctrlPr>
                      <w:rPr>
                        <w:rFonts w:ascii="Cambria Math" w:hAnsi="Cambria Math"/>
                        <w:b/>
                        <w:i/>
                      </w:rPr>
                    </m:ctrlPr>
                  </m:sSubPr>
                  <m:e>
                    <m:r>
                      <m:rPr>
                        <m:sty m:val="bi"/>
                      </m:rPr>
                      <w:rPr>
                        <w:rFonts w:ascii="Cambria Math" w:hAnsi="Cambria Math"/>
                      </w:rPr>
                      <m:t>∆T</m:t>
                    </m:r>
                  </m:e>
                  <m:sub>
                    <m:r>
                      <m:rPr>
                        <m:sty m:val="bi"/>
                      </m:rPr>
                      <w:rPr>
                        <w:rFonts w:ascii="Cambria Math" w:hAnsi="Cambria Math"/>
                      </w:rPr>
                      <m:t>lm</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2</m:t>
                    </m:r>
                  </m:sub>
                </m:sSub>
              </m:oMath>
            </m:oMathPara>
          </w:p>
        </w:tc>
        <w:tc>
          <w:tcPr>
            <w:tcW w:w="1052" w:type="dxa"/>
          </w:tcPr>
          <w:p w14:paraId="402A689C" w14:textId="77777777" w:rsidR="00912229" w:rsidRDefault="00912229" w:rsidP="00CD39BA">
            <w:pPr>
              <w:jc w:val="center"/>
            </w:pPr>
            <m:oMathPara>
              <m:oMath>
                <m:sSub>
                  <m:sSubPr>
                    <m:ctrlPr>
                      <w:rPr>
                        <w:rFonts w:ascii="Cambria Math" w:hAnsi="Cambria Math"/>
                        <w:i/>
                      </w:rPr>
                    </m:ctrlPr>
                  </m:sSubPr>
                  <m:e>
                    <m:r>
                      <w:rPr>
                        <w:rFonts w:ascii="Cambria Math" w:hAnsi="Cambria Math"/>
                      </w:rPr>
                      <m:t>N</m:t>
                    </m:r>
                  </m:e>
                  <m:sub>
                    <m:r>
                      <w:rPr>
                        <w:rFonts w:ascii="Cambria Math" w:hAnsi="Cambria Math"/>
                      </w:rPr>
                      <m:t>TU</m:t>
                    </m:r>
                  </m:sub>
                </m:sSub>
              </m:oMath>
            </m:oMathPara>
          </w:p>
        </w:tc>
        <w:tc>
          <w:tcPr>
            <w:tcW w:w="3205" w:type="dxa"/>
          </w:tcPr>
          <w:p w14:paraId="35FBEC42" w14:textId="77777777" w:rsidR="00912229" w:rsidRDefault="00912229" w:rsidP="00CD39BA">
            <w:pPr>
              <w:jc w:val="center"/>
            </w:pPr>
          </w:p>
        </w:tc>
      </w:tr>
      <w:tr w:rsidR="00912229" w14:paraId="1A75C92B" w14:textId="77777777" w:rsidTr="00CD39BA">
        <w:trPr>
          <w:jc w:val="center"/>
        </w:trPr>
        <w:tc>
          <w:tcPr>
            <w:tcW w:w="1126" w:type="dxa"/>
          </w:tcPr>
          <w:p w14:paraId="45996334" w14:textId="77777777" w:rsidR="00912229" w:rsidRDefault="00912229" w:rsidP="00CD39BA">
            <w:pPr>
              <w:jc w:val="center"/>
            </w:pPr>
            <w:r w:rsidRPr="003A69B5">
              <w:rPr>
                <w:color w:val="404040" w:themeColor="text1" w:themeTint="BF"/>
              </w:rPr>
              <w:t>13.5</w:t>
            </w:r>
          </w:p>
        </w:tc>
        <w:tc>
          <w:tcPr>
            <w:tcW w:w="2516" w:type="dxa"/>
          </w:tcPr>
          <w:p w14:paraId="287F93F0" w14:textId="77777777" w:rsidR="00912229" w:rsidRPr="00D44E9A" w:rsidRDefault="00912229" w:rsidP="00CD39BA">
            <w:pPr>
              <w:jc w:val="center"/>
              <w:rPr>
                <w:rFonts w:ascii="Calibri" w:eastAsia="Calibri" w:hAnsi="Calibri" w:cs="Times New Roman"/>
              </w:rPr>
            </w:pPr>
            <m:oMathPara>
              <m:oMath>
                <m:sSub>
                  <m:sSubPr>
                    <m:ctrlPr>
                      <w:rPr>
                        <w:rFonts w:ascii="Cambria Math" w:hAnsi="Cambria Math"/>
                        <w:b/>
                        <w:i/>
                        <w:color w:val="404040" w:themeColor="text1" w:themeTint="BF"/>
                      </w:rPr>
                    </m:ctrlPr>
                  </m:sSubPr>
                  <m:e>
                    <m:r>
                      <m:rPr>
                        <m:sty m:val="bi"/>
                      </m:rPr>
                      <w:rPr>
                        <w:rFonts w:ascii="Cambria Math" w:hAnsi="Cambria Math"/>
                        <w:color w:val="404040" w:themeColor="text1" w:themeTint="BF"/>
                      </w:rPr>
                      <m:t>U,∆T</m:t>
                    </m:r>
                  </m:e>
                  <m:sub>
                    <m:r>
                      <m:rPr>
                        <m:sty m:val="bi"/>
                      </m:rPr>
                      <w:rPr>
                        <w:rFonts w:ascii="Cambria Math" w:hAnsi="Cambria Math"/>
                        <w:color w:val="404040" w:themeColor="text1" w:themeTint="BF"/>
                      </w:rPr>
                      <m:t>m</m:t>
                    </m:r>
                  </m:sub>
                </m:sSub>
                <m:r>
                  <w:rPr>
                    <w:rFonts w:ascii="Cambria Math" w:hAnsi="Cambria Math"/>
                    <w:color w:val="404040" w:themeColor="text1" w:themeTint="BF"/>
                  </w:rPr>
                  <m:t>,A,</m:t>
                </m:r>
                <m:sSub>
                  <m:sSubPr>
                    <m:ctrlPr>
                      <w:rPr>
                        <w:rFonts w:ascii="Cambria Math" w:hAnsi="Cambria Math"/>
                        <w:i/>
                        <w:color w:val="404040" w:themeColor="text1" w:themeTint="BF"/>
                      </w:rPr>
                    </m:ctrlPr>
                  </m:sSubPr>
                  <m:e>
                    <m:acc>
                      <m:accPr>
                        <m:chr m:val="̇"/>
                        <m:ctrlPr>
                          <w:rPr>
                            <w:rFonts w:ascii="Cambria Math" w:hAnsi="Cambria Math"/>
                            <w:i/>
                            <w:color w:val="404040" w:themeColor="text1" w:themeTint="BF"/>
                          </w:rPr>
                        </m:ctrlPr>
                      </m:accPr>
                      <m:e>
                        <m:r>
                          <w:rPr>
                            <w:rFonts w:ascii="Cambria Math" w:hAnsi="Cambria Math"/>
                            <w:color w:val="404040" w:themeColor="text1" w:themeTint="BF"/>
                          </w:rPr>
                          <m:t>m</m:t>
                        </m:r>
                      </m:e>
                    </m:acc>
                  </m:e>
                  <m:sub>
                    <m:r>
                      <w:rPr>
                        <w:rFonts w:ascii="Cambria Math" w:hAnsi="Cambria Math"/>
                        <w:color w:val="404040" w:themeColor="text1" w:themeTint="BF"/>
                      </w:rPr>
                      <m:t>s</m:t>
                    </m:r>
                  </m:sub>
                </m:sSub>
                <m:r>
                  <w:rPr>
                    <w:rFonts w:ascii="Cambria Math" w:hAnsi="Cambria Math"/>
                    <w:color w:val="404040" w:themeColor="text1" w:themeTint="BF"/>
                  </w:rPr>
                  <m:t>,</m:t>
                </m:r>
                <m:sSub>
                  <m:sSubPr>
                    <m:ctrlPr>
                      <w:rPr>
                        <w:rFonts w:ascii="Cambria Math" w:hAnsi="Cambria Math"/>
                        <w:i/>
                        <w:color w:val="404040" w:themeColor="text1" w:themeTint="BF"/>
                      </w:rPr>
                    </m:ctrlPr>
                  </m:sSubPr>
                  <m:e>
                    <m:r>
                      <w:rPr>
                        <w:rFonts w:ascii="Cambria Math" w:hAnsi="Cambria Math"/>
                        <w:color w:val="404040" w:themeColor="text1" w:themeTint="BF"/>
                      </w:rPr>
                      <m:t>c</m:t>
                    </m:r>
                  </m:e>
                  <m:sub>
                    <m:r>
                      <w:rPr>
                        <w:rFonts w:ascii="Cambria Math" w:hAnsi="Cambria Math"/>
                        <w:color w:val="404040" w:themeColor="text1" w:themeTint="BF"/>
                      </w:rPr>
                      <m:t>p,s</m:t>
                    </m:r>
                  </m:sub>
                </m:sSub>
                <m:r>
                  <w:rPr>
                    <w:rFonts w:ascii="Cambria Math" w:hAnsi="Cambria Math"/>
                    <w:color w:val="404040" w:themeColor="text1" w:themeTint="BF"/>
                  </w:rPr>
                  <m:t>,</m:t>
                </m:r>
                <m:sSub>
                  <m:sSubPr>
                    <m:ctrlPr>
                      <w:rPr>
                        <w:rFonts w:ascii="Cambria Math" w:hAnsi="Cambria Math"/>
                        <w:i/>
                        <w:color w:val="404040" w:themeColor="text1" w:themeTint="BF"/>
                      </w:rPr>
                    </m:ctrlPr>
                  </m:sSubPr>
                  <m:e>
                    <m:r>
                      <w:rPr>
                        <w:rFonts w:ascii="Cambria Math" w:hAnsi="Cambria Math"/>
                        <w:color w:val="404040" w:themeColor="text1" w:themeTint="BF"/>
                      </w:rPr>
                      <m:t>T</m:t>
                    </m:r>
                  </m:e>
                  <m:sub>
                    <m:r>
                      <w:rPr>
                        <w:rFonts w:ascii="Cambria Math" w:hAnsi="Cambria Math"/>
                        <w:color w:val="404040" w:themeColor="text1" w:themeTint="BF"/>
                      </w:rPr>
                      <m:t>1</m:t>
                    </m:r>
                  </m:sub>
                </m:sSub>
                <m:r>
                  <w:rPr>
                    <w:rFonts w:ascii="Cambria Math" w:hAnsi="Cambria Math"/>
                    <w:color w:val="404040" w:themeColor="text1" w:themeTint="BF"/>
                  </w:rPr>
                  <m:t>,</m:t>
                </m:r>
                <m:sSub>
                  <m:sSubPr>
                    <m:ctrlPr>
                      <w:rPr>
                        <w:rFonts w:ascii="Cambria Math" w:hAnsi="Cambria Math"/>
                        <w:i/>
                        <w:color w:val="404040" w:themeColor="text1" w:themeTint="BF"/>
                      </w:rPr>
                    </m:ctrlPr>
                  </m:sSubPr>
                  <m:e>
                    <m:r>
                      <w:rPr>
                        <w:rFonts w:ascii="Cambria Math" w:hAnsi="Cambria Math"/>
                        <w:color w:val="404040" w:themeColor="text1" w:themeTint="BF"/>
                      </w:rPr>
                      <m:t>T</m:t>
                    </m:r>
                  </m:e>
                  <m:sub>
                    <m:r>
                      <w:rPr>
                        <w:rFonts w:ascii="Cambria Math" w:hAnsi="Cambria Math"/>
                        <w:color w:val="404040" w:themeColor="text1" w:themeTint="BF"/>
                      </w:rPr>
                      <m:t>2</m:t>
                    </m:r>
                  </m:sub>
                </m:sSub>
              </m:oMath>
            </m:oMathPara>
          </w:p>
        </w:tc>
        <w:tc>
          <w:tcPr>
            <w:tcW w:w="1052" w:type="dxa"/>
          </w:tcPr>
          <w:p w14:paraId="415B340E" w14:textId="77777777" w:rsidR="00912229" w:rsidRPr="0037213E" w:rsidRDefault="00912229" w:rsidP="00CD39BA">
            <w:pPr>
              <w:jc w:val="center"/>
              <w:rPr>
                <w:rFonts w:ascii="Calibri" w:eastAsia="Calibri" w:hAnsi="Calibri" w:cs="Times New Roman"/>
              </w:rPr>
            </w:pPr>
            <m:oMathPara>
              <m:oMath>
                <m:r>
                  <w:rPr>
                    <w:rFonts w:ascii="Cambria Math" w:hAnsi="Cambria Math"/>
                    <w:color w:val="404040" w:themeColor="text1" w:themeTint="BF"/>
                  </w:rPr>
                  <m:t>P</m:t>
                </m:r>
              </m:oMath>
            </m:oMathPara>
          </w:p>
        </w:tc>
        <w:tc>
          <w:tcPr>
            <w:tcW w:w="3205" w:type="dxa"/>
          </w:tcPr>
          <w:p w14:paraId="62E8DD11" w14:textId="77777777" w:rsidR="00912229" w:rsidRDefault="00912229" w:rsidP="00CD39BA">
            <w:pPr>
              <w:jc w:val="center"/>
            </w:pPr>
          </w:p>
        </w:tc>
      </w:tr>
      <w:tr w:rsidR="00912229" w14:paraId="74FA01EC" w14:textId="77777777" w:rsidTr="00CD39BA">
        <w:trPr>
          <w:jc w:val="center"/>
        </w:trPr>
        <w:tc>
          <w:tcPr>
            <w:tcW w:w="1126" w:type="dxa"/>
          </w:tcPr>
          <w:p w14:paraId="33B330FE" w14:textId="77777777" w:rsidR="00912229" w:rsidRPr="00B44F5A" w:rsidRDefault="00912229" w:rsidP="00CD39BA">
            <w:pPr>
              <w:jc w:val="center"/>
            </w:pPr>
            <w:r w:rsidRPr="00B44F5A">
              <w:t>13.</w:t>
            </w:r>
            <w:r>
              <w:t>3</w:t>
            </w:r>
            <w:r w:rsidRPr="00B44F5A">
              <w:t>6</w:t>
            </w:r>
          </w:p>
        </w:tc>
        <w:tc>
          <w:tcPr>
            <w:tcW w:w="2516" w:type="dxa"/>
          </w:tcPr>
          <w:p w14:paraId="7C6B46DA" w14:textId="77777777" w:rsidR="00912229" w:rsidRPr="00B44F5A" w:rsidRDefault="00912229" w:rsidP="00CD39BA">
            <w:pPr>
              <w:jc w:val="center"/>
              <w:rPr>
                <w:rFonts w:ascii="Calibri" w:eastAsia="Calibri" w:hAnsi="Calibri" w:cs="Times New Roman"/>
              </w:rPr>
            </w:pPr>
            <m:oMathPara>
              <m:oMath>
                <m:r>
                  <w:rPr>
                    <w:rFonts w:ascii="Cambria Math" w:hAnsi="Cambria Math"/>
                  </w:rPr>
                  <m:t>A,</m:t>
                </m:r>
                <m:sSub>
                  <m:sSubPr>
                    <m:ctrlPr>
                      <w:rPr>
                        <w:rFonts w:ascii="Cambria Math" w:hAnsi="Cambria Math"/>
                        <w:i/>
                      </w:rPr>
                    </m:ctrlPr>
                  </m:sSubPr>
                  <m:e>
                    <m:r>
                      <w:rPr>
                        <w:rFonts w:ascii="Cambria Math" w:hAnsi="Cambria Math"/>
                      </w:rPr>
                      <m:t>A</m:t>
                    </m:r>
                  </m:e>
                  <m:sub>
                    <m:r>
                      <w:rPr>
                        <w:rFonts w:ascii="Cambria Math" w:hAnsi="Cambria Math"/>
                      </w:rPr>
                      <m:t>pl</m:t>
                    </m:r>
                  </m:sub>
                </m:sSub>
              </m:oMath>
            </m:oMathPara>
          </w:p>
        </w:tc>
        <w:tc>
          <w:tcPr>
            <w:tcW w:w="1052" w:type="dxa"/>
          </w:tcPr>
          <w:p w14:paraId="3A8A1D72" w14:textId="77777777" w:rsidR="00912229" w:rsidRPr="00B44F5A" w:rsidRDefault="00912229" w:rsidP="00CD39BA">
            <w:pPr>
              <w:jc w:val="center"/>
              <w:rPr>
                <w:rFonts w:ascii="Calibri" w:eastAsia="Calibri" w:hAnsi="Calibri" w:cs="Times New Roman"/>
              </w:rPr>
            </w:pPr>
            <m:oMathPara>
              <m:oMath>
                <m:sSub>
                  <m:sSubPr>
                    <m:ctrlPr>
                      <w:rPr>
                        <w:rFonts w:ascii="Cambria Math" w:hAnsi="Cambria Math"/>
                        <w:i/>
                      </w:rPr>
                    </m:ctrlPr>
                  </m:sSubPr>
                  <m:e>
                    <m:r>
                      <w:rPr>
                        <w:rFonts w:ascii="Cambria Math" w:hAnsi="Cambria Math"/>
                      </w:rPr>
                      <m:t>N</m:t>
                    </m:r>
                  </m:e>
                  <m:sub>
                    <m:r>
                      <w:rPr>
                        <w:rFonts w:ascii="Cambria Math" w:hAnsi="Cambria Math"/>
                      </w:rPr>
                      <m:t>pl</m:t>
                    </m:r>
                  </m:sub>
                </m:sSub>
              </m:oMath>
            </m:oMathPara>
          </w:p>
        </w:tc>
        <w:tc>
          <w:tcPr>
            <w:tcW w:w="3205" w:type="dxa"/>
          </w:tcPr>
          <w:p w14:paraId="5F9868D1" w14:textId="77777777" w:rsidR="00912229" w:rsidRPr="00B44F5A" w:rsidRDefault="00912229" w:rsidP="00CD39BA">
            <w:pPr>
              <w:jc w:val="center"/>
            </w:pPr>
            <w:proofErr w:type="spellStart"/>
            <w:r w:rsidRPr="00B44F5A">
              <w:t>Eqn</w:t>
            </w:r>
            <w:proofErr w:type="spellEnd"/>
            <w:r w:rsidRPr="00B44F5A">
              <w:t xml:space="preserve"> 13.</w:t>
            </w:r>
            <w:r>
              <w:t xml:space="preserve">38, </w:t>
            </w:r>
            <w:proofErr w:type="spellStart"/>
            <w:r>
              <w:t>Eqn</w:t>
            </w:r>
            <w:proofErr w:type="spellEnd"/>
            <w:r>
              <w:t xml:space="preserve"> 13.52, </w:t>
            </w:r>
            <w:proofErr w:type="spellStart"/>
            <w:r>
              <w:t>Eqn</w:t>
            </w:r>
            <w:proofErr w:type="spellEnd"/>
            <w:r>
              <w:t xml:space="preserve"> 13.55, </w:t>
            </w:r>
            <w:proofErr w:type="spellStart"/>
            <w:r>
              <w:t>Eqn</w:t>
            </w:r>
            <w:proofErr w:type="spellEnd"/>
            <w:r>
              <w:t xml:space="preserve"> 13.59</w:t>
            </w:r>
          </w:p>
        </w:tc>
      </w:tr>
      <w:tr w:rsidR="00912229" w14:paraId="21CA470E" w14:textId="77777777" w:rsidTr="00CD39BA">
        <w:trPr>
          <w:jc w:val="center"/>
        </w:trPr>
        <w:tc>
          <w:tcPr>
            <w:tcW w:w="1126" w:type="dxa"/>
          </w:tcPr>
          <w:p w14:paraId="3628BF6F" w14:textId="77777777" w:rsidR="00912229" w:rsidRDefault="00912229" w:rsidP="00CD39BA">
            <w:pPr>
              <w:jc w:val="center"/>
            </w:pPr>
            <w:r>
              <w:t>13.37</w:t>
            </w:r>
          </w:p>
        </w:tc>
        <w:tc>
          <w:tcPr>
            <w:tcW w:w="2516" w:type="dxa"/>
          </w:tcPr>
          <w:p w14:paraId="5444D32C" w14:textId="77777777" w:rsidR="00912229" w:rsidRPr="00D44E9A" w:rsidRDefault="00912229" w:rsidP="00CD39BA">
            <w:pPr>
              <w:jc w:val="center"/>
              <w:rPr>
                <w:rFonts w:ascii="Calibri" w:eastAsia="Calibri" w:hAnsi="Calibri" w:cs="Times New Roman"/>
              </w:rPr>
            </w:pPr>
            <m:oMathPara>
              <m:oMath>
                <m:sSub>
                  <m:sSubPr>
                    <m:ctrlPr>
                      <w:rPr>
                        <w:rFonts w:ascii="Cambria Math" w:hAnsi="Cambria Math"/>
                        <w:i/>
                      </w:rPr>
                    </m:ctrlPr>
                  </m:sSubPr>
                  <m:e>
                    <m:r>
                      <w:rPr>
                        <w:rFonts w:ascii="Cambria Math" w:hAnsi="Cambria Math"/>
                      </w:rPr>
                      <m:t>L</m:t>
                    </m:r>
                  </m:e>
                  <m:sub>
                    <m:r>
                      <w:rPr>
                        <w:rFonts w:ascii="Cambria Math" w:hAnsi="Cambria Math"/>
                      </w:rPr>
                      <m:t>p</m:t>
                    </m:r>
                  </m:sub>
                </m:sSub>
                <m:r>
                  <w:rPr>
                    <w:rFonts w:ascii="Cambria Math" w:hAnsi="Cambria Math"/>
                  </w:rPr>
                  <m:t>,</m:t>
                </m:r>
                <m:sSub>
                  <m:sSubPr>
                    <m:ctrlPr>
                      <w:rPr>
                        <w:rFonts w:ascii="Cambria Math" w:hAnsi="Cambria Math"/>
                        <w:i/>
                      </w:rPr>
                    </m:ctrlPr>
                  </m:sSubPr>
                  <m:e>
                    <m:r>
                      <w:rPr>
                        <w:rFonts w:ascii="Cambria Math" w:hAnsi="Cambria Math"/>
                      </w:rPr>
                      <m:t>L</m:t>
                    </m:r>
                  </m:e>
                  <m:sub>
                    <m:r>
                      <w:rPr>
                        <w:rFonts w:ascii="Cambria Math" w:hAnsi="Cambria Math"/>
                      </w:rPr>
                      <m:t>pl,th</m:t>
                    </m:r>
                  </m:sub>
                </m:sSub>
              </m:oMath>
            </m:oMathPara>
          </w:p>
        </w:tc>
        <w:tc>
          <w:tcPr>
            <w:tcW w:w="1052" w:type="dxa"/>
          </w:tcPr>
          <w:p w14:paraId="6F66349F" w14:textId="77777777" w:rsidR="00912229" w:rsidRPr="0037213E" w:rsidRDefault="00912229" w:rsidP="00CD39BA">
            <w:pPr>
              <w:jc w:val="center"/>
              <w:rPr>
                <w:rFonts w:ascii="Calibri" w:eastAsia="Calibri" w:hAnsi="Calibri" w:cs="Times New Roman"/>
              </w:rPr>
            </w:pPr>
            <m:oMathPara>
              <m:oMath>
                <m:sSub>
                  <m:sSubPr>
                    <m:ctrlPr>
                      <w:rPr>
                        <w:rFonts w:ascii="Cambria Math" w:hAnsi="Cambria Math"/>
                        <w:i/>
                      </w:rPr>
                    </m:ctrlPr>
                  </m:sSubPr>
                  <m:e>
                    <m:r>
                      <w:rPr>
                        <w:rFonts w:ascii="Cambria Math" w:hAnsi="Cambria Math"/>
                      </w:rPr>
                      <m:t>A</m:t>
                    </m:r>
                  </m:e>
                  <m:sub>
                    <m:r>
                      <w:rPr>
                        <w:rFonts w:ascii="Cambria Math" w:hAnsi="Cambria Math"/>
                      </w:rPr>
                      <m:t>cn</m:t>
                    </m:r>
                  </m:sub>
                </m:sSub>
              </m:oMath>
            </m:oMathPara>
          </w:p>
        </w:tc>
        <w:tc>
          <w:tcPr>
            <w:tcW w:w="3205" w:type="dxa"/>
          </w:tcPr>
          <w:p w14:paraId="3EFD9858" w14:textId="77777777" w:rsidR="00912229" w:rsidRDefault="00912229" w:rsidP="00CD39BA">
            <w:pPr>
              <w:jc w:val="center"/>
            </w:pPr>
            <w:proofErr w:type="spellStart"/>
            <w:r>
              <w:t>Eqn</w:t>
            </w:r>
            <w:proofErr w:type="spellEnd"/>
            <w:r>
              <w:t xml:space="preserve"> 13.39, </w:t>
            </w:r>
            <w:proofErr w:type="spellStart"/>
            <w:r>
              <w:t>Eqn</w:t>
            </w:r>
            <w:proofErr w:type="spellEnd"/>
            <w:r>
              <w:t xml:space="preserve"> 13.45</w:t>
            </w:r>
          </w:p>
        </w:tc>
      </w:tr>
      <w:tr w:rsidR="00912229" w14:paraId="439CF0D5" w14:textId="77777777" w:rsidTr="00CD39BA">
        <w:trPr>
          <w:jc w:val="center"/>
        </w:trPr>
        <w:tc>
          <w:tcPr>
            <w:tcW w:w="1126" w:type="dxa"/>
          </w:tcPr>
          <w:p w14:paraId="6814AAD1" w14:textId="77777777" w:rsidR="00912229" w:rsidRDefault="00912229" w:rsidP="00CD39BA">
            <w:pPr>
              <w:jc w:val="center"/>
            </w:pPr>
            <w:r>
              <w:t>13.38</w:t>
            </w:r>
          </w:p>
        </w:tc>
        <w:tc>
          <w:tcPr>
            <w:tcW w:w="2516" w:type="dxa"/>
          </w:tcPr>
          <w:p w14:paraId="7BE9FFBF" w14:textId="77777777" w:rsidR="00912229" w:rsidRPr="00931D9B" w:rsidRDefault="00912229" w:rsidP="00CD39BA">
            <w:pPr>
              <w:jc w:val="center"/>
              <w:rPr>
                <w:rFonts w:ascii="Calibri" w:eastAsia="Calibri" w:hAnsi="Calibri" w:cs="Times New Roman"/>
                <w:b/>
              </w:rPr>
            </w:pPr>
            <m:oMathPara>
              <m:oMath>
                <m:sSub>
                  <m:sSubPr>
                    <m:ctrlPr>
                      <w:rPr>
                        <w:rFonts w:ascii="Cambria Math" w:hAnsi="Cambria Math"/>
                        <w:b/>
                        <w:i/>
                      </w:rPr>
                    </m:ctrlPr>
                  </m:sSubPr>
                  <m:e>
                    <m:r>
                      <m:rPr>
                        <m:sty m:val="bi"/>
                      </m:rPr>
                      <w:rPr>
                        <w:rFonts w:ascii="Cambria Math" w:hAnsi="Cambria Math"/>
                      </w:rPr>
                      <m:t>N</m:t>
                    </m:r>
                  </m:e>
                  <m:sub>
                    <m:r>
                      <m:rPr>
                        <m:sty m:val="bi"/>
                      </m:rPr>
                      <w:rPr>
                        <w:rFonts w:ascii="Cambria Math" w:hAnsi="Cambria Math"/>
                      </w:rPr>
                      <m:t>pl</m:t>
                    </m:r>
                  </m:sub>
                </m:sSub>
              </m:oMath>
            </m:oMathPara>
          </w:p>
        </w:tc>
        <w:tc>
          <w:tcPr>
            <w:tcW w:w="1052" w:type="dxa"/>
          </w:tcPr>
          <w:p w14:paraId="5B052AD6" w14:textId="77777777" w:rsidR="00912229" w:rsidRPr="0037213E" w:rsidRDefault="00912229" w:rsidP="00CD39BA">
            <w:pPr>
              <w:jc w:val="center"/>
              <w:rPr>
                <w:rFonts w:ascii="Calibri" w:eastAsia="Calibri" w:hAnsi="Calibri" w:cs="Times New Roman"/>
              </w:rPr>
            </w:pPr>
            <m:oMathPara>
              <m:oMath>
                <m:sSub>
                  <m:sSubPr>
                    <m:ctrlPr>
                      <w:rPr>
                        <w:rFonts w:ascii="Cambria Math" w:hAnsi="Cambria Math"/>
                        <w:i/>
                      </w:rPr>
                    </m:ctrlPr>
                  </m:sSubPr>
                  <m:e>
                    <m:r>
                      <w:rPr>
                        <w:rFonts w:ascii="Cambria Math" w:hAnsi="Cambria Math"/>
                      </w:rPr>
                      <m:t>N</m:t>
                    </m:r>
                  </m:e>
                  <m:sub>
                    <m:r>
                      <w:rPr>
                        <w:rFonts w:ascii="Cambria Math" w:hAnsi="Cambria Math"/>
                      </w:rPr>
                      <m:t>cn</m:t>
                    </m:r>
                  </m:sub>
                </m:sSub>
              </m:oMath>
            </m:oMathPara>
          </w:p>
        </w:tc>
        <w:tc>
          <w:tcPr>
            <w:tcW w:w="3205" w:type="dxa"/>
          </w:tcPr>
          <w:p w14:paraId="704935AC" w14:textId="77777777" w:rsidR="00912229" w:rsidRDefault="00912229" w:rsidP="00CD39BA">
            <w:pPr>
              <w:jc w:val="center"/>
            </w:pPr>
            <w:proofErr w:type="spellStart"/>
            <w:r>
              <w:t>Eqn</w:t>
            </w:r>
            <w:proofErr w:type="spellEnd"/>
            <w:r>
              <w:t xml:space="preserve"> 13.39, </w:t>
            </w:r>
            <w:proofErr w:type="spellStart"/>
            <w:r>
              <w:t>Eqn</w:t>
            </w:r>
            <w:proofErr w:type="spellEnd"/>
            <w:r>
              <w:t xml:space="preserve"> 13.45</w:t>
            </w:r>
          </w:p>
        </w:tc>
      </w:tr>
      <w:tr w:rsidR="00912229" w14:paraId="58FA1EFF" w14:textId="77777777" w:rsidTr="00CD39BA">
        <w:trPr>
          <w:jc w:val="center"/>
        </w:trPr>
        <w:tc>
          <w:tcPr>
            <w:tcW w:w="1126" w:type="dxa"/>
          </w:tcPr>
          <w:p w14:paraId="76D00433" w14:textId="77777777" w:rsidR="00912229" w:rsidRDefault="00912229" w:rsidP="00CD39BA">
            <w:pPr>
              <w:jc w:val="center"/>
            </w:pPr>
            <w:r>
              <w:t>13.39</w:t>
            </w:r>
          </w:p>
        </w:tc>
        <w:tc>
          <w:tcPr>
            <w:tcW w:w="2516" w:type="dxa"/>
          </w:tcPr>
          <w:p w14:paraId="253E1D27" w14:textId="77777777" w:rsidR="00912229" w:rsidRPr="00D44E9A" w:rsidRDefault="00912229" w:rsidP="00CD39BA">
            <w:pPr>
              <w:jc w:val="center"/>
              <w:rPr>
                <w:rFonts w:ascii="Calibri" w:eastAsia="Calibri" w:hAnsi="Calibri" w:cs="Times New Roman"/>
              </w:rPr>
            </w:pPr>
            <m:oMathPara>
              <m:oMath>
                <m:sSub>
                  <m:sSubPr>
                    <m:ctrlPr>
                      <w:rPr>
                        <w:rFonts w:ascii="Cambria Math" w:hAnsi="Cambria Math"/>
                        <w:b/>
                        <w:i/>
                      </w:rPr>
                    </m:ctrlPr>
                  </m:sSubPr>
                  <m:e>
                    <m:r>
                      <m:rPr>
                        <m:sty m:val="bi"/>
                      </m:rPr>
                      <w:rPr>
                        <w:rFonts w:ascii="Cambria Math" w:hAnsi="Cambria Math"/>
                      </w:rPr>
                      <m:t>A</m:t>
                    </m:r>
                  </m:e>
                  <m:sub>
                    <m:r>
                      <m:rPr>
                        <m:sty m:val="bi"/>
                      </m:rPr>
                      <w:rPr>
                        <w:rFonts w:ascii="Cambria Math" w:hAnsi="Cambria Math"/>
                      </w:rPr>
                      <m:t>cn</m:t>
                    </m:r>
                  </m:sub>
                </m:sSub>
                <m:r>
                  <w:rPr>
                    <w:rFonts w:ascii="Cambria Math" w:eastAsia="Calibri" w:hAnsi="Cambria Math" w:cs="Times New Roman"/>
                  </w:rPr>
                  <m:t>,</m:t>
                </m:r>
                <m:sSub>
                  <m:sSubPr>
                    <m:ctrlPr>
                      <w:rPr>
                        <w:rFonts w:ascii="Cambria Math" w:hAnsi="Cambria Math"/>
                        <w:b/>
                        <w:i/>
                      </w:rPr>
                    </m:ctrlPr>
                  </m:sSubPr>
                  <m:e>
                    <m:r>
                      <m:rPr>
                        <m:sty m:val="bi"/>
                      </m:rPr>
                      <w:rPr>
                        <w:rFonts w:ascii="Cambria Math" w:hAnsi="Cambria Math"/>
                      </w:rPr>
                      <m:t>N</m:t>
                    </m:r>
                  </m:e>
                  <m:sub>
                    <m:r>
                      <m:rPr>
                        <m:sty m:val="bi"/>
                      </m:rPr>
                      <w:rPr>
                        <w:rFonts w:ascii="Cambria Math" w:hAnsi="Cambria Math"/>
                      </w:rPr>
                      <m:t>cn</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m</m:t>
                        </m:r>
                      </m:e>
                    </m:acc>
                  </m:e>
                  <m:sub>
                    <m:r>
                      <w:rPr>
                        <w:rFonts w:ascii="Cambria Math" w:hAnsi="Cambria Math"/>
                      </w:rPr>
                      <m:t>h</m:t>
                    </m:r>
                  </m:sub>
                </m:sSub>
                <m:r>
                  <w:rPr>
                    <w:rFonts w:ascii="Cambria Math" w:hAnsi="Cambria Math"/>
                  </w:rPr>
                  <m:t>,</m:t>
                </m:r>
                <m:sSub>
                  <m:sSubPr>
                    <m:ctrlPr>
                      <w:rPr>
                        <w:rFonts w:ascii="Cambria Math" w:hAnsi="Cambria Math"/>
                        <w:i/>
                      </w:rPr>
                    </m:ctrlPr>
                  </m:sSubPr>
                  <m:e>
                    <m:r>
                      <w:rPr>
                        <w:rFonts w:ascii="Cambria Math" w:hAnsi="Cambria Math"/>
                      </w:rPr>
                      <m:t>ρ</m:t>
                    </m:r>
                  </m:e>
                  <m:sub>
                    <m:r>
                      <w:rPr>
                        <w:rFonts w:ascii="Cambria Math" w:hAnsi="Cambria Math"/>
                      </w:rPr>
                      <m:t>h</m:t>
                    </m:r>
                  </m:sub>
                </m:sSub>
              </m:oMath>
            </m:oMathPara>
          </w:p>
        </w:tc>
        <w:tc>
          <w:tcPr>
            <w:tcW w:w="1052" w:type="dxa"/>
          </w:tcPr>
          <w:p w14:paraId="5AF12820" w14:textId="77777777" w:rsidR="00912229" w:rsidRPr="0037213E" w:rsidRDefault="00912229" w:rsidP="00CD39BA">
            <w:pPr>
              <w:jc w:val="center"/>
              <w:rPr>
                <w:rFonts w:ascii="Calibri" w:eastAsia="Calibri" w:hAnsi="Calibri" w:cs="Times New Roman"/>
              </w:rPr>
            </w:pPr>
            <m:oMathPara>
              <m:oMath>
                <m:sSub>
                  <m:sSubPr>
                    <m:ctrlPr>
                      <w:rPr>
                        <w:rFonts w:ascii="Cambria Math" w:eastAsia="Calibri" w:hAnsi="Cambria Math" w:cs="Times New Roman"/>
                        <w:i/>
                      </w:rPr>
                    </m:ctrlPr>
                  </m:sSubPr>
                  <m:e>
                    <m:r>
                      <w:rPr>
                        <w:rFonts w:ascii="Cambria Math" w:eastAsia="Calibri" w:hAnsi="Cambria Math" w:cs="Times New Roman"/>
                      </w:rPr>
                      <m:t>v</m:t>
                    </m:r>
                  </m:e>
                  <m:sub>
                    <m:r>
                      <w:rPr>
                        <w:rFonts w:ascii="Cambria Math" w:eastAsia="Calibri" w:hAnsi="Cambria Math" w:cs="Times New Roman"/>
                      </w:rPr>
                      <m:t>h</m:t>
                    </m:r>
                  </m:sub>
                </m:sSub>
              </m:oMath>
            </m:oMathPara>
          </w:p>
        </w:tc>
        <w:tc>
          <w:tcPr>
            <w:tcW w:w="3205" w:type="dxa"/>
          </w:tcPr>
          <w:p w14:paraId="709D2DFC" w14:textId="77777777" w:rsidR="00912229" w:rsidRDefault="00912229" w:rsidP="00CD39BA">
            <w:pPr>
              <w:jc w:val="center"/>
            </w:pPr>
            <w:proofErr w:type="spellStart"/>
            <w:r>
              <w:t>Eqn</w:t>
            </w:r>
            <w:proofErr w:type="spellEnd"/>
            <w:r>
              <w:t xml:space="preserve"> 13.41, </w:t>
            </w:r>
            <w:proofErr w:type="spellStart"/>
            <w:r>
              <w:t>Eqn</w:t>
            </w:r>
            <w:proofErr w:type="spellEnd"/>
            <w:r>
              <w:t xml:space="preserve"> 13.53</w:t>
            </w:r>
          </w:p>
        </w:tc>
      </w:tr>
      <w:tr w:rsidR="00912229" w14:paraId="37252143" w14:textId="77777777" w:rsidTr="00CD39BA">
        <w:trPr>
          <w:jc w:val="center"/>
        </w:trPr>
        <w:tc>
          <w:tcPr>
            <w:tcW w:w="1126" w:type="dxa"/>
          </w:tcPr>
          <w:p w14:paraId="0E83FF9F" w14:textId="77777777" w:rsidR="00912229" w:rsidRDefault="00912229" w:rsidP="00CD39BA">
            <w:pPr>
              <w:jc w:val="center"/>
            </w:pPr>
            <w:r>
              <w:t>13.40</w:t>
            </w:r>
          </w:p>
        </w:tc>
        <w:tc>
          <w:tcPr>
            <w:tcW w:w="2516" w:type="dxa"/>
          </w:tcPr>
          <w:p w14:paraId="78F22836" w14:textId="77777777" w:rsidR="00912229" w:rsidRPr="00D44E9A" w:rsidRDefault="00912229" w:rsidP="00CD39BA">
            <w:pPr>
              <w:jc w:val="center"/>
              <w:rPr>
                <w:rFonts w:ascii="Calibri" w:eastAsia="Calibri" w:hAnsi="Calibri" w:cs="Times New Roman"/>
              </w:rPr>
            </w:pPr>
            <m:oMathPara>
              <m:oMath>
                <m:sSub>
                  <m:sSubPr>
                    <m:ctrlPr>
                      <w:rPr>
                        <w:rFonts w:ascii="Cambria Math" w:hAnsi="Cambria Math"/>
                        <w:i/>
                      </w:rPr>
                    </m:ctrlPr>
                  </m:sSubPr>
                  <m:e>
                    <m:r>
                      <w:rPr>
                        <w:rFonts w:ascii="Cambria Math" w:hAnsi="Cambria Math"/>
                      </w:rPr>
                      <m:t>L</m:t>
                    </m:r>
                  </m:e>
                  <m:sub>
                    <m:r>
                      <w:rPr>
                        <w:rFonts w:ascii="Cambria Math" w:hAnsi="Cambria Math"/>
                      </w:rPr>
                      <m:t>pl,th</m:t>
                    </m:r>
                  </m:sub>
                </m:sSub>
              </m:oMath>
            </m:oMathPara>
          </w:p>
        </w:tc>
        <w:tc>
          <w:tcPr>
            <w:tcW w:w="1052" w:type="dxa"/>
          </w:tcPr>
          <w:p w14:paraId="7CFD9B52" w14:textId="77777777" w:rsidR="00912229" w:rsidRPr="0037213E" w:rsidRDefault="00912229" w:rsidP="00CD39BA">
            <w:pPr>
              <w:jc w:val="center"/>
              <w:rPr>
                <w:rFonts w:ascii="Calibri" w:eastAsia="Calibri" w:hAnsi="Calibri" w:cs="Times New Roman"/>
              </w:rPr>
            </w:pPr>
            <m:oMathPara>
              <m:oMath>
                <m:sSub>
                  <m:sSubPr>
                    <m:ctrlPr>
                      <w:rPr>
                        <w:rFonts w:ascii="Cambria Math" w:eastAsia="Calibri" w:hAnsi="Cambria Math" w:cs="Times New Roman"/>
                        <w:i/>
                      </w:rPr>
                    </m:ctrlPr>
                  </m:sSubPr>
                  <m:e>
                    <m:r>
                      <w:rPr>
                        <w:rFonts w:ascii="Cambria Math" w:eastAsia="Calibri" w:hAnsi="Cambria Math" w:cs="Times New Roman"/>
                      </w:rPr>
                      <m:t>D</m:t>
                    </m:r>
                  </m:e>
                  <m:sub>
                    <m:r>
                      <w:rPr>
                        <w:rFonts w:ascii="Cambria Math" w:eastAsia="Calibri" w:hAnsi="Cambria Math" w:cs="Times New Roman"/>
                      </w:rPr>
                      <m:t>h</m:t>
                    </m:r>
                  </m:sub>
                </m:sSub>
              </m:oMath>
            </m:oMathPara>
          </w:p>
        </w:tc>
        <w:tc>
          <w:tcPr>
            <w:tcW w:w="3205" w:type="dxa"/>
          </w:tcPr>
          <w:p w14:paraId="283C94CC" w14:textId="77777777" w:rsidR="00912229" w:rsidRDefault="00912229" w:rsidP="00CD39BA">
            <w:pPr>
              <w:jc w:val="center"/>
            </w:pPr>
            <w:proofErr w:type="spellStart"/>
            <w:r>
              <w:t>Eqn</w:t>
            </w:r>
            <w:proofErr w:type="spellEnd"/>
            <w:r>
              <w:t xml:space="preserve"> 13.41, </w:t>
            </w:r>
            <w:proofErr w:type="spellStart"/>
            <w:r>
              <w:t>Eqn</w:t>
            </w:r>
            <w:proofErr w:type="spellEnd"/>
            <w:r>
              <w:t xml:space="preserve"> 13.44, </w:t>
            </w:r>
            <w:proofErr w:type="spellStart"/>
            <w:r>
              <w:t>Eqn</w:t>
            </w:r>
            <w:proofErr w:type="spellEnd"/>
            <w:r>
              <w:t xml:space="preserve"> 13.46, </w:t>
            </w:r>
            <w:proofErr w:type="spellStart"/>
            <w:r>
              <w:t>Eqn</w:t>
            </w:r>
            <w:proofErr w:type="spellEnd"/>
            <w:r>
              <w:t xml:space="preserve"> 13.49, </w:t>
            </w:r>
            <w:proofErr w:type="spellStart"/>
            <w:r>
              <w:t>Eqn</w:t>
            </w:r>
            <w:proofErr w:type="spellEnd"/>
            <w:r>
              <w:t xml:space="preserve"> 13.53, </w:t>
            </w:r>
            <w:proofErr w:type="spellStart"/>
            <w:r>
              <w:t>Eqn</w:t>
            </w:r>
            <w:proofErr w:type="spellEnd"/>
            <w:r>
              <w:t xml:space="preserve"> 13.57</w:t>
            </w:r>
          </w:p>
        </w:tc>
      </w:tr>
      <w:tr w:rsidR="00912229" w14:paraId="15DE934F" w14:textId="77777777" w:rsidTr="00CD39BA">
        <w:trPr>
          <w:jc w:val="center"/>
        </w:trPr>
        <w:tc>
          <w:tcPr>
            <w:tcW w:w="1126" w:type="dxa"/>
          </w:tcPr>
          <w:p w14:paraId="2679E84D" w14:textId="77777777" w:rsidR="00912229" w:rsidRDefault="00912229" w:rsidP="00CD39BA">
            <w:pPr>
              <w:jc w:val="center"/>
            </w:pPr>
            <w:r>
              <w:t>13.41</w:t>
            </w:r>
          </w:p>
        </w:tc>
        <w:tc>
          <w:tcPr>
            <w:tcW w:w="2516" w:type="dxa"/>
          </w:tcPr>
          <w:p w14:paraId="2DD18719" w14:textId="77777777" w:rsidR="00912229" w:rsidRPr="00D44E9A" w:rsidRDefault="00912229" w:rsidP="00CD39BA">
            <w:pPr>
              <w:jc w:val="center"/>
              <w:rPr>
                <w:rFonts w:ascii="Calibri" w:eastAsia="Calibri" w:hAnsi="Calibri" w:cs="Times New Roman"/>
              </w:rPr>
            </w:pPr>
            <m:oMathPara>
              <m:oMath>
                <m:sSub>
                  <m:sSubPr>
                    <m:ctrlPr>
                      <w:rPr>
                        <w:rFonts w:ascii="Cambria Math" w:eastAsia="Calibri" w:hAnsi="Cambria Math" w:cs="Times New Roman"/>
                        <w:b/>
                        <w:i/>
                      </w:rPr>
                    </m:ctrlPr>
                  </m:sSubPr>
                  <m:e>
                    <m:r>
                      <m:rPr>
                        <m:sty m:val="bi"/>
                      </m:rPr>
                      <w:rPr>
                        <w:rFonts w:ascii="Cambria Math" w:eastAsia="Calibri" w:hAnsi="Cambria Math" w:cs="Times New Roman"/>
                      </w:rPr>
                      <m:t>v</m:t>
                    </m:r>
                  </m:e>
                  <m:sub>
                    <m:r>
                      <m:rPr>
                        <m:sty m:val="bi"/>
                      </m:rPr>
                      <w:rPr>
                        <w:rFonts w:ascii="Cambria Math" w:eastAsia="Calibri" w:hAnsi="Cambria Math" w:cs="Times New Roman"/>
                      </w:rPr>
                      <m:t>h</m:t>
                    </m:r>
                  </m:sub>
                </m:sSub>
                <m:r>
                  <w:rPr>
                    <w:rFonts w:ascii="Cambria Math" w:eastAsia="Calibri" w:hAnsi="Cambria Math" w:cs="Times New Roman"/>
                  </w:rPr>
                  <m:t>,</m:t>
                </m:r>
                <m:sSub>
                  <m:sSubPr>
                    <m:ctrlPr>
                      <w:rPr>
                        <w:rFonts w:ascii="Cambria Math" w:eastAsia="Calibri" w:hAnsi="Cambria Math" w:cs="Times New Roman"/>
                        <w:b/>
                        <w:i/>
                      </w:rPr>
                    </m:ctrlPr>
                  </m:sSubPr>
                  <m:e>
                    <m:r>
                      <m:rPr>
                        <m:sty m:val="bi"/>
                      </m:rPr>
                      <w:rPr>
                        <w:rFonts w:ascii="Cambria Math" w:eastAsia="Calibri" w:hAnsi="Cambria Math" w:cs="Times New Roman"/>
                      </w:rPr>
                      <m:t>D</m:t>
                    </m:r>
                  </m:e>
                  <m:sub>
                    <m:r>
                      <m:rPr>
                        <m:sty m:val="bi"/>
                      </m:rPr>
                      <w:rPr>
                        <w:rFonts w:ascii="Cambria Math" w:eastAsia="Calibri" w:hAnsi="Cambria Math" w:cs="Times New Roman"/>
                      </w:rPr>
                      <m:t>h</m:t>
                    </m:r>
                  </m:sub>
                </m:sSub>
                <m:r>
                  <w:rPr>
                    <w:rFonts w:ascii="Cambria Math" w:eastAsia="Calibri" w:hAnsi="Cambria Math" w:cs="Times New Roman"/>
                  </w:rPr>
                  <m:t>,</m:t>
                </m:r>
                <m:sSub>
                  <m:sSubPr>
                    <m:ctrlPr>
                      <w:rPr>
                        <w:rFonts w:ascii="Cambria Math" w:eastAsia="Calibri" w:hAnsi="Cambria Math" w:cs="Times New Roman"/>
                        <w:i/>
                      </w:rPr>
                    </m:ctrlPr>
                  </m:sSubPr>
                  <m:e>
                    <m:r>
                      <w:rPr>
                        <w:rFonts w:ascii="Cambria Math" w:eastAsia="Calibri" w:hAnsi="Cambria Math" w:cs="Times New Roman"/>
                      </w:rPr>
                      <m:t>ρ</m:t>
                    </m:r>
                  </m:e>
                  <m:sub>
                    <m:r>
                      <w:rPr>
                        <w:rFonts w:ascii="Cambria Math" w:eastAsia="Calibri" w:hAnsi="Cambria Math" w:cs="Times New Roman"/>
                      </w:rPr>
                      <m:t>h</m:t>
                    </m:r>
                  </m:sub>
                </m:sSub>
                <m:r>
                  <w:rPr>
                    <w:rFonts w:ascii="Cambria Math" w:eastAsia="Calibri" w:hAnsi="Cambria Math" w:cs="Times New Roman"/>
                  </w:rPr>
                  <m:t>,</m:t>
                </m:r>
                <m:sSub>
                  <m:sSubPr>
                    <m:ctrlPr>
                      <w:rPr>
                        <w:rFonts w:ascii="Cambria Math" w:eastAsia="Calibri" w:hAnsi="Cambria Math" w:cs="Times New Roman"/>
                        <w:i/>
                      </w:rPr>
                    </m:ctrlPr>
                  </m:sSubPr>
                  <m:e>
                    <m:r>
                      <w:rPr>
                        <w:rFonts w:ascii="Cambria Math" w:eastAsia="Calibri" w:hAnsi="Cambria Math" w:cs="Times New Roman"/>
                      </w:rPr>
                      <m:t>μ</m:t>
                    </m:r>
                  </m:e>
                  <m:sub>
                    <m:r>
                      <w:rPr>
                        <w:rFonts w:ascii="Cambria Math" w:eastAsia="Calibri" w:hAnsi="Cambria Math" w:cs="Times New Roman"/>
                      </w:rPr>
                      <m:t>h</m:t>
                    </m:r>
                  </m:sub>
                </m:sSub>
              </m:oMath>
            </m:oMathPara>
          </w:p>
        </w:tc>
        <w:tc>
          <w:tcPr>
            <w:tcW w:w="1052" w:type="dxa"/>
          </w:tcPr>
          <w:p w14:paraId="5A389B9A" w14:textId="77777777" w:rsidR="00912229" w:rsidRPr="0037213E" w:rsidRDefault="00912229" w:rsidP="00CD39BA">
            <w:pPr>
              <w:jc w:val="center"/>
              <w:rPr>
                <w:rFonts w:ascii="Calibri" w:eastAsia="Calibri" w:hAnsi="Calibri" w:cs="Times New Roman"/>
              </w:rPr>
            </w:pPr>
            <m:oMathPara>
              <m:oMath>
                <m:sSub>
                  <m:sSubPr>
                    <m:ctrlPr>
                      <w:rPr>
                        <w:rFonts w:ascii="Cambria Math" w:eastAsia="Calibri" w:hAnsi="Cambria Math" w:cs="Times New Roman"/>
                        <w:i/>
                      </w:rPr>
                    </m:ctrlPr>
                  </m:sSubPr>
                  <m:e>
                    <m:r>
                      <w:rPr>
                        <w:rFonts w:ascii="Cambria Math" w:eastAsia="Calibri" w:hAnsi="Cambria Math" w:cs="Times New Roman"/>
                      </w:rPr>
                      <m:t>Re</m:t>
                    </m:r>
                  </m:e>
                  <m:sub>
                    <m:r>
                      <w:rPr>
                        <w:rFonts w:ascii="Cambria Math" w:eastAsia="Calibri" w:hAnsi="Cambria Math" w:cs="Times New Roman"/>
                      </w:rPr>
                      <m:t>h</m:t>
                    </m:r>
                  </m:sub>
                </m:sSub>
              </m:oMath>
            </m:oMathPara>
          </w:p>
        </w:tc>
        <w:tc>
          <w:tcPr>
            <w:tcW w:w="3205" w:type="dxa"/>
          </w:tcPr>
          <w:p w14:paraId="48B654C3" w14:textId="77777777" w:rsidR="00912229" w:rsidRDefault="00912229" w:rsidP="00CD39BA">
            <w:pPr>
              <w:jc w:val="center"/>
            </w:pPr>
            <w:proofErr w:type="spellStart"/>
            <w:r>
              <w:t>Eqn</w:t>
            </w:r>
            <w:proofErr w:type="spellEnd"/>
            <w:r>
              <w:t xml:space="preserve"> 13.43, </w:t>
            </w:r>
            <w:proofErr w:type="spellStart"/>
            <w:r>
              <w:t>Eqn</w:t>
            </w:r>
            <w:proofErr w:type="spellEnd"/>
            <w:r>
              <w:t xml:space="preserve"> 13.51</w:t>
            </w:r>
          </w:p>
        </w:tc>
      </w:tr>
      <w:tr w:rsidR="00912229" w14:paraId="715F7973" w14:textId="77777777" w:rsidTr="00CD39BA">
        <w:trPr>
          <w:jc w:val="center"/>
        </w:trPr>
        <w:tc>
          <w:tcPr>
            <w:tcW w:w="1126" w:type="dxa"/>
          </w:tcPr>
          <w:p w14:paraId="16C608B5" w14:textId="77777777" w:rsidR="00912229" w:rsidRDefault="00912229" w:rsidP="00CD39BA">
            <w:pPr>
              <w:jc w:val="center"/>
            </w:pPr>
            <w:r>
              <w:t>13.42</w:t>
            </w:r>
          </w:p>
        </w:tc>
        <w:tc>
          <w:tcPr>
            <w:tcW w:w="2516" w:type="dxa"/>
          </w:tcPr>
          <w:p w14:paraId="4648B469" w14:textId="77777777" w:rsidR="00912229" w:rsidRPr="00D44E9A" w:rsidRDefault="00912229" w:rsidP="00CD39BA">
            <w:pPr>
              <w:jc w:val="center"/>
              <w:rPr>
                <w:rFonts w:ascii="Calibri" w:eastAsia="Calibri" w:hAnsi="Calibri" w:cs="Times New Roman"/>
              </w:rPr>
            </w:pPr>
            <m:oMathPara>
              <m:oMath>
                <m:sSub>
                  <m:sSubPr>
                    <m:ctrlPr>
                      <w:rPr>
                        <w:rFonts w:ascii="Cambria Math" w:eastAsia="Calibri" w:hAnsi="Cambria Math" w:cs="Times New Roman"/>
                        <w:i/>
                      </w:rPr>
                    </m:ctrlPr>
                  </m:sSubPr>
                  <m:e>
                    <m:r>
                      <w:rPr>
                        <w:rFonts w:ascii="Cambria Math" w:eastAsia="Calibri" w:hAnsi="Cambria Math" w:cs="Times New Roman"/>
                      </w:rPr>
                      <m:t>c</m:t>
                    </m:r>
                  </m:e>
                  <m:sub>
                    <m:r>
                      <w:rPr>
                        <w:rFonts w:ascii="Cambria Math" w:eastAsia="Calibri" w:hAnsi="Cambria Math" w:cs="Times New Roman"/>
                      </w:rPr>
                      <m:t>p,h</m:t>
                    </m:r>
                  </m:sub>
                </m:sSub>
                <m:r>
                  <w:rPr>
                    <w:rFonts w:ascii="Cambria Math" w:eastAsia="Calibri" w:hAnsi="Cambria Math" w:cs="Times New Roman"/>
                  </w:rPr>
                  <m:t>,</m:t>
                </m:r>
                <m:sSub>
                  <m:sSubPr>
                    <m:ctrlPr>
                      <w:rPr>
                        <w:rFonts w:ascii="Cambria Math" w:eastAsia="Calibri" w:hAnsi="Cambria Math" w:cs="Times New Roman"/>
                        <w:i/>
                      </w:rPr>
                    </m:ctrlPr>
                  </m:sSubPr>
                  <m:e>
                    <m:r>
                      <w:rPr>
                        <w:rFonts w:ascii="Cambria Math" w:eastAsia="Calibri" w:hAnsi="Cambria Math" w:cs="Times New Roman"/>
                      </w:rPr>
                      <m:t>μ</m:t>
                    </m:r>
                  </m:e>
                  <m:sub>
                    <m:r>
                      <w:rPr>
                        <w:rFonts w:ascii="Cambria Math" w:eastAsia="Calibri" w:hAnsi="Cambria Math" w:cs="Times New Roman"/>
                      </w:rPr>
                      <m:t>h</m:t>
                    </m:r>
                  </m:sub>
                </m:sSub>
                <m:r>
                  <w:rPr>
                    <w:rFonts w:ascii="Cambria Math" w:eastAsia="Calibri" w:hAnsi="Cambria Math" w:cs="Times New Roman"/>
                  </w:rPr>
                  <m:t>,</m:t>
                </m:r>
                <m:sSub>
                  <m:sSubPr>
                    <m:ctrlPr>
                      <w:rPr>
                        <w:rFonts w:ascii="Cambria Math" w:eastAsia="Calibri" w:hAnsi="Cambria Math" w:cs="Times New Roman"/>
                        <w:i/>
                      </w:rPr>
                    </m:ctrlPr>
                  </m:sSubPr>
                  <m:e>
                    <m:r>
                      <w:rPr>
                        <w:rFonts w:ascii="Cambria Math" w:eastAsia="Calibri" w:hAnsi="Cambria Math" w:cs="Times New Roman"/>
                      </w:rPr>
                      <m:t>k</m:t>
                    </m:r>
                  </m:e>
                  <m:sub>
                    <m:r>
                      <w:rPr>
                        <w:rFonts w:ascii="Cambria Math" w:eastAsia="Calibri" w:hAnsi="Cambria Math" w:cs="Times New Roman"/>
                      </w:rPr>
                      <m:t>f,h</m:t>
                    </m:r>
                  </m:sub>
                </m:sSub>
              </m:oMath>
            </m:oMathPara>
          </w:p>
        </w:tc>
        <w:tc>
          <w:tcPr>
            <w:tcW w:w="1052" w:type="dxa"/>
          </w:tcPr>
          <w:p w14:paraId="6E3E03DF" w14:textId="77777777" w:rsidR="00912229" w:rsidRPr="0037213E" w:rsidRDefault="00912229" w:rsidP="00CD39BA">
            <w:pPr>
              <w:jc w:val="center"/>
              <w:rPr>
                <w:rFonts w:ascii="Calibri" w:eastAsia="Calibri" w:hAnsi="Calibri" w:cs="Times New Roman"/>
              </w:rPr>
            </w:pPr>
            <m:oMathPara>
              <m:oMath>
                <m:sSub>
                  <m:sSubPr>
                    <m:ctrlPr>
                      <w:rPr>
                        <w:rFonts w:ascii="Cambria Math" w:eastAsia="Calibri" w:hAnsi="Cambria Math" w:cs="Times New Roman"/>
                        <w:i/>
                      </w:rPr>
                    </m:ctrlPr>
                  </m:sSubPr>
                  <m:e>
                    <m:r>
                      <w:rPr>
                        <w:rFonts w:ascii="Cambria Math" w:eastAsia="Calibri" w:hAnsi="Cambria Math" w:cs="Times New Roman"/>
                      </w:rPr>
                      <m:t>Pr</m:t>
                    </m:r>
                  </m:e>
                  <m:sub>
                    <m:r>
                      <w:rPr>
                        <w:rFonts w:ascii="Cambria Math" w:eastAsia="Calibri" w:hAnsi="Cambria Math" w:cs="Times New Roman"/>
                      </w:rPr>
                      <m:t>h</m:t>
                    </m:r>
                  </m:sub>
                </m:sSub>
              </m:oMath>
            </m:oMathPara>
          </w:p>
        </w:tc>
        <w:tc>
          <w:tcPr>
            <w:tcW w:w="3205" w:type="dxa"/>
          </w:tcPr>
          <w:p w14:paraId="5C277925" w14:textId="77777777" w:rsidR="00912229" w:rsidRDefault="00912229" w:rsidP="00CD39BA">
            <w:pPr>
              <w:jc w:val="center"/>
            </w:pPr>
            <w:proofErr w:type="spellStart"/>
            <w:r>
              <w:t>Eqn</w:t>
            </w:r>
            <w:proofErr w:type="spellEnd"/>
            <w:r>
              <w:t xml:space="preserve"> 13.43</w:t>
            </w:r>
          </w:p>
        </w:tc>
      </w:tr>
      <w:tr w:rsidR="00912229" w14:paraId="18EB2D0A" w14:textId="77777777" w:rsidTr="00CD39BA">
        <w:trPr>
          <w:jc w:val="center"/>
        </w:trPr>
        <w:tc>
          <w:tcPr>
            <w:tcW w:w="1126" w:type="dxa"/>
          </w:tcPr>
          <w:p w14:paraId="76C31807" w14:textId="77777777" w:rsidR="00912229" w:rsidRDefault="00912229" w:rsidP="00CD39BA">
            <w:pPr>
              <w:jc w:val="center"/>
            </w:pPr>
            <w:r>
              <w:t>13.43</w:t>
            </w:r>
          </w:p>
        </w:tc>
        <w:tc>
          <w:tcPr>
            <w:tcW w:w="2516" w:type="dxa"/>
          </w:tcPr>
          <w:p w14:paraId="357DAA12" w14:textId="77777777" w:rsidR="00912229" w:rsidRPr="00D44E9A" w:rsidRDefault="00912229" w:rsidP="00CD39BA">
            <w:pPr>
              <w:jc w:val="center"/>
              <w:rPr>
                <w:rFonts w:ascii="Calibri" w:eastAsia="Calibri" w:hAnsi="Calibri" w:cs="Times New Roman"/>
              </w:rPr>
            </w:pPr>
            <m:oMathPara>
              <m:oMath>
                <m:sSub>
                  <m:sSubPr>
                    <m:ctrlPr>
                      <w:rPr>
                        <w:rFonts w:ascii="Cambria Math" w:eastAsia="Calibri" w:hAnsi="Cambria Math" w:cs="Times New Roman"/>
                        <w:b/>
                        <w:i/>
                      </w:rPr>
                    </m:ctrlPr>
                  </m:sSubPr>
                  <m:e>
                    <m:r>
                      <m:rPr>
                        <m:sty m:val="bi"/>
                      </m:rPr>
                      <w:rPr>
                        <w:rFonts w:ascii="Cambria Math" w:eastAsia="Calibri" w:hAnsi="Cambria Math" w:cs="Times New Roman"/>
                      </w:rPr>
                      <m:t>Re</m:t>
                    </m:r>
                  </m:e>
                  <m:sub>
                    <m:r>
                      <m:rPr>
                        <m:sty m:val="bi"/>
                      </m:rPr>
                      <w:rPr>
                        <w:rFonts w:ascii="Cambria Math" w:eastAsia="Calibri" w:hAnsi="Cambria Math" w:cs="Times New Roman"/>
                      </w:rPr>
                      <m:t>h</m:t>
                    </m:r>
                  </m:sub>
                </m:sSub>
                <m:r>
                  <w:rPr>
                    <w:rFonts w:ascii="Cambria Math" w:eastAsia="Calibri" w:hAnsi="Cambria Math" w:cs="Times New Roman"/>
                  </w:rPr>
                  <m:t xml:space="preserve">, </m:t>
                </m:r>
                <m:sSub>
                  <m:sSubPr>
                    <m:ctrlPr>
                      <w:rPr>
                        <w:rFonts w:ascii="Cambria Math" w:eastAsia="Calibri" w:hAnsi="Cambria Math" w:cs="Times New Roman"/>
                        <w:b/>
                        <w:i/>
                      </w:rPr>
                    </m:ctrlPr>
                  </m:sSubPr>
                  <m:e>
                    <m:r>
                      <m:rPr>
                        <m:sty m:val="bi"/>
                      </m:rPr>
                      <w:rPr>
                        <w:rFonts w:ascii="Cambria Math" w:eastAsia="Calibri" w:hAnsi="Cambria Math" w:cs="Times New Roman"/>
                      </w:rPr>
                      <m:t>Pr</m:t>
                    </m:r>
                  </m:e>
                  <m:sub>
                    <m:r>
                      <m:rPr>
                        <m:sty m:val="bi"/>
                      </m:rPr>
                      <w:rPr>
                        <w:rFonts w:ascii="Cambria Math" w:eastAsia="Calibri" w:hAnsi="Cambria Math" w:cs="Times New Roman"/>
                      </w:rPr>
                      <m:t>h</m:t>
                    </m:r>
                  </m:sub>
                </m:sSub>
              </m:oMath>
            </m:oMathPara>
          </w:p>
        </w:tc>
        <w:tc>
          <w:tcPr>
            <w:tcW w:w="1052" w:type="dxa"/>
          </w:tcPr>
          <w:p w14:paraId="30F2532D" w14:textId="77777777" w:rsidR="00912229" w:rsidRPr="0037213E" w:rsidRDefault="00912229" w:rsidP="00CD39BA">
            <w:pPr>
              <w:jc w:val="center"/>
              <w:rPr>
                <w:rFonts w:ascii="Calibri" w:eastAsia="Calibri" w:hAnsi="Calibri" w:cs="Times New Roman"/>
              </w:rPr>
            </w:pPr>
            <m:oMathPara>
              <m:oMath>
                <m:sSub>
                  <m:sSubPr>
                    <m:ctrlPr>
                      <w:rPr>
                        <w:rFonts w:ascii="Cambria Math" w:eastAsia="Calibri" w:hAnsi="Cambria Math" w:cs="Times New Roman"/>
                        <w:i/>
                      </w:rPr>
                    </m:ctrlPr>
                  </m:sSubPr>
                  <m:e>
                    <m:r>
                      <w:rPr>
                        <w:rFonts w:ascii="Cambria Math" w:eastAsia="Calibri" w:hAnsi="Cambria Math" w:cs="Times New Roman"/>
                      </w:rPr>
                      <m:t>Nu</m:t>
                    </m:r>
                  </m:e>
                  <m:sub>
                    <m:r>
                      <w:rPr>
                        <w:rFonts w:ascii="Cambria Math" w:eastAsia="Calibri" w:hAnsi="Cambria Math" w:cs="Times New Roman"/>
                      </w:rPr>
                      <m:t>h</m:t>
                    </m:r>
                  </m:sub>
                </m:sSub>
              </m:oMath>
            </m:oMathPara>
          </w:p>
        </w:tc>
        <w:tc>
          <w:tcPr>
            <w:tcW w:w="3205" w:type="dxa"/>
          </w:tcPr>
          <w:p w14:paraId="5B6DA8A2" w14:textId="77777777" w:rsidR="00912229" w:rsidRDefault="00912229" w:rsidP="00CD39BA">
            <w:pPr>
              <w:jc w:val="center"/>
            </w:pPr>
            <w:proofErr w:type="spellStart"/>
            <w:r>
              <w:t>Eqn</w:t>
            </w:r>
            <w:proofErr w:type="spellEnd"/>
            <w:r>
              <w:t xml:space="preserve"> 13.44</w:t>
            </w:r>
          </w:p>
        </w:tc>
      </w:tr>
      <w:tr w:rsidR="00912229" w14:paraId="216BC572" w14:textId="77777777" w:rsidTr="00CD39BA">
        <w:trPr>
          <w:jc w:val="center"/>
        </w:trPr>
        <w:tc>
          <w:tcPr>
            <w:tcW w:w="1126" w:type="dxa"/>
          </w:tcPr>
          <w:p w14:paraId="112B987A" w14:textId="77777777" w:rsidR="00912229" w:rsidRDefault="00912229" w:rsidP="00CD39BA">
            <w:pPr>
              <w:jc w:val="center"/>
            </w:pPr>
            <w:r>
              <w:t>13.44</w:t>
            </w:r>
          </w:p>
        </w:tc>
        <w:tc>
          <w:tcPr>
            <w:tcW w:w="2516" w:type="dxa"/>
          </w:tcPr>
          <w:p w14:paraId="50852A81" w14:textId="77777777" w:rsidR="00912229" w:rsidRPr="00D44E9A" w:rsidRDefault="00912229" w:rsidP="00CD39BA">
            <w:pPr>
              <w:jc w:val="center"/>
              <w:rPr>
                <w:rFonts w:ascii="Calibri" w:eastAsia="Calibri" w:hAnsi="Calibri" w:cs="Times New Roman"/>
              </w:rPr>
            </w:pPr>
            <m:oMathPara>
              <m:oMath>
                <m:sSub>
                  <m:sSubPr>
                    <m:ctrlPr>
                      <w:rPr>
                        <w:rFonts w:ascii="Cambria Math" w:eastAsia="Calibri" w:hAnsi="Cambria Math" w:cs="Times New Roman"/>
                        <w:b/>
                        <w:i/>
                      </w:rPr>
                    </m:ctrlPr>
                  </m:sSubPr>
                  <m:e>
                    <m:r>
                      <m:rPr>
                        <m:sty m:val="bi"/>
                      </m:rPr>
                      <w:rPr>
                        <w:rFonts w:ascii="Cambria Math" w:eastAsia="Calibri" w:hAnsi="Cambria Math" w:cs="Times New Roman"/>
                      </w:rPr>
                      <m:t>D</m:t>
                    </m:r>
                  </m:e>
                  <m:sub>
                    <m:r>
                      <m:rPr>
                        <m:sty m:val="bi"/>
                      </m:rPr>
                      <w:rPr>
                        <w:rFonts w:ascii="Cambria Math" w:eastAsia="Calibri" w:hAnsi="Cambria Math" w:cs="Times New Roman"/>
                      </w:rPr>
                      <m:t>h</m:t>
                    </m:r>
                  </m:sub>
                </m:sSub>
                <m:r>
                  <w:rPr>
                    <w:rFonts w:ascii="Cambria Math" w:eastAsia="Calibri" w:hAnsi="Cambria Math" w:cs="Times New Roman"/>
                  </w:rPr>
                  <m:t>,</m:t>
                </m:r>
                <m:sSub>
                  <m:sSubPr>
                    <m:ctrlPr>
                      <w:rPr>
                        <w:rFonts w:ascii="Cambria Math" w:eastAsia="Calibri" w:hAnsi="Cambria Math" w:cs="Times New Roman"/>
                        <w:b/>
                        <w:i/>
                      </w:rPr>
                    </m:ctrlPr>
                  </m:sSubPr>
                  <m:e>
                    <m:r>
                      <m:rPr>
                        <m:sty m:val="bi"/>
                      </m:rPr>
                      <w:rPr>
                        <w:rFonts w:ascii="Cambria Math" w:eastAsia="Calibri" w:hAnsi="Cambria Math" w:cs="Times New Roman"/>
                      </w:rPr>
                      <m:t>Nu</m:t>
                    </m:r>
                  </m:e>
                  <m:sub>
                    <m:r>
                      <m:rPr>
                        <m:sty m:val="bi"/>
                      </m:rPr>
                      <w:rPr>
                        <w:rFonts w:ascii="Cambria Math" w:eastAsia="Calibri" w:hAnsi="Cambria Math" w:cs="Times New Roman"/>
                      </w:rPr>
                      <m:t>h</m:t>
                    </m:r>
                  </m:sub>
                </m:sSub>
                <m:r>
                  <w:rPr>
                    <w:rFonts w:ascii="Cambria Math" w:eastAsia="Calibri" w:hAnsi="Cambria Math" w:cs="Times New Roman"/>
                  </w:rPr>
                  <m:t>,</m:t>
                </m:r>
                <m:sSub>
                  <m:sSubPr>
                    <m:ctrlPr>
                      <w:rPr>
                        <w:rFonts w:ascii="Cambria Math" w:eastAsia="Calibri" w:hAnsi="Cambria Math" w:cs="Times New Roman"/>
                        <w:i/>
                      </w:rPr>
                    </m:ctrlPr>
                  </m:sSubPr>
                  <m:e>
                    <m:r>
                      <w:rPr>
                        <w:rFonts w:ascii="Cambria Math" w:eastAsia="Calibri" w:hAnsi="Cambria Math" w:cs="Times New Roman"/>
                      </w:rPr>
                      <m:t>k</m:t>
                    </m:r>
                  </m:e>
                  <m:sub>
                    <m:r>
                      <w:rPr>
                        <w:rFonts w:ascii="Cambria Math" w:eastAsia="Calibri" w:hAnsi="Cambria Math" w:cs="Times New Roman"/>
                      </w:rPr>
                      <m:t>f,h</m:t>
                    </m:r>
                  </m:sub>
                </m:sSub>
              </m:oMath>
            </m:oMathPara>
          </w:p>
        </w:tc>
        <w:tc>
          <w:tcPr>
            <w:tcW w:w="1052" w:type="dxa"/>
          </w:tcPr>
          <w:p w14:paraId="1FBC7AD2" w14:textId="77777777" w:rsidR="00912229" w:rsidRPr="0037213E" w:rsidRDefault="00912229" w:rsidP="00CD39BA">
            <w:pPr>
              <w:jc w:val="center"/>
              <w:rPr>
                <w:rFonts w:ascii="Calibri" w:eastAsia="Calibri" w:hAnsi="Calibri" w:cs="Times New Roman"/>
              </w:rPr>
            </w:pPr>
            <m:oMathPara>
              <m:oMath>
                <m:sSub>
                  <m:sSubPr>
                    <m:ctrlPr>
                      <w:rPr>
                        <w:rFonts w:ascii="Cambria Math" w:eastAsia="Calibri" w:hAnsi="Cambria Math" w:cs="Times New Roman"/>
                        <w:i/>
                      </w:rPr>
                    </m:ctrlPr>
                  </m:sSubPr>
                  <m:e>
                    <m:r>
                      <w:rPr>
                        <w:rFonts w:ascii="Cambria Math" w:eastAsia="Calibri" w:hAnsi="Cambria Math" w:cs="Times New Roman"/>
                      </w:rPr>
                      <m:t>h</m:t>
                    </m:r>
                  </m:e>
                  <m:sub>
                    <m:r>
                      <w:rPr>
                        <w:rFonts w:ascii="Cambria Math" w:eastAsia="Calibri" w:hAnsi="Cambria Math" w:cs="Times New Roman"/>
                      </w:rPr>
                      <m:t>pl,h</m:t>
                    </m:r>
                  </m:sub>
                </m:sSub>
              </m:oMath>
            </m:oMathPara>
          </w:p>
        </w:tc>
        <w:tc>
          <w:tcPr>
            <w:tcW w:w="3205" w:type="dxa"/>
          </w:tcPr>
          <w:p w14:paraId="1CC0899B" w14:textId="77777777" w:rsidR="00912229" w:rsidRDefault="00912229" w:rsidP="00CD39BA">
            <w:pPr>
              <w:jc w:val="center"/>
            </w:pPr>
            <w:proofErr w:type="spellStart"/>
            <w:r>
              <w:t>Eqn</w:t>
            </w:r>
            <w:proofErr w:type="spellEnd"/>
            <w:r>
              <w:t xml:space="preserve"> 13.50</w:t>
            </w:r>
          </w:p>
        </w:tc>
      </w:tr>
      <w:tr w:rsidR="00912229" w14:paraId="5E7128CA" w14:textId="77777777" w:rsidTr="00CD39BA">
        <w:trPr>
          <w:jc w:val="center"/>
        </w:trPr>
        <w:tc>
          <w:tcPr>
            <w:tcW w:w="1126" w:type="dxa"/>
          </w:tcPr>
          <w:p w14:paraId="3E825A7D" w14:textId="77777777" w:rsidR="00912229" w:rsidRDefault="00912229" w:rsidP="00CD39BA">
            <w:pPr>
              <w:jc w:val="center"/>
            </w:pPr>
            <w:r>
              <w:t>13.45</w:t>
            </w:r>
          </w:p>
        </w:tc>
        <w:tc>
          <w:tcPr>
            <w:tcW w:w="2516" w:type="dxa"/>
          </w:tcPr>
          <w:p w14:paraId="29D65078" w14:textId="77777777" w:rsidR="00912229" w:rsidRPr="00D44E9A" w:rsidRDefault="00912229" w:rsidP="00CD39BA">
            <w:pPr>
              <w:jc w:val="center"/>
              <w:rPr>
                <w:rFonts w:ascii="Calibri" w:eastAsia="Calibri" w:hAnsi="Calibri" w:cs="Times New Roman"/>
              </w:rPr>
            </w:pPr>
            <m:oMathPara>
              <m:oMath>
                <m:sSub>
                  <m:sSubPr>
                    <m:ctrlPr>
                      <w:rPr>
                        <w:rFonts w:ascii="Cambria Math" w:hAnsi="Cambria Math"/>
                        <w:b/>
                        <w:i/>
                      </w:rPr>
                    </m:ctrlPr>
                  </m:sSubPr>
                  <m:e>
                    <m:r>
                      <m:rPr>
                        <m:sty m:val="bi"/>
                      </m:rPr>
                      <w:rPr>
                        <w:rFonts w:ascii="Cambria Math" w:hAnsi="Cambria Math"/>
                      </w:rPr>
                      <m:t>A</m:t>
                    </m:r>
                  </m:e>
                  <m:sub>
                    <m:r>
                      <m:rPr>
                        <m:sty m:val="bi"/>
                      </m:rPr>
                      <w:rPr>
                        <w:rFonts w:ascii="Cambria Math" w:hAnsi="Cambria Math"/>
                      </w:rPr>
                      <m:t>cn</m:t>
                    </m:r>
                  </m:sub>
                </m:sSub>
                <m:r>
                  <w:rPr>
                    <w:rFonts w:ascii="Cambria Math" w:hAnsi="Cambria Math"/>
                  </w:rPr>
                  <m:t xml:space="preserve">, </m:t>
                </m:r>
                <m:sSub>
                  <m:sSubPr>
                    <m:ctrlPr>
                      <w:rPr>
                        <w:rFonts w:ascii="Cambria Math" w:hAnsi="Cambria Math"/>
                        <w:b/>
                        <w:i/>
                      </w:rPr>
                    </m:ctrlPr>
                  </m:sSubPr>
                  <m:e>
                    <m:r>
                      <m:rPr>
                        <m:sty m:val="bi"/>
                      </m:rPr>
                      <w:rPr>
                        <w:rFonts w:ascii="Cambria Math" w:hAnsi="Cambria Math"/>
                      </w:rPr>
                      <m:t>N</m:t>
                    </m:r>
                  </m:e>
                  <m:sub>
                    <m:r>
                      <m:rPr>
                        <m:sty m:val="bi"/>
                      </m:rPr>
                      <w:rPr>
                        <w:rFonts w:ascii="Cambria Math" w:hAnsi="Cambria Math"/>
                      </w:rPr>
                      <m:t>cn</m:t>
                    </m:r>
                  </m:sub>
                </m:sSub>
                <m:r>
                  <w:rPr>
                    <w:rFonts w:ascii="Cambria Math" w:hAnsi="Cambria Math"/>
                  </w:rPr>
                  <m:t xml:space="preserve">, </m:t>
                </m:r>
                <m:sSub>
                  <m:sSubPr>
                    <m:ctrlPr>
                      <w:rPr>
                        <w:rFonts w:ascii="Cambria Math" w:hAnsi="Cambria Math"/>
                        <w:i/>
                      </w:rPr>
                    </m:ctrlPr>
                  </m:sSubPr>
                  <m:e>
                    <m:acc>
                      <m:accPr>
                        <m:chr m:val="̇"/>
                        <m:ctrlPr>
                          <w:rPr>
                            <w:rFonts w:ascii="Cambria Math" w:hAnsi="Cambria Math"/>
                            <w:i/>
                          </w:rPr>
                        </m:ctrlPr>
                      </m:accPr>
                      <m:e>
                        <m:r>
                          <w:rPr>
                            <w:rFonts w:ascii="Cambria Math" w:hAnsi="Cambria Math"/>
                          </w:rPr>
                          <m:t>m</m:t>
                        </m:r>
                      </m:e>
                    </m:acc>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ρ</m:t>
                    </m:r>
                  </m:e>
                  <m:sub>
                    <m:r>
                      <w:rPr>
                        <w:rFonts w:ascii="Cambria Math" w:hAnsi="Cambria Math"/>
                      </w:rPr>
                      <m:t>c</m:t>
                    </m:r>
                  </m:sub>
                </m:sSub>
              </m:oMath>
            </m:oMathPara>
          </w:p>
        </w:tc>
        <w:tc>
          <w:tcPr>
            <w:tcW w:w="1052" w:type="dxa"/>
          </w:tcPr>
          <w:p w14:paraId="1DD9C404" w14:textId="77777777" w:rsidR="00912229" w:rsidRPr="0037213E" w:rsidRDefault="00912229" w:rsidP="00CD39BA">
            <w:pPr>
              <w:jc w:val="center"/>
              <w:rPr>
                <w:rFonts w:ascii="Calibri" w:eastAsia="Calibri" w:hAnsi="Calibri" w:cs="Times New Roman"/>
              </w:rPr>
            </w:pPr>
            <m:oMathPara>
              <m:oMath>
                <m:sSub>
                  <m:sSubPr>
                    <m:ctrlPr>
                      <w:rPr>
                        <w:rFonts w:ascii="Cambria Math" w:eastAsia="Calibri" w:hAnsi="Cambria Math" w:cs="Times New Roman"/>
                        <w:i/>
                      </w:rPr>
                    </m:ctrlPr>
                  </m:sSubPr>
                  <m:e>
                    <m:r>
                      <w:rPr>
                        <w:rFonts w:ascii="Cambria Math" w:eastAsia="Calibri" w:hAnsi="Cambria Math" w:cs="Times New Roman"/>
                      </w:rPr>
                      <m:t>v</m:t>
                    </m:r>
                  </m:e>
                  <m:sub>
                    <m:r>
                      <w:rPr>
                        <w:rFonts w:ascii="Cambria Math" w:eastAsia="Calibri" w:hAnsi="Cambria Math" w:cs="Times New Roman"/>
                      </w:rPr>
                      <m:t>c</m:t>
                    </m:r>
                  </m:sub>
                </m:sSub>
              </m:oMath>
            </m:oMathPara>
          </w:p>
        </w:tc>
        <w:tc>
          <w:tcPr>
            <w:tcW w:w="3205" w:type="dxa"/>
          </w:tcPr>
          <w:p w14:paraId="46419EAD" w14:textId="77777777" w:rsidR="00912229" w:rsidRDefault="00912229" w:rsidP="00CD39BA">
            <w:pPr>
              <w:jc w:val="center"/>
            </w:pPr>
            <w:proofErr w:type="spellStart"/>
            <w:r>
              <w:t>Eqn</w:t>
            </w:r>
            <w:proofErr w:type="spellEnd"/>
            <w:r>
              <w:t xml:space="preserve"> 13.46, </w:t>
            </w:r>
            <w:proofErr w:type="spellStart"/>
            <w:r>
              <w:t>Eqn</w:t>
            </w:r>
            <w:proofErr w:type="spellEnd"/>
            <w:r>
              <w:t xml:space="preserve"> 13.57</w:t>
            </w:r>
          </w:p>
        </w:tc>
      </w:tr>
      <w:tr w:rsidR="00912229" w14:paraId="43CDFCCF" w14:textId="77777777" w:rsidTr="00CD39BA">
        <w:trPr>
          <w:jc w:val="center"/>
        </w:trPr>
        <w:tc>
          <w:tcPr>
            <w:tcW w:w="1126" w:type="dxa"/>
          </w:tcPr>
          <w:p w14:paraId="3636B456" w14:textId="77777777" w:rsidR="00912229" w:rsidRDefault="00912229" w:rsidP="00CD39BA">
            <w:pPr>
              <w:jc w:val="center"/>
            </w:pPr>
            <w:r>
              <w:t>13.46</w:t>
            </w:r>
          </w:p>
        </w:tc>
        <w:tc>
          <w:tcPr>
            <w:tcW w:w="2516" w:type="dxa"/>
          </w:tcPr>
          <w:p w14:paraId="6BB110BF" w14:textId="77777777" w:rsidR="00912229" w:rsidRPr="00D44E9A" w:rsidRDefault="00912229" w:rsidP="00CD39BA">
            <w:pPr>
              <w:jc w:val="center"/>
              <w:rPr>
                <w:rFonts w:ascii="Calibri" w:eastAsia="Calibri" w:hAnsi="Calibri" w:cs="Times New Roman"/>
              </w:rPr>
            </w:pPr>
            <m:oMathPara>
              <m:oMath>
                <m:sSub>
                  <m:sSubPr>
                    <m:ctrlPr>
                      <w:rPr>
                        <w:rFonts w:ascii="Cambria Math" w:eastAsia="Calibri" w:hAnsi="Cambria Math" w:cs="Times New Roman"/>
                        <w:b/>
                        <w:i/>
                      </w:rPr>
                    </m:ctrlPr>
                  </m:sSubPr>
                  <m:e>
                    <m:r>
                      <m:rPr>
                        <m:sty m:val="bi"/>
                      </m:rPr>
                      <w:rPr>
                        <w:rFonts w:ascii="Cambria Math" w:eastAsia="Calibri" w:hAnsi="Cambria Math" w:cs="Times New Roman"/>
                      </w:rPr>
                      <m:t>D</m:t>
                    </m:r>
                  </m:e>
                  <m:sub>
                    <m:r>
                      <m:rPr>
                        <m:sty m:val="bi"/>
                      </m:rPr>
                      <w:rPr>
                        <w:rFonts w:ascii="Cambria Math" w:eastAsia="Calibri" w:hAnsi="Cambria Math" w:cs="Times New Roman"/>
                      </w:rPr>
                      <m:t>h</m:t>
                    </m:r>
                  </m:sub>
                </m:sSub>
                <m:r>
                  <w:rPr>
                    <w:rFonts w:ascii="Cambria Math" w:eastAsia="Calibri" w:hAnsi="Cambria Math" w:cs="Times New Roman"/>
                  </w:rPr>
                  <m:t>,</m:t>
                </m:r>
                <m:sSub>
                  <m:sSubPr>
                    <m:ctrlPr>
                      <w:rPr>
                        <w:rFonts w:ascii="Cambria Math" w:eastAsia="Calibri" w:hAnsi="Cambria Math" w:cs="Times New Roman"/>
                        <w:b/>
                        <w:i/>
                      </w:rPr>
                    </m:ctrlPr>
                  </m:sSubPr>
                  <m:e>
                    <m:r>
                      <m:rPr>
                        <m:sty m:val="bi"/>
                      </m:rPr>
                      <w:rPr>
                        <w:rFonts w:ascii="Cambria Math" w:eastAsia="Calibri" w:hAnsi="Cambria Math" w:cs="Times New Roman"/>
                      </w:rPr>
                      <m:t>v</m:t>
                    </m:r>
                  </m:e>
                  <m:sub>
                    <m:r>
                      <m:rPr>
                        <m:sty m:val="bi"/>
                      </m:rPr>
                      <w:rPr>
                        <w:rFonts w:ascii="Cambria Math" w:eastAsia="Calibri" w:hAnsi="Cambria Math" w:cs="Times New Roman"/>
                      </w:rPr>
                      <m:t>c</m:t>
                    </m:r>
                  </m:sub>
                </m:sSub>
                <m:r>
                  <w:rPr>
                    <w:rFonts w:ascii="Cambria Math" w:eastAsia="Calibri" w:hAnsi="Cambria Math" w:cs="Times New Roman"/>
                  </w:rPr>
                  <m:t>,</m:t>
                </m:r>
                <m:sSub>
                  <m:sSubPr>
                    <m:ctrlPr>
                      <w:rPr>
                        <w:rFonts w:ascii="Cambria Math" w:hAnsi="Cambria Math"/>
                        <w:i/>
                      </w:rPr>
                    </m:ctrlPr>
                  </m:sSubPr>
                  <m:e>
                    <m:r>
                      <w:rPr>
                        <w:rFonts w:ascii="Cambria Math" w:hAnsi="Cambria Math"/>
                      </w:rPr>
                      <m:t>ρ</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c</m:t>
                    </m:r>
                  </m:sub>
                </m:sSub>
              </m:oMath>
            </m:oMathPara>
          </w:p>
        </w:tc>
        <w:tc>
          <w:tcPr>
            <w:tcW w:w="1052" w:type="dxa"/>
          </w:tcPr>
          <w:p w14:paraId="02DC507F" w14:textId="77777777" w:rsidR="00912229" w:rsidRPr="0037213E" w:rsidRDefault="00912229" w:rsidP="00CD39BA">
            <w:pPr>
              <w:jc w:val="center"/>
              <w:rPr>
                <w:rFonts w:ascii="Calibri" w:eastAsia="Calibri" w:hAnsi="Calibri" w:cs="Times New Roman"/>
              </w:rPr>
            </w:pPr>
            <m:oMathPara>
              <m:oMath>
                <m:sSub>
                  <m:sSubPr>
                    <m:ctrlPr>
                      <w:rPr>
                        <w:rFonts w:ascii="Cambria Math" w:eastAsia="Calibri" w:hAnsi="Cambria Math" w:cs="Times New Roman"/>
                        <w:i/>
                      </w:rPr>
                    </m:ctrlPr>
                  </m:sSubPr>
                  <m:e>
                    <m:r>
                      <w:rPr>
                        <w:rFonts w:ascii="Cambria Math" w:eastAsia="Calibri" w:hAnsi="Cambria Math" w:cs="Times New Roman"/>
                      </w:rPr>
                      <m:t>Re</m:t>
                    </m:r>
                  </m:e>
                  <m:sub>
                    <m:r>
                      <w:rPr>
                        <w:rFonts w:ascii="Cambria Math" w:eastAsia="Calibri" w:hAnsi="Cambria Math" w:cs="Times New Roman"/>
                      </w:rPr>
                      <m:t>c</m:t>
                    </m:r>
                  </m:sub>
                </m:sSub>
              </m:oMath>
            </m:oMathPara>
          </w:p>
        </w:tc>
        <w:tc>
          <w:tcPr>
            <w:tcW w:w="3205" w:type="dxa"/>
          </w:tcPr>
          <w:p w14:paraId="5908DB32" w14:textId="77777777" w:rsidR="00912229" w:rsidRDefault="00912229" w:rsidP="00CD39BA">
            <w:pPr>
              <w:jc w:val="center"/>
            </w:pPr>
            <w:proofErr w:type="spellStart"/>
            <w:r>
              <w:t>Eqn</w:t>
            </w:r>
            <w:proofErr w:type="spellEnd"/>
            <w:r>
              <w:t xml:space="preserve"> 13.48, </w:t>
            </w:r>
            <w:proofErr w:type="spellStart"/>
            <w:r>
              <w:t>Eqn</w:t>
            </w:r>
            <w:proofErr w:type="spellEnd"/>
            <w:r>
              <w:t xml:space="preserve"> 13.56</w:t>
            </w:r>
          </w:p>
        </w:tc>
      </w:tr>
      <w:tr w:rsidR="00912229" w14:paraId="5B6DE10F" w14:textId="77777777" w:rsidTr="00CD39BA">
        <w:trPr>
          <w:jc w:val="center"/>
        </w:trPr>
        <w:tc>
          <w:tcPr>
            <w:tcW w:w="1126" w:type="dxa"/>
          </w:tcPr>
          <w:p w14:paraId="50687467" w14:textId="77777777" w:rsidR="00912229" w:rsidRDefault="00912229" w:rsidP="00CD39BA">
            <w:pPr>
              <w:jc w:val="center"/>
            </w:pPr>
            <w:r>
              <w:t>13.47</w:t>
            </w:r>
          </w:p>
        </w:tc>
        <w:tc>
          <w:tcPr>
            <w:tcW w:w="2516" w:type="dxa"/>
          </w:tcPr>
          <w:p w14:paraId="52468023" w14:textId="77777777" w:rsidR="00912229" w:rsidRPr="00D44E9A" w:rsidRDefault="00912229" w:rsidP="00CD39BA">
            <w:pPr>
              <w:jc w:val="center"/>
              <w:rPr>
                <w:rFonts w:ascii="Calibri" w:eastAsia="Calibri" w:hAnsi="Calibri" w:cs="Times New Roman"/>
              </w:rPr>
            </w:pPr>
            <m:oMathPara>
              <m:oMath>
                <m:sSub>
                  <m:sSubPr>
                    <m:ctrlPr>
                      <w:rPr>
                        <w:rFonts w:ascii="Cambria Math" w:eastAsia="Calibri" w:hAnsi="Cambria Math" w:cs="Times New Roman"/>
                        <w:i/>
                      </w:rPr>
                    </m:ctrlPr>
                  </m:sSubPr>
                  <m:e>
                    <m:r>
                      <w:rPr>
                        <w:rFonts w:ascii="Cambria Math" w:eastAsia="Calibri" w:hAnsi="Cambria Math" w:cs="Times New Roman"/>
                      </w:rPr>
                      <m:t>c</m:t>
                    </m:r>
                  </m:e>
                  <m:sub>
                    <m:r>
                      <w:rPr>
                        <w:rFonts w:ascii="Cambria Math" w:eastAsia="Calibri" w:hAnsi="Cambria Math" w:cs="Times New Roman"/>
                      </w:rPr>
                      <m:t>p,c</m:t>
                    </m:r>
                  </m:sub>
                </m:sSub>
                <m:r>
                  <w:rPr>
                    <w:rFonts w:ascii="Cambria Math" w:eastAsia="Calibri" w:hAnsi="Cambria Math" w:cs="Times New Roman"/>
                  </w:rPr>
                  <m:t>,</m:t>
                </m:r>
                <m:sSub>
                  <m:sSubPr>
                    <m:ctrlPr>
                      <w:rPr>
                        <w:rFonts w:ascii="Cambria Math" w:eastAsia="Calibri" w:hAnsi="Cambria Math" w:cs="Times New Roman"/>
                        <w:i/>
                      </w:rPr>
                    </m:ctrlPr>
                  </m:sSubPr>
                  <m:e>
                    <m:r>
                      <w:rPr>
                        <w:rFonts w:ascii="Cambria Math" w:eastAsia="Calibri" w:hAnsi="Cambria Math" w:cs="Times New Roman"/>
                      </w:rPr>
                      <m:t>μ</m:t>
                    </m:r>
                  </m:e>
                  <m:sub>
                    <m:r>
                      <w:rPr>
                        <w:rFonts w:ascii="Cambria Math" w:eastAsia="Calibri" w:hAnsi="Cambria Math" w:cs="Times New Roman"/>
                      </w:rPr>
                      <m:t>c</m:t>
                    </m:r>
                  </m:sub>
                </m:sSub>
                <m:r>
                  <w:rPr>
                    <w:rFonts w:ascii="Cambria Math" w:eastAsia="Calibri" w:hAnsi="Cambria Math" w:cs="Times New Roman"/>
                  </w:rPr>
                  <m:t>,</m:t>
                </m:r>
                <m:sSub>
                  <m:sSubPr>
                    <m:ctrlPr>
                      <w:rPr>
                        <w:rFonts w:ascii="Cambria Math" w:eastAsia="Calibri" w:hAnsi="Cambria Math" w:cs="Times New Roman"/>
                        <w:i/>
                      </w:rPr>
                    </m:ctrlPr>
                  </m:sSubPr>
                  <m:e>
                    <m:r>
                      <w:rPr>
                        <w:rFonts w:ascii="Cambria Math" w:eastAsia="Calibri" w:hAnsi="Cambria Math" w:cs="Times New Roman"/>
                      </w:rPr>
                      <m:t>k</m:t>
                    </m:r>
                  </m:e>
                  <m:sub>
                    <m:r>
                      <w:rPr>
                        <w:rFonts w:ascii="Cambria Math" w:eastAsia="Calibri" w:hAnsi="Cambria Math" w:cs="Times New Roman"/>
                      </w:rPr>
                      <m:t>f,c</m:t>
                    </m:r>
                  </m:sub>
                </m:sSub>
              </m:oMath>
            </m:oMathPara>
          </w:p>
        </w:tc>
        <w:tc>
          <w:tcPr>
            <w:tcW w:w="1052" w:type="dxa"/>
          </w:tcPr>
          <w:p w14:paraId="75AEAE0E" w14:textId="77777777" w:rsidR="00912229" w:rsidRPr="0037213E" w:rsidRDefault="00912229" w:rsidP="00CD39BA">
            <w:pPr>
              <w:jc w:val="center"/>
              <w:rPr>
                <w:rFonts w:ascii="Calibri" w:eastAsia="Calibri" w:hAnsi="Calibri" w:cs="Times New Roman"/>
              </w:rPr>
            </w:pPr>
            <m:oMathPara>
              <m:oMath>
                <m:sSub>
                  <m:sSubPr>
                    <m:ctrlPr>
                      <w:rPr>
                        <w:rFonts w:ascii="Cambria Math" w:eastAsia="Calibri" w:hAnsi="Cambria Math" w:cs="Times New Roman"/>
                        <w:i/>
                      </w:rPr>
                    </m:ctrlPr>
                  </m:sSubPr>
                  <m:e>
                    <m:r>
                      <w:rPr>
                        <w:rFonts w:ascii="Cambria Math" w:eastAsia="Calibri" w:hAnsi="Cambria Math" w:cs="Times New Roman"/>
                      </w:rPr>
                      <m:t>Pr</m:t>
                    </m:r>
                  </m:e>
                  <m:sub>
                    <m:r>
                      <w:rPr>
                        <w:rFonts w:ascii="Cambria Math" w:eastAsia="Calibri" w:hAnsi="Cambria Math" w:cs="Times New Roman"/>
                      </w:rPr>
                      <m:t>c</m:t>
                    </m:r>
                  </m:sub>
                </m:sSub>
              </m:oMath>
            </m:oMathPara>
          </w:p>
        </w:tc>
        <w:tc>
          <w:tcPr>
            <w:tcW w:w="3205" w:type="dxa"/>
          </w:tcPr>
          <w:p w14:paraId="49584C24" w14:textId="77777777" w:rsidR="00912229" w:rsidRDefault="00912229" w:rsidP="00CD39BA">
            <w:pPr>
              <w:jc w:val="center"/>
            </w:pPr>
            <w:proofErr w:type="spellStart"/>
            <w:r>
              <w:t>Eqn</w:t>
            </w:r>
            <w:proofErr w:type="spellEnd"/>
            <w:r>
              <w:t xml:space="preserve"> 13.48</w:t>
            </w:r>
          </w:p>
        </w:tc>
      </w:tr>
      <w:tr w:rsidR="00912229" w14:paraId="565562B5" w14:textId="77777777" w:rsidTr="00CD39BA">
        <w:trPr>
          <w:jc w:val="center"/>
        </w:trPr>
        <w:tc>
          <w:tcPr>
            <w:tcW w:w="1126" w:type="dxa"/>
          </w:tcPr>
          <w:p w14:paraId="215FF071" w14:textId="77777777" w:rsidR="00912229" w:rsidRDefault="00912229" w:rsidP="00CD39BA">
            <w:pPr>
              <w:jc w:val="center"/>
            </w:pPr>
            <w:r>
              <w:t>13.48</w:t>
            </w:r>
          </w:p>
        </w:tc>
        <w:tc>
          <w:tcPr>
            <w:tcW w:w="2516" w:type="dxa"/>
          </w:tcPr>
          <w:p w14:paraId="7897D96B" w14:textId="77777777" w:rsidR="00912229" w:rsidRPr="00D44E9A" w:rsidRDefault="00912229" w:rsidP="00CD39BA">
            <w:pPr>
              <w:jc w:val="center"/>
              <w:rPr>
                <w:rFonts w:ascii="Calibri" w:eastAsia="Calibri" w:hAnsi="Calibri" w:cs="Times New Roman"/>
              </w:rPr>
            </w:pPr>
            <m:oMathPara>
              <m:oMath>
                <m:sSub>
                  <m:sSubPr>
                    <m:ctrlPr>
                      <w:rPr>
                        <w:rFonts w:ascii="Cambria Math" w:eastAsia="Calibri" w:hAnsi="Cambria Math" w:cs="Times New Roman"/>
                        <w:b/>
                        <w:i/>
                      </w:rPr>
                    </m:ctrlPr>
                  </m:sSubPr>
                  <m:e>
                    <m:r>
                      <m:rPr>
                        <m:sty m:val="bi"/>
                      </m:rPr>
                      <w:rPr>
                        <w:rFonts w:ascii="Cambria Math" w:eastAsia="Calibri" w:hAnsi="Cambria Math" w:cs="Times New Roman"/>
                      </w:rPr>
                      <m:t>Re</m:t>
                    </m:r>
                  </m:e>
                  <m:sub>
                    <m:r>
                      <m:rPr>
                        <m:sty m:val="bi"/>
                      </m:rPr>
                      <w:rPr>
                        <w:rFonts w:ascii="Cambria Math" w:eastAsia="Calibri" w:hAnsi="Cambria Math" w:cs="Times New Roman"/>
                      </w:rPr>
                      <m:t>c</m:t>
                    </m:r>
                  </m:sub>
                </m:sSub>
                <m:r>
                  <w:rPr>
                    <w:rFonts w:ascii="Cambria Math" w:eastAsia="Calibri" w:hAnsi="Cambria Math" w:cs="Times New Roman"/>
                  </w:rPr>
                  <m:t xml:space="preserve">, </m:t>
                </m:r>
                <m:sSub>
                  <m:sSubPr>
                    <m:ctrlPr>
                      <w:rPr>
                        <w:rFonts w:ascii="Cambria Math" w:eastAsia="Calibri" w:hAnsi="Cambria Math" w:cs="Times New Roman"/>
                        <w:b/>
                        <w:i/>
                      </w:rPr>
                    </m:ctrlPr>
                  </m:sSubPr>
                  <m:e>
                    <m:r>
                      <m:rPr>
                        <m:sty m:val="bi"/>
                      </m:rPr>
                      <w:rPr>
                        <w:rFonts w:ascii="Cambria Math" w:eastAsia="Calibri" w:hAnsi="Cambria Math" w:cs="Times New Roman"/>
                      </w:rPr>
                      <m:t>Pr</m:t>
                    </m:r>
                  </m:e>
                  <m:sub>
                    <m:r>
                      <m:rPr>
                        <m:sty m:val="bi"/>
                      </m:rPr>
                      <w:rPr>
                        <w:rFonts w:ascii="Cambria Math" w:eastAsia="Calibri" w:hAnsi="Cambria Math" w:cs="Times New Roman"/>
                      </w:rPr>
                      <m:t>c</m:t>
                    </m:r>
                  </m:sub>
                </m:sSub>
              </m:oMath>
            </m:oMathPara>
          </w:p>
        </w:tc>
        <w:tc>
          <w:tcPr>
            <w:tcW w:w="1052" w:type="dxa"/>
          </w:tcPr>
          <w:p w14:paraId="747CCAD0" w14:textId="77777777" w:rsidR="00912229" w:rsidRPr="0037213E" w:rsidRDefault="00912229" w:rsidP="00CD39BA">
            <w:pPr>
              <w:jc w:val="center"/>
              <w:rPr>
                <w:rFonts w:ascii="Calibri" w:eastAsia="Calibri" w:hAnsi="Calibri" w:cs="Times New Roman"/>
              </w:rPr>
            </w:pPr>
            <m:oMathPara>
              <m:oMath>
                <m:sSub>
                  <m:sSubPr>
                    <m:ctrlPr>
                      <w:rPr>
                        <w:rFonts w:ascii="Cambria Math" w:eastAsia="Calibri" w:hAnsi="Cambria Math" w:cs="Times New Roman"/>
                        <w:i/>
                      </w:rPr>
                    </m:ctrlPr>
                  </m:sSubPr>
                  <m:e>
                    <m:r>
                      <w:rPr>
                        <w:rFonts w:ascii="Cambria Math" w:eastAsia="Calibri" w:hAnsi="Cambria Math" w:cs="Times New Roman"/>
                      </w:rPr>
                      <m:t>Nu</m:t>
                    </m:r>
                  </m:e>
                  <m:sub>
                    <m:r>
                      <w:rPr>
                        <w:rFonts w:ascii="Cambria Math" w:eastAsia="Calibri" w:hAnsi="Cambria Math" w:cs="Times New Roman"/>
                      </w:rPr>
                      <m:t>c</m:t>
                    </m:r>
                  </m:sub>
                </m:sSub>
              </m:oMath>
            </m:oMathPara>
          </w:p>
        </w:tc>
        <w:tc>
          <w:tcPr>
            <w:tcW w:w="3205" w:type="dxa"/>
          </w:tcPr>
          <w:p w14:paraId="727D91F5" w14:textId="77777777" w:rsidR="00912229" w:rsidRDefault="00912229" w:rsidP="00CD39BA">
            <w:pPr>
              <w:jc w:val="center"/>
            </w:pPr>
            <w:proofErr w:type="spellStart"/>
            <w:r>
              <w:t>Eqn</w:t>
            </w:r>
            <w:proofErr w:type="spellEnd"/>
            <w:r>
              <w:t xml:space="preserve"> 13.49</w:t>
            </w:r>
          </w:p>
        </w:tc>
      </w:tr>
      <w:tr w:rsidR="00912229" w14:paraId="6FAA434F" w14:textId="77777777" w:rsidTr="00CD39BA">
        <w:trPr>
          <w:jc w:val="center"/>
        </w:trPr>
        <w:tc>
          <w:tcPr>
            <w:tcW w:w="1126" w:type="dxa"/>
          </w:tcPr>
          <w:p w14:paraId="24B89997" w14:textId="77777777" w:rsidR="00912229" w:rsidRDefault="00912229" w:rsidP="00CD39BA">
            <w:pPr>
              <w:jc w:val="center"/>
            </w:pPr>
            <w:r>
              <w:t>13.49</w:t>
            </w:r>
          </w:p>
        </w:tc>
        <w:tc>
          <w:tcPr>
            <w:tcW w:w="2516" w:type="dxa"/>
          </w:tcPr>
          <w:p w14:paraId="58E8F58B" w14:textId="77777777" w:rsidR="00912229" w:rsidRPr="00D44E9A" w:rsidRDefault="00912229" w:rsidP="00CD39BA">
            <w:pPr>
              <w:jc w:val="center"/>
              <w:rPr>
                <w:rFonts w:ascii="Calibri" w:eastAsia="Calibri" w:hAnsi="Calibri" w:cs="Times New Roman"/>
              </w:rPr>
            </w:pPr>
            <m:oMathPara>
              <m:oMath>
                <m:sSub>
                  <m:sSubPr>
                    <m:ctrlPr>
                      <w:rPr>
                        <w:rFonts w:ascii="Cambria Math" w:eastAsia="Calibri" w:hAnsi="Cambria Math" w:cs="Times New Roman"/>
                        <w:b/>
                        <w:i/>
                      </w:rPr>
                    </m:ctrlPr>
                  </m:sSubPr>
                  <m:e>
                    <m:r>
                      <m:rPr>
                        <m:sty m:val="bi"/>
                      </m:rPr>
                      <w:rPr>
                        <w:rFonts w:ascii="Cambria Math" w:eastAsia="Calibri" w:hAnsi="Cambria Math" w:cs="Times New Roman"/>
                      </w:rPr>
                      <m:t>D</m:t>
                    </m:r>
                  </m:e>
                  <m:sub>
                    <m:r>
                      <m:rPr>
                        <m:sty m:val="bi"/>
                      </m:rPr>
                      <w:rPr>
                        <w:rFonts w:ascii="Cambria Math" w:eastAsia="Calibri" w:hAnsi="Cambria Math" w:cs="Times New Roman"/>
                      </w:rPr>
                      <m:t>h</m:t>
                    </m:r>
                  </m:sub>
                </m:sSub>
                <m:r>
                  <w:rPr>
                    <w:rFonts w:ascii="Cambria Math" w:eastAsia="Calibri" w:hAnsi="Cambria Math" w:cs="Times New Roman"/>
                  </w:rPr>
                  <m:t>,</m:t>
                </m:r>
                <m:sSub>
                  <m:sSubPr>
                    <m:ctrlPr>
                      <w:rPr>
                        <w:rFonts w:ascii="Cambria Math" w:eastAsia="Calibri" w:hAnsi="Cambria Math" w:cs="Times New Roman"/>
                        <w:b/>
                        <w:i/>
                      </w:rPr>
                    </m:ctrlPr>
                  </m:sSubPr>
                  <m:e>
                    <m:r>
                      <m:rPr>
                        <m:sty m:val="bi"/>
                      </m:rPr>
                      <w:rPr>
                        <w:rFonts w:ascii="Cambria Math" w:eastAsia="Calibri" w:hAnsi="Cambria Math" w:cs="Times New Roman"/>
                      </w:rPr>
                      <m:t>Nu</m:t>
                    </m:r>
                  </m:e>
                  <m:sub>
                    <m:r>
                      <m:rPr>
                        <m:sty m:val="bi"/>
                      </m:rPr>
                      <w:rPr>
                        <w:rFonts w:ascii="Cambria Math" w:eastAsia="Calibri" w:hAnsi="Cambria Math" w:cs="Times New Roman"/>
                      </w:rPr>
                      <m:t>c</m:t>
                    </m:r>
                  </m:sub>
                </m:sSub>
                <m:r>
                  <w:rPr>
                    <w:rFonts w:ascii="Cambria Math" w:eastAsia="Calibri" w:hAnsi="Cambria Math" w:cs="Times New Roman"/>
                  </w:rPr>
                  <m:t>,</m:t>
                </m:r>
                <m:sSub>
                  <m:sSubPr>
                    <m:ctrlPr>
                      <w:rPr>
                        <w:rFonts w:ascii="Cambria Math" w:eastAsia="Calibri" w:hAnsi="Cambria Math" w:cs="Times New Roman"/>
                        <w:i/>
                      </w:rPr>
                    </m:ctrlPr>
                  </m:sSubPr>
                  <m:e>
                    <m:r>
                      <w:rPr>
                        <w:rFonts w:ascii="Cambria Math" w:eastAsia="Calibri" w:hAnsi="Cambria Math" w:cs="Times New Roman"/>
                      </w:rPr>
                      <m:t>k</m:t>
                    </m:r>
                  </m:e>
                  <m:sub>
                    <m:r>
                      <w:rPr>
                        <w:rFonts w:ascii="Cambria Math" w:eastAsia="Calibri" w:hAnsi="Cambria Math" w:cs="Times New Roman"/>
                      </w:rPr>
                      <m:t>f,c</m:t>
                    </m:r>
                  </m:sub>
                </m:sSub>
              </m:oMath>
            </m:oMathPara>
          </w:p>
        </w:tc>
        <w:tc>
          <w:tcPr>
            <w:tcW w:w="1052" w:type="dxa"/>
          </w:tcPr>
          <w:p w14:paraId="7C20BE78" w14:textId="77777777" w:rsidR="00912229" w:rsidRPr="0037213E" w:rsidRDefault="00912229" w:rsidP="00CD39BA">
            <w:pPr>
              <w:jc w:val="center"/>
              <w:rPr>
                <w:rFonts w:ascii="Calibri" w:eastAsia="Calibri" w:hAnsi="Calibri" w:cs="Times New Roman"/>
              </w:rPr>
            </w:pPr>
            <m:oMathPara>
              <m:oMath>
                <m:sSub>
                  <m:sSubPr>
                    <m:ctrlPr>
                      <w:rPr>
                        <w:rFonts w:ascii="Cambria Math" w:eastAsia="Calibri" w:hAnsi="Cambria Math" w:cs="Times New Roman"/>
                        <w:i/>
                      </w:rPr>
                    </m:ctrlPr>
                  </m:sSubPr>
                  <m:e>
                    <m:r>
                      <w:rPr>
                        <w:rFonts w:ascii="Cambria Math" w:eastAsia="Calibri" w:hAnsi="Cambria Math" w:cs="Times New Roman"/>
                      </w:rPr>
                      <m:t>h</m:t>
                    </m:r>
                  </m:e>
                  <m:sub>
                    <m:r>
                      <w:rPr>
                        <w:rFonts w:ascii="Cambria Math" w:eastAsia="Calibri" w:hAnsi="Cambria Math" w:cs="Times New Roman"/>
                      </w:rPr>
                      <m:t>p,c</m:t>
                    </m:r>
                  </m:sub>
                </m:sSub>
              </m:oMath>
            </m:oMathPara>
          </w:p>
        </w:tc>
        <w:tc>
          <w:tcPr>
            <w:tcW w:w="3205" w:type="dxa"/>
          </w:tcPr>
          <w:p w14:paraId="0F37EDCB" w14:textId="77777777" w:rsidR="00912229" w:rsidRDefault="00912229" w:rsidP="00CD39BA">
            <w:pPr>
              <w:jc w:val="center"/>
            </w:pPr>
            <w:proofErr w:type="spellStart"/>
            <w:r>
              <w:t>Eqn</w:t>
            </w:r>
            <w:proofErr w:type="spellEnd"/>
            <w:r>
              <w:t xml:space="preserve"> 13.50</w:t>
            </w:r>
          </w:p>
        </w:tc>
      </w:tr>
      <w:tr w:rsidR="00912229" w14:paraId="3EFA762B" w14:textId="77777777" w:rsidTr="00CD39BA">
        <w:trPr>
          <w:jc w:val="center"/>
        </w:trPr>
        <w:tc>
          <w:tcPr>
            <w:tcW w:w="1126" w:type="dxa"/>
          </w:tcPr>
          <w:p w14:paraId="71E5213C" w14:textId="77777777" w:rsidR="00912229" w:rsidRDefault="00912229" w:rsidP="00CD39BA">
            <w:pPr>
              <w:jc w:val="center"/>
            </w:pPr>
            <w:r>
              <w:t>13.50</w:t>
            </w:r>
          </w:p>
        </w:tc>
        <w:tc>
          <w:tcPr>
            <w:tcW w:w="2516" w:type="dxa"/>
          </w:tcPr>
          <w:p w14:paraId="7E38FE98" w14:textId="77777777" w:rsidR="00912229" w:rsidRPr="00D44E9A" w:rsidRDefault="00912229" w:rsidP="00CD39BA">
            <w:pPr>
              <w:jc w:val="center"/>
              <w:rPr>
                <w:rFonts w:ascii="Calibri" w:eastAsia="Calibri" w:hAnsi="Calibri" w:cs="Times New Roman"/>
              </w:rPr>
            </w:pPr>
            <m:oMathPara>
              <m:oMath>
                <m:sSub>
                  <m:sSubPr>
                    <m:ctrlPr>
                      <w:rPr>
                        <w:rFonts w:ascii="Cambria Math" w:eastAsia="Calibri" w:hAnsi="Cambria Math" w:cs="Times New Roman"/>
                        <w:b/>
                        <w:i/>
                      </w:rPr>
                    </m:ctrlPr>
                  </m:sSubPr>
                  <m:e>
                    <m:r>
                      <m:rPr>
                        <m:sty m:val="bi"/>
                      </m:rPr>
                      <w:rPr>
                        <w:rFonts w:ascii="Cambria Math" w:eastAsia="Calibri" w:hAnsi="Cambria Math" w:cs="Times New Roman"/>
                      </w:rPr>
                      <m:t>h</m:t>
                    </m:r>
                  </m:e>
                  <m:sub>
                    <m:r>
                      <m:rPr>
                        <m:sty m:val="bi"/>
                      </m:rPr>
                      <w:rPr>
                        <w:rFonts w:ascii="Cambria Math" w:eastAsia="Calibri" w:hAnsi="Cambria Math" w:cs="Times New Roman"/>
                      </w:rPr>
                      <m:t>pl,h</m:t>
                    </m:r>
                  </m:sub>
                </m:sSub>
                <m:r>
                  <m:rPr>
                    <m:sty m:val="bi"/>
                  </m:rPr>
                  <w:rPr>
                    <w:rFonts w:ascii="Cambria Math" w:eastAsia="Calibri" w:hAnsi="Cambria Math" w:cs="Times New Roman"/>
                  </w:rPr>
                  <m:t>,</m:t>
                </m:r>
                <m:sSub>
                  <m:sSubPr>
                    <m:ctrlPr>
                      <w:rPr>
                        <w:rFonts w:ascii="Cambria Math" w:eastAsia="Calibri" w:hAnsi="Cambria Math" w:cs="Times New Roman"/>
                        <w:b/>
                        <w:i/>
                      </w:rPr>
                    </m:ctrlPr>
                  </m:sSubPr>
                  <m:e>
                    <m:r>
                      <m:rPr>
                        <m:sty m:val="bi"/>
                      </m:rPr>
                      <w:rPr>
                        <w:rFonts w:ascii="Cambria Math" w:eastAsia="Calibri" w:hAnsi="Cambria Math" w:cs="Times New Roman"/>
                      </w:rPr>
                      <m:t>h</m:t>
                    </m:r>
                  </m:e>
                  <m:sub>
                    <m:r>
                      <m:rPr>
                        <m:sty m:val="bi"/>
                      </m:rPr>
                      <w:rPr>
                        <w:rFonts w:ascii="Cambria Math" w:eastAsia="Calibri" w:hAnsi="Cambria Math" w:cs="Times New Roman"/>
                      </w:rPr>
                      <m:t>p,c</m:t>
                    </m:r>
                  </m:sub>
                </m:sSub>
                <m:r>
                  <w:rPr>
                    <w:rFonts w:ascii="Cambria Math" w:eastAsia="Calibri" w:hAnsi="Cambria Math" w:cs="Times New Roman"/>
                  </w:rPr>
                  <m:t>,</m:t>
                </m:r>
                <m:sSub>
                  <m:sSubPr>
                    <m:ctrlPr>
                      <w:rPr>
                        <w:rFonts w:ascii="Cambria Math" w:eastAsia="Calibri" w:hAnsi="Cambria Math" w:cs="Times New Roman"/>
                        <w:i/>
                      </w:rPr>
                    </m:ctrlPr>
                  </m:sSubPr>
                  <m:e>
                    <m:r>
                      <w:rPr>
                        <w:rFonts w:ascii="Cambria Math" w:eastAsia="Calibri" w:hAnsi="Cambria Math" w:cs="Times New Roman"/>
                      </w:rPr>
                      <m:t>h</m:t>
                    </m:r>
                  </m:e>
                  <m:sub>
                    <m:r>
                      <w:rPr>
                        <w:rFonts w:ascii="Cambria Math" w:eastAsia="Calibri" w:hAnsi="Cambria Math" w:cs="Times New Roman"/>
                      </w:rPr>
                      <m:t>od</m:t>
                    </m:r>
                  </m:sub>
                </m:sSub>
                <m:r>
                  <w:rPr>
                    <w:rFonts w:ascii="Cambria Math" w:eastAsia="Calibri" w:hAnsi="Cambria Math" w:cs="Times New Roman"/>
                  </w:rPr>
                  <m:t>,</m:t>
                </m:r>
                <m:sSub>
                  <m:sSubPr>
                    <m:ctrlPr>
                      <w:rPr>
                        <w:rFonts w:ascii="Cambria Math" w:eastAsia="Calibri" w:hAnsi="Cambria Math" w:cs="Times New Roman"/>
                        <w:i/>
                      </w:rPr>
                    </m:ctrlPr>
                  </m:sSubPr>
                  <m:e>
                    <m:r>
                      <w:rPr>
                        <w:rFonts w:ascii="Cambria Math" w:eastAsia="Calibri" w:hAnsi="Cambria Math" w:cs="Times New Roman"/>
                      </w:rPr>
                      <m:t>D</m:t>
                    </m:r>
                  </m:e>
                  <m:sub>
                    <m:r>
                      <w:rPr>
                        <w:rFonts w:ascii="Cambria Math" w:eastAsia="Calibri" w:hAnsi="Cambria Math" w:cs="Times New Roman"/>
                      </w:rPr>
                      <m:t>th</m:t>
                    </m:r>
                  </m:sub>
                </m:sSub>
                <m:r>
                  <w:rPr>
                    <w:rFonts w:ascii="Cambria Math" w:eastAsia="Calibri" w:hAnsi="Cambria Math" w:cs="Times New Roman"/>
                  </w:rPr>
                  <m:t>,</m:t>
                </m:r>
                <m:sSub>
                  <m:sSubPr>
                    <m:ctrlPr>
                      <w:rPr>
                        <w:rFonts w:ascii="Cambria Math" w:eastAsia="Calibri" w:hAnsi="Cambria Math" w:cs="Times New Roman"/>
                        <w:i/>
                      </w:rPr>
                    </m:ctrlPr>
                  </m:sSubPr>
                  <m:e>
                    <m:r>
                      <w:rPr>
                        <w:rFonts w:ascii="Cambria Math" w:eastAsia="Calibri" w:hAnsi="Cambria Math" w:cs="Times New Roman"/>
                      </w:rPr>
                      <m:t>k</m:t>
                    </m:r>
                  </m:e>
                  <m:sub>
                    <m:r>
                      <w:rPr>
                        <w:rFonts w:ascii="Cambria Math" w:eastAsia="Calibri" w:hAnsi="Cambria Math" w:cs="Times New Roman"/>
                      </w:rPr>
                      <m:t>w</m:t>
                    </m:r>
                  </m:sub>
                </m:sSub>
                <m:r>
                  <w:rPr>
                    <w:rFonts w:ascii="Cambria Math" w:eastAsia="Calibri" w:hAnsi="Cambria Math" w:cs="Times New Roman"/>
                  </w:rPr>
                  <m:t>,</m:t>
                </m:r>
                <m:sSub>
                  <m:sSubPr>
                    <m:ctrlPr>
                      <w:rPr>
                        <w:rFonts w:ascii="Cambria Math" w:eastAsia="Calibri" w:hAnsi="Cambria Math" w:cs="Times New Roman"/>
                        <w:i/>
                      </w:rPr>
                    </m:ctrlPr>
                  </m:sSubPr>
                  <m:e>
                    <m:r>
                      <w:rPr>
                        <w:rFonts w:ascii="Cambria Math" w:eastAsia="Calibri" w:hAnsi="Cambria Math" w:cs="Times New Roman"/>
                      </w:rPr>
                      <m:t>h</m:t>
                    </m:r>
                  </m:e>
                  <m:sub>
                    <m:r>
                      <w:rPr>
                        <w:rFonts w:ascii="Cambria Math" w:eastAsia="Calibri" w:hAnsi="Cambria Math" w:cs="Times New Roman"/>
                      </w:rPr>
                      <m:t>id</m:t>
                    </m:r>
                  </m:sub>
                </m:sSub>
              </m:oMath>
            </m:oMathPara>
          </w:p>
        </w:tc>
        <w:tc>
          <w:tcPr>
            <w:tcW w:w="1052" w:type="dxa"/>
          </w:tcPr>
          <w:p w14:paraId="6B8BFA89" w14:textId="77777777" w:rsidR="00912229" w:rsidRPr="0037213E" w:rsidRDefault="00912229" w:rsidP="00CD39BA">
            <w:pPr>
              <w:jc w:val="center"/>
              <w:rPr>
                <w:rFonts w:ascii="Calibri" w:eastAsia="Calibri" w:hAnsi="Calibri" w:cs="Times New Roman"/>
              </w:rPr>
            </w:pPr>
            <m:oMathPara>
              <m:oMath>
                <m:r>
                  <w:rPr>
                    <w:rFonts w:ascii="Cambria Math" w:eastAsia="Calibri" w:hAnsi="Cambria Math" w:cs="Times New Roman"/>
                  </w:rPr>
                  <m:t>U</m:t>
                </m:r>
              </m:oMath>
            </m:oMathPara>
          </w:p>
        </w:tc>
        <w:tc>
          <w:tcPr>
            <w:tcW w:w="3205" w:type="dxa"/>
          </w:tcPr>
          <w:p w14:paraId="74175A92" w14:textId="77777777" w:rsidR="00912229" w:rsidRDefault="00912229" w:rsidP="00CD39BA">
            <w:pPr>
              <w:jc w:val="center"/>
            </w:pPr>
            <w:proofErr w:type="spellStart"/>
            <w:r>
              <w:t>Eqn</w:t>
            </w:r>
            <w:proofErr w:type="spellEnd"/>
            <w:r>
              <w:t xml:space="preserve"> 13.5</w:t>
            </w:r>
          </w:p>
        </w:tc>
      </w:tr>
      <w:tr w:rsidR="00912229" w14:paraId="4D3F3D13" w14:textId="77777777" w:rsidTr="00CD39BA">
        <w:trPr>
          <w:jc w:val="center"/>
        </w:trPr>
        <w:tc>
          <w:tcPr>
            <w:tcW w:w="1126" w:type="dxa"/>
          </w:tcPr>
          <w:p w14:paraId="29943573" w14:textId="77777777" w:rsidR="00912229" w:rsidRDefault="00912229" w:rsidP="00CD39BA">
            <w:pPr>
              <w:jc w:val="center"/>
            </w:pPr>
            <w:r>
              <w:t>13.51</w:t>
            </w:r>
          </w:p>
        </w:tc>
        <w:tc>
          <w:tcPr>
            <w:tcW w:w="2516" w:type="dxa"/>
          </w:tcPr>
          <w:p w14:paraId="35D350D9" w14:textId="77777777" w:rsidR="00912229" w:rsidRPr="00111578" w:rsidRDefault="00912229" w:rsidP="00CD39BA">
            <w:pPr>
              <w:jc w:val="center"/>
              <w:rPr>
                <w:rFonts w:ascii="Calibri" w:eastAsia="Calibri" w:hAnsi="Calibri" w:cs="Times New Roman"/>
                <w:b/>
              </w:rPr>
            </w:pPr>
            <m:oMathPara>
              <m:oMath>
                <m:sSub>
                  <m:sSubPr>
                    <m:ctrlPr>
                      <w:rPr>
                        <w:rFonts w:ascii="Cambria Math" w:eastAsia="Calibri" w:hAnsi="Cambria Math" w:cs="Times New Roman"/>
                        <w:b/>
                        <w:i/>
                      </w:rPr>
                    </m:ctrlPr>
                  </m:sSubPr>
                  <m:e>
                    <m:r>
                      <m:rPr>
                        <m:sty m:val="bi"/>
                      </m:rPr>
                      <w:rPr>
                        <w:rFonts w:ascii="Cambria Math" w:eastAsia="Calibri" w:hAnsi="Cambria Math" w:cs="Times New Roman"/>
                      </w:rPr>
                      <m:t>Re</m:t>
                    </m:r>
                  </m:e>
                  <m:sub>
                    <m:r>
                      <m:rPr>
                        <m:sty m:val="bi"/>
                      </m:rPr>
                      <w:rPr>
                        <w:rFonts w:ascii="Cambria Math" w:eastAsia="Calibri" w:hAnsi="Cambria Math" w:cs="Times New Roman"/>
                      </w:rPr>
                      <m:t>h</m:t>
                    </m:r>
                  </m:sub>
                </m:sSub>
              </m:oMath>
            </m:oMathPara>
          </w:p>
        </w:tc>
        <w:tc>
          <w:tcPr>
            <w:tcW w:w="1052" w:type="dxa"/>
          </w:tcPr>
          <w:p w14:paraId="06D16708" w14:textId="77777777" w:rsidR="00912229" w:rsidRPr="0037213E" w:rsidRDefault="00912229" w:rsidP="00CD39BA">
            <w:pPr>
              <w:jc w:val="center"/>
              <w:rPr>
                <w:rFonts w:ascii="Calibri" w:eastAsia="Calibri" w:hAnsi="Calibri" w:cs="Times New Roman"/>
              </w:rPr>
            </w:pPr>
            <m:oMathPara>
              <m:oMath>
                <m:sSub>
                  <m:sSubPr>
                    <m:ctrlPr>
                      <w:rPr>
                        <w:rFonts w:ascii="Cambria Math" w:eastAsia="Calibri" w:hAnsi="Cambria Math" w:cs="Times New Roman"/>
                        <w:i/>
                      </w:rPr>
                    </m:ctrlPr>
                  </m:sSubPr>
                  <m:e>
                    <m:r>
                      <w:rPr>
                        <w:rFonts w:ascii="Cambria Math" w:eastAsia="Calibri" w:hAnsi="Cambria Math" w:cs="Times New Roman"/>
                      </w:rPr>
                      <m:t>j</m:t>
                    </m:r>
                  </m:e>
                  <m:sub>
                    <m:r>
                      <w:rPr>
                        <w:rFonts w:ascii="Cambria Math" w:eastAsia="Calibri" w:hAnsi="Cambria Math" w:cs="Times New Roman"/>
                      </w:rPr>
                      <m:t>f,h</m:t>
                    </m:r>
                  </m:sub>
                </m:sSub>
              </m:oMath>
            </m:oMathPara>
          </w:p>
        </w:tc>
        <w:tc>
          <w:tcPr>
            <w:tcW w:w="3205" w:type="dxa"/>
          </w:tcPr>
          <w:p w14:paraId="2A6A5B59" w14:textId="77777777" w:rsidR="00912229" w:rsidRDefault="00912229" w:rsidP="00CD39BA">
            <w:pPr>
              <w:jc w:val="center"/>
            </w:pPr>
            <w:proofErr w:type="spellStart"/>
            <w:r>
              <w:t>Eqn</w:t>
            </w:r>
            <w:proofErr w:type="spellEnd"/>
            <w:r>
              <w:t xml:space="preserve"> 13.53</w:t>
            </w:r>
          </w:p>
        </w:tc>
      </w:tr>
      <w:tr w:rsidR="00912229" w14:paraId="04066F5D" w14:textId="77777777" w:rsidTr="00CD39BA">
        <w:trPr>
          <w:jc w:val="center"/>
        </w:trPr>
        <w:tc>
          <w:tcPr>
            <w:tcW w:w="1126" w:type="dxa"/>
          </w:tcPr>
          <w:p w14:paraId="0E16D048" w14:textId="77777777" w:rsidR="00912229" w:rsidRDefault="00912229" w:rsidP="00CD39BA">
            <w:pPr>
              <w:jc w:val="center"/>
            </w:pPr>
            <w:r>
              <w:t>13.52</w:t>
            </w:r>
          </w:p>
        </w:tc>
        <w:tc>
          <w:tcPr>
            <w:tcW w:w="2516" w:type="dxa"/>
          </w:tcPr>
          <w:p w14:paraId="1C410D7C" w14:textId="77777777" w:rsidR="00912229" w:rsidRPr="00D44E9A" w:rsidRDefault="00912229" w:rsidP="00CD39BA">
            <w:pPr>
              <w:jc w:val="center"/>
              <w:rPr>
                <w:rFonts w:ascii="Calibri" w:eastAsia="Calibri" w:hAnsi="Calibri" w:cs="Times New Roman"/>
              </w:rPr>
            </w:pPr>
            <m:oMathPara>
              <m:oMath>
                <m:sSub>
                  <m:sSubPr>
                    <m:ctrlPr>
                      <w:rPr>
                        <w:rFonts w:ascii="Cambria Math" w:hAnsi="Cambria Math"/>
                        <w:b/>
                        <w:i/>
                      </w:rPr>
                    </m:ctrlPr>
                  </m:sSubPr>
                  <m:e>
                    <m:r>
                      <m:rPr>
                        <m:sty m:val="bi"/>
                      </m:rPr>
                      <w:rPr>
                        <w:rFonts w:ascii="Cambria Math" w:hAnsi="Cambria Math"/>
                      </w:rPr>
                      <m:t>N</m:t>
                    </m:r>
                  </m:e>
                  <m:sub>
                    <m:r>
                      <m:rPr>
                        <m:sty m:val="bi"/>
                      </m:rPr>
                      <w:rPr>
                        <w:rFonts w:ascii="Cambria Math" w:hAnsi="Cambria Math"/>
                      </w:rPr>
                      <m:t>pl</m:t>
                    </m:r>
                  </m:sub>
                </m:sSub>
                <m:r>
                  <w:rPr>
                    <w:rFonts w:ascii="Cambria Math" w:eastAsia="Calibri" w:hAnsi="Cambria Math" w:cs="Times New Roman"/>
                  </w:rPr>
                  <m:t>,</m:t>
                </m:r>
                <m:sSub>
                  <m:sSubPr>
                    <m:ctrlPr>
                      <w:rPr>
                        <w:rFonts w:ascii="Cambria Math" w:hAnsi="Cambria Math"/>
                        <w:i/>
                      </w:rPr>
                    </m:ctrlPr>
                  </m:sSubPr>
                  <m:e>
                    <m:r>
                      <w:rPr>
                        <w:rFonts w:ascii="Cambria Math" w:hAnsi="Cambria Math"/>
                      </w:rPr>
                      <m:t>L</m:t>
                    </m:r>
                  </m:e>
                  <m:sub>
                    <m:r>
                      <w:rPr>
                        <w:rFonts w:ascii="Cambria Math" w:hAnsi="Cambria Math"/>
                      </w:rPr>
                      <m:t>pl,th</m:t>
                    </m:r>
                  </m:sub>
                </m:sSub>
              </m:oMath>
            </m:oMathPara>
          </w:p>
        </w:tc>
        <w:tc>
          <w:tcPr>
            <w:tcW w:w="1052" w:type="dxa"/>
          </w:tcPr>
          <w:p w14:paraId="06AF11C9" w14:textId="77777777" w:rsidR="00912229" w:rsidRPr="0037213E" w:rsidRDefault="00912229" w:rsidP="00CD39BA">
            <w:pPr>
              <w:jc w:val="center"/>
              <w:rPr>
                <w:rFonts w:ascii="Calibri" w:eastAsia="Calibri" w:hAnsi="Calibri" w:cs="Times New Roman"/>
              </w:rPr>
            </w:pPr>
            <m:oMathPara>
              <m:oMath>
                <m:sSub>
                  <m:sSubPr>
                    <m:ctrlPr>
                      <w:rPr>
                        <w:rFonts w:ascii="Cambria Math" w:hAnsi="Cambria Math"/>
                        <w:i/>
                      </w:rPr>
                    </m:ctrlPr>
                  </m:sSubPr>
                  <m:e>
                    <m:r>
                      <w:rPr>
                        <w:rFonts w:ascii="Cambria Math" w:hAnsi="Cambria Math"/>
                      </w:rPr>
                      <m:t>L</m:t>
                    </m:r>
                  </m:e>
                  <m:sub>
                    <m:r>
                      <w:rPr>
                        <w:rFonts w:ascii="Cambria Math" w:hAnsi="Cambria Math"/>
                      </w:rPr>
                      <m:t>pass</m:t>
                    </m:r>
                  </m:sub>
                </m:sSub>
              </m:oMath>
            </m:oMathPara>
          </w:p>
        </w:tc>
        <w:tc>
          <w:tcPr>
            <w:tcW w:w="3205" w:type="dxa"/>
          </w:tcPr>
          <w:p w14:paraId="054A074B" w14:textId="77777777" w:rsidR="00912229" w:rsidRDefault="00912229" w:rsidP="00CD39BA">
            <w:pPr>
              <w:jc w:val="center"/>
            </w:pPr>
          </w:p>
        </w:tc>
      </w:tr>
      <w:tr w:rsidR="00912229" w14:paraId="410D3BB7" w14:textId="77777777" w:rsidTr="00CD39BA">
        <w:trPr>
          <w:jc w:val="center"/>
        </w:trPr>
        <w:tc>
          <w:tcPr>
            <w:tcW w:w="1126" w:type="dxa"/>
          </w:tcPr>
          <w:p w14:paraId="05EAEF39" w14:textId="77777777" w:rsidR="00912229" w:rsidRDefault="00912229" w:rsidP="00CD39BA">
            <w:pPr>
              <w:jc w:val="center"/>
            </w:pPr>
            <w:r>
              <w:t>13.53</w:t>
            </w:r>
          </w:p>
        </w:tc>
        <w:tc>
          <w:tcPr>
            <w:tcW w:w="2516" w:type="dxa"/>
          </w:tcPr>
          <w:p w14:paraId="20E8062C" w14:textId="77777777" w:rsidR="00912229" w:rsidRPr="00D44E9A" w:rsidRDefault="00912229" w:rsidP="00CD39BA">
            <w:pPr>
              <w:jc w:val="center"/>
              <w:rPr>
                <w:rFonts w:ascii="Calibri" w:eastAsia="Calibri" w:hAnsi="Calibri" w:cs="Times New Roman"/>
              </w:rPr>
            </w:pPr>
            <m:oMathPara>
              <m:oMath>
                <m:sSub>
                  <m:sSubPr>
                    <m:ctrlPr>
                      <w:rPr>
                        <w:rFonts w:ascii="Cambria Math" w:eastAsia="Calibri" w:hAnsi="Cambria Math" w:cs="Times New Roman"/>
                        <w:b/>
                        <w:i/>
                      </w:rPr>
                    </m:ctrlPr>
                  </m:sSubPr>
                  <m:e>
                    <m:sSub>
                      <m:sSubPr>
                        <m:ctrlPr>
                          <w:rPr>
                            <w:rFonts w:ascii="Cambria Math" w:eastAsia="Calibri" w:hAnsi="Cambria Math" w:cs="Times New Roman"/>
                            <w:b/>
                            <w:i/>
                          </w:rPr>
                        </m:ctrlPr>
                      </m:sSubPr>
                      <m:e>
                        <m:r>
                          <m:rPr>
                            <m:sty m:val="bi"/>
                          </m:rPr>
                          <w:rPr>
                            <w:rFonts w:ascii="Cambria Math" w:eastAsia="Calibri" w:hAnsi="Cambria Math" w:cs="Times New Roman"/>
                          </w:rPr>
                          <m:t>v</m:t>
                        </m:r>
                      </m:e>
                      <m:sub>
                        <m:r>
                          <m:rPr>
                            <m:sty m:val="bi"/>
                          </m:rPr>
                          <w:rPr>
                            <w:rFonts w:ascii="Cambria Math" w:eastAsia="Calibri" w:hAnsi="Cambria Math" w:cs="Times New Roman"/>
                          </w:rPr>
                          <m:t>h</m:t>
                        </m:r>
                      </m:sub>
                    </m:sSub>
                    <m:r>
                      <m:rPr>
                        <m:sty m:val="bi"/>
                      </m:rPr>
                      <w:rPr>
                        <w:rFonts w:ascii="Cambria Math" w:eastAsia="Calibri" w:hAnsi="Cambria Math" w:cs="Times New Roman"/>
                      </w:rPr>
                      <m:t>,D</m:t>
                    </m:r>
                  </m:e>
                  <m:sub>
                    <m:r>
                      <m:rPr>
                        <m:sty m:val="bi"/>
                      </m:rPr>
                      <w:rPr>
                        <w:rFonts w:ascii="Cambria Math" w:eastAsia="Calibri" w:hAnsi="Cambria Math" w:cs="Times New Roman"/>
                      </w:rPr>
                      <m:t>h</m:t>
                    </m:r>
                  </m:sub>
                </m:sSub>
                <m:r>
                  <w:rPr>
                    <w:rFonts w:ascii="Cambria Math" w:eastAsia="Calibri" w:hAnsi="Cambria Math" w:cs="Times New Roman"/>
                  </w:rPr>
                  <m:t>,</m:t>
                </m:r>
                <m:sSub>
                  <m:sSubPr>
                    <m:ctrlPr>
                      <w:rPr>
                        <w:rFonts w:ascii="Cambria Math" w:eastAsia="Calibri" w:hAnsi="Cambria Math" w:cs="Times New Roman"/>
                        <w:b/>
                        <w:i/>
                      </w:rPr>
                    </m:ctrlPr>
                  </m:sSubPr>
                  <m:e>
                    <m:r>
                      <m:rPr>
                        <m:sty m:val="bi"/>
                      </m:rPr>
                      <w:rPr>
                        <w:rFonts w:ascii="Cambria Math" w:eastAsia="Calibri" w:hAnsi="Cambria Math" w:cs="Times New Roman"/>
                      </w:rPr>
                      <m:t>j</m:t>
                    </m:r>
                  </m:e>
                  <m:sub>
                    <m:r>
                      <m:rPr>
                        <m:sty m:val="bi"/>
                      </m:rPr>
                      <w:rPr>
                        <w:rFonts w:ascii="Cambria Math" w:eastAsia="Calibri" w:hAnsi="Cambria Math" w:cs="Times New Roman"/>
                      </w:rPr>
                      <m:t>f,h</m:t>
                    </m:r>
                  </m:sub>
                </m:sSub>
                <m:r>
                  <w:rPr>
                    <w:rFonts w:ascii="Cambria Math" w:eastAsia="Calibri" w:hAnsi="Cambria Math" w:cs="Times New Roman"/>
                  </w:rPr>
                  <m:t>,</m:t>
                </m:r>
                <m:sSub>
                  <m:sSubPr>
                    <m:ctrlPr>
                      <w:rPr>
                        <w:rFonts w:ascii="Cambria Math" w:hAnsi="Cambria Math"/>
                        <w:i/>
                      </w:rPr>
                    </m:ctrlPr>
                  </m:sSubPr>
                  <m:e>
                    <m:r>
                      <w:rPr>
                        <w:rFonts w:ascii="Cambria Math" w:hAnsi="Cambria Math"/>
                      </w:rPr>
                      <m:t>L</m:t>
                    </m:r>
                  </m:e>
                  <m:sub>
                    <m:r>
                      <w:rPr>
                        <w:rFonts w:ascii="Cambria Math" w:hAnsi="Cambria Math"/>
                      </w:rPr>
                      <m:t>pl,th</m:t>
                    </m:r>
                  </m:sub>
                </m:sSub>
                <m:r>
                  <w:rPr>
                    <w:rFonts w:ascii="Cambria Math" w:eastAsia="Calibri" w:hAnsi="Cambria Math" w:cs="Times New Roman"/>
                  </w:rPr>
                  <m:t>,</m:t>
                </m:r>
                <m:sSub>
                  <m:sSubPr>
                    <m:ctrlPr>
                      <w:rPr>
                        <w:rFonts w:ascii="Cambria Math" w:hAnsi="Cambria Math"/>
                        <w:i/>
                      </w:rPr>
                    </m:ctrlPr>
                  </m:sSubPr>
                  <m:e>
                    <m:r>
                      <w:rPr>
                        <w:rFonts w:ascii="Cambria Math" w:hAnsi="Cambria Math"/>
                      </w:rPr>
                      <m:t>ρ</m:t>
                    </m:r>
                  </m:e>
                  <m:sub>
                    <m:r>
                      <w:rPr>
                        <w:rFonts w:ascii="Cambria Math" w:hAnsi="Cambria Math"/>
                      </w:rPr>
                      <m:t>h</m:t>
                    </m:r>
                  </m:sub>
                </m:sSub>
              </m:oMath>
            </m:oMathPara>
          </w:p>
        </w:tc>
        <w:tc>
          <w:tcPr>
            <w:tcW w:w="1052" w:type="dxa"/>
          </w:tcPr>
          <w:p w14:paraId="00417CC3" w14:textId="77777777" w:rsidR="00912229" w:rsidRPr="0037213E" w:rsidRDefault="00912229" w:rsidP="00CD39BA">
            <w:pPr>
              <w:jc w:val="center"/>
              <w:rPr>
                <w:rFonts w:ascii="Calibri" w:eastAsia="Calibri" w:hAnsi="Calibri" w:cs="Times New Roman"/>
              </w:rPr>
            </w:pPr>
            <m:oMathPara>
              <m:oMath>
                <m:sSub>
                  <m:sSubPr>
                    <m:ctrlPr>
                      <w:rPr>
                        <w:rFonts w:ascii="Cambria Math" w:eastAsia="Calibri" w:hAnsi="Cambria Math" w:cs="Times New Roman"/>
                        <w:i/>
                      </w:rPr>
                    </m:ctrlPr>
                  </m:sSubPr>
                  <m:e>
                    <m:r>
                      <w:rPr>
                        <w:rFonts w:ascii="Cambria Math" w:eastAsia="Calibri" w:hAnsi="Cambria Math" w:cs="Times New Roman"/>
                      </w:rPr>
                      <m:t>∆P</m:t>
                    </m:r>
                  </m:e>
                  <m:sub>
                    <m:r>
                      <w:rPr>
                        <w:rFonts w:ascii="Cambria Math" w:eastAsia="Calibri" w:hAnsi="Cambria Math" w:cs="Times New Roman"/>
                      </w:rPr>
                      <m:t>pl,h</m:t>
                    </m:r>
                  </m:sub>
                </m:sSub>
              </m:oMath>
            </m:oMathPara>
          </w:p>
        </w:tc>
        <w:tc>
          <w:tcPr>
            <w:tcW w:w="3205" w:type="dxa"/>
          </w:tcPr>
          <w:p w14:paraId="6B5BEFD9" w14:textId="77777777" w:rsidR="00912229" w:rsidRDefault="00912229" w:rsidP="00CD39BA">
            <w:pPr>
              <w:jc w:val="center"/>
            </w:pPr>
          </w:p>
        </w:tc>
      </w:tr>
      <w:tr w:rsidR="00912229" w14:paraId="1ABEA4EC" w14:textId="77777777" w:rsidTr="00CD39BA">
        <w:trPr>
          <w:jc w:val="center"/>
        </w:trPr>
        <w:tc>
          <w:tcPr>
            <w:tcW w:w="1126" w:type="dxa"/>
          </w:tcPr>
          <w:p w14:paraId="33B8A24A" w14:textId="77777777" w:rsidR="00912229" w:rsidRDefault="00912229" w:rsidP="00CD39BA">
            <w:pPr>
              <w:jc w:val="center"/>
            </w:pPr>
            <w:r>
              <w:t>13.54</w:t>
            </w:r>
          </w:p>
        </w:tc>
        <w:tc>
          <w:tcPr>
            <w:tcW w:w="2516" w:type="dxa"/>
          </w:tcPr>
          <w:p w14:paraId="4D36BD4F" w14:textId="77777777" w:rsidR="00912229" w:rsidRPr="00D44E9A" w:rsidRDefault="00912229" w:rsidP="00CD39BA">
            <w:pPr>
              <w:jc w:val="center"/>
              <w:rPr>
                <w:rFonts w:ascii="Calibri" w:eastAsia="Calibri" w:hAnsi="Calibri" w:cs="Times New Roman"/>
              </w:rPr>
            </w:pPr>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m</m:t>
                        </m:r>
                      </m:e>
                    </m:acc>
                  </m:e>
                  <m:sub>
                    <m:r>
                      <w:rPr>
                        <w:rFonts w:ascii="Cambria Math" w:hAnsi="Cambria Math"/>
                      </w:rPr>
                      <m:t>h</m:t>
                    </m:r>
                  </m:sub>
                </m:sSub>
                <m:r>
                  <w:rPr>
                    <w:rFonts w:ascii="Cambria Math" w:hAnsi="Cambria Math"/>
                  </w:rPr>
                  <m:t>,</m:t>
                </m:r>
                <m:sSub>
                  <m:sSubPr>
                    <m:ctrlPr>
                      <w:rPr>
                        <w:rFonts w:ascii="Cambria Math" w:hAnsi="Cambria Math"/>
                        <w:i/>
                      </w:rPr>
                    </m:ctrlPr>
                  </m:sSubPr>
                  <m:e>
                    <m:r>
                      <w:rPr>
                        <w:rFonts w:ascii="Cambria Math" w:hAnsi="Cambria Math"/>
                      </w:rPr>
                      <m:t>ρ</m:t>
                    </m:r>
                  </m:e>
                  <m:sub>
                    <m:r>
                      <w:rPr>
                        <w:rFonts w:ascii="Cambria Math" w:hAnsi="Cambria Math"/>
                      </w:rPr>
                      <m:t>h</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pl</m:t>
                    </m:r>
                  </m:sub>
                </m:sSub>
              </m:oMath>
            </m:oMathPara>
          </w:p>
        </w:tc>
        <w:tc>
          <w:tcPr>
            <w:tcW w:w="1052" w:type="dxa"/>
          </w:tcPr>
          <w:p w14:paraId="48096407" w14:textId="77777777" w:rsidR="00912229" w:rsidRPr="0037213E" w:rsidRDefault="00912229" w:rsidP="00CD39BA">
            <w:pPr>
              <w:jc w:val="center"/>
              <w:rPr>
                <w:rFonts w:ascii="Calibri" w:eastAsia="Calibri" w:hAnsi="Calibri" w:cs="Times New Roman"/>
              </w:rPr>
            </w:pPr>
            <m:oMathPara>
              <m:oMath>
                <m:sSub>
                  <m:sSubPr>
                    <m:ctrlPr>
                      <w:rPr>
                        <w:rFonts w:ascii="Cambria Math" w:hAnsi="Cambria Math"/>
                        <w:i/>
                      </w:rPr>
                    </m:ctrlPr>
                  </m:sSubPr>
                  <m:e>
                    <m:r>
                      <w:rPr>
                        <w:rFonts w:ascii="Cambria Math" w:hAnsi="Cambria Math"/>
                      </w:rPr>
                      <m:t>u</m:t>
                    </m:r>
                  </m:e>
                  <m:sub>
                    <m:r>
                      <w:rPr>
                        <w:rFonts w:ascii="Cambria Math" w:hAnsi="Cambria Math"/>
                      </w:rPr>
                      <m:t>p,h</m:t>
                    </m:r>
                  </m:sub>
                </m:sSub>
              </m:oMath>
            </m:oMathPara>
          </w:p>
        </w:tc>
        <w:tc>
          <w:tcPr>
            <w:tcW w:w="3205" w:type="dxa"/>
          </w:tcPr>
          <w:p w14:paraId="2B4F42B3" w14:textId="77777777" w:rsidR="00912229" w:rsidRDefault="00912229" w:rsidP="00CD39BA">
            <w:pPr>
              <w:jc w:val="center"/>
            </w:pPr>
            <w:proofErr w:type="spellStart"/>
            <w:r>
              <w:t>Eqn</w:t>
            </w:r>
            <w:proofErr w:type="spellEnd"/>
            <w:r>
              <w:t xml:space="preserve"> 13.55</w:t>
            </w:r>
          </w:p>
        </w:tc>
      </w:tr>
      <w:tr w:rsidR="00912229" w14:paraId="10E8ACF7" w14:textId="77777777" w:rsidTr="00CD39BA">
        <w:trPr>
          <w:jc w:val="center"/>
        </w:trPr>
        <w:tc>
          <w:tcPr>
            <w:tcW w:w="1126" w:type="dxa"/>
          </w:tcPr>
          <w:p w14:paraId="1EC9A7AF" w14:textId="77777777" w:rsidR="00912229" w:rsidRDefault="00912229" w:rsidP="00CD39BA">
            <w:pPr>
              <w:jc w:val="center"/>
            </w:pPr>
            <w:r>
              <w:t>13.55</w:t>
            </w:r>
          </w:p>
        </w:tc>
        <w:tc>
          <w:tcPr>
            <w:tcW w:w="2516" w:type="dxa"/>
          </w:tcPr>
          <w:p w14:paraId="3932B606" w14:textId="77777777" w:rsidR="00912229" w:rsidRPr="00D44E9A" w:rsidRDefault="00912229" w:rsidP="00CD39BA">
            <w:pPr>
              <w:jc w:val="center"/>
              <w:rPr>
                <w:rFonts w:ascii="Calibri" w:eastAsia="Calibri" w:hAnsi="Calibri" w:cs="Times New Roman"/>
              </w:rPr>
            </w:pPr>
            <m:oMathPara>
              <m:oMath>
                <m:sSub>
                  <m:sSubPr>
                    <m:ctrlPr>
                      <w:rPr>
                        <w:rFonts w:ascii="Cambria Math" w:hAnsi="Cambria Math"/>
                        <w:b/>
                        <w:i/>
                      </w:rPr>
                    </m:ctrlPr>
                  </m:sSubPr>
                  <m:e>
                    <m:r>
                      <m:rPr>
                        <m:sty m:val="bi"/>
                      </m:rPr>
                      <w:rPr>
                        <w:rFonts w:ascii="Cambria Math" w:hAnsi="Cambria Math"/>
                      </w:rPr>
                      <m:t>N</m:t>
                    </m:r>
                  </m:e>
                  <m:sub>
                    <m:r>
                      <m:rPr>
                        <m:sty m:val="bi"/>
                      </m:rPr>
                      <w:rPr>
                        <w:rFonts w:ascii="Cambria Math" w:hAnsi="Cambria Math"/>
                      </w:rPr>
                      <m:t>pl</m:t>
                    </m:r>
                  </m:sub>
                </m:sSub>
                <m:r>
                  <w:rPr>
                    <w:rFonts w:ascii="Cambria Math" w:eastAsia="Calibri" w:hAnsi="Cambria Math" w:cs="Times New Roman"/>
                  </w:rPr>
                  <m:t>,</m:t>
                </m:r>
                <m:sSub>
                  <m:sSubPr>
                    <m:ctrlPr>
                      <w:rPr>
                        <w:rFonts w:ascii="Cambria Math" w:hAnsi="Cambria Math"/>
                        <w:b/>
                        <w:i/>
                      </w:rPr>
                    </m:ctrlPr>
                  </m:sSubPr>
                  <m:e>
                    <m:r>
                      <m:rPr>
                        <m:sty m:val="bi"/>
                      </m:rPr>
                      <w:rPr>
                        <w:rFonts w:ascii="Cambria Math" w:hAnsi="Cambria Math"/>
                      </w:rPr>
                      <m:t>u</m:t>
                    </m:r>
                  </m:e>
                  <m:sub>
                    <m:r>
                      <m:rPr>
                        <m:sty m:val="bi"/>
                      </m:rPr>
                      <w:rPr>
                        <w:rFonts w:ascii="Cambria Math" w:hAnsi="Cambria Math"/>
                      </w:rPr>
                      <m:t>p,h</m:t>
                    </m:r>
                  </m:sub>
                </m:sSub>
                <m:r>
                  <w:rPr>
                    <w:rFonts w:ascii="Cambria Math" w:hAnsi="Cambria Math"/>
                  </w:rPr>
                  <m:t xml:space="preserve">, </m:t>
                </m:r>
                <m:sSub>
                  <m:sSubPr>
                    <m:ctrlPr>
                      <w:rPr>
                        <w:rFonts w:ascii="Cambria Math" w:hAnsi="Cambria Math"/>
                        <w:i/>
                      </w:rPr>
                    </m:ctrlPr>
                  </m:sSubPr>
                  <m:e>
                    <m:r>
                      <w:rPr>
                        <w:rFonts w:ascii="Cambria Math" w:hAnsi="Cambria Math"/>
                      </w:rPr>
                      <m:t>ρ</m:t>
                    </m:r>
                  </m:e>
                  <m:sub>
                    <m:r>
                      <w:rPr>
                        <w:rFonts w:ascii="Cambria Math" w:hAnsi="Cambria Math"/>
                      </w:rPr>
                      <m:t>h</m:t>
                    </m:r>
                  </m:sub>
                </m:sSub>
              </m:oMath>
            </m:oMathPara>
          </w:p>
        </w:tc>
        <w:tc>
          <w:tcPr>
            <w:tcW w:w="1052" w:type="dxa"/>
          </w:tcPr>
          <w:p w14:paraId="697DC8A9" w14:textId="77777777" w:rsidR="00912229" w:rsidRPr="0037213E" w:rsidRDefault="00912229" w:rsidP="00CD39BA">
            <w:pPr>
              <w:jc w:val="center"/>
              <w:rPr>
                <w:rFonts w:ascii="Calibri" w:eastAsia="Calibri" w:hAnsi="Calibri" w:cs="Times New Roman"/>
              </w:rPr>
            </w:pPr>
            <m:oMathPara>
              <m:oMath>
                <m:sSub>
                  <m:sSubPr>
                    <m:ctrlPr>
                      <w:rPr>
                        <w:rFonts w:ascii="Cambria Math" w:eastAsia="Calibri" w:hAnsi="Cambria Math" w:cs="Times New Roman"/>
                        <w:i/>
                      </w:rPr>
                    </m:ctrlPr>
                  </m:sSubPr>
                  <m:e>
                    <m:r>
                      <w:rPr>
                        <w:rFonts w:ascii="Cambria Math" w:eastAsia="Calibri" w:hAnsi="Cambria Math" w:cs="Times New Roman"/>
                      </w:rPr>
                      <m:t>∆P</m:t>
                    </m:r>
                  </m:e>
                  <m:sub>
                    <m:r>
                      <w:rPr>
                        <w:rFonts w:ascii="Cambria Math" w:eastAsia="Calibri" w:hAnsi="Cambria Math" w:cs="Times New Roman"/>
                      </w:rPr>
                      <m:t>po,t</m:t>
                    </m:r>
                  </m:sub>
                </m:sSub>
              </m:oMath>
            </m:oMathPara>
          </w:p>
        </w:tc>
        <w:tc>
          <w:tcPr>
            <w:tcW w:w="3205" w:type="dxa"/>
          </w:tcPr>
          <w:p w14:paraId="1987FC59" w14:textId="77777777" w:rsidR="00912229" w:rsidRDefault="00912229" w:rsidP="00CD39BA">
            <w:pPr>
              <w:jc w:val="center"/>
            </w:pPr>
          </w:p>
        </w:tc>
      </w:tr>
      <w:tr w:rsidR="00912229" w14:paraId="17D36BBC" w14:textId="77777777" w:rsidTr="00CD39BA">
        <w:trPr>
          <w:jc w:val="center"/>
        </w:trPr>
        <w:tc>
          <w:tcPr>
            <w:tcW w:w="1126" w:type="dxa"/>
          </w:tcPr>
          <w:p w14:paraId="49402FE9" w14:textId="77777777" w:rsidR="00912229" w:rsidRDefault="00912229" w:rsidP="00CD39BA">
            <w:pPr>
              <w:jc w:val="center"/>
            </w:pPr>
            <w:r>
              <w:t>13.56</w:t>
            </w:r>
          </w:p>
        </w:tc>
        <w:tc>
          <w:tcPr>
            <w:tcW w:w="2516" w:type="dxa"/>
          </w:tcPr>
          <w:p w14:paraId="3E7ACF9E" w14:textId="77777777" w:rsidR="00912229" w:rsidRPr="00111578" w:rsidRDefault="00912229" w:rsidP="00CD39BA">
            <w:pPr>
              <w:jc w:val="center"/>
              <w:rPr>
                <w:rFonts w:ascii="Calibri" w:eastAsia="Calibri" w:hAnsi="Calibri" w:cs="Times New Roman"/>
                <w:b/>
              </w:rPr>
            </w:pPr>
            <m:oMathPara>
              <m:oMath>
                <m:sSub>
                  <m:sSubPr>
                    <m:ctrlPr>
                      <w:rPr>
                        <w:rFonts w:ascii="Cambria Math" w:eastAsia="Calibri" w:hAnsi="Cambria Math" w:cs="Times New Roman"/>
                        <w:b/>
                        <w:i/>
                      </w:rPr>
                    </m:ctrlPr>
                  </m:sSubPr>
                  <m:e>
                    <m:r>
                      <m:rPr>
                        <m:sty m:val="bi"/>
                      </m:rPr>
                      <w:rPr>
                        <w:rFonts w:ascii="Cambria Math" w:eastAsia="Calibri" w:hAnsi="Cambria Math" w:cs="Times New Roman"/>
                      </w:rPr>
                      <m:t>Re</m:t>
                    </m:r>
                  </m:e>
                  <m:sub>
                    <m:r>
                      <m:rPr>
                        <m:sty m:val="bi"/>
                      </m:rPr>
                      <w:rPr>
                        <w:rFonts w:ascii="Cambria Math" w:eastAsia="Calibri" w:hAnsi="Cambria Math" w:cs="Times New Roman"/>
                      </w:rPr>
                      <m:t>c</m:t>
                    </m:r>
                  </m:sub>
                </m:sSub>
              </m:oMath>
            </m:oMathPara>
          </w:p>
        </w:tc>
        <w:tc>
          <w:tcPr>
            <w:tcW w:w="1052" w:type="dxa"/>
          </w:tcPr>
          <w:p w14:paraId="087BAF4D" w14:textId="77777777" w:rsidR="00912229" w:rsidRPr="0037213E" w:rsidRDefault="00912229" w:rsidP="00CD39BA">
            <w:pPr>
              <w:jc w:val="center"/>
              <w:rPr>
                <w:rFonts w:ascii="Calibri" w:eastAsia="Calibri" w:hAnsi="Calibri" w:cs="Times New Roman"/>
              </w:rPr>
            </w:pPr>
            <m:oMathPara>
              <m:oMath>
                <m:sSub>
                  <m:sSubPr>
                    <m:ctrlPr>
                      <w:rPr>
                        <w:rFonts w:ascii="Cambria Math" w:eastAsia="Calibri" w:hAnsi="Cambria Math" w:cs="Times New Roman"/>
                        <w:i/>
                      </w:rPr>
                    </m:ctrlPr>
                  </m:sSubPr>
                  <m:e>
                    <m:r>
                      <w:rPr>
                        <w:rFonts w:ascii="Cambria Math" w:eastAsia="Calibri" w:hAnsi="Cambria Math" w:cs="Times New Roman"/>
                      </w:rPr>
                      <m:t>j</m:t>
                    </m:r>
                  </m:e>
                  <m:sub>
                    <m:r>
                      <w:rPr>
                        <w:rFonts w:ascii="Cambria Math" w:eastAsia="Calibri" w:hAnsi="Cambria Math" w:cs="Times New Roman"/>
                      </w:rPr>
                      <m:t>f,c</m:t>
                    </m:r>
                  </m:sub>
                </m:sSub>
              </m:oMath>
            </m:oMathPara>
          </w:p>
        </w:tc>
        <w:tc>
          <w:tcPr>
            <w:tcW w:w="3205" w:type="dxa"/>
          </w:tcPr>
          <w:p w14:paraId="0C00DAB8" w14:textId="77777777" w:rsidR="00912229" w:rsidRDefault="00912229" w:rsidP="00CD39BA">
            <w:pPr>
              <w:jc w:val="center"/>
            </w:pPr>
            <w:proofErr w:type="spellStart"/>
            <w:r>
              <w:t>Eqn</w:t>
            </w:r>
            <w:proofErr w:type="spellEnd"/>
            <w:r>
              <w:t xml:space="preserve"> 13.57</w:t>
            </w:r>
          </w:p>
        </w:tc>
      </w:tr>
      <w:tr w:rsidR="00912229" w14:paraId="4F1EA8A3" w14:textId="77777777" w:rsidTr="00CD39BA">
        <w:trPr>
          <w:jc w:val="center"/>
        </w:trPr>
        <w:tc>
          <w:tcPr>
            <w:tcW w:w="1126" w:type="dxa"/>
          </w:tcPr>
          <w:p w14:paraId="24D8C931" w14:textId="77777777" w:rsidR="00912229" w:rsidRDefault="00912229" w:rsidP="00CD39BA">
            <w:pPr>
              <w:jc w:val="center"/>
            </w:pPr>
            <w:r>
              <w:t>13.57</w:t>
            </w:r>
          </w:p>
        </w:tc>
        <w:tc>
          <w:tcPr>
            <w:tcW w:w="2516" w:type="dxa"/>
          </w:tcPr>
          <w:p w14:paraId="2BAB11A0" w14:textId="77777777" w:rsidR="00912229" w:rsidRPr="00D44E9A" w:rsidRDefault="00912229" w:rsidP="00CD39BA">
            <w:pPr>
              <w:jc w:val="center"/>
              <w:rPr>
                <w:rFonts w:ascii="Calibri" w:eastAsia="Calibri" w:hAnsi="Calibri" w:cs="Times New Roman"/>
              </w:rPr>
            </w:pPr>
            <m:oMathPara>
              <m:oMath>
                <m:sSub>
                  <m:sSubPr>
                    <m:ctrlPr>
                      <w:rPr>
                        <w:rFonts w:ascii="Cambria Math" w:eastAsia="Calibri" w:hAnsi="Cambria Math" w:cs="Times New Roman"/>
                        <w:b/>
                        <w:i/>
                      </w:rPr>
                    </m:ctrlPr>
                  </m:sSubPr>
                  <m:e>
                    <m:sSub>
                      <m:sSubPr>
                        <m:ctrlPr>
                          <w:rPr>
                            <w:rFonts w:ascii="Cambria Math" w:eastAsia="Calibri" w:hAnsi="Cambria Math" w:cs="Times New Roman"/>
                            <w:b/>
                            <w:i/>
                          </w:rPr>
                        </m:ctrlPr>
                      </m:sSubPr>
                      <m:e>
                        <m:r>
                          <m:rPr>
                            <m:sty m:val="bi"/>
                          </m:rPr>
                          <w:rPr>
                            <w:rFonts w:ascii="Cambria Math" w:eastAsia="Calibri" w:hAnsi="Cambria Math" w:cs="Times New Roman"/>
                          </w:rPr>
                          <m:t>D</m:t>
                        </m:r>
                      </m:e>
                      <m:sub>
                        <m:r>
                          <m:rPr>
                            <m:sty m:val="bi"/>
                          </m:rPr>
                          <w:rPr>
                            <w:rFonts w:ascii="Cambria Math" w:eastAsia="Calibri" w:hAnsi="Cambria Math" w:cs="Times New Roman"/>
                          </w:rPr>
                          <m:t>h</m:t>
                        </m:r>
                      </m:sub>
                    </m:sSub>
                    <m:r>
                      <m:rPr>
                        <m:sty m:val="bi"/>
                      </m:rPr>
                      <w:rPr>
                        <w:rFonts w:ascii="Cambria Math" w:eastAsia="Calibri" w:hAnsi="Cambria Math" w:cs="Times New Roman"/>
                      </w:rPr>
                      <m:t>,</m:t>
                    </m:r>
                    <m:sSub>
                      <m:sSubPr>
                        <m:ctrlPr>
                          <w:rPr>
                            <w:rFonts w:ascii="Cambria Math" w:eastAsia="Calibri" w:hAnsi="Cambria Math" w:cs="Times New Roman"/>
                            <w:b/>
                            <w:i/>
                          </w:rPr>
                        </m:ctrlPr>
                      </m:sSubPr>
                      <m:e>
                        <m:r>
                          <m:rPr>
                            <m:sty m:val="bi"/>
                          </m:rPr>
                          <w:rPr>
                            <w:rFonts w:ascii="Cambria Math" w:eastAsia="Calibri" w:hAnsi="Cambria Math" w:cs="Times New Roman"/>
                          </w:rPr>
                          <m:t>v</m:t>
                        </m:r>
                      </m:e>
                      <m:sub>
                        <m:r>
                          <m:rPr>
                            <m:sty m:val="bi"/>
                          </m:rPr>
                          <w:rPr>
                            <w:rFonts w:ascii="Cambria Math" w:eastAsia="Calibri" w:hAnsi="Cambria Math" w:cs="Times New Roman"/>
                          </w:rPr>
                          <m:t>c</m:t>
                        </m:r>
                      </m:sub>
                    </m:sSub>
                    <m:r>
                      <w:rPr>
                        <w:rFonts w:ascii="Cambria Math" w:eastAsia="Calibri" w:hAnsi="Cambria Math" w:cs="Times New Roman"/>
                      </w:rPr>
                      <m:t>,</m:t>
                    </m:r>
                    <m:r>
                      <m:rPr>
                        <m:sty m:val="bi"/>
                      </m:rPr>
                      <w:rPr>
                        <w:rFonts w:ascii="Cambria Math" w:eastAsia="Calibri" w:hAnsi="Cambria Math" w:cs="Times New Roman"/>
                      </w:rPr>
                      <m:t>j</m:t>
                    </m:r>
                  </m:e>
                  <m:sub>
                    <m:r>
                      <m:rPr>
                        <m:sty m:val="bi"/>
                      </m:rPr>
                      <w:rPr>
                        <w:rFonts w:ascii="Cambria Math" w:eastAsia="Calibri" w:hAnsi="Cambria Math" w:cs="Times New Roman"/>
                      </w:rPr>
                      <m:t>f,c</m:t>
                    </m:r>
                  </m:sub>
                </m:sSub>
                <m:r>
                  <m:rPr>
                    <m:sty m:val="bi"/>
                  </m:rPr>
                  <w:rPr>
                    <w:rFonts w:ascii="Cambria Math" w:eastAsia="Calibri" w:hAnsi="Cambria Math" w:cs="Times New Roman"/>
                  </w:rPr>
                  <m:t>,</m:t>
                </m:r>
                <m:sSub>
                  <m:sSubPr>
                    <m:ctrlPr>
                      <w:rPr>
                        <w:rFonts w:ascii="Cambria Math" w:hAnsi="Cambria Math"/>
                        <w:i/>
                      </w:rPr>
                    </m:ctrlPr>
                  </m:sSubPr>
                  <m:e>
                    <m:r>
                      <w:rPr>
                        <w:rFonts w:ascii="Cambria Math" w:hAnsi="Cambria Math"/>
                      </w:rPr>
                      <m:t>L</m:t>
                    </m:r>
                  </m:e>
                  <m:sub>
                    <m:r>
                      <w:rPr>
                        <w:rFonts w:ascii="Cambria Math" w:hAnsi="Cambria Math"/>
                      </w:rPr>
                      <m:t>pl,th</m:t>
                    </m:r>
                  </m:sub>
                </m:sSub>
                <m:r>
                  <w:rPr>
                    <w:rFonts w:ascii="Cambria Math" w:hAnsi="Cambria Math"/>
                  </w:rPr>
                  <m:t>,</m:t>
                </m:r>
                <m:sSub>
                  <m:sSubPr>
                    <m:ctrlPr>
                      <w:rPr>
                        <w:rFonts w:ascii="Cambria Math" w:hAnsi="Cambria Math"/>
                        <w:i/>
                      </w:rPr>
                    </m:ctrlPr>
                  </m:sSubPr>
                  <m:e>
                    <m:r>
                      <w:rPr>
                        <w:rFonts w:ascii="Cambria Math" w:hAnsi="Cambria Math"/>
                      </w:rPr>
                      <m:t>ρ</m:t>
                    </m:r>
                  </m:e>
                  <m:sub>
                    <m:r>
                      <w:rPr>
                        <w:rFonts w:ascii="Cambria Math" w:hAnsi="Cambria Math"/>
                      </w:rPr>
                      <m:t>c</m:t>
                    </m:r>
                  </m:sub>
                </m:sSub>
              </m:oMath>
            </m:oMathPara>
          </w:p>
        </w:tc>
        <w:tc>
          <w:tcPr>
            <w:tcW w:w="1052" w:type="dxa"/>
          </w:tcPr>
          <w:p w14:paraId="5CD00323" w14:textId="77777777" w:rsidR="00912229" w:rsidRPr="0037213E" w:rsidRDefault="00912229" w:rsidP="00CD39BA">
            <w:pPr>
              <w:jc w:val="center"/>
              <w:rPr>
                <w:rFonts w:ascii="Calibri" w:eastAsia="Calibri" w:hAnsi="Calibri" w:cs="Times New Roman"/>
              </w:rPr>
            </w:pPr>
            <m:oMathPara>
              <m:oMath>
                <m:sSub>
                  <m:sSubPr>
                    <m:ctrlPr>
                      <w:rPr>
                        <w:rFonts w:ascii="Cambria Math" w:eastAsia="Calibri" w:hAnsi="Cambria Math" w:cs="Times New Roman"/>
                        <w:i/>
                      </w:rPr>
                    </m:ctrlPr>
                  </m:sSubPr>
                  <m:e>
                    <m:r>
                      <w:rPr>
                        <w:rFonts w:ascii="Cambria Math" w:eastAsia="Calibri" w:hAnsi="Cambria Math" w:cs="Times New Roman"/>
                      </w:rPr>
                      <m:t>∆P</m:t>
                    </m:r>
                  </m:e>
                  <m:sub>
                    <m:r>
                      <w:rPr>
                        <w:rFonts w:ascii="Cambria Math" w:eastAsia="Calibri" w:hAnsi="Cambria Math" w:cs="Times New Roman"/>
                      </w:rPr>
                      <m:t>p,c</m:t>
                    </m:r>
                  </m:sub>
                </m:sSub>
              </m:oMath>
            </m:oMathPara>
          </w:p>
        </w:tc>
        <w:tc>
          <w:tcPr>
            <w:tcW w:w="3205" w:type="dxa"/>
          </w:tcPr>
          <w:p w14:paraId="331531A7" w14:textId="77777777" w:rsidR="00912229" w:rsidRDefault="00912229" w:rsidP="00CD39BA">
            <w:pPr>
              <w:jc w:val="center"/>
            </w:pPr>
          </w:p>
        </w:tc>
      </w:tr>
      <w:tr w:rsidR="00912229" w14:paraId="32931170" w14:textId="77777777" w:rsidTr="00CD39BA">
        <w:trPr>
          <w:jc w:val="center"/>
        </w:trPr>
        <w:tc>
          <w:tcPr>
            <w:tcW w:w="1126" w:type="dxa"/>
          </w:tcPr>
          <w:p w14:paraId="66384E4D" w14:textId="77777777" w:rsidR="00912229" w:rsidRDefault="00912229" w:rsidP="00CD39BA">
            <w:pPr>
              <w:jc w:val="center"/>
            </w:pPr>
            <w:r>
              <w:t>13.58</w:t>
            </w:r>
          </w:p>
        </w:tc>
        <w:tc>
          <w:tcPr>
            <w:tcW w:w="2516" w:type="dxa"/>
          </w:tcPr>
          <w:p w14:paraId="1920DF0E" w14:textId="77777777" w:rsidR="00912229" w:rsidRPr="00D44E9A" w:rsidRDefault="00912229" w:rsidP="00CD39BA">
            <w:pPr>
              <w:jc w:val="center"/>
              <w:rPr>
                <w:rFonts w:ascii="Calibri" w:eastAsia="Calibri" w:hAnsi="Calibri" w:cs="Times New Roman"/>
              </w:rPr>
            </w:pPr>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m</m:t>
                        </m:r>
                      </m:e>
                    </m:acc>
                  </m:e>
                  <m:sub>
                    <m:r>
                      <w:rPr>
                        <w:rFonts w:ascii="Cambria Math" w:hAnsi="Cambria Math"/>
                      </w:rPr>
                      <m:t>h</m:t>
                    </m:r>
                  </m:sub>
                </m:sSub>
                <m:r>
                  <w:rPr>
                    <w:rFonts w:ascii="Cambria Math" w:hAnsi="Cambria Math"/>
                  </w:rPr>
                  <m:t>,</m:t>
                </m:r>
                <m:sSub>
                  <m:sSubPr>
                    <m:ctrlPr>
                      <w:rPr>
                        <w:rFonts w:ascii="Cambria Math" w:hAnsi="Cambria Math"/>
                        <w:i/>
                      </w:rPr>
                    </m:ctrlPr>
                  </m:sSubPr>
                  <m:e>
                    <m:r>
                      <w:rPr>
                        <w:rFonts w:ascii="Cambria Math" w:hAnsi="Cambria Math"/>
                      </w:rPr>
                      <m:t>ρ</m:t>
                    </m:r>
                  </m:e>
                  <m:sub>
                    <m:r>
                      <w:rPr>
                        <w:rFonts w:ascii="Cambria Math" w:hAnsi="Cambria Math"/>
                      </w:rPr>
                      <m:t>h</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pl</m:t>
                    </m:r>
                  </m:sub>
                </m:sSub>
              </m:oMath>
            </m:oMathPara>
          </w:p>
        </w:tc>
        <w:tc>
          <w:tcPr>
            <w:tcW w:w="1052" w:type="dxa"/>
          </w:tcPr>
          <w:p w14:paraId="1D19D1F6" w14:textId="77777777" w:rsidR="00912229" w:rsidRPr="0037213E" w:rsidRDefault="00912229" w:rsidP="00CD39BA">
            <w:pPr>
              <w:jc w:val="center"/>
              <w:rPr>
                <w:rFonts w:ascii="Calibri" w:eastAsia="Calibri" w:hAnsi="Calibri" w:cs="Times New Roman"/>
              </w:rPr>
            </w:pPr>
            <m:oMathPara>
              <m:oMath>
                <m:sSub>
                  <m:sSubPr>
                    <m:ctrlPr>
                      <w:rPr>
                        <w:rFonts w:ascii="Cambria Math" w:hAnsi="Cambria Math"/>
                        <w:i/>
                      </w:rPr>
                    </m:ctrlPr>
                  </m:sSubPr>
                  <m:e>
                    <m:r>
                      <w:rPr>
                        <w:rFonts w:ascii="Cambria Math" w:hAnsi="Cambria Math"/>
                      </w:rPr>
                      <m:t>u</m:t>
                    </m:r>
                  </m:e>
                  <m:sub>
                    <m:r>
                      <w:rPr>
                        <w:rFonts w:ascii="Cambria Math" w:hAnsi="Cambria Math"/>
                      </w:rPr>
                      <m:t>p,c</m:t>
                    </m:r>
                  </m:sub>
                </m:sSub>
              </m:oMath>
            </m:oMathPara>
          </w:p>
        </w:tc>
        <w:tc>
          <w:tcPr>
            <w:tcW w:w="3205" w:type="dxa"/>
          </w:tcPr>
          <w:p w14:paraId="029894DA" w14:textId="77777777" w:rsidR="00912229" w:rsidRDefault="00912229" w:rsidP="00CD39BA">
            <w:pPr>
              <w:jc w:val="center"/>
            </w:pPr>
            <w:proofErr w:type="spellStart"/>
            <w:r>
              <w:t>Eqn</w:t>
            </w:r>
            <w:proofErr w:type="spellEnd"/>
            <w:r>
              <w:t xml:space="preserve"> 13.59</w:t>
            </w:r>
          </w:p>
        </w:tc>
      </w:tr>
      <w:tr w:rsidR="00912229" w14:paraId="62957001" w14:textId="77777777" w:rsidTr="00CD39BA">
        <w:trPr>
          <w:jc w:val="center"/>
        </w:trPr>
        <w:tc>
          <w:tcPr>
            <w:tcW w:w="1126" w:type="dxa"/>
          </w:tcPr>
          <w:p w14:paraId="4F10CFE7" w14:textId="77777777" w:rsidR="00912229" w:rsidRDefault="00912229" w:rsidP="00CD39BA">
            <w:pPr>
              <w:jc w:val="center"/>
            </w:pPr>
            <w:r>
              <w:t>13.59</w:t>
            </w:r>
          </w:p>
        </w:tc>
        <w:tc>
          <w:tcPr>
            <w:tcW w:w="2516" w:type="dxa"/>
          </w:tcPr>
          <w:p w14:paraId="5304B612" w14:textId="77777777" w:rsidR="00912229" w:rsidRPr="00D44E9A" w:rsidRDefault="00912229" w:rsidP="00CD39BA">
            <w:pPr>
              <w:jc w:val="center"/>
              <w:rPr>
                <w:rFonts w:ascii="Calibri" w:eastAsia="Calibri" w:hAnsi="Calibri" w:cs="Times New Roman"/>
              </w:rPr>
            </w:pPr>
            <m:oMathPara>
              <m:oMath>
                <m:sSub>
                  <m:sSubPr>
                    <m:ctrlPr>
                      <w:rPr>
                        <w:rFonts w:ascii="Cambria Math" w:hAnsi="Cambria Math"/>
                        <w:b/>
                        <w:i/>
                      </w:rPr>
                    </m:ctrlPr>
                  </m:sSubPr>
                  <m:e>
                    <m:r>
                      <m:rPr>
                        <m:sty m:val="bi"/>
                      </m:rPr>
                      <w:rPr>
                        <w:rFonts w:ascii="Cambria Math" w:hAnsi="Cambria Math"/>
                      </w:rPr>
                      <m:t>N</m:t>
                    </m:r>
                  </m:e>
                  <m:sub>
                    <m:r>
                      <m:rPr>
                        <m:sty m:val="bi"/>
                      </m:rPr>
                      <w:rPr>
                        <w:rFonts w:ascii="Cambria Math" w:hAnsi="Cambria Math"/>
                      </w:rPr>
                      <m:t>pl</m:t>
                    </m:r>
                  </m:sub>
                </m:sSub>
                <m:r>
                  <w:rPr>
                    <w:rFonts w:ascii="Cambria Math" w:eastAsia="Calibri" w:hAnsi="Cambria Math" w:cs="Times New Roman"/>
                  </w:rPr>
                  <m:t>,</m:t>
                </m:r>
                <m:sSub>
                  <m:sSubPr>
                    <m:ctrlPr>
                      <w:rPr>
                        <w:rFonts w:ascii="Cambria Math" w:hAnsi="Cambria Math"/>
                        <w:b/>
                        <w:i/>
                      </w:rPr>
                    </m:ctrlPr>
                  </m:sSubPr>
                  <m:e>
                    <m:r>
                      <m:rPr>
                        <m:sty m:val="bi"/>
                      </m:rPr>
                      <w:rPr>
                        <w:rFonts w:ascii="Cambria Math" w:hAnsi="Cambria Math"/>
                      </w:rPr>
                      <m:t>u</m:t>
                    </m:r>
                  </m:e>
                  <m:sub>
                    <m:r>
                      <m:rPr>
                        <m:sty m:val="bi"/>
                      </m:rPr>
                      <w:rPr>
                        <w:rFonts w:ascii="Cambria Math" w:hAnsi="Cambria Math"/>
                      </w:rPr>
                      <m:t>p,c</m:t>
                    </m:r>
                  </m:sub>
                </m:sSub>
                <m:r>
                  <w:rPr>
                    <w:rFonts w:ascii="Cambria Math" w:hAnsi="Cambria Math"/>
                  </w:rPr>
                  <m:t>,</m:t>
                </m:r>
                <m:sSub>
                  <m:sSubPr>
                    <m:ctrlPr>
                      <w:rPr>
                        <w:rFonts w:ascii="Cambria Math" w:hAnsi="Cambria Math"/>
                        <w:i/>
                      </w:rPr>
                    </m:ctrlPr>
                  </m:sSubPr>
                  <m:e>
                    <m:r>
                      <w:rPr>
                        <w:rFonts w:ascii="Cambria Math" w:hAnsi="Cambria Math"/>
                      </w:rPr>
                      <m:t>ρ</m:t>
                    </m:r>
                  </m:e>
                  <m:sub>
                    <m:r>
                      <w:rPr>
                        <w:rFonts w:ascii="Cambria Math" w:hAnsi="Cambria Math"/>
                      </w:rPr>
                      <m:t>c</m:t>
                    </m:r>
                  </m:sub>
                </m:sSub>
              </m:oMath>
            </m:oMathPara>
          </w:p>
        </w:tc>
        <w:tc>
          <w:tcPr>
            <w:tcW w:w="1052" w:type="dxa"/>
          </w:tcPr>
          <w:p w14:paraId="76C9B29E" w14:textId="77777777" w:rsidR="00912229" w:rsidRPr="0037213E" w:rsidRDefault="00912229" w:rsidP="00CD39BA">
            <w:pPr>
              <w:jc w:val="center"/>
              <w:rPr>
                <w:rFonts w:ascii="Calibri" w:eastAsia="Calibri" w:hAnsi="Calibri" w:cs="Times New Roman"/>
              </w:rPr>
            </w:pPr>
          </w:p>
        </w:tc>
        <w:tc>
          <w:tcPr>
            <w:tcW w:w="3205" w:type="dxa"/>
          </w:tcPr>
          <w:p w14:paraId="32D64EAF" w14:textId="77777777" w:rsidR="00912229" w:rsidRDefault="00912229" w:rsidP="00CD39BA">
            <w:pPr>
              <w:jc w:val="center"/>
            </w:pPr>
          </w:p>
        </w:tc>
      </w:tr>
    </w:tbl>
    <w:p w14:paraId="4B500DCF" w14:textId="77777777" w:rsidR="00912229" w:rsidRDefault="00912229" w:rsidP="00A7521D">
      <w:pPr>
        <w:rPr>
          <w:iCs/>
        </w:rPr>
      </w:pPr>
    </w:p>
    <w:p w14:paraId="64B4DDAF" w14:textId="77777777" w:rsidR="00A7521D" w:rsidRDefault="00A7521D" w:rsidP="00A7521D">
      <w:pPr>
        <w:pStyle w:val="Heading2"/>
      </w:pPr>
      <w:bookmarkStart w:id="1043" w:name="_Toc525230059"/>
      <w:bookmarkStart w:id="1044" w:name="_Toc7187607"/>
      <w:r>
        <w:t>Fired Heater and Boiler Equations</w:t>
      </w:r>
      <w:bookmarkEnd w:id="1043"/>
      <w:bookmarkEnd w:id="1044"/>
    </w:p>
    <w:p w14:paraId="09A965C8" w14:textId="3EBAE965" w:rsidR="00A7521D" w:rsidRDefault="00A7521D" w:rsidP="00A7521D">
      <w:r>
        <w:t xml:space="preserve">The equations used in the modelling of the FHs and boilers are shown below, as calculated in section </w:t>
      </w:r>
      <w:r w:rsidR="00D82F1A">
        <w:fldChar w:fldCharType="begin"/>
      </w:r>
      <w:r w:rsidR="00D82F1A">
        <w:instrText xml:space="preserve"> REF _Ref531345428 \n \h </w:instrText>
      </w:r>
      <w:r w:rsidR="00D82F1A">
        <w:fldChar w:fldCharType="separate"/>
      </w:r>
      <w:r w:rsidR="00CB7456">
        <w:t>5.1.1.5</w:t>
      </w:r>
      <w:r w:rsidR="00D82F1A">
        <w:fldChar w:fldCharType="end"/>
      </w:r>
      <w:r w:rsidR="00D82F1A">
        <w:t xml:space="preserve"> and section </w:t>
      </w:r>
      <w:r w:rsidR="00D82F1A">
        <w:fldChar w:fldCharType="begin"/>
      </w:r>
      <w:r w:rsidR="00D82F1A">
        <w:instrText xml:space="preserve"> REF _Ref531345430 \n \h </w:instrText>
      </w:r>
      <w:r w:rsidR="00D82F1A">
        <w:fldChar w:fldCharType="separate"/>
      </w:r>
      <w:r w:rsidR="00CB7456">
        <w:t>5.1.1.7</w:t>
      </w:r>
      <w:r w:rsidR="00D82F1A">
        <w:fldChar w:fldCharType="end"/>
      </w:r>
      <w:r>
        <w:t xml:space="preserve">. All equations came from equipment design handbook for refineries and chemical plants </w:t>
      </w:r>
      <w:r>
        <w:fldChar w:fldCharType="begin" w:fldLock="1"/>
      </w:r>
      <w:r w:rsidR="002A6A73">
        <w:instrText>ADDIN CSL_CITATION {"citationItems":[{"id":"ITEM-1","itemData":{"ISBN":"0-87201-255-7","author":[{"dropping-particle":"","family":"Evans","given":"Frank L.","non-dropping-particle":"","parse-names":false,"suffix":""}],"container-title":"Equipment Design Handbook for Refineries and Chemical Plants","edition":"2","id":"ITEM-1","issued":{"date-parts":[["1974"]]},"page":"1-27","publisher":"Gulf Publishing Company","publisher-place":"Houston, America","title":"Fired Heaters and Boilers","type":"chapter"},"uris":["http://www.mendeley.com/documents/?uuid=70297c0c-6a5f-4751-91c5-d4386302a47e"]}],"mendeley":{"formattedCitation":"(Evans, 1974)","plainTextFormattedCitation":"(Evans, 1974)","previouslyFormattedCitation":"(Evans, 1974)"},"properties":{"noteIndex":0},"schema":"https://github.com/citation-style-language/schema/raw/master/csl-citation.json"}</w:instrText>
      </w:r>
      <w:r>
        <w:fldChar w:fldCharType="separate"/>
      </w:r>
      <w:r w:rsidR="002A6A73" w:rsidRPr="002A6A73">
        <w:rPr>
          <w:noProof/>
        </w:rPr>
        <w:t>(Evans, 1974)</w:t>
      </w:r>
      <w:r>
        <w:fldChar w:fldCharType="end"/>
      </w:r>
      <w: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37"/>
        <w:gridCol w:w="239"/>
        <w:gridCol w:w="822"/>
      </w:tblGrid>
      <w:tr w:rsidR="00A7521D" w14:paraId="1690905D" w14:textId="77777777" w:rsidTr="00A7521D">
        <w:tc>
          <w:tcPr>
            <w:tcW w:w="7137" w:type="dxa"/>
            <w:hideMark/>
          </w:tcPr>
          <w:p w14:paraId="42B27004" w14:textId="77777777" w:rsidR="00A7521D" w:rsidRDefault="00C73E04" w:rsidP="00A7521D">
            <w:pPr>
              <w:keepNext/>
              <w:rPr>
                <w:color w:val="FFFFFF"/>
              </w:rPr>
            </w:pPr>
            <m:oMathPara>
              <m:oMathParaPr>
                <m:jc m:val="left"/>
              </m:oMathParaPr>
              <m:oMath>
                <m:f>
                  <m:fPr>
                    <m:ctrlPr>
                      <w:rPr>
                        <w:rFonts w:ascii="Cambria Math" w:hAnsi="Cambria Math"/>
                        <w:i/>
                      </w:rPr>
                    </m:ctrlPr>
                  </m:fPr>
                  <m:num>
                    <m:sSub>
                      <m:sSubPr>
                        <m:ctrlPr>
                          <w:rPr>
                            <w:rFonts w:ascii="Cambria Math" w:hAnsi="Cambria Math"/>
                            <w:i/>
                          </w:rPr>
                        </m:ctrlPr>
                      </m:sSubPr>
                      <m:e>
                        <m:r>
                          <w:rPr>
                            <w:rFonts w:ascii="Cambria Math" w:hAnsi="Cambria Math"/>
                          </w:rPr>
                          <m:t>q</m:t>
                        </m:r>
                      </m:e>
                      <m:sub>
                        <m:r>
                          <w:rPr>
                            <w:rFonts w:ascii="Cambria Math" w:hAnsi="Cambria Math"/>
                          </w:rPr>
                          <m:t>g</m:t>
                        </m:r>
                      </m:sub>
                    </m:sSub>
                  </m:num>
                  <m:den>
                    <m:sSub>
                      <m:sSubPr>
                        <m:ctrlPr>
                          <w:rPr>
                            <w:rFonts w:ascii="Cambria Math" w:hAnsi="Cambria Math"/>
                            <w:i/>
                          </w:rPr>
                        </m:ctrlPr>
                      </m:sSubPr>
                      <m:e>
                        <m:r>
                          <w:rPr>
                            <w:rFonts w:ascii="Cambria Math" w:hAnsi="Cambria Math"/>
                          </w:rPr>
                          <m:t>q</m:t>
                        </m:r>
                      </m:e>
                      <m:sub>
                        <m:r>
                          <w:rPr>
                            <w:rFonts w:ascii="Cambria Math" w:hAnsi="Cambria Math"/>
                          </w:rPr>
                          <m:t>cm</m:t>
                        </m:r>
                      </m:sub>
                    </m:sSub>
                  </m:den>
                </m:f>
                <m:r>
                  <w:rPr>
                    <w:rFonts w:ascii="Cambria Math" w:hAnsi="Cambria Math"/>
                  </w:rPr>
                  <m:t>=1+</m:t>
                </m:r>
                <m:f>
                  <m:fPr>
                    <m:ctrlPr>
                      <w:rPr>
                        <w:rFonts w:ascii="Cambria Math" w:hAnsi="Cambria Math"/>
                        <w:i/>
                      </w:rPr>
                    </m:ctrlPr>
                  </m:fPr>
                  <m:num>
                    <m:sSub>
                      <m:sSubPr>
                        <m:ctrlPr>
                          <w:rPr>
                            <w:rFonts w:ascii="Cambria Math" w:hAnsi="Cambria Math"/>
                            <w:i/>
                          </w:rPr>
                        </m:ctrlPr>
                      </m:sSubPr>
                      <m:e>
                        <m:r>
                          <w:rPr>
                            <w:rFonts w:ascii="Cambria Math" w:hAnsi="Cambria Math"/>
                          </w:rPr>
                          <m:t>q</m:t>
                        </m:r>
                      </m:e>
                      <m:sub>
                        <m:r>
                          <w:rPr>
                            <w:rFonts w:ascii="Cambria Math" w:hAnsi="Cambria Math"/>
                          </w:rPr>
                          <m:t>ca</m:t>
                        </m:r>
                      </m:sub>
                    </m:sSub>
                  </m:num>
                  <m:den>
                    <m:sSub>
                      <m:sSubPr>
                        <m:ctrlPr>
                          <w:rPr>
                            <w:rFonts w:ascii="Cambria Math" w:hAnsi="Cambria Math"/>
                            <w:i/>
                          </w:rPr>
                        </m:ctrlPr>
                      </m:sSubPr>
                      <m:e>
                        <m:r>
                          <w:rPr>
                            <w:rFonts w:ascii="Cambria Math" w:hAnsi="Cambria Math"/>
                          </w:rPr>
                          <m:t>q</m:t>
                        </m:r>
                      </m:e>
                      <m:sub>
                        <m:r>
                          <w:rPr>
                            <w:rFonts w:ascii="Cambria Math" w:hAnsi="Cambria Math"/>
                          </w:rPr>
                          <m:t>cm</m:t>
                        </m:r>
                      </m:sub>
                    </m:sSub>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q</m:t>
                        </m:r>
                      </m:e>
                      <m:sub>
                        <m:r>
                          <w:rPr>
                            <w:rFonts w:ascii="Cambria Math" w:hAnsi="Cambria Math"/>
                          </w:rPr>
                          <m:t>fu</m:t>
                        </m:r>
                      </m:sub>
                    </m:sSub>
                  </m:num>
                  <m:den>
                    <m:sSub>
                      <m:sSubPr>
                        <m:ctrlPr>
                          <w:rPr>
                            <w:rFonts w:ascii="Cambria Math" w:hAnsi="Cambria Math"/>
                            <w:i/>
                          </w:rPr>
                        </m:ctrlPr>
                      </m:sSubPr>
                      <m:e>
                        <m:r>
                          <w:rPr>
                            <w:rFonts w:ascii="Cambria Math" w:hAnsi="Cambria Math"/>
                          </w:rPr>
                          <m:t>q</m:t>
                        </m:r>
                      </m:e>
                      <m:sub>
                        <m:r>
                          <w:rPr>
                            <w:rFonts w:ascii="Cambria Math" w:hAnsi="Cambria Math"/>
                          </w:rPr>
                          <m:t>cm</m:t>
                        </m:r>
                      </m:sub>
                    </m:sSub>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q</m:t>
                        </m:r>
                      </m:e>
                      <m:sub>
                        <m:r>
                          <w:rPr>
                            <w:rFonts w:ascii="Cambria Math" w:hAnsi="Cambria Math"/>
                          </w:rPr>
                          <m:t>R</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C</m:t>
                        </m:r>
                      </m:sub>
                    </m:sSub>
                  </m:num>
                  <m:den>
                    <m:sSub>
                      <m:sSubPr>
                        <m:ctrlPr>
                          <w:rPr>
                            <w:rFonts w:ascii="Cambria Math" w:hAnsi="Cambria Math"/>
                            <w:i/>
                          </w:rPr>
                        </m:ctrlPr>
                      </m:sSubPr>
                      <m:e>
                        <m:r>
                          <w:rPr>
                            <w:rFonts w:ascii="Cambria Math" w:hAnsi="Cambria Math"/>
                          </w:rPr>
                          <m:t>q</m:t>
                        </m:r>
                      </m:e>
                      <m:sub>
                        <m:r>
                          <w:rPr>
                            <w:rFonts w:ascii="Cambria Math" w:hAnsi="Cambria Math"/>
                          </w:rPr>
                          <m:t>cm</m:t>
                        </m:r>
                      </m:sub>
                    </m:sSub>
                  </m:den>
                </m:f>
              </m:oMath>
            </m:oMathPara>
          </w:p>
        </w:tc>
        <w:tc>
          <w:tcPr>
            <w:tcW w:w="239" w:type="dxa"/>
            <w:vAlign w:val="center"/>
            <w:hideMark/>
          </w:tcPr>
          <w:p w14:paraId="5280126F" w14:textId="77777777" w:rsidR="00A7521D" w:rsidRDefault="00A7521D" w:rsidP="00A7521D">
            <w:pPr>
              <w:pStyle w:val="Caption"/>
              <w:jc w:val="right"/>
            </w:pPr>
          </w:p>
        </w:tc>
        <w:tc>
          <w:tcPr>
            <w:tcW w:w="822" w:type="dxa"/>
            <w:vAlign w:val="center"/>
            <w:hideMark/>
          </w:tcPr>
          <w:p w14:paraId="16500305" w14:textId="531A1713" w:rsidR="00A7521D" w:rsidRDefault="00A7521D" w:rsidP="00A7521D">
            <w:pPr>
              <w:pStyle w:val="Caption"/>
              <w:jc w:val="right"/>
              <w:rPr>
                <w:b w:val="0"/>
              </w:rPr>
            </w:pPr>
            <w:r>
              <w:rPr>
                <w:noProof/>
              </w:rPr>
              <w:fldChar w:fldCharType="begin"/>
            </w:r>
            <w:r>
              <w:rPr>
                <w:noProof/>
              </w:rPr>
              <w:instrText xml:space="preserve"> STYLEREF 1 \s </w:instrText>
            </w:r>
            <w:r>
              <w:rPr>
                <w:noProof/>
              </w:rPr>
              <w:fldChar w:fldCharType="separate"/>
            </w:r>
            <w:r w:rsidR="00CB7456">
              <w:rPr>
                <w:noProof/>
              </w:rPr>
              <w:t>13</w:t>
            </w:r>
            <w:r>
              <w:rPr>
                <w:noProof/>
              </w:rPr>
              <w:fldChar w:fldCharType="end"/>
            </w:r>
            <w:r>
              <w:rPr>
                <w:noProof/>
              </w:rPr>
              <w:t>.</w:t>
            </w:r>
            <w:r>
              <w:rPr>
                <w:noProof/>
              </w:rPr>
              <w:fldChar w:fldCharType="begin"/>
            </w:r>
            <w:r>
              <w:rPr>
                <w:noProof/>
              </w:rPr>
              <w:instrText xml:space="preserve"> SEQ Equation \* ARABIC \s 1 </w:instrText>
            </w:r>
            <w:r>
              <w:rPr>
                <w:noProof/>
              </w:rPr>
              <w:fldChar w:fldCharType="separate"/>
            </w:r>
            <w:r w:rsidR="00CB7456">
              <w:rPr>
                <w:noProof/>
              </w:rPr>
              <w:t>60</w:t>
            </w:r>
            <w:r>
              <w:rPr>
                <w:noProof/>
              </w:rPr>
              <w:fldChar w:fldCharType="end"/>
            </w:r>
          </w:p>
        </w:tc>
      </w:tr>
    </w:tbl>
    <w:p w14:paraId="42FF0671" w14:textId="77777777" w:rsidR="00A7521D" w:rsidRPr="00A1306D" w:rsidRDefault="00A7521D" w:rsidP="00A7521D">
      <w:pPr>
        <w:pStyle w:val="Caption"/>
      </w:pPr>
    </w:p>
    <w:p w14:paraId="4CA701E7" w14:textId="77777777" w:rsidR="00A7521D" w:rsidRDefault="00C73E04" w:rsidP="00A7521D">
      <w:pPr>
        <w:pStyle w:val="NoSpacing"/>
      </w:pPr>
      <m:oMath>
        <m:sSub>
          <m:sSubPr>
            <m:ctrlPr>
              <w:rPr>
                <w:rFonts w:ascii="Cambria Math" w:hAnsi="Cambria Math"/>
                <w:i/>
              </w:rPr>
            </m:ctrlPr>
          </m:sSubPr>
          <m:e>
            <m:r>
              <w:rPr>
                <w:rFonts w:ascii="Cambria Math" w:hAnsi="Cambria Math"/>
              </w:rPr>
              <m:t>q</m:t>
            </m:r>
          </m:e>
          <m:sub>
            <m:r>
              <w:rPr>
                <w:rFonts w:ascii="Cambria Math" w:hAnsi="Cambria Math"/>
              </w:rPr>
              <m:t>g</m:t>
            </m:r>
          </m:sub>
        </m:sSub>
      </m:oMath>
      <w:r w:rsidR="00A7521D">
        <w:t xml:space="preserve"> was the heat content of the gases </w:t>
      </w:r>
      <w:bookmarkStart w:id="1045" w:name="_Hlk531087679"/>
      <w:r w:rsidR="00A7521D">
        <w:t>(kJ/hr)</w:t>
      </w:r>
      <w:bookmarkEnd w:id="1045"/>
      <w:r w:rsidR="00A7521D">
        <w:t>,</w:t>
      </w:r>
    </w:p>
    <w:p w14:paraId="3E00E77D" w14:textId="77777777" w:rsidR="00A7521D" w:rsidRDefault="00C73E04" w:rsidP="00A7521D">
      <w:pPr>
        <w:pStyle w:val="NoSpacing"/>
      </w:pPr>
      <m:oMath>
        <m:sSub>
          <m:sSubPr>
            <m:ctrlPr>
              <w:rPr>
                <w:rFonts w:ascii="Cambria Math" w:hAnsi="Cambria Math"/>
                <w:i/>
              </w:rPr>
            </m:ctrlPr>
          </m:sSubPr>
          <m:e>
            <m:r>
              <w:rPr>
                <w:rFonts w:ascii="Cambria Math" w:hAnsi="Cambria Math"/>
              </w:rPr>
              <m:t>q</m:t>
            </m:r>
          </m:e>
          <m:sub>
            <m:r>
              <w:rPr>
                <w:rFonts w:ascii="Cambria Math" w:hAnsi="Cambria Math"/>
              </w:rPr>
              <m:t>cm</m:t>
            </m:r>
          </m:sub>
        </m:sSub>
      </m:oMath>
      <w:r w:rsidR="00A7521D">
        <w:t xml:space="preserve"> was the net heat of combustion (kJ/hr),</w:t>
      </w:r>
    </w:p>
    <w:p w14:paraId="43BD87D1" w14:textId="77777777" w:rsidR="00A7521D" w:rsidRPr="001D4C2C" w:rsidRDefault="00C73E04" w:rsidP="00A7521D">
      <w:pPr>
        <w:pStyle w:val="NoSpacing"/>
      </w:pPr>
      <m:oMath>
        <m:sSub>
          <m:sSubPr>
            <m:ctrlPr>
              <w:rPr>
                <w:rFonts w:ascii="Cambria Math" w:hAnsi="Cambria Math"/>
                <w:i/>
              </w:rPr>
            </m:ctrlPr>
          </m:sSubPr>
          <m:e>
            <m:r>
              <w:rPr>
                <w:rFonts w:ascii="Cambria Math" w:hAnsi="Cambria Math"/>
              </w:rPr>
              <m:t>q</m:t>
            </m:r>
          </m:e>
          <m:sub>
            <m:r>
              <w:rPr>
                <w:rFonts w:ascii="Cambria Math" w:hAnsi="Cambria Math"/>
              </w:rPr>
              <m:t>ca</m:t>
            </m:r>
          </m:sub>
        </m:sSub>
      </m:oMath>
      <w:r w:rsidR="00A7521D">
        <w:t xml:space="preserve"> was the heat content of the combustion air (kJ/hr),</w:t>
      </w:r>
    </w:p>
    <w:p w14:paraId="59103BDC" w14:textId="77777777" w:rsidR="00A7521D" w:rsidRPr="001D4C2C" w:rsidRDefault="00C73E04" w:rsidP="00A7521D">
      <w:pPr>
        <w:pStyle w:val="NoSpacing"/>
      </w:pPr>
      <m:oMath>
        <m:sSub>
          <m:sSubPr>
            <m:ctrlPr>
              <w:rPr>
                <w:rFonts w:ascii="Cambria Math" w:hAnsi="Cambria Math"/>
                <w:i/>
              </w:rPr>
            </m:ctrlPr>
          </m:sSubPr>
          <m:e>
            <m:r>
              <w:rPr>
                <w:rFonts w:ascii="Cambria Math" w:hAnsi="Cambria Math"/>
              </w:rPr>
              <m:t>q</m:t>
            </m:r>
          </m:e>
          <m:sub>
            <m:r>
              <w:rPr>
                <w:rFonts w:ascii="Cambria Math" w:hAnsi="Cambria Math"/>
              </w:rPr>
              <m:t>fu</m:t>
            </m:r>
          </m:sub>
        </m:sSub>
      </m:oMath>
      <w:r w:rsidR="00A7521D">
        <w:t xml:space="preserve"> was the heat content of the fuel (kJ/hr),</w:t>
      </w:r>
    </w:p>
    <w:p w14:paraId="5ED54614" w14:textId="77777777" w:rsidR="00A7521D" w:rsidRPr="001D4C2C" w:rsidRDefault="00C73E04" w:rsidP="00A7521D">
      <w:pPr>
        <w:pStyle w:val="NoSpacing"/>
      </w:pPr>
      <m:oMath>
        <m:sSub>
          <m:sSubPr>
            <m:ctrlPr>
              <w:rPr>
                <w:rFonts w:ascii="Cambria Math" w:hAnsi="Cambria Math"/>
                <w:i/>
              </w:rPr>
            </m:ctrlPr>
          </m:sSubPr>
          <m:e>
            <m:r>
              <w:rPr>
                <w:rFonts w:ascii="Cambria Math" w:hAnsi="Cambria Math"/>
              </w:rPr>
              <m:t>q</m:t>
            </m:r>
          </m:e>
          <m:sub>
            <m:r>
              <w:rPr>
                <w:rFonts w:ascii="Cambria Math" w:hAnsi="Cambria Math"/>
              </w:rPr>
              <m:t>R</m:t>
            </m:r>
          </m:sub>
        </m:sSub>
      </m:oMath>
      <w:r w:rsidR="00A7521D">
        <w:t xml:space="preserve"> was the HT rate of the radiant section of the heater (kJ/hr)</w:t>
      </w:r>
    </w:p>
    <w:p w14:paraId="36EE6155" w14:textId="44924E58" w:rsidR="00A7521D" w:rsidRDefault="00C73E04" w:rsidP="00A7521D">
      <m:oMath>
        <m:sSub>
          <m:sSubPr>
            <m:ctrlPr>
              <w:rPr>
                <w:rFonts w:ascii="Cambria Math" w:hAnsi="Cambria Math"/>
                <w:i/>
              </w:rPr>
            </m:ctrlPr>
          </m:sSubPr>
          <m:e>
            <m:r>
              <w:rPr>
                <w:rFonts w:ascii="Cambria Math" w:hAnsi="Cambria Math"/>
              </w:rPr>
              <m:t>q</m:t>
            </m:r>
          </m:e>
          <m:sub>
            <m:r>
              <w:rPr>
                <w:rFonts w:ascii="Cambria Math" w:hAnsi="Cambria Math"/>
              </w:rPr>
              <m:t>C</m:t>
            </m:r>
          </m:sub>
        </m:sSub>
      </m:oMath>
      <w:r w:rsidR="00A7521D">
        <w:t xml:space="preserve"> was the HT rate of the convection section of the heater (kJ/hr).</w:t>
      </w:r>
    </w:p>
    <w:p w14:paraId="3BD46FD8" w14:textId="3E71AC20" w:rsidR="00B90897" w:rsidRDefault="00B90897" w:rsidP="00A7521D">
      <w:r>
        <w:t>The heat content of the gases was dependent on the net heat of combustion, the heat content of the combustion air</w:t>
      </w:r>
      <w:r w:rsidR="00D10243">
        <w:t xml:space="preserve">, the heat content of the fuel, the HT rate of the radiant section of the heater and the HT rate of the convection section of the heater. The net heat of combustion was dependent on the industrial operating conditions. The heat content of the fuel was dependent on the fuel used and the operating conditions.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37"/>
        <w:gridCol w:w="239"/>
        <w:gridCol w:w="822"/>
      </w:tblGrid>
      <w:tr w:rsidR="00A7521D" w14:paraId="60418BC2" w14:textId="77777777" w:rsidTr="00A7521D">
        <w:tc>
          <w:tcPr>
            <w:tcW w:w="7137" w:type="dxa"/>
            <w:hideMark/>
          </w:tcPr>
          <w:p w14:paraId="7218BB37" w14:textId="6918A91E" w:rsidR="00A7521D" w:rsidRDefault="00C73E04" w:rsidP="00A7521D">
            <w:pPr>
              <w:keepNext/>
              <w:rPr>
                <w:color w:val="FFFFFF"/>
              </w:rPr>
            </w:pPr>
            <m:oMathPara>
              <m:oMathParaPr>
                <m:jc m:val="left"/>
              </m:oMathParaPr>
              <m:oMath>
                <m:sSub>
                  <m:sSubPr>
                    <m:ctrlPr>
                      <w:rPr>
                        <w:rFonts w:ascii="Cambria Math" w:hAnsi="Cambria Math"/>
                        <w:i/>
                      </w:rPr>
                    </m:ctrlPr>
                  </m:sSubPr>
                  <m:e>
                    <m:r>
                      <w:rPr>
                        <w:rFonts w:ascii="Cambria Math" w:hAnsi="Cambria Math"/>
                      </w:rPr>
                      <m:t>q</m:t>
                    </m:r>
                  </m:e>
                  <m:sub>
                    <m:r>
                      <w:rPr>
                        <w:rFonts w:ascii="Cambria Math" w:hAnsi="Cambria Math"/>
                      </w:rPr>
                      <m:t>c</m:t>
                    </m:r>
                  </m:sub>
                </m:sSub>
                <m:r>
                  <w:rPr>
                    <w:rFonts w:ascii="Cambria Math" w:hAnsi="Cambria Math"/>
                  </w:rPr>
                  <m:t>=</m:t>
                </m:r>
                <m:f>
                  <m:fPr>
                    <m:ctrlPr>
                      <w:rPr>
                        <w:rFonts w:ascii="Cambria Math" w:hAnsi="Cambria Math"/>
                        <w:i/>
                      </w:rPr>
                    </m:ctrlPr>
                  </m:fPr>
                  <m:num>
                    <m:r>
                      <w:rPr>
                        <w:rFonts w:ascii="Cambria Math" w:hAnsi="Cambria Math"/>
                      </w:rPr>
                      <m:t>q</m:t>
                    </m:r>
                  </m:num>
                  <m:den>
                    <m:sSub>
                      <m:sSubPr>
                        <m:ctrlPr>
                          <w:rPr>
                            <w:rFonts w:ascii="Cambria Math" w:hAnsi="Cambria Math"/>
                            <w:i/>
                          </w:rPr>
                        </m:ctrlPr>
                      </m:sSubPr>
                      <m:e>
                        <m:r>
                          <w:rPr>
                            <w:rFonts w:ascii="Cambria Math" w:hAnsi="Cambria Math"/>
                          </w:rPr>
                          <m:t>η</m:t>
                        </m:r>
                      </m:e>
                      <m:sub>
                        <m:r>
                          <w:rPr>
                            <w:rFonts w:ascii="Cambria Math" w:hAnsi="Cambria Math"/>
                          </w:rPr>
                          <m:t>cm</m:t>
                        </m:r>
                      </m:sub>
                    </m:sSub>
                  </m:den>
                </m:f>
              </m:oMath>
            </m:oMathPara>
          </w:p>
        </w:tc>
        <w:tc>
          <w:tcPr>
            <w:tcW w:w="239" w:type="dxa"/>
            <w:vAlign w:val="center"/>
            <w:hideMark/>
          </w:tcPr>
          <w:p w14:paraId="39D315CE" w14:textId="77777777" w:rsidR="00A7521D" w:rsidRDefault="00A7521D" w:rsidP="00A7521D">
            <w:pPr>
              <w:pStyle w:val="Caption"/>
              <w:jc w:val="right"/>
            </w:pPr>
          </w:p>
        </w:tc>
        <w:tc>
          <w:tcPr>
            <w:tcW w:w="822" w:type="dxa"/>
            <w:vAlign w:val="center"/>
            <w:hideMark/>
          </w:tcPr>
          <w:p w14:paraId="71F85E2B" w14:textId="4E7B0A04" w:rsidR="00A7521D" w:rsidRDefault="00A7521D" w:rsidP="00A7521D">
            <w:pPr>
              <w:pStyle w:val="Caption"/>
              <w:jc w:val="right"/>
              <w:rPr>
                <w:b w:val="0"/>
              </w:rPr>
            </w:pPr>
            <w:r>
              <w:rPr>
                <w:noProof/>
              </w:rPr>
              <w:fldChar w:fldCharType="begin"/>
            </w:r>
            <w:r>
              <w:rPr>
                <w:noProof/>
              </w:rPr>
              <w:instrText xml:space="preserve"> STYLEREF 1 \s </w:instrText>
            </w:r>
            <w:r>
              <w:rPr>
                <w:noProof/>
              </w:rPr>
              <w:fldChar w:fldCharType="separate"/>
            </w:r>
            <w:r w:rsidR="00CB7456">
              <w:rPr>
                <w:noProof/>
              </w:rPr>
              <w:t>13</w:t>
            </w:r>
            <w:r>
              <w:rPr>
                <w:noProof/>
              </w:rPr>
              <w:fldChar w:fldCharType="end"/>
            </w:r>
            <w:r>
              <w:rPr>
                <w:noProof/>
              </w:rPr>
              <w:t>.</w:t>
            </w:r>
            <w:r>
              <w:rPr>
                <w:noProof/>
              </w:rPr>
              <w:fldChar w:fldCharType="begin"/>
            </w:r>
            <w:r>
              <w:rPr>
                <w:noProof/>
              </w:rPr>
              <w:instrText xml:space="preserve"> SEQ Equation \* ARABIC \s 1 </w:instrText>
            </w:r>
            <w:r>
              <w:rPr>
                <w:noProof/>
              </w:rPr>
              <w:fldChar w:fldCharType="separate"/>
            </w:r>
            <w:r w:rsidR="00CB7456">
              <w:rPr>
                <w:noProof/>
              </w:rPr>
              <w:t>61</w:t>
            </w:r>
            <w:r>
              <w:rPr>
                <w:noProof/>
              </w:rPr>
              <w:fldChar w:fldCharType="end"/>
            </w:r>
          </w:p>
        </w:tc>
      </w:tr>
    </w:tbl>
    <w:p w14:paraId="4D9B804C" w14:textId="77777777" w:rsidR="00A7521D" w:rsidRDefault="00A7521D" w:rsidP="00A7521D"/>
    <w:p w14:paraId="6195AFE2" w14:textId="77777777" w:rsidR="00A7521D" w:rsidRDefault="00A7521D" w:rsidP="00A7521D">
      <w:pPr>
        <w:pStyle w:val="NoSpacing"/>
      </w:pPr>
      <m:oMath>
        <m:r>
          <w:rPr>
            <w:rFonts w:ascii="Cambria Math" w:hAnsi="Cambria Math"/>
          </w:rPr>
          <m:t>q</m:t>
        </m:r>
      </m:oMath>
      <w:r>
        <w:t xml:space="preserve"> was the heat rate (kJ/hr),</w:t>
      </w:r>
    </w:p>
    <w:p w14:paraId="46896DDB" w14:textId="29E50CB6" w:rsidR="00A7521D" w:rsidRDefault="00C73E04" w:rsidP="00A7521D">
      <m:oMath>
        <m:sSub>
          <m:sSubPr>
            <m:ctrlPr>
              <w:rPr>
                <w:rFonts w:ascii="Cambria Math" w:hAnsi="Cambria Math"/>
                <w:i/>
              </w:rPr>
            </m:ctrlPr>
          </m:sSubPr>
          <m:e>
            <m:r>
              <w:rPr>
                <w:rFonts w:ascii="Cambria Math" w:hAnsi="Cambria Math"/>
              </w:rPr>
              <m:t>η</m:t>
            </m:r>
          </m:e>
          <m:sub>
            <m:r>
              <w:rPr>
                <w:rFonts w:ascii="Cambria Math" w:hAnsi="Cambria Math"/>
              </w:rPr>
              <m:t>cm</m:t>
            </m:r>
          </m:sub>
        </m:sSub>
      </m:oMath>
      <w:r w:rsidR="00A7521D">
        <w:t xml:space="preserve"> was the efficiency of combustion (%).</w:t>
      </w:r>
    </w:p>
    <w:p w14:paraId="532567BA" w14:textId="41FABF0F" w:rsidR="00D10243" w:rsidRDefault="00D10243" w:rsidP="00A7521D">
      <w:r>
        <w:t>The HT rate of the convection section of the heater was dependent on the heat rate and the efficiency of combustion. The heat rate and the efficiency of combustion were dependent on the industrial operating conditions.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37"/>
        <w:gridCol w:w="239"/>
        <w:gridCol w:w="822"/>
      </w:tblGrid>
      <w:tr w:rsidR="00A7521D" w14:paraId="72F97E8D" w14:textId="77777777" w:rsidTr="00A7521D">
        <w:tc>
          <w:tcPr>
            <w:tcW w:w="7137" w:type="dxa"/>
            <w:hideMark/>
          </w:tcPr>
          <w:p w14:paraId="214854F5" w14:textId="77777777" w:rsidR="00A7521D" w:rsidRDefault="00C73E04" w:rsidP="00A7521D">
            <w:pPr>
              <w:keepNext/>
              <w:rPr>
                <w:color w:val="FFFFFF"/>
              </w:rPr>
            </w:pPr>
            <m:oMathPara>
              <m:oMathParaPr>
                <m:jc m:val="left"/>
              </m:oMathParaPr>
              <m:oMath>
                <m:sSub>
                  <m:sSubPr>
                    <m:ctrlPr>
                      <w:rPr>
                        <w:rFonts w:ascii="Cambria Math" w:hAnsi="Cambria Math"/>
                        <w:i/>
                      </w:rPr>
                    </m:ctrlPr>
                  </m:sSubPr>
                  <m:e>
                    <m:r>
                      <w:rPr>
                        <w:rFonts w:ascii="Cambria Math" w:hAnsi="Cambria Math"/>
                      </w:rPr>
                      <m:t>q</m:t>
                    </m:r>
                  </m:e>
                  <m:sub>
                    <m:r>
                      <w:rPr>
                        <w:rFonts w:ascii="Cambria Math" w:hAnsi="Cambria Math"/>
                      </w:rPr>
                      <m:t>R</m:t>
                    </m:r>
                  </m:sub>
                </m:sSub>
                <m:r>
                  <w:rPr>
                    <w:rFonts w:ascii="Cambria Math" w:hAnsi="Cambria Math"/>
                  </w:rPr>
                  <m:t>=0.7q</m:t>
                </m:r>
              </m:oMath>
            </m:oMathPara>
          </w:p>
        </w:tc>
        <w:tc>
          <w:tcPr>
            <w:tcW w:w="239" w:type="dxa"/>
            <w:vAlign w:val="center"/>
            <w:hideMark/>
          </w:tcPr>
          <w:p w14:paraId="6EF01225" w14:textId="77777777" w:rsidR="00A7521D" w:rsidRDefault="00A7521D" w:rsidP="00A7521D">
            <w:pPr>
              <w:pStyle w:val="Caption"/>
              <w:jc w:val="right"/>
            </w:pPr>
          </w:p>
        </w:tc>
        <w:tc>
          <w:tcPr>
            <w:tcW w:w="822" w:type="dxa"/>
            <w:vAlign w:val="center"/>
            <w:hideMark/>
          </w:tcPr>
          <w:p w14:paraId="0AF4F8CD" w14:textId="493EF6F4" w:rsidR="00A7521D" w:rsidRDefault="00A7521D" w:rsidP="00A7521D">
            <w:pPr>
              <w:pStyle w:val="Caption"/>
              <w:jc w:val="right"/>
              <w:rPr>
                <w:b w:val="0"/>
              </w:rPr>
            </w:pPr>
            <w:r>
              <w:rPr>
                <w:noProof/>
              </w:rPr>
              <w:fldChar w:fldCharType="begin"/>
            </w:r>
            <w:r>
              <w:rPr>
                <w:noProof/>
              </w:rPr>
              <w:instrText xml:space="preserve"> STYLEREF 1 \s </w:instrText>
            </w:r>
            <w:r>
              <w:rPr>
                <w:noProof/>
              </w:rPr>
              <w:fldChar w:fldCharType="separate"/>
            </w:r>
            <w:r w:rsidR="00CB7456">
              <w:rPr>
                <w:noProof/>
              </w:rPr>
              <w:t>13</w:t>
            </w:r>
            <w:r>
              <w:rPr>
                <w:noProof/>
              </w:rPr>
              <w:fldChar w:fldCharType="end"/>
            </w:r>
            <w:r>
              <w:rPr>
                <w:noProof/>
              </w:rPr>
              <w:t>.</w:t>
            </w:r>
            <w:r>
              <w:rPr>
                <w:noProof/>
              </w:rPr>
              <w:fldChar w:fldCharType="begin"/>
            </w:r>
            <w:r>
              <w:rPr>
                <w:noProof/>
              </w:rPr>
              <w:instrText xml:space="preserve"> SEQ Equation \* ARABIC \s 1 </w:instrText>
            </w:r>
            <w:r>
              <w:rPr>
                <w:noProof/>
              </w:rPr>
              <w:fldChar w:fldCharType="separate"/>
            </w:r>
            <w:r w:rsidR="00CB7456">
              <w:rPr>
                <w:noProof/>
              </w:rPr>
              <w:t>62</w:t>
            </w:r>
            <w:r>
              <w:rPr>
                <w:noProof/>
              </w:rPr>
              <w:fldChar w:fldCharType="end"/>
            </w:r>
          </w:p>
        </w:tc>
      </w:tr>
      <w:tr w:rsidR="00A7521D" w14:paraId="21500E73" w14:textId="77777777" w:rsidTr="00A7521D">
        <w:tc>
          <w:tcPr>
            <w:tcW w:w="7137" w:type="dxa"/>
          </w:tcPr>
          <w:p w14:paraId="6878DC42" w14:textId="77777777" w:rsidR="00A7521D" w:rsidRDefault="00A7521D" w:rsidP="00A7521D">
            <w:pPr>
              <w:keepNext/>
              <w:rPr>
                <w:rFonts w:ascii="Calibri" w:eastAsia="SimSun" w:hAnsi="Calibri" w:cs="Arial"/>
              </w:rPr>
            </w:pPr>
          </w:p>
        </w:tc>
        <w:tc>
          <w:tcPr>
            <w:tcW w:w="239" w:type="dxa"/>
            <w:vAlign w:val="center"/>
          </w:tcPr>
          <w:p w14:paraId="7FA6C5AF" w14:textId="77777777" w:rsidR="00A7521D" w:rsidRDefault="00A7521D" w:rsidP="00A7521D">
            <w:pPr>
              <w:pStyle w:val="Caption"/>
              <w:jc w:val="right"/>
            </w:pPr>
          </w:p>
        </w:tc>
        <w:tc>
          <w:tcPr>
            <w:tcW w:w="822" w:type="dxa"/>
            <w:vAlign w:val="center"/>
          </w:tcPr>
          <w:p w14:paraId="3BFAD87D" w14:textId="77777777" w:rsidR="00A7521D" w:rsidRDefault="00A7521D" w:rsidP="00A7521D">
            <w:pPr>
              <w:pStyle w:val="Caption"/>
              <w:jc w:val="right"/>
            </w:pPr>
          </w:p>
        </w:tc>
      </w:tr>
      <w:tr w:rsidR="00A7521D" w14:paraId="3A1155DA" w14:textId="77777777" w:rsidTr="00A7521D">
        <w:tc>
          <w:tcPr>
            <w:tcW w:w="7137" w:type="dxa"/>
            <w:hideMark/>
          </w:tcPr>
          <w:p w14:paraId="17471FDB" w14:textId="47AF09DC" w:rsidR="00A7521D" w:rsidRDefault="00C73E04" w:rsidP="00A7521D">
            <w:pPr>
              <w:keepNext/>
              <w:rPr>
                <w:color w:val="FFFFFF"/>
              </w:rPr>
            </w:pPr>
            <m:oMathPara>
              <m:oMathParaPr>
                <m:jc m:val="left"/>
              </m:oMathParaPr>
              <m:oMath>
                <m:sSub>
                  <m:sSubPr>
                    <m:ctrlPr>
                      <w:rPr>
                        <w:rFonts w:ascii="Cambria Math" w:hAnsi="Cambria Math"/>
                        <w:i/>
                      </w:rPr>
                    </m:ctrlPr>
                  </m:sSubPr>
                  <m:e>
                    <m:r>
                      <w:rPr>
                        <w:rFonts w:ascii="Cambria Math" w:hAnsi="Cambria Math"/>
                      </w:rPr>
                      <m:t>T</m:t>
                    </m:r>
                  </m:e>
                  <m:sub>
                    <m:r>
                      <w:rPr>
                        <w:rFonts w:ascii="Cambria Math" w:hAnsi="Cambria Math"/>
                      </w:rPr>
                      <m:t>fl</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T</m:t>
                        </m:r>
                      </m:e>
                      <m:sub>
                        <m:r>
                          <w:rPr>
                            <w:rFonts w:ascii="Cambria Math" w:hAnsi="Cambria Math"/>
                          </w:rPr>
                          <m:t>c</m:t>
                        </m:r>
                        <m:r>
                          <w:rPr>
                            <w:rFonts w:ascii="Cambria Math" w:hAnsi="Cambria Math"/>
                          </w:rPr>
                          <m:t>r</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2</m:t>
                        </m:r>
                      </m:sub>
                    </m:sSub>
                  </m:num>
                  <m:den>
                    <m:r>
                      <w:rPr>
                        <w:rFonts w:ascii="Cambria Math" w:hAnsi="Cambria Math"/>
                      </w:rPr>
                      <m:t>2</m:t>
                    </m:r>
                  </m:den>
                </m:f>
              </m:oMath>
            </m:oMathPara>
          </w:p>
        </w:tc>
        <w:tc>
          <w:tcPr>
            <w:tcW w:w="239" w:type="dxa"/>
            <w:vAlign w:val="center"/>
            <w:hideMark/>
          </w:tcPr>
          <w:p w14:paraId="1E9DD260" w14:textId="77777777" w:rsidR="00A7521D" w:rsidRDefault="00A7521D" w:rsidP="00A7521D">
            <w:pPr>
              <w:pStyle w:val="Caption"/>
              <w:jc w:val="right"/>
            </w:pPr>
          </w:p>
        </w:tc>
        <w:tc>
          <w:tcPr>
            <w:tcW w:w="822" w:type="dxa"/>
            <w:vAlign w:val="center"/>
            <w:hideMark/>
          </w:tcPr>
          <w:p w14:paraId="279C8119" w14:textId="6ECD2051" w:rsidR="00A7521D" w:rsidRDefault="00A7521D" w:rsidP="00A7521D">
            <w:pPr>
              <w:pStyle w:val="Caption"/>
              <w:jc w:val="right"/>
              <w:rPr>
                <w:b w:val="0"/>
              </w:rPr>
            </w:pPr>
            <w:r>
              <w:rPr>
                <w:noProof/>
              </w:rPr>
              <w:fldChar w:fldCharType="begin"/>
            </w:r>
            <w:r>
              <w:rPr>
                <w:noProof/>
              </w:rPr>
              <w:instrText xml:space="preserve"> STYLEREF 1 \s </w:instrText>
            </w:r>
            <w:r>
              <w:rPr>
                <w:noProof/>
              </w:rPr>
              <w:fldChar w:fldCharType="separate"/>
            </w:r>
            <w:r w:rsidR="00CB7456">
              <w:rPr>
                <w:noProof/>
              </w:rPr>
              <w:t>13</w:t>
            </w:r>
            <w:r>
              <w:rPr>
                <w:noProof/>
              </w:rPr>
              <w:fldChar w:fldCharType="end"/>
            </w:r>
            <w:r>
              <w:rPr>
                <w:noProof/>
              </w:rPr>
              <w:t>.</w:t>
            </w:r>
            <w:r>
              <w:rPr>
                <w:noProof/>
              </w:rPr>
              <w:fldChar w:fldCharType="begin"/>
            </w:r>
            <w:r>
              <w:rPr>
                <w:noProof/>
              </w:rPr>
              <w:instrText xml:space="preserve"> SEQ Equation \* ARABIC \s 1 </w:instrText>
            </w:r>
            <w:r>
              <w:rPr>
                <w:noProof/>
              </w:rPr>
              <w:fldChar w:fldCharType="separate"/>
            </w:r>
            <w:r w:rsidR="00CB7456">
              <w:rPr>
                <w:noProof/>
              </w:rPr>
              <w:t>63</w:t>
            </w:r>
            <w:r>
              <w:rPr>
                <w:noProof/>
              </w:rPr>
              <w:fldChar w:fldCharType="end"/>
            </w:r>
          </w:p>
        </w:tc>
      </w:tr>
      <w:tr w:rsidR="00A7521D" w14:paraId="4D9F7670" w14:textId="77777777" w:rsidTr="00A7521D">
        <w:tc>
          <w:tcPr>
            <w:tcW w:w="7137" w:type="dxa"/>
          </w:tcPr>
          <w:p w14:paraId="461767C2" w14:textId="77777777" w:rsidR="00A7521D" w:rsidRDefault="00A7521D" w:rsidP="00A7521D">
            <w:pPr>
              <w:keepNext/>
              <w:rPr>
                <w:rFonts w:ascii="Calibri" w:eastAsia="SimSun" w:hAnsi="Calibri" w:cs="Arial"/>
              </w:rPr>
            </w:pPr>
          </w:p>
        </w:tc>
        <w:tc>
          <w:tcPr>
            <w:tcW w:w="239" w:type="dxa"/>
            <w:vAlign w:val="center"/>
          </w:tcPr>
          <w:p w14:paraId="0AF455F8" w14:textId="77777777" w:rsidR="00A7521D" w:rsidRDefault="00A7521D" w:rsidP="00A7521D">
            <w:pPr>
              <w:pStyle w:val="Caption"/>
              <w:jc w:val="right"/>
            </w:pPr>
          </w:p>
        </w:tc>
        <w:tc>
          <w:tcPr>
            <w:tcW w:w="822" w:type="dxa"/>
            <w:vAlign w:val="center"/>
          </w:tcPr>
          <w:p w14:paraId="5A92D26D" w14:textId="77777777" w:rsidR="00A7521D" w:rsidRDefault="00A7521D" w:rsidP="00A7521D">
            <w:pPr>
              <w:pStyle w:val="Caption"/>
              <w:jc w:val="right"/>
            </w:pPr>
          </w:p>
        </w:tc>
      </w:tr>
    </w:tbl>
    <w:p w14:paraId="798F9487" w14:textId="77777777" w:rsidR="00A7521D" w:rsidRDefault="00A7521D" w:rsidP="00A7521D"/>
    <w:p w14:paraId="14420A30" w14:textId="77777777" w:rsidR="00A7521D" w:rsidRDefault="00C73E04" w:rsidP="00A7521D">
      <w:pPr>
        <w:pStyle w:val="NoSpacing"/>
      </w:pPr>
      <m:oMath>
        <m:sSub>
          <m:sSubPr>
            <m:ctrlPr>
              <w:rPr>
                <w:rFonts w:ascii="Cambria Math" w:hAnsi="Cambria Math"/>
                <w:i/>
              </w:rPr>
            </m:ctrlPr>
          </m:sSubPr>
          <m:e>
            <m:r>
              <w:rPr>
                <w:rFonts w:ascii="Cambria Math" w:hAnsi="Cambria Math"/>
              </w:rPr>
              <m:t>T</m:t>
            </m:r>
          </m:e>
          <m:sub>
            <m:r>
              <w:rPr>
                <w:rFonts w:ascii="Cambria Math" w:hAnsi="Cambria Math"/>
              </w:rPr>
              <m:t>fl</m:t>
            </m:r>
          </m:sub>
        </m:sSub>
      </m:oMath>
      <w:r w:rsidR="00A7521D">
        <w:t xml:space="preserve"> was the average fluid temperature (K),</w:t>
      </w:r>
    </w:p>
    <w:p w14:paraId="448D92C1" w14:textId="207C2D3E" w:rsidR="00A7521D" w:rsidRDefault="00C73E04" w:rsidP="00A7521D">
      <w:pPr>
        <w:pStyle w:val="NoSpacing"/>
      </w:pPr>
      <m:oMath>
        <m:sSub>
          <m:sSubPr>
            <m:ctrlPr>
              <w:rPr>
                <w:rFonts w:ascii="Cambria Math" w:hAnsi="Cambria Math"/>
                <w:i/>
              </w:rPr>
            </m:ctrlPr>
          </m:sSubPr>
          <m:e>
            <m:r>
              <w:rPr>
                <w:rFonts w:ascii="Cambria Math" w:hAnsi="Cambria Math"/>
              </w:rPr>
              <m:t>T</m:t>
            </m:r>
          </m:e>
          <m:sub>
            <m:r>
              <w:rPr>
                <w:rFonts w:ascii="Cambria Math" w:hAnsi="Cambria Math"/>
              </w:rPr>
              <m:t>c</m:t>
            </m:r>
          </m:sub>
        </m:sSub>
      </m:oMath>
      <w:r w:rsidR="00A7521D">
        <w:t xml:space="preserve"> was the crossover fluid temperature (K),</w:t>
      </w:r>
    </w:p>
    <w:p w14:paraId="0643BC40" w14:textId="52375172" w:rsidR="00A7521D" w:rsidRDefault="00C73E04" w:rsidP="00A7521D">
      <m:oMath>
        <m:sSub>
          <m:sSubPr>
            <m:ctrlPr>
              <w:rPr>
                <w:rFonts w:ascii="Cambria Math" w:hAnsi="Cambria Math"/>
                <w:i/>
              </w:rPr>
            </m:ctrlPr>
          </m:sSubPr>
          <m:e>
            <m:r>
              <w:rPr>
                <w:rFonts w:ascii="Cambria Math" w:hAnsi="Cambria Math"/>
              </w:rPr>
              <m:t>T</m:t>
            </m:r>
          </m:e>
          <m:sub>
            <m:r>
              <w:rPr>
                <w:rFonts w:ascii="Cambria Math" w:hAnsi="Cambria Math"/>
              </w:rPr>
              <m:t>2</m:t>
            </m:r>
          </m:sub>
        </m:sSub>
      </m:oMath>
      <w:r w:rsidR="00A7521D">
        <w:t xml:space="preserve"> was the steam outlet temperature (K).</w:t>
      </w:r>
    </w:p>
    <w:p w14:paraId="2F3C5C67" w14:textId="3F576E50" w:rsidR="00D10243" w:rsidRDefault="00D10243" w:rsidP="00A7521D">
      <w:r>
        <w:t>The average fluid temperatures were dependent on the crossover fluid temperature and the steam outlet temperatures. The steam outlet temperature was dependent on the operating conditions.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37"/>
        <w:gridCol w:w="239"/>
        <w:gridCol w:w="822"/>
      </w:tblGrid>
      <w:tr w:rsidR="00A7521D" w14:paraId="0FA4BEAD" w14:textId="77777777" w:rsidTr="00A7521D">
        <w:tc>
          <w:tcPr>
            <w:tcW w:w="7137" w:type="dxa"/>
            <w:hideMark/>
          </w:tcPr>
          <w:p w14:paraId="6F999753" w14:textId="211A0A53" w:rsidR="00A7521D" w:rsidRDefault="00C73E04" w:rsidP="00A7521D">
            <w:pPr>
              <w:keepNext/>
              <w:rPr>
                <w:color w:val="FFFFFF"/>
              </w:rPr>
            </w:pPr>
            <m:oMathPara>
              <m:oMathParaPr>
                <m:jc m:val="left"/>
              </m:oMathParaPr>
              <m:oMath>
                <m:sSub>
                  <m:sSubPr>
                    <m:ctrlPr>
                      <w:rPr>
                        <w:rFonts w:ascii="Cambria Math" w:hAnsi="Cambria Math"/>
                        <w:i/>
                      </w:rPr>
                    </m:ctrlPr>
                  </m:sSubPr>
                  <m:e>
                    <m:r>
                      <w:rPr>
                        <w:rFonts w:ascii="Cambria Math" w:hAnsi="Cambria Math"/>
                      </w:rPr>
                      <m:t>T</m:t>
                    </m:r>
                  </m:e>
                  <m:sub>
                    <m:r>
                      <w:rPr>
                        <w:rFonts w:ascii="Cambria Math" w:hAnsi="Cambria Math"/>
                      </w:rPr>
                      <m:t>c</m:t>
                    </m:r>
                    <m:r>
                      <w:rPr>
                        <w:rFonts w:ascii="Cambria Math" w:hAnsi="Cambria Math"/>
                      </w:rPr>
                      <m:t>r</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2</m:t>
                    </m:r>
                  </m:sub>
                </m:sSub>
                <m:r>
                  <w:rPr>
                    <w:rFonts w:ascii="Cambria Math" w:hAnsi="Cambria Math"/>
                  </w:rPr>
                  <m:t>-0.7</m:t>
                </m:r>
                <m:d>
                  <m:dPr>
                    <m:ctrlPr>
                      <w:rPr>
                        <w:rFonts w:ascii="Cambria Math" w:hAnsi="Cambria Math"/>
                        <w:i/>
                      </w:rPr>
                    </m:ctrlPr>
                  </m:dPr>
                  <m:e>
                    <m:sSub>
                      <m:sSubPr>
                        <m:ctrlPr>
                          <w:rPr>
                            <w:rFonts w:ascii="Cambria Math" w:hAnsi="Cambria Math"/>
                            <w:i/>
                          </w:rPr>
                        </m:ctrlPr>
                      </m:sSubPr>
                      <m:e>
                        <m:r>
                          <w:rPr>
                            <w:rFonts w:ascii="Cambria Math" w:hAnsi="Cambria Math"/>
                          </w:rPr>
                          <m:t>T</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1</m:t>
                        </m:r>
                      </m:sub>
                    </m:sSub>
                  </m:e>
                </m:d>
              </m:oMath>
            </m:oMathPara>
          </w:p>
        </w:tc>
        <w:tc>
          <w:tcPr>
            <w:tcW w:w="239" w:type="dxa"/>
            <w:vAlign w:val="center"/>
            <w:hideMark/>
          </w:tcPr>
          <w:p w14:paraId="724F2E34" w14:textId="77777777" w:rsidR="00A7521D" w:rsidRDefault="00A7521D" w:rsidP="00A7521D">
            <w:pPr>
              <w:pStyle w:val="Caption"/>
              <w:jc w:val="right"/>
            </w:pPr>
          </w:p>
        </w:tc>
        <w:tc>
          <w:tcPr>
            <w:tcW w:w="822" w:type="dxa"/>
            <w:vAlign w:val="center"/>
            <w:hideMark/>
          </w:tcPr>
          <w:p w14:paraId="62AC8630" w14:textId="034B92B7" w:rsidR="00A7521D" w:rsidRDefault="00A7521D" w:rsidP="00A7521D">
            <w:pPr>
              <w:pStyle w:val="Caption"/>
              <w:jc w:val="right"/>
              <w:rPr>
                <w:b w:val="0"/>
              </w:rPr>
            </w:pPr>
            <w:r>
              <w:rPr>
                <w:noProof/>
              </w:rPr>
              <w:fldChar w:fldCharType="begin"/>
            </w:r>
            <w:r>
              <w:rPr>
                <w:noProof/>
              </w:rPr>
              <w:instrText xml:space="preserve"> STYLEREF 1 \s </w:instrText>
            </w:r>
            <w:r>
              <w:rPr>
                <w:noProof/>
              </w:rPr>
              <w:fldChar w:fldCharType="separate"/>
            </w:r>
            <w:r w:rsidR="00CB7456">
              <w:rPr>
                <w:noProof/>
              </w:rPr>
              <w:t>13</w:t>
            </w:r>
            <w:r>
              <w:rPr>
                <w:noProof/>
              </w:rPr>
              <w:fldChar w:fldCharType="end"/>
            </w:r>
            <w:r>
              <w:rPr>
                <w:noProof/>
              </w:rPr>
              <w:t>.</w:t>
            </w:r>
            <w:r>
              <w:rPr>
                <w:noProof/>
              </w:rPr>
              <w:fldChar w:fldCharType="begin"/>
            </w:r>
            <w:r>
              <w:rPr>
                <w:noProof/>
              </w:rPr>
              <w:instrText xml:space="preserve"> SEQ Equation \* ARABIC \s 1 </w:instrText>
            </w:r>
            <w:r>
              <w:rPr>
                <w:noProof/>
              </w:rPr>
              <w:fldChar w:fldCharType="separate"/>
            </w:r>
            <w:r w:rsidR="00CB7456">
              <w:rPr>
                <w:noProof/>
              </w:rPr>
              <w:t>64</w:t>
            </w:r>
            <w:r>
              <w:rPr>
                <w:noProof/>
              </w:rPr>
              <w:fldChar w:fldCharType="end"/>
            </w:r>
          </w:p>
        </w:tc>
      </w:tr>
    </w:tbl>
    <w:p w14:paraId="3E33A127" w14:textId="77777777" w:rsidR="00A7521D" w:rsidRPr="000E679D" w:rsidRDefault="00A7521D" w:rsidP="00A7521D">
      <w:pPr>
        <w:pStyle w:val="Caption"/>
      </w:pPr>
    </w:p>
    <w:p w14:paraId="5DBA38BF" w14:textId="56E07053" w:rsidR="00A7521D" w:rsidRDefault="00C73E04" w:rsidP="00A7521D">
      <m:oMath>
        <m:sSub>
          <m:sSubPr>
            <m:ctrlPr>
              <w:rPr>
                <w:rFonts w:ascii="Cambria Math" w:hAnsi="Cambria Math"/>
                <w:i/>
              </w:rPr>
            </m:ctrlPr>
          </m:sSubPr>
          <m:e>
            <m:r>
              <w:rPr>
                <w:rFonts w:ascii="Cambria Math" w:hAnsi="Cambria Math"/>
              </w:rPr>
              <m:t>T</m:t>
            </m:r>
          </m:e>
          <m:sub>
            <m:r>
              <w:rPr>
                <w:rFonts w:ascii="Cambria Math" w:hAnsi="Cambria Math"/>
              </w:rPr>
              <m:t>1</m:t>
            </m:r>
          </m:sub>
        </m:sSub>
      </m:oMath>
      <w:r w:rsidR="00A7521D">
        <w:t xml:space="preserve"> was the stream inlet temperature (K).</w:t>
      </w:r>
    </w:p>
    <w:p w14:paraId="7B4200F5" w14:textId="1E4A5CC0" w:rsidR="00D10243" w:rsidRDefault="00D10243" w:rsidP="00A7521D">
      <w:r>
        <w:t>The crossover fluid temperature was dependent on the stream inlet and outlet temperatures. The stream outlet temperature was dependent on the operating conditions.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37"/>
        <w:gridCol w:w="239"/>
        <w:gridCol w:w="822"/>
      </w:tblGrid>
      <w:tr w:rsidR="00A7521D" w14:paraId="7D2BDB72" w14:textId="77777777" w:rsidTr="00A7521D">
        <w:tc>
          <w:tcPr>
            <w:tcW w:w="7137" w:type="dxa"/>
            <w:hideMark/>
          </w:tcPr>
          <w:p w14:paraId="4C1FE096" w14:textId="5EF2B921" w:rsidR="00A7521D" w:rsidRDefault="00C73E04" w:rsidP="00A7521D">
            <w:pPr>
              <w:keepNext/>
              <w:rPr>
                <w:color w:val="FFFFFF"/>
              </w:rPr>
            </w:pPr>
            <m:oMathPara>
              <m:oMathParaPr>
                <m:jc m:val="left"/>
              </m:oMathParaPr>
              <m:oMath>
                <m:sSub>
                  <m:sSubPr>
                    <m:ctrlPr>
                      <w:rPr>
                        <w:rFonts w:ascii="Cambria Math" w:hAnsi="Cambria Math"/>
                        <w:i/>
                      </w:rPr>
                    </m:ctrlPr>
                  </m:sSubPr>
                  <m:e>
                    <m:r>
                      <w:rPr>
                        <w:rFonts w:ascii="Cambria Math" w:hAnsi="Cambria Math"/>
                      </w:rPr>
                      <m:t>A</m:t>
                    </m:r>
                  </m:e>
                  <m:sub>
                    <m:r>
                      <w:rPr>
                        <w:rFonts w:ascii="Cambria Math" w:hAnsi="Cambria Math"/>
                      </w:rPr>
                      <m:t>R</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q</m:t>
                        </m:r>
                      </m:e>
                      <m:sub>
                        <m:r>
                          <w:rPr>
                            <w:rFonts w:ascii="Cambria Math" w:hAnsi="Cambria Math"/>
                          </w:rPr>
                          <m:t>max</m:t>
                        </m:r>
                      </m:sub>
                    </m:sSub>
                  </m:num>
                  <m:den>
                    <m:sSub>
                      <m:sSubPr>
                        <m:ctrlPr>
                          <w:rPr>
                            <w:rFonts w:ascii="Cambria Math" w:hAnsi="Cambria Math"/>
                            <w:i/>
                          </w:rPr>
                        </m:ctrlPr>
                      </m:sSubPr>
                      <m:e>
                        <m:r>
                          <w:rPr>
                            <w:rFonts w:ascii="Cambria Math" w:hAnsi="Cambria Math"/>
                          </w:rPr>
                          <m:t>q</m:t>
                        </m:r>
                      </m:e>
                      <m:sub>
                        <m:r>
                          <w:rPr>
                            <w:rFonts w:ascii="Cambria Math" w:hAnsi="Cambria Math"/>
                          </w:rPr>
                          <m:t>R</m:t>
                        </m:r>
                      </m:sub>
                    </m:sSub>
                  </m:den>
                </m:f>
              </m:oMath>
            </m:oMathPara>
          </w:p>
        </w:tc>
        <w:tc>
          <w:tcPr>
            <w:tcW w:w="239" w:type="dxa"/>
            <w:vAlign w:val="center"/>
            <w:hideMark/>
          </w:tcPr>
          <w:p w14:paraId="7DF7B53A" w14:textId="77777777" w:rsidR="00A7521D" w:rsidRDefault="00A7521D" w:rsidP="00A7521D">
            <w:pPr>
              <w:pStyle w:val="Caption"/>
              <w:jc w:val="right"/>
            </w:pPr>
          </w:p>
        </w:tc>
        <w:tc>
          <w:tcPr>
            <w:tcW w:w="822" w:type="dxa"/>
            <w:vAlign w:val="center"/>
            <w:hideMark/>
          </w:tcPr>
          <w:p w14:paraId="22F07100" w14:textId="1621C34A" w:rsidR="00A7521D" w:rsidRDefault="00A7521D" w:rsidP="00A7521D">
            <w:pPr>
              <w:pStyle w:val="Caption"/>
              <w:jc w:val="right"/>
              <w:rPr>
                <w:b w:val="0"/>
              </w:rPr>
            </w:pPr>
            <w:r>
              <w:rPr>
                <w:noProof/>
              </w:rPr>
              <w:fldChar w:fldCharType="begin"/>
            </w:r>
            <w:r>
              <w:rPr>
                <w:noProof/>
              </w:rPr>
              <w:instrText xml:space="preserve"> STYLEREF 1 \s </w:instrText>
            </w:r>
            <w:r>
              <w:rPr>
                <w:noProof/>
              </w:rPr>
              <w:fldChar w:fldCharType="separate"/>
            </w:r>
            <w:r w:rsidR="00CB7456">
              <w:rPr>
                <w:noProof/>
              </w:rPr>
              <w:t>13</w:t>
            </w:r>
            <w:r>
              <w:rPr>
                <w:noProof/>
              </w:rPr>
              <w:fldChar w:fldCharType="end"/>
            </w:r>
            <w:r>
              <w:rPr>
                <w:noProof/>
              </w:rPr>
              <w:t>.</w:t>
            </w:r>
            <w:r>
              <w:rPr>
                <w:noProof/>
              </w:rPr>
              <w:fldChar w:fldCharType="begin"/>
            </w:r>
            <w:r>
              <w:rPr>
                <w:noProof/>
              </w:rPr>
              <w:instrText xml:space="preserve"> SEQ Equation \* ARABIC \s 1 </w:instrText>
            </w:r>
            <w:r>
              <w:rPr>
                <w:noProof/>
              </w:rPr>
              <w:fldChar w:fldCharType="separate"/>
            </w:r>
            <w:r w:rsidR="00CB7456">
              <w:rPr>
                <w:noProof/>
              </w:rPr>
              <w:t>65</w:t>
            </w:r>
            <w:r>
              <w:rPr>
                <w:noProof/>
              </w:rPr>
              <w:fldChar w:fldCharType="end"/>
            </w:r>
          </w:p>
        </w:tc>
      </w:tr>
    </w:tbl>
    <w:p w14:paraId="168EAB70" w14:textId="77777777" w:rsidR="00A7521D" w:rsidRPr="000E679D" w:rsidRDefault="00A7521D" w:rsidP="00A7521D"/>
    <w:p w14:paraId="7A53A773" w14:textId="77777777" w:rsidR="00A7521D" w:rsidRDefault="00C73E04" w:rsidP="00A7521D">
      <w:pPr>
        <w:pStyle w:val="NoSpacing"/>
      </w:pPr>
      <m:oMath>
        <m:sSub>
          <m:sSubPr>
            <m:ctrlPr>
              <w:rPr>
                <w:rFonts w:ascii="Cambria Math" w:hAnsi="Cambria Math"/>
                <w:i/>
              </w:rPr>
            </m:ctrlPr>
          </m:sSubPr>
          <m:e>
            <m:r>
              <w:rPr>
                <w:rFonts w:ascii="Cambria Math" w:hAnsi="Cambria Math"/>
              </w:rPr>
              <m:t>A</m:t>
            </m:r>
          </m:e>
          <m:sub>
            <m:r>
              <w:rPr>
                <w:rFonts w:ascii="Cambria Math" w:hAnsi="Cambria Math"/>
              </w:rPr>
              <m:t>R</m:t>
            </m:r>
          </m:sub>
        </m:sSub>
      </m:oMath>
      <w:r w:rsidR="00A7521D">
        <w:t xml:space="preserve"> was the SA of the radiant part of the heater (m</w:t>
      </w:r>
      <w:r w:rsidR="00A7521D">
        <w:rPr>
          <w:vertAlign w:val="superscript"/>
        </w:rPr>
        <w:t>2</w:t>
      </w:r>
      <w:r w:rsidR="00A7521D">
        <w:t>),</w:t>
      </w:r>
    </w:p>
    <w:p w14:paraId="764BD6B8" w14:textId="5B609183" w:rsidR="00A7521D" w:rsidRDefault="00C73E04" w:rsidP="00A7521D">
      <m:oMath>
        <m:sSub>
          <m:sSubPr>
            <m:ctrlPr>
              <w:rPr>
                <w:rFonts w:ascii="Cambria Math" w:hAnsi="Cambria Math"/>
                <w:i/>
              </w:rPr>
            </m:ctrlPr>
          </m:sSubPr>
          <m:e>
            <m:r>
              <w:rPr>
                <w:rFonts w:ascii="Cambria Math" w:hAnsi="Cambria Math"/>
              </w:rPr>
              <m:t>q</m:t>
            </m:r>
          </m:e>
          <m:sub>
            <m:r>
              <w:rPr>
                <w:rFonts w:ascii="Cambria Math" w:hAnsi="Cambria Math"/>
              </w:rPr>
              <m:t>max</m:t>
            </m:r>
          </m:sub>
        </m:sSub>
      </m:oMath>
      <w:r w:rsidR="00A7521D">
        <w:t xml:space="preserve"> was the maximum radiant heat flux </w:t>
      </w:r>
      <w:bookmarkStart w:id="1046" w:name="_Hlk526169402"/>
      <w:r w:rsidR="00A7521D">
        <w:t>(kJ/[m</w:t>
      </w:r>
      <w:r w:rsidR="00A7521D">
        <w:rPr>
          <w:vertAlign w:val="superscript"/>
        </w:rPr>
        <w:t>2</w:t>
      </w:r>
      <w:r w:rsidR="00A7521D">
        <w:t>s])</w:t>
      </w:r>
      <w:bookmarkEnd w:id="1046"/>
      <w:r w:rsidR="00A7521D">
        <w:t>.</w:t>
      </w:r>
    </w:p>
    <w:p w14:paraId="75A999E0" w14:textId="02CC5E00" w:rsidR="00D10243" w:rsidRDefault="00D10243" w:rsidP="00A7521D">
      <w:r>
        <w:lastRenderedPageBreak/>
        <w:t>The SA of the radiant part of the heater was dependent on the maximum radiant heat flux and the HT rate of the radiant section of the heater. The maximum radiant heat flux was dependent on the industrial operating conditions.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37"/>
        <w:gridCol w:w="239"/>
        <w:gridCol w:w="822"/>
      </w:tblGrid>
      <w:tr w:rsidR="00A7521D" w14:paraId="79A359D6" w14:textId="77777777" w:rsidTr="00A7521D">
        <w:tc>
          <w:tcPr>
            <w:tcW w:w="7137" w:type="dxa"/>
            <w:hideMark/>
          </w:tcPr>
          <w:p w14:paraId="56793911" w14:textId="77777777" w:rsidR="00A7521D" w:rsidRDefault="00C73E04" w:rsidP="00A7521D">
            <w:pPr>
              <w:keepNext/>
              <w:rPr>
                <w:color w:val="FFFFFF"/>
              </w:rPr>
            </w:pPr>
            <m:oMathPara>
              <m:oMathParaPr>
                <m:jc m:val="left"/>
              </m:oMathParaPr>
              <m:oMath>
                <m:sSub>
                  <m:sSubPr>
                    <m:ctrlPr>
                      <w:rPr>
                        <w:rFonts w:ascii="Cambria Math" w:hAnsi="Cambria Math"/>
                        <w:i/>
                      </w:rPr>
                    </m:ctrlPr>
                  </m:sSubPr>
                  <m:e>
                    <m:r>
                      <w:rPr>
                        <w:rFonts w:ascii="Cambria Math" w:hAnsi="Cambria Math"/>
                      </w:rPr>
                      <m:t>A</m:t>
                    </m:r>
                  </m:e>
                  <m:sub>
                    <m:r>
                      <w:rPr>
                        <w:rFonts w:ascii="Cambria Math" w:hAnsi="Cambria Math"/>
                      </w:rPr>
                      <m:t>tot</m:t>
                    </m:r>
                  </m:sub>
                </m:sSub>
                <m:r>
                  <w:rPr>
                    <w:rFonts w:ascii="Cambria Math" w:hAnsi="Cambria Math"/>
                  </w:rPr>
                  <m:t>=2</m:t>
                </m:r>
                <m:sSub>
                  <m:sSubPr>
                    <m:ctrlPr>
                      <w:rPr>
                        <w:rFonts w:ascii="Cambria Math" w:hAnsi="Cambria Math"/>
                        <w:i/>
                      </w:rPr>
                    </m:ctrlPr>
                  </m:sSubPr>
                  <m:e>
                    <m:r>
                      <w:rPr>
                        <w:rFonts w:ascii="Cambria Math" w:hAnsi="Cambria Math"/>
                      </w:rPr>
                      <m:t>A</m:t>
                    </m:r>
                  </m:e>
                  <m:sub>
                    <m:r>
                      <w:rPr>
                        <w:rFonts w:ascii="Cambria Math" w:hAnsi="Cambria Math"/>
                      </w:rPr>
                      <m:t>R</m:t>
                    </m:r>
                  </m:sub>
                </m:sSub>
              </m:oMath>
            </m:oMathPara>
          </w:p>
        </w:tc>
        <w:tc>
          <w:tcPr>
            <w:tcW w:w="239" w:type="dxa"/>
            <w:vAlign w:val="center"/>
            <w:hideMark/>
          </w:tcPr>
          <w:p w14:paraId="038F347F" w14:textId="77777777" w:rsidR="00A7521D" w:rsidRDefault="00A7521D" w:rsidP="00A7521D">
            <w:pPr>
              <w:pStyle w:val="Caption"/>
              <w:jc w:val="right"/>
            </w:pPr>
          </w:p>
        </w:tc>
        <w:tc>
          <w:tcPr>
            <w:tcW w:w="822" w:type="dxa"/>
            <w:vAlign w:val="center"/>
            <w:hideMark/>
          </w:tcPr>
          <w:p w14:paraId="27DD8E28" w14:textId="2775615E" w:rsidR="00A7521D" w:rsidRDefault="00A7521D" w:rsidP="00A7521D">
            <w:pPr>
              <w:pStyle w:val="Caption"/>
              <w:jc w:val="right"/>
              <w:rPr>
                <w:b w:val="0"/>
              </w:rPr>
            </w:pPr>
            <w:r>
              <w:rPr>
                <w:noProof/>
              </w:rPr>
              <w:fldChar w:fldCharType="begin"/>
            </w:r>
            <w:r>
              <w:rPr>
                <w:noProof/>
              </w:rPr>
              <w:instrText xml:space="preserve"> STYLEREF 1 \s </w:instrText>
            </w:r>
            <w:r>
              <w:rPr>
                <w:noProof/>
              </w:rPr>
              <w:fldChar w:fldCharType="separate"/>
            </w:r>
            <w:r w:rsidR="00CB7456">
              <w:rPr>
                <w:noProof/>
              </w:rPr>
              <w:t>13</w:t>
            </w:r>
            <w:r>
              <w:rPr>
                <w:noProof/>
              </w:rPr>
              <w:fldChar w:fldCharType="end"/>
            </w:r>
            <w:r>
              <w:rPr>
                <w:noProof/>
              </w:rPr>
              <w:t>.</w:t>
            </w:r>
            <w:r>
              <w:rPr>
                <w:noProof/>
              </w:rPr>
              <w:fldChar w:fldCharType="begin"/>
            </w:r>
            <w:r>
              <w:rPr>
                <w:noProof/>
              </w:rPr>
              <w:instrText xml:space="preserve"> SEQ Equation \* ARABIC \s 1 </w:instrText>
            </w:r>
            <w:r>
              <w:rPr>
                <w:noProof/>
              </w:rPr>
              <w:fldChar w:fldCharType="separate"/>
            </w:r>
            <w:r w:rsidR="00CB7456">
              <w:rPr>
                <w:noProof/>
              </w:rPr>
              <w:t>66</w:t>
            </w:r>
            <w:r>
              <w:rPr>
                <w:noProof/>
              </w:rPr>
              <w:fldChar w:fldCharType="end"/>
            </w:r>
          </w:p>
        </w:tc>
      </w:tr>
    </w:tbl>
    <w:p w14:paraId="0ABA679F" w14:textId="77777777" w:rsidR="00A7521D" w:rsidRDefault="00A7521D" w:rsidP="00A7521D">
      <w:pPr>
        <w:rPr>
          <w:b/>
          <w:bCs/>
          <w:sz w:val="18"/>
          <w:szCs w:val="18"/>
        </w:rPr>
      </w:pPr>
    </w:p>
    <w:p w14:paraId="2C26026C" w14:textId="753EE6E3" w:rsidR="00A7521D" w:rsidRDefault="00C73E04" w:rsidP="00A7521D">
      <m:oMath>
        <m:sSub>
          <m:sSubPr>
            <m:ctrlPr>
              <w:rPr>
                <w:rFonts w:ascii="Cambria Math" w:hAnsi="Cambria Math"/>
                <w:i/>
              </w:rPr>
            </m:ctrlPr>
          </m:sSubPr>
          <m:e>
            <m:r>
              <w:rPr>
                <w:rFonts w:ascii="Cambria Math" w:hAnsi="Cambria Math"/>
              </w:rPr>
              <m:t>A</m:t>
            </m:r>
          </m:e>
          <m:sub>
            <m:r>
              <w:rPr>
                <w:rFonts w:ascii="Cambria Math" w:hAnsi="Cambria Math"/>
              </w:rPr>
              <m:t>tot</m:t>
            </m:r>
          </m:sub>
        </m:sSub>
      </m:oMath>
      <w:r w:rsidR="00A7521D">
        <w:t xml:space="preserve"> was the total SA [m</w:t>
      </w:r>
      <w:r w:rsidR="00A7521D">
        <w:rPr>
          <w:vertAlign w:val="superscript"/>
        </w:rPr>
        <w:t>2</w:t>
      </w:r>
      <w:r w:rsidR="00A7521D">
        <w:t>].</w:t>
      </w:r>
    </w:p>
    <w:p w14:paraId="092C77D9" w14:textId="12500DA7" w:rsidR="00D10243" w:rsidRDefault="00D10243" w:rsidP="00A7521D">
      <w:r>
        <w:t>The total SA was dependent on the SA of the radiant part of the heater.</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37"/>
        <w:gridCol w:w="239"/>
        <w:gridCol w:w="822"/>
      </w:tblGrid>
      <w:tr w:rsidR="00A7521D" w14:paraId="259B5534" w14:textId="77777777" w:rsidTr="00A7521D">
        <w:tc>
          <w:tcPr>
            <w:tcW w:w="7137" w:type="dxa"/>
            <w:hideMark/>
          </w:tcPr>
          <w:p w14:paraId="4937C3E6" w14:textId="77777777" w:rsidR="00A7521D" w:rsidRDefault="00C73E04" w:rsidP="00A7521D">
            <w:pPr>
              <w:keepNext/>
              <w:rPr>
                <w:color w:val="FFFFFF"/>
              </w:rPr>
            </w:pPr>
            <m:oMathPara>
              <m:oMathParaPr>
                <m:jc m:val="left"/>
              </m:oMathParaPr>
              <m:oMath>
                <m:sSub>
                  <m:sSubPr>
                    <m:ctrlPr>
                      <w:rPr>
                        <w:rFonts w:ascii="Cambria Math" w:hAnsi="Cambria Math"/>
                        <w:i/>
                      </w:rPr>
                    </m:ctrlPr>
                  </m:sSubPr>
                  <m:e>
                    <m:r>
                      <w:rPr>
                        <w:rFonts w:ascii="Cambria Math" w:hAnsi="Cambria Math"/>
                      </w:rPr>
                      <m:t>A</m:t>
                    </m:r>
                  </m:e>
                  <m:sub>
                    <m:r>
                      <w:rPr>
                        <w:rFonts w:ascii="Cambria Math" w:hAnsi="Cambria Math"/>
                      </w:rPr>
                      <m:t>c,pl</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L</m:t>
                        </m:r>
                      </m:e>
                      <m:sub>
                        <m:r>
                          <w:rPr>
                            <w:rFonts w:ascii="Cambria Math" w:hAnsi="Cambria Math"/>
                          </w:rPr>
                          <m:t>he</m:t>
                        </m:r>
                      </m:sub>
                    </m:sSub>
                    <m:sSub>
                      <m:sSubPr>
                        <m:ctrlPr>
                          <w:rPr>
                            <w:rFonts w:ascii="Cambria Math" w:hAnsi="Cambria Math"/>
                            <w:i/>
                          </w:rPr>
                        </m:ctrlPr>
                      </m:sSubPr>
                      <m:e>
                        <m:r>
                          <w:rPr>
                            <w:rFonts w:ascii="Cambria Math" w:hAnsi="Cambria Math"/>
                          </w:rPr>
                          <m:t>D</m:t>
                        </m:r>
                      </m:e>
                      <m:sub>
                        <m:r>
                          <w:rPr>
                            <w:rFonts w:ascii="Cambria Math" w:hAnsi="Cambria Math"/>
                          </w:rPr>
                          <m:t>he</m:t>
                        </m:r>
                      </m:sub>
                    </m:sSub>
                    <m:sSub>
                      <m:sSubPr>
                        <m:ctrlPr>
                          <w:rPr>
                            <w:rFonts w:ascii="Cambria Math" w:hAnsi="Cambria Math"/>
                            <w:i/>
                          </w:rPr>
                        </m:ctrlPr>
                      </m:sSubPr>
                      <m:e>
                        <m:r>
                          <w:rPr>
                            <w:rFonts w:ascii="Cambria Math" w:hAnsi="Cambria Math"/>
                          </w:rPr>
                          <m:t>N</m:t>
                        </m:r>
                      </m:e>
                      <m:sub>
                        <m:r>
                          <w:rPr>
                            <w:rFonts w:ascii="Cambria Math" w:hAnsi="Cambria Math"/>
                          </w:rPr>
                          <m:t>st</m:t>
                        </m:r>
                      </m:sub>
                    </m:sSub>
                  </m:num>
                  <m:den>
                    <m:r>
                      <w:rPr>
                        <w:rFonts w:ascii="Cambria Math" w:hAnsi="Cambria Math"/>
                      </w:rPr>
                      <m:t>2</m:t>
                    </m:r>
                  </m:den>
                </m:f>
              </m:oMath>
            </m:oMathPara>
          </w:p>
        </w:tc>
        <w:tc>
          <w:tcPr>
            <w:tcW w:w="239" w:type="dxa"/>
            <w:vAlign w:val="center"/>
            <w:hideMark/>
          </w:tcPr>
          <w:p w14:paraId="7B632026" w14:textId="77777777" w:rsidR="00A7521D" w:rsidRDefault="00A7521D" w:rsidP="00A7521D">
            <w:pPr>
              <w:pStyle w:val="Caption"/>
              <w:jc w:val="right"/>
            </w:pPr>
          </w:p>
        </w:tc>
        <w:tc>
          <w:tcPr>
            <w:tcW w:w="822" w:type="dxa"/>
            <w:vAlign w:val="center"/>
            <w:hideMark/>
          </w:tcPr>
          <w:p w14:paraId="24D54A97" w14:textId="4A1A80E7" w:rsidR="00A7521D" w:rsidRDefault="00A7521D" w:rsidP="00A7521D">
            <w:pPr>
              <w:pStyle w:val="Caption"/>
              <w:jc w:val="right"/>
              <w:rPr>
                <w:b w:val="0"/>
              </w:rPr>
            </w:pPr>
            <w:r>
              <w:rPr>
                <w:noProof/>
              </w:rPr>
              <w:fldChar w:fldCharType="begin"/>
            </w:r>
            <w:r>
              <w:rPr>
                <w:noProof/>
              </w:rPr>
              <w:instrText xml:space="preserve"> STYLEREF 1 \s </w:instrText>
            </w:r>
            <w:r>
              <w:rPr>
                <w:noProof/>
              </w:rPr>
              <w:fldChar w:fldCharType="separate"/>
            </w:r>
            <w:r w:rsidR="00CB7456">
              <w:rPr>
                <w:noProof/>
              </w:rPr>
              <w:t>13</w:t>
            </w:r>
            <w:r>
              <w:rPr>
                <w:noProof/>
              </w:rPr>
              <w:fldChar w:fldCharType="end"/>
            </w:r>
            <w:r>
              <w:rPr>
                <w:noProof/>
              </w:rPr>
              <w:t>.</w:t>
            </w:r>
            <w:r>
              <w:rPr>
                <w:noProof/>
              </w:rPr>
              <w:fldChar w:fldCharType="begin"/>
            </w:r>
            <w:r>
              <w:rPr>
                <w:noProof/>
              </w:rPr>
              <w:instrText xml:space="preserve"> SEQ Equation \* ARABIC \s 1 </w:instrText>
            </w:r>
            <w:r>
              <w:rPr>
                <w:noProof/>
              </w:rPr>
              <w:fldChar w:fldCharType="separate"/>
            </w:r>
            <w:r w:rsidR="00CB7456">
              <w:rPr>
                <w:noProof/>
              </w:rPr>
              <w:t>67</w:t>
            </w:r>
            <w:r>
              <w:rPr>
                <w:noProof/>
              </w:rPr>
              <w:fldChar w:fldCharType="end"/>
            </w:r>
          </w:p>
        </w:tc>
      </w:tr>
    </w:tbl>
    <w:p w14:paraId="53207745" w14:textId="77777777" w:rsidR="00A7521D" w:rsidRDefault="00A7521D" w:rsidP="00A7521D"/>
    <w:p w14:paraId="1F8C6191" w14:textId="77777777" w:rsidR="00A7521D" w:rsidRDefault="00C73E04" w:rsidP="00A7521D">
      <w:pPr>
        <w:pStyle w:val="NoSpacing"/>
      </w:pPr>
      <m:oMath>
        <m:sSub>
          <m:sSubPr>
            <m:ctrlPr>
              <w:rPr>
                <w:rFonts w:ascii="Cambria Math" w:hAnsi="Cambria Math"/>
                <w:i/>
              </w:rPr>
            </m:ctrlPr>
          </m:sSubPr>
          <m:e>
            <m:r>
              <w:rPr>
                <w:rFonts w:ascii="Cambria Math" w:hAnsi="Cambria Math"/>
              </w:rPr>
              <m:t>A</m:t>
            </m:r>
          </m:e>
          <m:sub>
            <m:r>
              <w:rPr>
                <w:rFonts w:ascii="Cambria Math" w:hAnsi="Cambria Math"/>
              </w:rPr>
              <m:t>c,pl</m:t>
            </m:r>
          </m:sub>
        </m:sSub>
      </m:oMath>
      <w:r w:rsidR="00A7521D">
        <w:t xml:space="preserve"> was the cold plate area of the shield tubes (m</w:t>
      </w:r>
      <w:r w:rsidR="00A7521D">
        <w:rPr>
          <w:vertAlign w:val="superscript"/>
        </w:rPr>
        <w:t>2</w:t>
      </w:r>
      <w:r w:rsidR="00A7521D">
        <w:t>),</w:t>
      </w:r>
    </w:p>
    <w:p w14:paraId="6787C6CC" w14:textId="21F007CE" w:rsidR="00A7521D" w:rsidRDefault="00C73E04" w:rsidP="00A7521D">
      <w:pPr>
        <w:pStyle w:val="NoSpacing"/>
      </w:pPr>
      <m:oMath>
        <m:sSub>
          <m:sSubPr>
            <m:ctrlPr>
              <w:rPr>
                <w:rFonts w:ascii="Cambria Math" w:hAnsi="Cambria Math"/>
                <w:i/>
              </w:rPr>
            </m:ctrlPr>
          </m:sSubPr>
          <m:e>
            <m:r>
              <w:rPr>
                <w:rFonts w:ascii="Cambria Math" w:hAnsi="Cambria Math"/>
              </w:rPr>
              <m:t>L</m:t>
            </m:r>
          </m:e>
          <m:sub>
            <m:r>
              <w:rPr>
                <w:rFonts w:ascii="Cambria Math" w:hAnsi="Cambria Math"/>
              </w:rPr>
              <m:t>he</m:t>
            </m:r>
          </m:sub>
        </m:sSub>
      </m:oMath>
      <w:r w:rsidR="00A7521D">
        <w:t xml:space="preserve"> was the exposed length of the heater (m),</w:t>
      </w:r>
    </w:p>
    <w:p w14:paraId="5EE2791E" w14:textId="3CA3F0EE" w:rsidR="00A7521D" w:rsidRDefault="00C73E04" w:rsidP="00A7521D">
      <w:pPr>
        <w:pStyle w:val="NoSpacing"/>
      </w:pPr>
      <m:oMath>
        <m:sSub>
          <m:sSubPr>
            <m:ctrlPr>
              <w:rPr>
                <w:rFonts w:ascii="Cambria Math" w:hAnsi="Cambria Math"/>
                <w:i/>
              </w:rPr>
            </m:ctrlPr>
          </m:sSubPr>
          <m:e>
            <m:r>
              <w:rPr>
                <w:rFonts w:ascii="Cambria Math" w:hAnsi="Cambria Math"/>
              </w:rPr>
              <m:t>D</m:t>
            </m:r>
          </m:e>
          <m:sub>
            <m:r>
              <w:rPr>
                <w:rFonts w:ascii="Cambria Math" w:hAnsi="Cambria Math"/>
              </w:rPr>
              <m:t>he</m:t>
            </m:r>
          </m:sub>
        </m:sSub>
      </m:oMath>
      <w:r w:rsidR="00A7521D">
        <w:t xml:space="preserve"> was the diameter of the heater centre (m),</w:t>
      </w:r>
    </w:p>
    <w:p w14:paraId="314D5B27" w14:textId="785EA683" w:rsidR="00A7521D" w:rsidRDefault="00C73E04" w:rsidP="00A7521D">
      <m:oMath>
        <m:sSub>
          <m:sSubPr>
            <m:ctrlPr>
              <w:rPr>
                <w:rFonts w:ascii="Cambria Math" w:hAnsi="Cambria Math"/>
                <w:i/>
              </w:rPr>
            </m:ctrlPr>
          </m:sSubPr>
          <m:e>
            <m:r>
              <w:rPr>
                <w:rFonts w:ascii="Cambria Math" w:hAnsi="Cambria Math"/>
              </w:rPr>
              <m:t>N</m:t>
            </m:r>
          </m:e>
          <m:sub>
            <m:r>
              <w:rPr>
                <w:rFonts w:ascii="Cambria Math" w:hAnsi="Cambria Math"/>
              </w:rPr>
              <m:t>st</m:t>
            </m:r>
          </m:sub>
        </m:sSub>
      </m:oMath>
      <w:r w:rsidR="00A7521D">
        <w:t xml:space="preserve"> was the number of shield tubes.</w:t>
      </w:r>
    </w:p>
    <w:p w14:paraId="3E016DAF" w14:textId="1BF7B1EB" w:rsidR="00D10243" w:rsidRDefault="00D10243" w:rsidP="00A7521D">
      <w:r>
        <w:t xml:space="preserve">The </w:t>
      </w:r>
      <w:r w:rsidR="005F7FE8">
        <w:t xml:space="preserve">cold plate area of the shield tubes </w:t>
      </w:r>
      <w:r>
        <w:t xml:space="preserve">was dependent on the exposed length of the heater, the diameter of the heater centre and the number of shield tubes. The </w:t>
      </w:r>
      <w:r w:rsidR="005F7FE8">
        <w:t>exposed length of the heater, the diameter of the heater centre and the number of shield tubes were all dependent on the physical parameters of the FH.</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37"/>
        <w:gridCol w:w="239"/>
        <w:gridCol w:w="822"/>
      </w:tblGrid>
      <w:tr w:rsidR="00A7521D" w14:paraId="6B4E680C" w14:textId="77777777" w:rsidTr="00A7521D">
        <w:tc>
          <w:tcPr>
            <w:tcW w:w="7137" w:type="dxa"/>
            <w:hideMark/>
          </w:tcPr>
          <w:p w14:paraId="7FAEA62E" w14:textId="6226D770" w:rsidR="00A7521D" w:rsidRDefault="00C73E04" w:rsidP="00A7521D">
            <w:pPr>
              <w:keepNext/>
              <w:rPr>
                <w:color w:val="FFFFFF"/>
              </w:rPr>
            </w:pPr>
            <m:oMathPara>
              <m:oMathParaPr>
                <m:jc m:val="left"/>
              </m:oMathParaPr>
              <m:oMath>
                <m:sSub>
                  <m:sSubPr>
                    <m:ctrlPr>
                      <w:rPr>
                        <w:rFonts w:ascii="Cambria Math" w:hAnsi="Cambria Math"/>
                        <w:i/>
                      </w:rPr>
                    </m:ctrlPr>
                  </m:sSubPr>
                  <m:e>
                    <m:r>
                      <w:rPr>
                        <w:rFonts w:ascii="Cambria Math" w:hAnsi="Cambria Math"/>
                      </w:rPr>
                      <m:t>A</m:t>
                    </m:r>
                  </m:e>
                  <m:sub>
                    <m:r>
                      <w:rPr>
                        <w:rFonts w:ascii="Cambria Math" w:hAnsi="Cambria Math"/>
                      </w:rPr>
                      <m:t>c,pl</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L</m:t>
                        </m:r>
                      </m:e>
                      <m:sub>
                        <m:r>
                          <w:rPr>
                            <w:rFonts w:ascii="Cambria Math" w:hAnsi="Cambria Math"/>
                          </w:rPr>
                          <m:t>he</m:t>
                        </m:r>
                      </m:sub>
                    </m:sSub>
                    <m:d>
                      <m:dPr>
                        <m:ctrlPr>
                          <w:rPr>
                            <w:rFonts w:ascii="Cambria Math" w:hAnsi="Cambria Math"/>
                            <w:i/>
                          </w:rPr>
                        </m:ctrlPr>
                      </m:dPr>
                      <m:e>
                        <m:sSub>
                          <m:sSubPr>
                            <m:ctrlPr>
                              <w:rPr>
                                <w:rFonts w:ascii="Cambria Math" w:hAnsi="Cambria Math"/>
                                <w:i/>
                              </w:rPr>
                            </m:ctrlPr>
                          </m:sSubPr>
                          <m:e>
                            <m:r>
                              <w:rPr>
                                <w:rFonts w:ascii="Cambria Math" w:hAnsi="Cambria Math"/>
                              </w:rPr>
                              <m:t>N</m:t>
                            </m:r>
                          </m:e>
                          <m:sub>
                            <m:r>
                              <w:rPr>
                                <w:rFonts w:ascii="Cambria Math" w:hAnsi="Cambria Math"/>
                              </w:rPr>
                              <m:t>tu</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st</m:t>
                            </m:r>
                          </m:sub>
                        </m:sSub>
                      </m:e>
                    </m:d>
                  </m:num>
                  <m:den>
                    <m:r>
                      <w:rPr>
                        <w:rFonts w:ascii="Cambria Math" w:hAnsi="Cambria Math"/>
                      </w:rPr>
                      <m:t>2</m:t>
                    </m:r>
                  </m:den>
                </m:f>
              </m:oMath>
            </m:oMathPara>
          </w:p>
        </w:tc>
        <w:tc>
          <w:tcPr>
            <w:tcW w:w="239" w:type="dxa"/>
            <w:vAlign w:val="center"/>
            <w:hideMark/>
          </w:tcPr>
          <w:p w14:paraId="6A2A29B2" w14:textId="77777777" w:rsidR="00A7521D" w:rsidRDefault="00A7521D" w:rsidP="00A7521D">
            <w:pPr>
              <w:pStyle w:val="Caption"/>
              <w:jc w:val="right"/>
            </w:pPr>
          </w:p>
        </w:tc>
        <w:tc>
          <w:tcPr>
            <w:tcW w:w="822" w:type="dxa"/>
            <w:vAlign w:val="center"/>
            <w:hideMark/>
          </w:tcPr>
          <w:p w14:paraId="6E8E7C96" w14:textId="51E6D86F" w:rsidR="00A7521D" w:rsidRDefault="00A7521D" w:rsidP="00A7521D">
            <w:pPr>
              <w:pStyle w:val="Caption"/>
              <w:jc w:val="right"/>
              <w:rPr>
                <w:b w:val="0"/>
              </w:rPr>
            </w:pPr>
            <w:r>
              <w:rPr>
                <w:noProof/>
              </w:rPr>
              <w:fldChar w:fldCharType="begin"/>
            </w:r>
            <w:r>
              <w:rPr>
                <w:noProof/>
              </w:rPr>
              <w:instrText xml:space="preserve"> STYLEREF 1 \s </w:instrText>
            </w:r>
            <w:r>
              <w:rPr>
                <w:noProof/>
              </w:rPr>
              <w:fldChar w:fldCharType="separate"/>
            </w:r>
            <w:r w:rsidR="00CB7456">
              <w:rPr>
                <w:noProof/>
              </w:rPr>
              <w:t>13</w:t>
            </w:r>
            <w:r>
              <w:rPr>
                <w:noProof/>
              </w:rPr>
              <w:fldChar w:fldCharType="end"/>
            </w:r>
            <w:r>
              <w:rPr>
                <w:noProof/>
              </w:rPr>
              <w:t>.</w:t>
            </w:r>
            <w:r>
              <w:rPr>
                <w:noProof/>
              </w:rPr>
              <w:fldChar w:fldCharType="begin"/>
            </w:r>
            <w:r>
              <w:rPr>
                <w:noProof/>
              </w:rPr>
              <w:instrText xml:space="preserve"> SEQ Equation \* ARABIC \s 1 </w:instrText>
            </w:r>
            <w:r>
              <w:rPr>
                <w:noProof/>
              </w:rPr>
              <w:fldChar w:fldCharType="separate"/>
            </w:r>
            <w:r w:rsidR="00CB7456">
              <w:rPr>
                <w:noProof/>
              </w:rPr>
              <w:t>68</w:t>
            </w:r>
            <w:r>
              <w:rPr>
                <w:noProof/>
              </w:rPr>
              <w:fldChar w:fldCharType="end"/>
            </w:r>
          </w:p>
        </w:tc>
      </w:tr>
    </w:tbl>
    <w:p w14:paraId="39FA8161" w14:textId="77777777" w:rsidR="00A7521D" w:rsidRPr="004916D3" w:rsidRDefault="00A7521D" w:rsidP="00A7521D"/>
    <w:p w14:paraId="3C4A7DCC" w14:textId="0586038A" w:rsidR="00A7521D" w:rsidRDefault="00C73E04" w:rsidP="00A7521D">
      <m:oMath>
        <m:sSub>
          <m:sSubPr>
            <m:ctrlPr>
              <w:rPr>
                <w:rFonts w:ascii="Cambria Math" w:hAnsi="Cambria Math"/>
                <w:i/>
              </w:rPr>
            </m:ctrlPr>
          </m:sSubPr>
          <m:e>
            <m:r>
              <w:rPr>
                <w:rFonts w:ascii="Cambria Math" w:hAnsi="Cambria Math"/>
              </w:rPr>
              <m:t>N</m:t>
            </m:r>
          </m:e>
          <m:sub>
            <m:r>
              <w:rPr>
                <w:rFonts w:ascii="Cambria Math" w:hAnsi="Cambria Math"/>
              </w:rPr>
              <m:t>tu</m:t>
            </m:r>
          </m:sub>
        </m:sSub>
      </m:oMath>
      <w:r w:rsidR="00A7521D">
        <w:t xml:space="preserve"> was the number of tubes.</w:t>
      </w:r>
    </w:p>
    <w:p w14:paraId="78B751A6" w14:textId="3270A353" w:rsidR="005F7FE8" w:rsidRDefault="005F7FE8" w:rsidP="00A7521D">
      <w:r>
        <w:t>The cold plate area of the shield tubes was also dependent on the exposed length of the heater, the number of tubes and the number of shield tubes. The number of tubes was dependent on the physical parameters of the FH.</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37"/>
        <w:gridCol w:w="239"/>
        <w:gridCol w:w="822"/>
      </w:tblGrid>
      <w:tr w:rsidR="00A7521D" w14:paraId="1076A5AD" w14:textId="77777777" w:rsidTr="00A7521D">
        <w:tc>
          <w:tcPr>
            <w:tcW w:w="7137" w:type="dxa"/>
            <w:hideMark/>
          </w:tcPr>
          <w:p w14:paraId="10C8D866" w14:textId="77777777" w:rsidR="00A7521D" w:rsidRDefault="00C73E04" w:rsidP="00A7521D">
            <w:pPr>
              <w:keepNext/>
              <w:rPr>
                <w:color w:val="FFFFFF"/>
              </w:rPr>
            </w:pPr>
            <m:oMathPara>
              <m:oMathParaPr>
                <m:jc m:val="left"/>
              </m:oMathParaPr>
              <m:oMath>
                <m:sSub>
                  <m:sSubPr>
                    <m:ctrlPr>
                      <w:rPr>
                        <w:rFonts w:ascii="Cambria Math" w:hAnsi="Cambria Math"/>
                        <w:i/>
                      </w:rPr>
                    </m:ctrlPr>
                  </m:sSubPr>
                  <m:e>
                    <m:r>
                      <w:rPr>
                        <w:rFonts w:ascii="Cambria Math" w:hAnsi="Cambria Math"/>
                      </w:rPr>
                      <m:t>A</m:t>
                    </m:r>
                  </m:e>
                  <m:sub>
                    <m:r>
                      <w:rPr>
                        <w:rFonts w:ascii="Cambria Math" w:hAnsi="Cambria Math"/>
                      </w:rPr>
                      <m:t>en</m:t>
                    </m:r>
                  </m:sub>
                </m:sSub>
                <m:r>
                  <w:rPr>
                    <w:rFonts w:ascii="Cambria Math" w:hAnsi="Cambria Math"/>
                  </w:rPr>
                  <m:t>=</m:t>
                </m:r>
                <m:sSub>
                  <m:sSubPr>
                    <m:ctrlPr>
                      <w:rPr>
                        <w:rFonts w:ascii="Cambria Math" w:hAnsi="Cambria Math"/>
                        <w:i/>
                      </w:rPr>
                    </m:ctrlPr>
                  </m:sSubPr>
                  <m:e>
                    <m:r>
                      <w:rPr>
                        <w:rFonts w:ascii="Cambria Math" w:hAnsi="Cambria Math"/>
                      </w:rPr>
                      <m:t>2W</m:t>
                    </m:r>
                  </m:e>
                  <m:sub>
                    <m:r>
                      <w:rPr>
                        <w:rFonts w:ascii="Cambria Math" w:hAnsi="Cambria Math"/>
                      </w:rPr>
                      <m:t>he</m:t>
                    </m:r>
                  </m:sub>
                </m:sSub>
                <m:sSub>
                  <m:sSubPr>
                    <m:ctrlPr>
                      <w:rPr>
                        <w:rFonts w:ascii="Cambria Math" w:hAnsi="Cambria Math"/>
                        <w:i/>
                      </w:rPr>
                    </m:ctrlPr>
                  </m:sSubPr>
                  <m:e>
                    <m:r>
                      <w:rPr>
                        <w:rFonts w:ascii="Cambria Math" w:hAnsi="Cambria Math"/>
                      </w:rPr>
                      <m:t>L</m:t>
                    </m:r>
                  </m:e>
                  <m:sub>
                    <m:r>
                      <w:rPr>
                        <w:rFonts w:ascii="Cambria Math" w:hAnsi="Cambria Math"/>
                      </w:rPr>
                      <m:t>he,ht</m:t>
                    </m:r>
                  </m:sub>
                </m:sSub>
                <m:r>
                  <w:rPr>
                    <w:rFonts w:ascii="Cambria Math" w:hAnsi="Cambria Math"/>
                  </w:rPr>
                  <m:t>+2</m:t>
                </m:r>
                <m:sSub>
                  <m:sSubPr>
                    <m:ctrlPr>
                      <w:rPr>
                        <w:rFonts w:ascii="Cambria Math" w:hAnsi="Cambria Math"/>
                        <w:i/>
                      </w:rPr>
                    </m:ctrlPr>
                  </m:sSubPr>
                  <m:e>
                    <m:r>
                      <w:rPr>
                        <w:rFonts w:ascii="Cambria Math" w:hAnsi="Cambria Math"/>
                      </w:rPr>
                      <m:t>L</m:t>
                    </m:r>
                  </m:e>
                  <m:sub>
                    <m:r>
                      <w:rPr>
                        <w:rFonts w:ascii="Cambria Math" w:hAnsi="Cambria Math"/>
                      </w:rPr>
                      <m:t>he</m:t>
                    </m:r>
                  </m:sub>
                </m:sSub>
                <m:d>
                  <m:dPr>
                    <m:ctrlPr>
                      <w:rPr>
                        <w:rFonts w:ascii="Cambria Math" w:hAnsi="Cambria Math"/>
                        <w:i/>
                      </w:rPr>
                    </m:ctrlPr>
                  </m:dPr>
                  <m:e>
                    <m:sSub>
                      <m:sSubPr>
                        <m:ctrlPr>
                          <w:rPr>
                            <w:rFonts w:ascii="Cambria Math" w:hAnsi="Cambria Math"/>
                            <w:i/>
                          </w:rPr>
                        </m:ctrlPr>
                      </m:sSubPr>
                      <m:e>
                        <m:r>
                          <w:rPr>
                            <w:rFonts w:ascii="Cambria Math" w:hAnsi="Cambria Math"/>
                          </w:rPr>
                          <m:t>W</m:t>
                        </m:r>
                      </m:e>
                      <m:sub>
                        <m:r>
                          <w:rPr>
                            <w:rFonts w:ascii="Cambria Math" w:hAnsi="Cambria Math"/>
                          </w:rPr>
                          <m:t>he</m:t>
                        </m:r>
                      </m:sub>
                    </m:sSub>
                    <m:r>
                      <w:rPr>
                        <w:rFonts w:ascii="Cambria Math" w:hAnsi="Cambria Math"/>
                      </w:rPr>
                      <m:t>+</m:t>
                    </m:r>
                    <m:sSub>
                      <m:sSubPr>
                        <m:ctrlPr>
                          <w:rPr>
                            <w:rFonts w:ascii="Cambria Math" w:hAnsi="Cambria Math"/>
                            <w:i/>
                          </w:rPr>
                        </m:ctrlPr>
                      </m:sSubPr>
                      <m:e>
                        <m:r>
                          <w:rPr>
                            <w:rFonts w:ascii="Cambria Math" w:hAnsi="Cambria Math"/>
                          </w:rPr>
                          <m:t>L</m:t>
                        </m:r>
                      </m:e>
                      <m:sub>
                        <m:r>
                          <w:rPr>
                            <w:rFonts w:ascii="Cambria Math" w:hAnsi="Cambria Math"/>
                          </w:rPr>
                          <m:t>he,ht</m:t>
                        </m:r>
                      </m:sub>
                    </m:sSub>
                  </m:e>
                </m:d>
              </m:oMath>
            </m:oMathPara>
          </w:p>
        </w:tc>
        <w:tc>
          <w:tcPr>
            <w:tcW w:w="239" w:type="dxa"/>
            <w:vAlign w:val="center"/>
            <w:hideMark/>
          </w:tcPr>
          <w:p w14:paraId="04227A01" w14:textId="77777777" w:rsidR="00A7521D" w:rsidRDefault="00A7521D" w:rsidP="00A7521D">
            <w:pPr>
              <w:pStyle w:val="Caption"/>
              <w:jc w:val="right"/>
            </w:pPr>
          </w:p>
        </w:tc>
        <w:tc>
          <w:tcPr>
            <w:tcW w:w="822" w:type="dxa"/>
            <w:vAlign w:val="center"/>
            <w:hideMark/>
          </w:tcPr>
          <w:p w14:paraId="39AF2DA3" w14:textId="37739133" w:rsidR="00A7521D" w:rsidRDefault="00A7521D" w:rsidP="00A7521D">
            <w:pPr>
              <w:pStyle w:val="Caption"/>
              <w:jc w:val="right"/>
              <w:rPr>
                <w:b w:val="0"/>
              </w:rPr>
            </w:pPr>
            <w:r>
              <w:rPr>
                <w:noProof/>
              </w:rPr>
              <w:fldChar w:fldCharType="begin"/>
            </w:r>
            <w:r>
              <w:rPr>
                <w:noProof/>
              </w:rPr>
              <w:instrText xml:space="preserve"> STYLEREF 1 \s </w:instrText>
            </w:r>
            <w:r>
              <w:rPr>
                <w:noProof/>
              </w:rPr>
              <w:fldChar w:fldCharType="separate"/>
            </w:r>
            <w:r w:rsidR="00CB7456">
              <w:rPr>
                <w:noProof/>
              </w:rPr>
              <w:t>13</w:t>
            </w:r>
            <w:r>
              <w:rPr>
                <w:noProof/>
              </w:rPr>
              <w:fldChar w:fldCharType="end"/>
            </w:r>
            <w:r>
              <w:rPr>
                <w:noProof/>
              </w:rPr>
              <w:t>.</w:t>
            </w:r>
            <w:r>
              <w:rPr>
                <w:noProof/>
              </w:rPr>
              <w:fldChar w:fldCharType="begin"/>
            </w:r>
            <w:r>
              <w:rPr>
                <w:noProof/>
              </w:rPr>
              <w:instrText xml:space="preserve"> SEQ Equation \* ARABIC \s 1 </w:instrText>
            </w:r>
            <w:r>
              <w:rPr>
                <w:noProof/>
              </w:rPr>
              <w:fldChar w:fldCharType="separate"/>
            </w:r>
            <w:r w:rsidR="00CB7456">
              <w:rPr>
                <w:noProof/>
              </w:rPr>
              <w:t>69</w:t>
            </w:r>
            <w:r>
              <w:rPr>
                <w:noProof/>
              </w:rPr>
              <w:fldChar w:fldCharType="end"/>
            </w:r>
          </w:p>
        </w:tc>
      </w:tr>
    </w:tbl>
    <w:p w14:paraId="32BEA10F" w14:textId="77777777" w:rsidR="00A7521D" w:rsidRDefault="00A7521D" w:rsidP="00A7521D"/>
    <w:p w14:paraId="563593AA" w14:textId="77777777" w:rsidR="00A7521D" w:rsidRDefault="00C73E04" w:rsidP="00A7521D">
      <w:pPr>
        <w:pStyle w:val="NoSpacing"/>
      </w:pPr>
      <m:oMath>
        <m:sSub>
          <m:sSubPr>
            <m:ctrlPr>
              <w:rPr>
                <w:rFonts w:ascii="Cambria Math" w:hAnsi="Cambria Math"/>
                <w:i/>
              </w:rPr>
            </m:ctrlPr>
          </m:sSubPr>
          <m:e>
            <m:r>
              <w:rPr>
                <w:rFonts w:ascii="Cambria Math" w:hAnsi="Cambria Math"/>
              </w:rPr>
              <m:t>A</m:t>
            </m:r>
          </m:e>
          <m:sub>
            <m:r>
              <w:rPr>
                <w:rFonts w:ascii="Cambria Math" w:hAnsi="Cambria Math"/>
              </w:rPr>
              <m:t>en</m:t>
            </m:r>
          </m:sub>
        </m:sSub>
      </m:oMath>
      <w:r w:rsidR="00A7521D">
        <w:t xml:space="preserve"> was the envelope area (m</w:t>
      </w:r>
      <w:r w:rsidR="00A7521D">
        <w:rPr>
          <w:vertAlign w:val="superscript"/>
        </w:rPr>
        <w:t>2</w:t>
      </w:r>
      <w:r w:rsidR="00A7521D">
        <w:t>),</w:t>
      </w:r>
    </w:p>
    <w:p w14:paraId="606ECB14" w14:textId="77777777" w:rsidR="00A7521D" w:rsidRDefault="00C73E04" w:rsidP="00A7521D">
      <w:pPr>
        <w:pStyle w:val="NoSpacing"/>
      </w:pPr>
      <m:oMath>
        <m:sSub>
          <m:sSubPr>
            <m:ctrlPr>
              <w:rPr>
                <w:rFonts w:ascii="Cambria Math" w:hAnsi="Cambria Math"/>
                <w:i/>
              </w:rPr>
            </m:ctrlPr>
          </m:sSubPr>
          <m:e>
            <m:r>
              <w:rPr>
                <w:rFonts w:ascii="Cambria Math" w:hAnsi="Cambria Math"/>
              </w:rPr>
              <m:t>W</m:t>
            </m:r>
          </m:e>
          <m:sub>
            <m:r>
              <w:rPr>
                <w:rFonts w:ascii="Cambria Math" w:hAnsi="Cambria Math"/>
              </w:rPr>
              <m:t>he</m:t>
            </m:r>
          </m:sub>
        </m:sSub>
      </m:oMath>
      <w:r w:rsidR="00A7521D">
        <w:t xml:space="preserve"> was the heater width (m),</w:t>
      </w:r>
    </w:p>
    <w:p w14:paraId="1571B4CE" w14:textId="26367228" w:rsidR="00A7521D" w:rsidRDefault="00C73E04" w:rsidP="00A7521D">
      <m:oMath>
        <m:sSub>
          <m:sSubPr>
            <m:ctrlPr>
              <w:rPr>
                <w:rFonts w:ascii="Cambria Math" w:hAnsi="Cambria Math"/>
                <w:i/>
              </w:rPr>
            </m:ctrlPr>
          </m:sSubPr>
          <m:e>
            <m:r>
              <w:rPr>
                <w:rFonts w:ascii="Cambria Math" w:hAnsi="Cambria Math"/>
              </w:rPr>
              <m:t>L</m:t>
            </m:r>
          </m:e>
          <m:sub>
            <m:r>
              <w:rPr>
                <w:rFonts w:ascii="Cambria Math" w:hAnsi="Cambria Math"/>
              </w:rPr>
              <m:t>he,ht</m:t>
            </m:r>
          </m:sub>
        </m:sSub>
      </m:oMath>
      <w:r w:rsidR="00A7521D">
        <w:t xml:space="preserve"> was the heater height (m).</w:t>
      </w:r>
    </w:p>
    <w:p w14:paraId="11C63B8E" w14:textId="18B9C1DC" w:rsidR="005F7FE8" w:rsidRDefault="005F7FE8" w:rsidP="00A7521D">
      <w:r>
        <w:t>The envelope area was dependent on the heater width, the heater height and the exposed length of the heater. The heater width and height were dependent on the physical parameters of the FH.</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37"/>
        <w:gridCol w:w="239"/>
        <w:gridCol w:w="822"/>
      </w:tblGrid>
      <w:tr w:rsidR="00A7521D" w14:paraId="59C69011" w14:textId="77777777" w:rsidTr="00A7521D">
        <w:tc>
          <w:tcPr>
            <w:tcW w:w="7137" w:type="dxa"/>
            <w:hideMark/>
          </w:tcPr>
          <w:p w14:paraId="463203F3" w14:textId="77777777" w:rsidR="00A7521D" w:rsidRDefault="00C73E04" w:rsidP="00A7521D">
            <w:pPr>
              <w:keepNext/>
              <w:rPr>
                <w:color w:val="FFFFFF"/>
              </w:rPr>
            </w:pPr>
            <m:oMathPara>
              <m:oMathParaPr>
                <m:jc m:val="left"/>
              </m:oMathParaPr>
              <m:oMath>
                <m:sSub>
                  <m:sSubPr>
                    <m:ctrlPr>
                      <w:rPr>
                        <w:rFonts w:ascii="Cambria Math" w:hAnsi="Cambria Math"/>
                        <w:i/>
                      </w:rPr>
                    </m:ctrlPr>
                  </m:sSubPr>
                  <m:e>
                    <m:r>
                      <w:rPr>
                        <w:rFonts w:ascii="Cambria Math" w:hAnsi="Cambria Math"/>
                      </w:rPr>
                      <m:t>A</m:t>
                    </m:r>
                  </m:e>
                  <m:sub>
                    <m:r>
                      <w:rPr>
                        <w:rFonts w:ascii="Cambria Math" w:hAnsi="Cambria Math"/>
                      </w:rPr>
                      <m:t>R</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en</m:t>
                    </m:r>
                  </m:sub>
                </m:sSub>
                <m:r>
                  <w:rPr>
                    <w:rFonts w:ascii="Cambria Math" w:hAnsi="Cambria Math"/>
                  </w:rPr>
                  <m:t>-α</m:t>
                </m:r>
                <m:sSub>
                  <m:sSubPr>
                    <m:ctrlPr>
                      <w:rPr>
                        <w:rFonts w:ascii="Cambria Math" w:hAnsi="Cambria Math"/>
                        <w:i/>
                      </w:rPr>
                    </m:ctrlPr>
                  </m:sSubPr>
                  <m:e>
                    <m:r>
                      <w:rPr>
                        <w:rFonts w:ascii="Cambria Math" w:hAnsi="Cambria Math"/>
                      </w:rPr>
                      <m:t>A</m:t>
                    </m:r>
                  </m:e>
                  <m:sub>
                    <m:r>
                      <w:rPr>
                        <w:rFonts w:ascii="Cambria Math" w:hAnsi="Cambria Math"/>
                      </w:rPr>
                      <m:t>c,pl</m:t>
                    </m:r>
                  </m:sub>
                </m:sSub>
              </m:oMath>
            </m:oMathPara>
          </w:p>
        </w:tc>
        <w:tc>
          <w:tcPr>
            <w:tcW w:w="239" w:type="dxa"/>
            <w:vAlign w:val="center"/>
            <w:hideMark/>
          </w:tcPr>
          <w:p w14:paraId="07CE5533" w14:textId="77777777" w:rsidR="00A7521D" w:rsidRDefault="00A7521D" w:rsidP="00A7521D">
            <w:pPr>
              <w:pStyle w:val="Caption"/>
              <w:jc w:val="right"/>
            </w:pPr>
          </w:p>
        </w:tc>
        <w:tc>
          <w:tcPr>
            <w:tcW w:w="822" w:type="dxa"/>
            <w:vAlign w:val="center"/>
            <w:hideMark/>
          </w:tcPr>
          <w:p w14:paraId="11A749CA" w14:textId="3BDDCB7C" w:rsidR="00A7521D" w:rsidRDefault="00A7521D" w:rsidP="00A7521D">
            <w:pPr>
              <w:pStyle w:val="Caption"/>
              <w:jc w:val="right"/>
              <w:rPr>
                <w:b w:val="0"/>
              </w:rPr>
            </w:pPr>
            <w:r>
              <w:rPr>
                <w:noProof/>
              </w:rPr>
              <w:fldChar w:fldCharType="begin"/>
            </w:r>
            <w:r>
              <w:rPr>
                <w:noProof/>
              </w:rPr>
              <w:instrText xml:space="preserve"> STYLEREF 1 \s </w:instrText>
            </w:r>
            <w:r>
              <w:rPr>
                <w:noProof/>
              </w:rPr>
              <w:fldChar w:fldCharType="separate"/>
            </w:r>
            <w:r w:rsidR="00CB7456">
              <w:rPr>
                <w:noProof/>
              </w:rPr>
              <w:t>13</w:t>
            </w:r>
            <w:r>
              <w:rPr>
                <w:noProof/>
              </w:rPr>
              <w:fldChar w:fldCharType="end"/>
            </w:r>
            <w:r>
              <w:rPr>
                <w:noProof/>
              </w:rPr>
              <w:t>.</w:t>
            </w:r>
            <w:r>
              <w:rPr>
                <w:noProof/>
              </w:rPr>
              <w:fldChar w:fldCharType="begin"/>
            </w:r>
            <w:r>
              <w:rPr>
                <w:noProof/>
              </w:rPr>
              <w:instrText xml:space="preserve"> SEQ Equation \* ARABIC \s 1 </w:instrText>
            </w:r>
            <w:r>
              <w:rPr>
                <w:noProof/>
              </w:rPr>
              <w:fldChar w:fldCharType="separate"/>
            </w:r>
            <w:r w:rsidR="00CB7456">
              <w:rPr>
                <w:noProof/>
              </w:rPr>
              <w:t>70</w:t>
            </w:r>
            <w:r>
              <w:rPr>
                <w:noProof/>
              </w:rPr>
              <w:fldChar w:fldCharType="end"/>
            </w:r>
          </w:p>
        </w:tc>
      </w:tr>
    </w:tbl>
    <w:p w14:paraId="3191B32B" w14:textId="77777777" w:rsidR="00A7521D" w:rsidRPr="000C37E8" w:rsidRDefault="00A7521D" w:rsidP="00A7521D"/>
    <w:p w14:paraId="3D934E0A" w14:textId="77777777" w:rsidR="00A7521D" w:rsidRDefault="00C73E04" w:rsidP="00A7521D">
      <w:pPr>
        <w:pStyle w:val="NoSpacing"/>
      </w:pPr>
      <m:oMath>
        <m:sSub>
          <m:sSubPr>
            <m:ctrlPr>
              <w:rPr>
                <w:rFonts w:ascii="Cambria Math" w:hAnsi="Cambria Math"/>
                <w:i/>
              </w:rPr>
            </m:ctrlPr>
          </m:sSubPr>
          <m:e>
            <m:r>
              <w:rPr>
                <w:rFonts w:ascii="Cambria Math" w:hAnsi="Cambria Math"/>
              </w:rPr>
              <m:t>A</m:t>
            </m:r>
          </m:e>
          <m:sub>
            <m:r>
              <w:rPr>
                <w:rFonts w:ascii="Cambria Math" w:hAnsi="Cambria Math"/>
              </w:rPr>
              <m:t>R</m:t>
            </m:r>
          </m:sub>
        </m:sSub>
      </m:oMath>
      <w:r w:rsidR="00A7521D">
        <w:t xml:space="preserve"> was the radiant section area (m</w:t>
      </w:r>
      <w:r w:rsidR="00A7521D">
        <w:rPr>
          <w:vertAlign w:val="superscript"/>
        </w:rPr>
        <w:t>2</w:t>
      </w:r>
      <w:r w:rsidR="00A7521D">
        <w:t>),</w:t>
      </w:r>
    </w:p>
    <w:p w14:paraId="5725B22B" w14:textId="294EC5A1" w:rsidR="00A7521D" w:rsidRDefault="00A7521D" w:rsidP="00A7521D">
      <m:oMath>
        <m:r>
          <w:rPr>
            <w:rFonts w:ascii="Cambria Math" w:hAnsi="Cambria Math"/>
          </w:rPr>
          <m:t>α</m:t>
        </m:r>
      </m:oMath>
      <w:r>
        <w:t xml:space="preserve"> was a constant.</w:t>
      </w:r>
    </w:p>
    <w:p w14:paraId="5C3101F9" w14:textId="54585F73" w:rsidR="00A7521D" w:rsidRDefault="005F7FE8" w:rsidP="00A7521D">
      <w:r>
        <w:lastRenderedPageBreak/>
        <w:t>The radiant section area</w:t>
      </w:r>
      <w:r w:rsidR="00EA3042">
        <w:t xml:space="preserve"> was dependent on the envelope area, the cold plate area of the shield tubes and a constant. The constant, </w:t>
      </w:r>
      <m:oMath>
        <m:r>
          <w:rPr>
            <w:rFonts w:ascii="Cambria Math" w:hAnsi="Cambria Math"/>
          </w:rPr>
          <m:t>α</m:t>
        </m:r>
      </m:oMath>
      <w:r w:rsidR="00EA3042">
        <w:t>,</w:t>
      </w:r>
      <w:r w:rsidR="00A7521D">
        <w:t xml:space="preserve"> was found using Figure 1-18 </w:t>
      </w:r>
      <w:r w:rsidR="00A7521D">
        <w:fldChar w:fldCharType="begin" w:fldLock="1"/>
      </w:r>
      <w:r w:rsidR="002A6A73">
        <w:instrText>ADDIN CSL_CITATION {"citationItems":[{"id":"ITEM-1","itemData":{"ISBN":"0-87201-255-7","author":[{"dropping-particle":"","family":"Evans","given":"Frank L.","non-dropping-particle":"","parse-names":false,"suffix":""}],"container-title":"Equipment Design Handbook for Refineries and Chemical Plants","edition":"2","id":"ITEM-1","issued":{"date-parts":[["1974"]]},"page":"1-27","publisher":"Gulf Publishing Company","publisher-place":"Houston, America","title":"Fired Heaters and Boilers","type":"chapter"},"uris":["http://www.mendeley.com/documents/?uuid=70297c0c-6a5f-4751-91c5-d4386302a47e"]}],"mendeley":{"formattedCitation":"(Evans, 1974)","plainTextFormattedCitation":"(Evans, 1974)","previouslyFormattedCitation":"(Evans, 1974)"},"properties":{"noteIndex":0},"schema":"https://github.com/citation-style-language/schema/raw/master/csl-citation.json"}</w:instrText>
      </w:r>
      <w:r w:rsidR="00A7521D">
        <w:fldChar w:fldCharType="separate"/>
      </w:r>
      <w:r w:rsidR="002A6A73" w:rsidRPr="002A6A73">
        <w:rPr>
          <w:noProof/>
        </w:rPr>
        <w:t>(Evans, 1974)</w:t>
      </w:r>
      <w:r w:rsidR="00A7521D">
        <w:fldChar w:fldCharType="end"/>
      </w:r>
      <w:r w:rsidR="00A7521D">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37"/>
        <w:gridCol w:w="239"/>
        <w:gridCol w:w="822"/>
      </w:tblGrid>
      <w:tr w:rsidR="00A7521D" w14:paraId="63BBACA7" w14:textId="77777777" w:rsidTr="00A7521D">
        <w:tc>
          <w:tcPr>
            <w:tcW w:w="7137" w:type="dxa"/>
            <w:hideMark/>
          </w:tcPr>
          <w:p w14:paraId="5F258BF1" w14:textId="77777777" w:rsidR="00A7521D" w:rsidRDefault="00C73E04" w:rsidP="00A7521D">
            <w:pPr>
              <w:keepNext/>
              <w:rPr>
                <w:color w:val="FFFFFF"/>
              </w:rPr>
            </w:pPr>
            <m:oMathPara>
              <m:oMathParaPr>
                <m:jc m:val="left"/>
              </m:oMathParaPr>
              <m:oMath>
                <m:sSub>
                  <m:sSubPr>
                    <m:ctrlPr>
                      <w:rPr>
                        <w:rFonts w:ascii="Cambria Math" w:hAnsi="Cambria Math"/>
                        <w:i/>
                      </w:rPr>
                    </m:ctrlPr>
                  </m:sSubPr>
                  <m:e>
                    <m:r>
                      <w:rPr>
                        <w:rFonts w:ascii="Cambria Math" w:hAnsi="Cambria Math"/>
                      </w:rPr>
                      <m:t>V</m:t>
                    </m:r>
                  </m:e>
                  <m:sub>
                    <m:r>
                      <w:rPr>
                        <w:rFonts w:ascii="Cambria Math" w:hAnsi="Cambria Math"/>
                      </w:rPr>
                      <m:t>fr</m:t>
                    </m:r>
                  </m:sub>
                </m:sSub>
                <m:r>
                  <w:rPr>
                    <w:rFonts w:ascii="Cambria Math" w:hAnsi="Cambria Math"/>
                  </w:rPr>
                  <m:t>=</m:t>
                </m:r>
                <m:sSub>
                  <m:sSubPr>
                    <m:ctrlPr>
                      <w:rPr>
                        <w:rFonts w:ascii="Cambria Math" w:hAnsi="Cambria Math"/>
                        <w:i/>
                      </w:rPr>
                    </m:ctrlPr>
                  </m:sSubPr>
                  <m:e>
                    <m:r>
                      <w:rPr>
                        <w:rFonts w:ascii="Cambria Math" w:hAnsi="Cambria Math"/>
                      </w:rPr>
                      <m:t>2W</m:t>
                    </m:r>
                  </m:e>
                  <m:sub>
                    <m:r>
                      <w:rPr>
                        <w:rFonts w:ascii="Cambria Math" w:hAnsi="Cambria Math"/>
                      </w:rPr>
                      <m:t>he</m:t>
                    </m:r>
                  </m:sub>
                </m:sSub>
                <m:sSub>
                  <m:sSubPr>
                    <m:ctrlPr>
                      <w:rPr>
                        <w:rFonts w:ascii="Cambria Math" w:hAnsi="Cambria Math"/>
                        <w:i/>
                      </w:rPr>
                    </m:ctrlPr>
                  </m:sSubPr>
                  <m:e>
                    <m:r>
                      <w:rPr>
                        <w:rFonts w:ascii="Cambria Math" w:hAnsi="Cambria Math"/>
                      </w:rPr>
                      <m:t>L</m:t>
                    </m:r>
                  </m:e>
                  <m:sub>
                    <m:r>
                      <w:rPr>
                        <w:rFonts w:ascii="Cambria Math" w:hAnsi="Cambria Math"/>
                      </w:rPr>
                      <m:t>he,ht</m:t>
                    </m:r>
                  </m:sub>
                </m:sSub>
                <m:sSub>
                  <m:sSubPr>
                    <m:ctrlPr>
                      <w:rPr>
                        <w:rFonts w:ascii="Cambria Math" w:hAnsi="Cambria Math"/>
                        <w:i/>
                      </w:rPr>
                    </m:ctrlPr>
                  </m:sSubPr>
                  <m:e>
                    <m:r>
                      <w:rPr>
                        <w:rFonts w:ascii="Cambria Math" w:hAnsi="Cambria Math"/>
                      </w:rPr>
                      <m:t>L</m:t>
                    </m:r>
                  </m:e>
                  <m:sub>
                    <m:r>
                      <w:rPr>
                        <w:rFonts w:ascii="Cambria Math" w:hAnsi="Cambria Math"/>
                      </w:rPr>
                      <m:t>he</m:t>
                    </m:r>
                  </m:sub>
                </m:sSub>
              </m:oMath>
            </m:oMathPara>
          </w:p>
        </w:tc>
        <w:tc>
          <w:tcPr>
            <w:tcW w:w="239" w:type="dxa"/>
            <w:vAlign w:val="center"/>
            <w:hideMark/>
          </w:tcPr>
          <w:p w14:paraId="3E767843" w14:textId="77777777" w:rsidR="00A7521D" w:rsidRDefault="00A7521D" w:rsidP="00A7521D">
            <w:pPr>
              <w:pStyle w:val="Caption"/>
              <w:jc w:val="right"/>
            </w:pPr>
          </w:p>
        </w:tc>
        <w:tc>
          <w:tcPr>
            <w:tcW w:w="822" w:type="dxa"/>
            <w:vAlign w:val="center"/>
            <w:hideMark/>
          </w:tcPr>
          <w:p w14:paraId="61F088C4" w14:textId="5655184C" w:rsidR="00A7521D" w:rsidRDefault="00A7521D" w:rsidP="00A7521D">
            <w:pPr>
              <w:pStyle w:val="Caption"/>
              <w:jc w:val="right"/>
              <w:rPr>
                <w:b w:val="0"/>
              </w:rPr>
            </w:pPr>
            <w:r>
              <w:rPr>
                <w:noProof/>
              </w:rPr>
              <w:fldChar w:fldCharType="begin"/>
            </w:r>
            <w:r>
              <w:rPr>
                <w:noProof/>
              </w:rPr>
              <w:instrText xml:space="preserve"> STYLEREF 1 \s </w:instrText>
            </w:r>
            <w:r>
              <w:rPr>
                <w:noProof/>
              </w:rPr>
              <w:fldChar w:fldCharType="separate"/>
            </w:r>
            <w:r w:rsidR="00CB7456">
              <w:rPr>
                <w:noProof/>
              </w:rPr>
              <w:t>13</w:t>
            </w:r>
            <w:r>
              <w:rPr>
                <w:noProof/>
              </w:rPr>
              <w:fldChar w:fldCharType="end"/>
            </w:r>
            <w:r>
              <w:rPr>
                <w:noProof/>
              </w:rPr>
              <w:t>.</w:t>
            </w:r>
            <w:r>
              <w:rPr>
                <w:noProof/>
              </w:rPr>
              <w:fldChar w:fldCharType="begin"/>
            </w:r>
            <w:r>
              <w:rPr>
                <w:noProof/>
              </w:rPr>
              <w:instrText xml:space="preserve"> SEQ Equation \* ARABIC \s 1 </w:instrText>
            </w:r>
            <w:r>
              <w:rPr>
                <w:noProof/>
              </w:rPr>
              <w:fldChar w:fldCharType="separate"/>
            </w:r>
            <w:r w:rsidR="00CB7456">
              <w:rPr>
                <w:noProof/>
              </w:rPr>
              <w:t>71</w:t>
            </w:r>
            <w:r>
              <w:rPr>
                <w:noProof/>
              </w:rPr>
              <w:fldChar w:fldCharType="end"/>
            </w:r>
          </w:p>
        </w:tc>
      </w:tr>
    </w:tbl>
    <w:p w14:paraId="31DB80A0" w14:textId="77777777" w:rsidR="00A7521D" w:rsidRDefault="00A7521D" w:rsidP="00A7521D"/>
    <w:p w14:paraId="4CE23A90" w14:textId="5D52B277" w:rsidR="00A7521D" w:rsidRDefault="00C73E04" w:rsidP="00A7521D">
      <m:oMath>
        <m:sSub>
          <m:sSubPr>
            <m:ctrlPr>
              <w:rPr>
                <w:rFonts w:ascii="Cambria Math" w:hAnsi="Cambria Math"/>
                <w:i/>
              </w:rPr>
            </m:ctrlPr>
          </m:sSubPr>
          <m:e>
            <m:r>
              <w:rPr>
                <w:rFonts w:ascii="Cambria Math" w:hAnsi="Cambria Math"/>
              </w:rPr>
              <m:t>V</m:t>
            </m:r>
          </m:e>
          <m:sub>
            <m:r>
              <w:rPr>
                <w:rFonts w:ascii="Cambria Math" w:hAnsi="Cambria Math"/>
              </w:rPr>
              <m:t>fr</m:t>
            </m:r>
          </m:sub>
        </m:sSub>
      </m:oMath>
      <w:r w:rsidR="00A7521D">
        <w:t xml:space="preserve"> was the furnace volume (m</w:t>
      </w:r>
      <w:r w:rsidR="00A7521D">
        <w:rPr>
          <w:vertAlign w:val="superscript"/>
        </w:rPr>
        <w:t>3</w:t>
      </w:r>
      <w:r w:rsidR="00A7521D">
        <w:t>).</w:t>
      </w:r>
    </w:p>
    <w:p w14:paraId="48956A74" w14:textId="282BD0C2" w:rsidR="00EA3042" w:rsidRDefault="00EA3042" w:rsidP="00A7521D">
      <w:r>
        <w:t>The furnace volume was dependent on the heater width, the heater height and the exposed length of the heater.</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37"/>
        <w:gridCol w:w="239"/>
        <w:gridCol w:w="822"/>
      </w:tblGrid>
      <w:tr w:rsidR="00A7521D" w14:paraId="50460A43" w14:textId="77777777" w:rsidTr="00A7521D">
        <w:tc>
          <w:tcPr>
            <w:tcW w:w="7137" w:type="dxa"/>
            <w:hideMark/>
          </w:tcPr>
          <w:p w14:paraId="1DED883F" w14:textId="77777777" w:rsidR="00A7521D" w:rsidRDefault="00C73E04" w:rsidP="00A7521D">
            <w:pPr>
              <w:keepNext/>
              <w:rPr>
                <w:color w:val="FFFFFF"/>
              </w:rPr>
            </w:pPr>
            <m:oMathPara>
              <m:oMathParaPr>
                <m:jc m:val="left"/>
              </m:oMathParaPr>
              <m:oMath>
                <m:sSub>
                  <m:sSubPr>
                    <m:ctrlPr>
                      <w:rPr>
                        <w:rFonts w:ascii="Cambria Math" w:hAnsi="Cambria Math"/>
                        <w:i/>
                      </w:rPr>
                    </m:ctrlPr>
                  </m:sSubPr>
                  <m:e>
                    <m:r>
                      <w:rPr>
                        <w:rFonts w:ascii="Cambria Math" w:hAnsi="Cambria Math"/>
                      </w:rPr>
                      <m:t>L</m:t>
                    </m:r>
                  </m:e>
                  <m:sub>
                    <m:r>
                      <w:rPr>
                        <w:rFonts w:ascii="Cambria Math" w:hAnsi="Cambria Math"/>
                      </w:rPr>
                      <m:t>be</m:t>
                    </m:r>
                  </m:sub>
                </m:sSub>
                <m:r>
                  <w:rPr>
                    <w:rFonts w:ascii="Cambria Math" w:hAnsi="Cambria Math"/>
                  </w:rPr>
                  <m:t>=</m:t>
                </m:r>
                <m:f>
                  <m:fPr>
                    <m:ctrlPr>
                      <w:rPr>
                        <w:rFonts w:ascii="Cambria Math" w:hAnsi="Cambria Math"/>
                        <w:i/>
                      </w:rPr>
                    </m:ctrlPr>
                  </m:fPr>
                  <m:num>
                    <m:r>
                      <w:rPr>
                        <w:rFonts w:ascii="Cambria Math" w:hAnsi="Cambria Math"/>
                      </w:rPr>
                      <m:t>2</m:t>
                    </m:r>
                  </m:num>
                  <m:den>
                    <m:r>
                      <w:rPr>
                        <w:rFonts w:ascii="Cambria Math" w:hAnsi="Cambria Math"/>
                      </w:rPr>
                      <m:t>3</m:t>
                    </m:r>
                  </m:den>
                </m:f>
                <m:sSubSup>
                  <m:sSubSupPr>
                    <m:ctrlPr>
                      <w:rPr>
                        <w:rFonts w:ascii="Cambria Math" w:hAnsi="Cambria Math"/>
                        <w:i/>
                      </w:rPr>
                    </m:ctrlPr>
                  </m:sSubSupPr>
                  <m:e>
                    <m:r>
                      <w:rPr>
                        <w:rFonts w:ascii="Cambria Math" w:hAnsi="Cambria Math"/>
                      </w:rPr>
                      <m:t>V</m:t>
                    </m:r>
                  </m:e>
                  <m:sub>
                    <m:r>
                      <w:rPr>
                        <w:rFonts w:ascii="Cambria Math" w:hAnsi="Cambria Math"/>
                      </w:rPr>
                      <m:t>fr</m:t>
                    </m:r>
                  </m:sub>
                  <m:sup>
                    <m:f>
                      <m:fPr>
                        <m:type m:val="skw"/>
                        <m:ctrlPr>
                          <w:rPr>
                            <w:rFonts w:ascii="Cambria Math" w:hAnsi="Cambria Math"/>
                            <w:i/>
                          </w:rPr>
                        </m:ctrlPr>
                      </m:fPr>
                      <m:num>
                        <m:r>
                          <w:rPr>
                            <w:rFonts w:ascii="Cambria Math" w:hAnsi="Cambria Math"/>
                          </w:rPr>
                          <m:t>1</m:t>
                        </m:r>
                      </m:num>
                      <m:den>
                        <m:r>
                          <w:rPr>
                            <w:rFonts w:ascii="Cambria Math" w:hAnsi="Cambria Math"/>
                          </w:rPr>
                          <m:t>3</m:t>
                        </m:r>
                      </m:den>
                    </m:f>
                  </m:sup>
                </m:sSubSup>
              </m:oMath>
            </m:oMathPara>
          </w:p>
        </w:tc>
        <w:tc>
          <w:tcPr>
            <w:tcW w:w="239" w:type="dxa"/>
            <w:vAlign w:val="center"/>
            <w:hideMark/>
          </w:tcPr>
          <w:p w14:paraId="3C909BE0" w14:textId="77777777" w:rsidR="00A7521D" w:rsidRDefault="00A7521D" w:rsidP="00A7521D">
            <w:pPr>
              <w:pStyle w:val="Caption"/>
              <w:jc w:val="right"/>
            </w:pPr>
          </w:p>
        </w:tc>
        <w:tc>
          <w:tcPr>
            <w:tcW w:w="822" w:type="dxa"/>
            <w:vAlign w:val="center"/>
            <w:hideMark/>
          </w:tcPr>
          <w:p w14:paraId="12B8A2B1" w14:textId="1C0552B3" w:rsidR="00A7521D" w:rsidRDefault="00A7521D" w:rsidP="00A7521D">
            <w:pPr>
              <w:pStyle w:val="Caption"/>
              <w:jc w:val="right"/>
              <w:rPr>
                <w:b w:val="0"/>
              </w:rPr>
            </w:pPr>
            <w:r>
              <w:rPr>
                <w:noProof/>
              </w:rPr>
              <w:fldChar w:fldCharType="begin"/>
            </w:r>
            <w:r>
              <w:rPr>
                <w:noProof/>
              </w:rPr>
              <w:instrText xml:space="preserve"> STYLEREF 1 \s </w:instrText>
            </w:r>
            <w:r>
              <w:rPr>
                <w:noProof/>
              </w:rPr>
              <w:fldChar w:fldCharType="separate"/>
            </w:r>
            <w:r w:rsidR="00CB7456">
              <w:rPr>
                <w:noProof/>
              </w:rPr>
              <w:t>13</w:t>
            </w:r>
            <w:r>
              <w:rPr>
                <w:noProof/>
              </w:rPr>
              <w:fldChar w:fldCharType="end"/>
            </w:r>
            <w:r>
              <w:rPr>
                <w:noProof/>
              </w:rPr>
              <w:t>.</w:t>
            </w:r>
            <w:r>
              <w:rPr>
                <w:noProof/>
              </w:rPr>
              <w:fldChar w:fldCharType="begin"/>
            </w:r>
            <w:r>
              <w:rPr>
                <w:noProof/>
              </w:rPr>
              <w:instrText xml:space="preserve"> SEQ Equation \* ARABIC \s 1 </w:instrText>
            </w:r>
            <w:r>
              <w:rPr>
                <w:noProof/>
              </w:rPr>
              <w:fldChar w:fldCharType="separate"/>
            </w:r>
            <w:r w:rsidR="00CB7456">
              <w:rPr>
                <w:noProof/>
              </w:rPr>
              <w:t>72</w:t>
            </w:r>
            <w:r>
              <w:rPr>
                <w:noProof/>
              </w:rPr>
              <w:fldChar w:fldCharType="end"/>
            </w:r>
          </w:p>
        </w:tc>
      </w:tr>
    </w:tbl>
    <w:p w14:paraId="2A047B64" w14:textId="77777777" w:rsidR="00A7521D" w:rsidRDefault="00A7521D" w:rsidP="00A7521D"/>
    <w:p w14:paraId="08FE7702" w14:textId="33F46ED4" w:rsidR="00A7521D" w:rsidRDefault="00C73E04" w:rsidP="00A7521D">
      <m:oMath>
        <m:sSub>
          <m:sSubPr>
            <m:ctrlPr>
              <w:rPr>
                <w:rFonts w:ascii="Cambria Math" w:hAnsi="Cambria Math"/>
                <w:i/>
              </w:rPr>
            </m:ctrlPr>
          </m:sSubPr>
          <m:e>
            <m:r>
              <w:rPr>
                <w:rFonts w:ascii="Cambria Math" w:hAnsi="Cambria Math"/>
              </w:rPr>
              <m:t>L</m:t>
            </m:r>
          </m:e>
          <m:sub>
            <m:r>
              <w:rPr>
                <w:rFonts w:ascii="Cambria Math" w:hAnsi="Cambria Math"/>
              </w:rPr>
              <m:t>be</m:t>
            </m:r>
          </m:sub>
        </m:sSub>
      </m:oMath>
      <w:r w:rsidR="00A7521D">
        <w:t xml:space="preserve"> was the mean beam length (m).</w:t>
      </w:r>
    </w:p>
    <w:p w14:paraId="434C9860" w14:textId="156C353E" w:rsidR="00EA3042" w:rsidRDefault="00EA3042" w:rsidP="00A7521D">
      <w:r>
        <w:t>The mean beam length was dependent on the furnace volume.</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37"/>
        <w:gridCol w:w="239"/>
        <w:gridCol w:w="822"/>
      </w:tblGrid>
      <w:tr w:rsidR="00A7521D" w14:paraId="3DD45310" w14:textId="77777777" w:rsidTr="00A7521D">
        <w:tc>
          <w:tcPr>
            <w:tcW w:w="7137" w:type="dxa"/>
            <w:hideMark/>
          </w:tcPr>
          <w:p w14:paraId="25284CBD" w14:textId="050467DB" w:rsidR="00A7521D" w:rsidRDefault="00C73E04" w:rsidP="00A7521D">
            <w:pPr>
              <w:keepNext/>
              <w:rPr>
                <w:color w:val="FFFFFF"/>
              </w:rPr>
            </w:pPr>
            <m:oMathPara>
              <m:oMathParaPr>
                <m:jc m:val="left"/>
              </m:oMathParaPr>
              <m:oMath>
                <m:f>
                  <m:fPr>
                    <m:ctrlPr>
                      <w:rPr>
                        <w:rFonts w:ascii="Cambria Math" w:hAnsi="Cambria Math"/>
                        <w:i/>
                        <w:iCs/>
                      </w:rPr>
                    </m:ctrlPr>
                  </m:fPr>
                  <m:num>
                    <m:sSub>
                      <m:sSubPr>
                        <m:ctrlPr>
                          <w:rPr>
                            <w:rFonts w:ascii="Cambria Math" w:hAnsi="Cambria Math"/>
                            <w:i/>
                            <w:iCs/>
                          </w:rPr>
                        </m:ctrlPr>
                      </m:sSubPr>
                      <m:e>
                        <m:r>
                          <w:rPr>
                            <w:rFonts w:ascii="Cambria Math" w:hAnsi="Cambria Math"/>
                          </w:rPr>
                          <m:t>q</m:t>
                        </m:r>
                      </m:e>
                      <m:sub>
                        <m:r>
                          <w:rPr>
                            <w:rFonts w:ascii="Cambria Math" w:hAnsi="Cambria Math"/>
                          </w:rPr>
                          <m:t>R</m:t>
                        </m:r>
                      </m:sub>
                    </m:sSub>
                  </m:num>
                  <m:den>
                    <m:r>
                      <w:rPr>
                        <w:rFonts w:ascii="Cambria Math" w:hAnsi="Cambria Math"/>
                      </w:rPr>
                      <m:t>α</m:t>
                    </m:r>
                    <m:sSub>
                      <m:sSubPr>
                        <m:ctrlPr>
                          <w:rPr>
                            <w:rFonts w:ascii="Cambria Math" w:hAnsi="Cambria Math"/>
                            <w:i/>
                            <w:iCs/>
                          </w:rPr>
                        </m:ctrlPr>
                      </m:sSubPr>
                      <m:e>
                        <m:r>
                          <w:rPr>
                            <w:rFonts w:ascii="Cambria Math" w:hAnsi="Cambria Math"/>
                          </w:rPr>
                          <m:t>A</m:t>
                        </m:r>
                      </m:e>
                      <m:sub>
                        <m:r>
                          <w:rPr>
                            <w:rFonts w:ascii="Cambria Math" w:hAnsi="Cambria Math"/>
                          </w:rPr>
                          <m:t>c,pl</m:t>
                        </m:r>
                      </m:sub>
                    </m:sSub>
                    <m:r>
                      <w:rPr>
                        <w:rFonts w:ascii="Cambria Math" w:hAnsi="Cambria Math"/>
                      </w:rPr>
                      <m:t>F</m:t>
                    </m:r>
                  </m:den>
                </m:f>
                <m:r>
                  <w:rPr>
                    <w:rFonts w:ascii="Cambria Math" w:hAnsi="Cambria Math"/>
                  </w:rPr>
                  <m:t>=</m:t>
                </m:r>
                <m:d>
                  <m:dPr>
                    <m:ctrlPr>
                      <w:rPr>
                        <w:rFonts w:ascii="Cambria Math" w:hAnsi="Cambria Math"/>
                        <w:i/>
                        <w:iCs/>
                      </w:rPr>
                    </m:ctrlPr>
                  </m:dPr>
                  <m:e>
                    <m:r>
                      <w:rPr>
                        <w:rFonts w:ascii="Cambria Math" w:hAnsi="Cambria Math"/>
                      </w:rPr>
                      <m:t>1+</m:t>
                    </m:r>
                    <m:f>
                      <m:fPr>
                        <m:ctrlPr>
                          <w:rPr>
                            <w:rFonts w:ascii="Cambria Math" w:hAnsi="Cambria Math"/>
                            <w:i/>
                            <w:iCs/>
                          </w:rPr>
                        </m:ctrlPr>
                      </m:fPr>
                      <m:num>
                        <m:sSub>
                          <m:sSubPr>
                            <m:ctrlPr>
                              <w:rPr>
                                <w:rFonts w:ascii="Cambria Math" w:hAnsi="Cambria Math"/>
                                <w:i/>
                                <w:iCs/>
                              </w:rPr>
                            </m:ctrlPr>
                          </m:sSubPr>
                          <m:e>
                            <m:r>
                              <w:rPr>
                                <w:rFonts w:ascii="Cambria Math" w:hAnsi="Cambria Math"/>
                              </w:rPr>
                              <m:t>q</m:t>
                            </m:r>
                          </m:e>
                          <m:sub>
                            <m:r>
                              <w:rPr>
                                <w:rFonts w:ascii="Cambria Math" w:hAnsi="Cambria Math"/>
                              </w:rPr>
                              <m:t>ca</m:t>
                            </m:r>
                          </m:sub>
                        </m:sSub>
                      </m:num>
                      <m:den>
                        <m:sSub>
                          <m:sSubPr>
                            <m:ctrlPr>
                              <w:rPr>
                                <w:rFonts w:ascii="Cambria Math" w:hAnsi="Cambria Math"/>
                                <w:i/>
                                <w:iCs/>
                              </w:rPr>
                            </m:ctrlPr>
                          </m:sSubPr>
                          <m:e>
                            <m:r>
                              <w:rPr>
                                <w:rFonts w:ascii="Cambria Math" w:hAnsi="Cambria Math"/>
                              </w:rPr>
                              <m:t>q</m:t>
                            </m:r>
                          </m:e>
                          <m:sub>
                            <m:r>
                              <w:rPr>
                                <w:rFonts w:ascii="Cambria Math" w:hAnsi="Cambria Math"/>
                              </w:rPr>
                              <m:t>cm</m:t>
                            </m:r>
                          </m:sub>
                        </m:sSub>
                      </m:den>
                    </m:f>
                    <m:r>
                      <w:rPr>
                        <w:rFonts w:ascii="Cambria Math" w:hAnsi="Cambria Math"/>
                      </w:rPr>
                      <m:t>+</m:t>
                    </m:r>
                    <m:f>
                      <m:fPr>
                        <m:ctrlPr>
                          <w:rPr>
                            <w:rFonts w:ascii="Cambria Math" w:hAnsi="Cambria Math"/>
                            <w:i/>
                            <w:iCs/>
                          </w:rPr>
                        </m:ctrlPr>
                      </m:fPr>
                      <m:num>
                        <m:sSub>
                          <m:sSubPr>
                            <m:ctrlPr>
                              <w:rPr>
                                <w:rFonts w:ascii="Cambria Math" w:hAnsi="Cambria Math"/>
                                <w:i/>
                                <w:iCs/>
                              </w:rPr>
                            </m:ctrlPr>
                          </m:sSubPr>
                          <m:e>
                            <m:r>
                              <w:rPr>
                                <w:rFonts w:ascii="Cambria Math" w:hAnsi="Cambria Math"/>
                              </w:rPr>
                              <m:t>q</m:t>
                            </m:r>
                          </m:e>
                          <m:sub>
                            <m:r>
                              <w:rPr>
                                <w:rFonts w:ascii="Cambria Math" w:hAnsi="Cambria Math"/>
                              </w:rPr>
                              <m:t>fu</m:t>
                            </m:r>
                          </m:sub>
                        </m:sSub>
                      </m:num>
                      <m:den>
                        <m:sSub>
                          <m:sSubPr>
                            <m:ctrlPr>
                              <w:rPr>
                                <w:rFonts w:ascii="Cambria Math" w:hAnsi="Cambria Math"/>
                                <w:i/>
                                <w:iCs/>
                              </w:rPr>
                            </m:ctrlPr>
                          </m:sSubPr>
                          <m:e>
                            <m:r>
                              <w:rPr>
                                <w:rFonts w:ascii="Cambria Math" w:hAnsi="Cambria Math"/>
                              </w:rPr>
                              <m:t>q</m:t>
                            </m:r>
                          </m:e>
                          <m:sub>
                            <m:r>
                              <w:rPr>
                                <w:rFonts w:ascii="Cambria Math" w:hAnsi="Cambria Math"/>
                              </w:rPr>
                              <m:t>cm</m:t>
                            </m:r>
                          </m:sub>
                        </m:sSub>
                      </m:den>
                    </m:f>
                    <m:r>
                      <w:rPr>
                        <w:rFonts w:ascii="Cambria Math" w:hAnsi="Cambria Math"/>
                      </w:rPr>
                      <m:t>-</m:t>
                    </m:r>
                    <m:f>
                      <m:fPr>
                        <m:ctrlPr>
                          <w:rPr>
                            <w:rFonts w:ascii="Cambria Math" w:hAnsi="Cambria Math"/>
                            <w:i/>
                            <w:iCs/>
                          </w:rPr>
                        </m:ctrlPr>
                      </m:fPr>
                      <m:num>
                        <m:sSub>
                          <m:sSubPr>
                            <m:ctrlPr>
                              <w:rPr>
                                <w:rFonts w:ascii="Cambria Math" w:hAnsi="Cambria Math"/>
                                <w:i/>
                                <w:iCs/>
                              </w:rPr>
                            </m:ctrlPr>
                          </m:sSubPr>
                          <m:e>
                            <m:r>
                              <w:rPr>
                                <w:rFonts w:ascii="Cambria Math" w:hAnsi="Cambria Math"/>
                              </w:rPr>
                              <m:t>q</m:t>
                            </m:r>
                          </m:e>
                          <m:sub>
                            <m:r>
                              <w:rPr>
                                <w:rFonts w:ascii="Cambria Math" w:hAnsi="Cambria Math"/>
                              </w:rPr>
                              <m:t>loss,tu</m:t>
                            </m:r>
                          </m:sub>
                        </m:sSub>
                      </m:num>
                      <m:den>
                        <m:sSub>
                          <m:sSubPr>
                            <m:ctrlPr>
                              <w:rPr>
                                <w:rFonts w:ascii="Cambria Math" w:hAnsi="Cambria Math"/>
                                <w:i/>
                                <w:iCs/>
                              </w:rPr>
                            </m:ctrlPr>
                          </m:sSubPr>
                          <m:e>
                            <m:r>
                              <w:rPr>
                                <w:rFonts w:ascii="Cambria Math" w:hAnsi="Cambria Math"/>
                              </w:rPr>
                              <m:t>q</m:t>
                            </m:r>
                          </m:e>
                          <m:sub>
                            <m:r>
                              <w:rPr>
                                <w:rFonts w:ascii="Cambria Math" w:hAnsi="Cambria Math"/>
                              </w:rPr>
                              <m:t>cm</m:t>
                            </m:r>
                          </m:sub>
                        </m:sSub>
                      </m:den>
                    </m:f>
                    <m:r>
                      <w:rPr>
                        <w:rFonts w:ascii="Cambria Math" w:hAnsi="Cambria Math"/>
                      </w:rPr>
                      <m:t>-</m:t>
                    </m:r>
                    <m:f>
                      <m:fPr>
                        <m:ctrlPr>
                          <w:rPr>
                            <w:rFonts w:ascii="Cambria Math" w:hAnsi="Cambria Math"/>
                            <w:i/>
                            <w:iCs/>
                          </w:rPr>
                        </m:ctrlPr>
                      </m:fPr>
                      <m:num>
                        <m:sSub>
                          <m:sSubPr>
                            <m:ctrlPr>
                              <w:rPr>
                                <w:rFonts w:ascii="Cambria Math" w:hAnsi="Cambria Math"/>
                                <w:i/>
                                <w:iCs/>
                              </w:rPr>
                            </m:ctrlPr>
                          </m:sSubPr>
                          <m:e>
                            <m:r>
                              <w:rPr>
                                <w:rFonts w:ascii="Cambria Math" w:hAnsi="Cambria Math"/>
                              </w:rPr>
                              <m:t>q</m:t>
                            </m:r>
                          </m:e>
                          <m:sub>
                            <m:r>
                              <w:rPr>
                                <w:rFonts w:ascii="Cambria Math" w:hAnsi="Cambria Math"/>
                              </w:rPr>
                              <m:t>g</m:t>
                            </m:r>
                          </m:sub>
                        </m:sSub>
                      </m:num>
                      <m:den>
                        <m:sSub>
                          <m:sSubPr>
                            <m:ctrlPr>
                              <w:rPr>
                                <w:rFonts w:ascii="Cambria Math" w:hAnsi="Cambria Math"/>
                                <w:i/>
                                <w:iCs/>
                              </w:rPr>
                            </m:ctrlPr>
                          </m:sSubPr>
                          <m:e>
                            <m:r>
                              <w:rPr>
                                <w:rFonts w:ascii="Cambria Math" w:hAnsi="Cambria Math"/>
                              </w:rPr>
                              <m:t>q</m:t>
                            </m:r>
                          </m:e>
                          <m:sub>
                            <m:r>
                              <w:rPr>
                                <w:rFonts w:ascii="Cambria Math" w:hAnsi="Cambria Math"/>
                              </w:rPr>
                              <m:t>cm</m:t>
                            </m:r>
                          </m:sub>
                        </m:sSub>
                      </m:den>
                    </m:f>
                  </m:e>
                </m:d>
                <m:f>
                  <m:fPr>
                    <m:ctrlPr>
                      <w:rPr>
                        <w:rFonts w:ascii="Cambria Math" w:hAnsi="Cambria Math"/>
                        <w:i/>
                        <w:iCs/>
                      </w:rPr>
                    </m:ctrlPr>
                  </m:fPr>
                  <m:num>
                    <m:sSub>
                      <m:sSubPr>
                        <m:ctrlPr>
                          <w:rPr>
                            <w:rFonts w:ascii="Cambria Math" w:hAnsi="Cambria Math"/>
                            <w:i/>
                            <w:iCs/>
                          </w:rPr>
                        </m:ctrlPr>
                      </m:sSubPr>
                      <m:e>
                        <m:r>
                          <w:rPr>
                            <w:rFonts w:ascii="Cambria Math" w:hAnsi="Cambria Math"/>
                          </w:rPr>
                          <m:t>q</m:t>
                        </m:r>
                      </m:e>
                      <m:sub>
                        <m:r>
                          <w:rPr>
                            <w:rFonts w:ascii="Cambria Math" w:hAnsi="Cambria Math"/>
                          </w:rPr>
                          <m:t>cm</m:t>
                        </m:r>
                      </m:sub>
                    </m:sSub>
                  </m:num>
                  <m:den>
                    <m:r>
                      <w:rPr>
                        <w:rFonts w:ascii="Cambria Math" w:hAnsi="Cambria Math"/>
                      </w:rPr>
                      <m:t>α</m:t>
                    </m:r>
                    <m:sSub>
                      <m:sSubPr>
                        <m:ctrlPr>
                          <w:rPr>
                            <w:rFonts w:ascii="Cambria Math" w:hAnsi="Cambria Math"/>
                            <w:i/>
                            <w:iCs/>
                          </w:rPr>
                        </m:ctrlPr>
                      </m:sSubPr>
                      <m:e>
                        <m:r>
                          <w:rPr>
                            <w:rFonts w:ascii="Cambria Math" w:hAnsi="Cambria Math"/>
                          </w:rPr>
                          <m:t>A</m:t>
                        </m:r>
                      </m:e>
                      <m:sub>
                        <m:r>
                          <w:rPr>
                            <w:rFonts w:ascii="Cambria Math" w:hAnsi="Cambria Math"/>
                          </w:rPr>
                          <m:t>c</m:t>
                        </m:r>
                        <m:r>
                          <w:rPr>
                            <w:rFonts w:ascii="Cambria Math" w:hAnsi="Cambria Math"/>
                          </w:rPr>
                          <m:t>,</m:t>
                        </m:r>
                        <m:r>
                          <w:rPr>
                            <w:rFonts w:ascii="Cambria Math" w:hAnsi="Cambria Math"/>
                          </w:rPr>
                          <m:t>p</m:t>
                        </m:r>
                        <m:r>
                          <w:rPr>
                            <w:rFonts w:ascii="Cambria Math" w:hAnsi="Cambria Math"/>
                          </w:rPr>
                          <m:t>l</m:t>
                        </m:r>
                      </m:sub>
                    </m:sSub>
                    <m:r>
                      <w:rPr>
                        <w:rFonts w:ascii="Cambria Math" w:hAnsi="Cambria Math"/>
                      </w:rPr>
                      <m:t>F</m:t>
                    </m:r>
                  </m:den>
                </m:f>
              </m:oMath>
            </m:oMathPara>
          </w:p>
        </w:tc>
        <w:tc>
          <w:tcPr>
            <w:tcW w:w="239" w:type="dxa"/>
            <w:vAlign w:val="center"/>
            <w:hideMark/>
          </w:tcPr>
          <w:p w14:paraId="1614AD4E" w14:textId="77777777" w:rsidR="00A7521D" w:rsidRDefault="00A7521D" w:rsidP="00A7521D">
            <w:pPr>
              <w:pStyle w:val="Caption"/>
              <w:jc w:val="right"/>
            </w:pPr>
          </w:p>
        </w:tc>
        <w:tc>
          <w:tcPr>
            <w:tcW w:w="822" w:type="dxa"/>
            <w:vAlign w:val="center"/>
            <w:hideMark/>
          </w:tcPr>
          <w:p w14:paraId="3249371E" w14:textId="0E966916" w:rsidR="00A7521D" w:rsidRDefault="00A7521D" w:rsidP="00A7521D">
            <w:pPr>
              <w:pStyle w:val="Caption"/>
              <w:jc w:val="right"/>
              <w:rPr>
                <w:b w:val="0"/>
              </w:rPr>
            </w:pPr>
            <w:r>
              <w:rPr>
                <w:noProof/>
              </w:rPr>
              <w:fldChar w:fldCharType="begin"/>
            </w:r>
            <w:r>
              <w:rPr>
                <w:noProof/>
              </w:rPr>
              <w:instrText xml:space="preserve"> STYLEREF 1 \s </w:instrText>
            </w:r>
            <w:r>
              <w:rPr>
                <w:noProof/>
              </w:rPr>
              <w:fldChar w:fldCharType="separate"/>
            </w:r>
            <w:r w:rsidR="00CB7456">
              <w:rPr>
                <w:noProof/>
              </w:rPr>
              <w:t>13</w:t>
            </w:r>
            <w:r>
              <w:rPr>
                <w:noProof/>
              </w:rPr>
              <w:fldChar w:fldCharType="end"/>
            </w:r>
            <w:r>
              <w:rPr>
                <w:noProof/>
              </w:rPr>
              <w:t>.</w:t>
            </w:r>
            <w:r>
              <w:rPr>
                <w:noProof/>
              </w:rPr>
              <w:fldChar w:fldCharType="begin"/>
            </w:r>
            <w:r>
              <w:rPr>
                <w:noProof/>
              </w:rPr>
              <w:instrText xml:space="preserve"> SEQ Equation \* ARABIC \s 1 </w:instrText>
            </w:r>
            <w:r>
              <w:rPr>
                <w:noProof/>
              </w:rPr>
              <w:fldChar w:fldCharType="separate"/>
            </w:r>
            <w:r w:rsidR="00CB7456">
              <w:rPr>
                <w:noProof/>
              </w:rPr>
              <w:t>73</w:t>
            </w:r>
            <w:r>
              <w:rPr>
                <w:noProof/>
              </w:rPr>
              <w:fldChar w:fldCharType="end"/>
            </w:r>
          </w:p>
        </w:tc>
      </w:tr>
    </w:tbl>
    <w:p w14:paraId="15836C80" w14:textId="77777777" w:rsidR="00A7521D" w:rsidRDefault="00A7521D" w:rsidP="00A7521D"/>
    <w:p w14:paraId="6DE61C40" w14:textId="77777777" w:rsidR="00A7521D" w:rsidRDefault="00A7521D" w:rsidP="00A7521D">
      <w:pPr>
        <w:pStyle w:val="NoSpacing"/>
      </w:pPr>
      <m:oMath>
        <m:r>
          <w:rPr>
            <w:rFonts w:ascii="Cambria Math" w:hAnsi="Cambria Math"/>
          </w:rPr>
          <m:t>F</m:t>
        </m:r>
      </m:oMath>
      <w:r>
        <w:t xml:space="preserve"> was the exchange factor,</w:t>
      </w:r>
    </w:p>
    <w:p w14:paraId="2FD6B478" w14:textId="77777777" w:rsidR="00A7521D" w:rsidRDefault="00C73E04" w:rsidP="00A7521D">
      <w:pPr>
        <w:pStyle w:val="NoSpacing"/>
      </w:pPr>
      <m:oMath>
        <m:sSub>
          <m:sSubPr>
            <m:ctrlPr>
              <w:rPr>
                <w:rFonts w:ascii="Cambria Math" w:hAnsi="Cambria Math"/>
                <w:i/>
                <w:iCs/>
              </w:rPr>
            </m:ctrlPr>
          </m:sSubPr>
          <m:e>
            <m:r>
              <w:rPr>
                <w:rFonts w:ascii="Cambria Math" w:hAnsi="Cambria Math"/>
              </w:rPr>
              <m:t>q</m:t>
            </m:r>
          </m:e>
          <m:sub>
            <m:r>
              <w:rPr>
                <w:rFonts w:ascii="Cambria Math" w:hAnsi="Cambria Math"/>
              </w:rPr>
              <m:t>loss,tu</m:t>
            </m:r>
          </m:sub>
        </m:sSub>
      </m:oMath>
      <w:r w:rsidR="00A7521D">
        <w:t xml:space="preserve"> was the heat loss from the tubes (kJ/hr),</w:t>
      </w:r>
    </w:p>
    <w:p w14:paraId="5AD624C0" w14:textId="73433F85" w:rsidR="00A7521D" w:rsidRDefault="00C73E04" w:rsidP="00A7521D">
      <m:oMath>
        <m:sSub>
          <m:sSubPr>
            <m:ctrlPr>
              <w:rPr>
                <w:rFonts w:ascii="Cambria Math" w:hAnsi="Cambria Math"/>
                <w:i/>
                <w:iCs/>
              </w:rPr>
            </m:ctrlPr>
          </m:sSubPr>
          <m:e>
            <m:r>
              <w:rPr>
                <w:rFonts w:ascii="Cambria Math" w:hAnsi="Cambria Math"/>
              </w:rPr>
              <m:t>q</m:t>
            </m:r>
          </m:e>
          <m:sub>
            <m:r>
              <w:rPr>
                <w:rFonts w:ascii="Cambria Math" w:hAnsi="Cambria Math"/>
              </w:rPr>
              <m:t>g</m:t>
            </m:r>
          </m:sub>
        </m:sSub>
      </m:oMath>
      <w:r w:rsidR="00A7521D">
        <w:rPr>
          <w:iCs/>
        </w:rPr>
        <w:t xml:space="preserve"> was the heat content of the gas </w:t>
      </w:r>
      <w:r w:rsidR="00A7521D">
        <w:t>(kJ/hr).</w:t>
      </w:r>
    </w:p>
    <w:p w14:paraId="644CCCB0" w14:textId="710F2638" w:rsidR="00A7521D" w:rsidRDefault="00EA3042" w:rsidP="00A7521D">
      <w:r>
        <w:t xml:space="preserve">The HT rate of the radiant section of the heater was dependent on a constant, the cold plate area of the shield tubes, an exchange factor, the heat content of the combustion air, the net heat of combustion, the heat content of the fuel, the heat loss from the tubes and </w:t>
      </w:r>
      <w:r>
        <w:rPr>
          <w:iCs/>
        </w:rPr>
        <w:t xml:space="preserve">the heat content of the gas. The </w:t>
      </w:r>
      <w:r>
        <w:t xml:space="preserve">heat loss from the tubes and the heat content of the gases were calculated in Equations </w:t>
      </w:r>
      <w:r>
        <w:fldChar w:fldCharType="begin"/>
      </w:r>
      <w:r>
        <w:instrText xml:space="preserve"> REF _Ref6479577 \h </w:instrText>
      </w:r>
      <w:r>
        <w:fldChar w:fldCharType="separate"/>
      </w:r>
      <w:r w:rsidR="00CB7456">
        <w:rPr>
          <w:noProof/>
        </w:rPr>
        <w:t>13.74</w:t>
      </w:r>
      <w:r>
        <w:fldChar w:fldCharType="end"/>
      </w:r>
      <w:r>
        <w:t xml:space="preserve"> and </w:t>
      </w:r>
      <w:r>
        <w:fldChar w:fldCharType="begin"/>
      </w:r>
      <w:r>
        <w:instrText xml:space="preserve"> REF _Ref6479578 \h </w:instrText>
      </w:r>
      <w:r>
        <w:fldChar w:fldCharType="separate"/>
      </w:r>
      <w:r w:rsidR="00CB7456">
        <w:rPr>
          <w:noProof/>
        </w:rPr>
        <w:t>13.75</w:t>
      </w:r>
      <w:r>
        <w:fldChar w:fldCharType="end"/>
      </w:r>
      <w:r>
        <w:t xml:space="preserve">. The exchange factor, </w:t>
      </w:r>
      <m:oMath>
        <m:r>
          <w:rPr>
            <w:rFonts w:ascii="Cambria Math" w:hAnsi="Cambria Math"/>
          </w:rPr>
          <m:t>F</m:t>
        </m:r>
      </m:oMath>
      <w:r>
        <w:t>,</w:t>
      </w:r>
      <w:r w:rsidR="00A7521D">
        <w:t xml:space="preserve"> was found using Figure 1-9 </w:t>
      </w:r>
      <w:r w:rsidR="00A7521D">
        <w:fldChar w:fldCharType="begin" w:fldLock="1"/>
      </w:r>
      <w:r w:rsidR="002A6A73">
        <w:instrText>ADDIN CSL_CITATION {"citationItems":[{"id":"ITEM-1","itemData":{"ISBN":"0-87201-255-7","author":[{"dropping-particle":"","family":"Evans","given":"Frank L.","non-dropping-particle":"","parse-names":false,"suffix":""}],"container-title":"Equipment Design Handbook for Refineries and Chemical Plants","edition":"2","id":"ITEM-1","issued":{"date-parts":[["1974"]]},"page":"1-27","publisher":"Gulf Publishing Company","publisher-place":"Houston, America","title":"Fired Heaters and Boilers","type":"chapter"},"uris":["http://www.mendeley.com/documents/?uuid=70297c0c-6a5f-4751-91c5-d4386302a47e"]}],"mendeley":{"formattedCitation":"(Evans, 1974)","plainTextFormattedCitation":"(Evans, 1974)","previouslyFormattedCitation":"(Evans, 1974)"},"properties":{"noteIndex":0},"schema":"https://github.com/citation-style-language/schema/raw/master/csl-citation.json"}</w:instrText>
      </w:r>
      <w:r w:rsidR="00A7521D">
        <w:fldChar w:fldCharType="separate"/>
      </w:r>
      <w:r w:rsidR="002A6A73" w:rsidRPr="002A6A73">
        <w:rPr>
          <w:noProof/>
        </w:rPr>
        <w:t>(Evans, 1974)</w:t>
      </w:r>
      <w:r w:rsidR="00A7521D">
        <w:fldChar w:fldCharType="end"/>
      </w:r>
      <w:r w:rsidR="00A7521D">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37"/>
        <w:gridCol w:w="239"/>
        <w:gridCol w:w="822"/>
      </w:tblGrid>
      <w:tr w:rsidR="00A7521D" w14:paraId="720E82A9" w14:textId="77777777" w:rsidTr="00A7521D">
        <w:tc>
          <w:tcPr>
            <w:tcW w:w="7137" w:type="dxa"/>
            <w:hideMark/>
          </w:tcPr>
          <w:p w14:paraId="71556E33" w14:textId="77777777" w:rsidR="00A7521D" w:rsidRDefault="00C73E04" w:rsidP="00A7521D">
            <w:pPr>
              <w:keepNext/>
              <w:rPr>
                <w:color w:val="FFFFFF"/>
              </w:rPr>
            </w:pPr>
            <m:oMathPara>
              <m:oMathParaPr>
                <m:jc m:val="left"/>
              </m:oMathParaPr>
              <m:oMath>
                <m:f>
                  <m:fPr>
                    <m:ctrlPr>
                      <w:rPr>
                        <w:rFonts w:ascii="Cambria Math" w:hAnsi="Cambria Math"/>
                        <w:i/>
                      </w:rPr>
                    </m:ctrlPr>
                  </m:fPr>
                  <m:num>
                    <m:sSub>
                      <m:sSubPr>
                        <m:ctrlPr>
                          <w:rPr>
                            <w:rFonts w:ascii="Cambria Math" w:hAnsi="Cambria Math"/>
                            <w:i/>
                          </w:rPr>
                        </m:ctrlPr>
                      </m:sSubPr>
                      <m:e>
                        <m:r>
                          <w:rPr>
                            <w:rFonts w:ascii="Cambria Math" w:hAnsi="Cambria Math"/>
                          </w:rPr>
                          <m:t>q</m:t>
                        </m:r>
                      </m:e>
                      <m:sub>
                        <m:r>
                          <w:rPr>
                            <w:rFonts w:ascii="Cambria Math" w:hAnsi="Cambria Math"/>
                          </w:rPr>
                          <m:t>loss,tu</m:t>
                        </m:r>
                      </m:sub>
                    </m:sSub>
                  </m:num>
                  <m:den>
                    <m:sSub>
                      <m:sSubPr>
                        <m:ctrlPr>
                          <w:rPr>
                            <w:rFonts w:ascii="Cambria Math" w:hAnsi="Cambria Math"/>
                            <w:i/>
                          </w:rPr>
                        </m:ctrlPr>
                      </m:sSubPr>
                      <m:e>
                        <m:r>
                          <w:rPr>
                            <w:rFonts w:ascii="Cambria Math" w:hAnsi="Cambria Math"/>
                          </w:rPr>
                          <m:t>q</m:t>
                        </m:r>
                      </m:e>
                      <m:sub>
                        <m:r>
                          <w:rPr>
                            <w:rFonts w:ascii="Cambria Math" w:hAnsi="Cambria Math"/>
                          </w:rPr>
                          <m:t>cm</m:t>
                        </m:r>
                      </m:sub>
                    </m:sSub>
                  </m:den>
                </m:f>
                <m:r>
                  <w:rPr>
                    <w:rFonts w:ascii="Cambria Math" w:hAnsi="Cambria Math"/>
                  </w:rPr>
                  <m:t>=0.02</m:t>
                </m:r>
              </m:oMath>
            </m:oMathPara>
          </w:p>
        </w:tc>
        <w:tc>
          <w:tcPr>
            <w:tcW w:w="239" w:type="dxa"/>
            <w:vAlign w:val="center"/>
            <w:hideMark/>
          </w:tcPr>
          <w:p w14:paraId="75719ACD" w14:textId="77777777" w:rsidR="00A7521D" w:rsidRDefault="00A7521D" w:rsidP="00A7521D">
            <w:pPr>
              <w:pStyle w:val="Caption"/>
              <w:jc w:val="right"/>
            </w:pPr>
          </w:p>
        </w:tc>
        <w:bookmarkStart w:id="1047" w:name="_Ref6479577"/>
        <w:tc>
          <w:tcPr>
            <w:tcW w:w="822" w:type="dxa"/>
            <w:vAlign w:val="center"/>
            <w:hideMark/>
          </w:tcPr>
          <w:p w14:paraId="224CA97A" w14:textId="58F5D812" w:rsidR="00A7521D" w:rsidRDefault="00A7521D" w:rsidP="00A7521D">
            <w:pPr>
              <w:pStyle w:val="Caption"/>
              <w:jc w:val="right"/>
              <w:rPr>
                <w:b w:val="0"/>
              </w:rPr>
            </w:pPr>
            <w:r>
              <w:rPr>
                <w:noProof/>
              </w:rPr>
              <w:fldChar w:fldCharType="begin"/>
            </w:r>
            <w:r>
              <w:rPr>
                <w:noProof/>
              </w:rPr>
              <w:instrText xml:space="preserve"> STYLEREF 1 \s </w:instrText>
            </w:r>
            <w:r>
              <w:rPr>
                <w:noProof/>
              </w:rPr>
              <w:fldChar w:fldCharType="separate"/>
            </w:r>
            <w:r w:rsidR="00CB7456">
              <w:rPr>
                <w:noProof/>
              </w:rPr>
              <w:t>13</w:t>
            </w:r>
            <w:r>
              <w:rPr>
                <w:noProof/>
              </w:rPr>
              <w:fldChar w:fldCharType="end"/>
            </w:r>
            <w:r>
              <w:rPr>
                <w:noProof/>
              </w:rPr>
              <w:t>.</w:t>
            </w:r>
            <w:r>
              <w:rPr>
                <w:noProof/>
              </w:rPr>
              <w:fldChar w:fldCharType="begin"/>
            </w:r>
            <w:r>
              <w:rPr>
                <w:noProof/>
              </w:rPr>
              <w:instrText xml:space="preserve"> SEQ Equation \* ARABIC \s 1 </w:instrText>
            </w:r>
            <w:r>
              <w:rPr>
                <w:noProof/>
              </w:rPr>
              <w:fldChar w:fldCharType="separate"/>
            </w:r>
            <w:r w:rsidR="00CB7456">
              <w:rPr>
                <w:noProof/>
              </w:rPr>
              <w:t>74</w:t>
            </w:r>
            <w:r>
              <w:rPr>
                <w:noProof/>
              </w:rPr>
              <w:fldChar w:fldCharType="end"/>
            </w:r>
            <w:bookmarkEnd w:id="1047"/>
          </w:p>
        </w:tc>
      </w:tr>
      <w:tr w:rsidR="00A7521D" w14:paraId="370C7FD0" w14:textId="77777777" w:rsidTr="00A7521D">
        <w:tc>
          <w:tcPr>
            <w:tcW w:w="7137" w:type="dxa"/>
            <w:hideMark/>
          </w:tcPr>
          <w:p w14:paraId="31B78954" w14:textId="77777777" w:rsidR="00A7521D" w:rsidRDefault="00C73E04" w:rsidP="00A7521D">
            <w:pPr>
              <w:keepNext/>
              <w:rPr>
                <w:color w:val="FFFFFF"/>
              </w:rPr>
            </w:pPr>
            <m:oMathPara>
              <m:oMathParaPr>
                <m:jc m:val="left"/>
              </m:oMathParaPr>
              <m:oMath>
                <m:f>
                  <m:fPr>
                    <m:ctrlPr>
                      <w:rPr>
                        <w:rFonts w:ascii="Cambria Math" w:hAnsi="Cambria Math"/>
                        <w:i/>
                      </w:rPr>
                    </m:ctrlPr>
                  </m:fPr>
                  <m:num>
                    <m:sSub>
                      <m:sSubPr>
                        <m:ctrlPr>
                          <w:rPr>
                            <w:rFonts w:ascii="Cambria Math" w:hAnsi="Cambria Math"/>
                            <w:i/>
                          </w:rPr>
                        </m:ctrlPr>
                      </m:sSubPr>
                      <m:e>
                        <m:r>
                          <w:rPr>
                            <w:rFonts w:ascii="Cambria Math" w:hAnsi="Cambria Math"/>
                          </w:rPr>
                          <m:t>q</m:t>
                        </m:r>
                      </m:e>
                      <m:sub>
                        <m:r>
                          <w:rPr>
                            <w:rFonts w:ascii="Cambria Math" w:hAnsi="Cambria Math"/>
                          </w:rPr>
                          <m:t>g</m:t>
                        </m:r>
                      </m:sub>
                    </m:sSub>
                  </m:num>
                  <m:den>
                    <m:sSub>
                      <m:sSubPr>
                        <m:ctrlPr>
                          <w:rPr>
                            <w:rFonts w:ascii="Cambria Math" w:hAnsi="Cambria Math"/>
                            <w:i/>
                          </w:rPr>
                        </m:ctrlPr>
                      </m:sSubPr>
                      <m:e>
                        <m:r>
                          <w:rPr>
                            <w:rFonts w:ascii="Cambria Math" w:hAnsi="Cambria Math"/>
                          </w:rPr>
                          <m:t>q</m:t>
                        </m:r>
                      </m:e>
                      <m:sub>
                        <m:r>
                          <w:rPr>
                            <w:rFonts w:ascii="Cambria Math" w:hAnsi="Cambria Math"/>
                          </w:rPr>
                          <m:t>cm</m:t>
                        </m:r>
                      </m:sub>
                    </m:sSub>
                  </m:den>
                </m:f>
                <m:r>
                  <w:rPr>
                    <w:rFonts w:ascii="Cambria Math" w:hAnsi="Cambria Math"/>
                  </w:rPr>
                  <m:t>=β</m:t>
                </m:r>
              </m:oMath>
            </m:oMathPara>
          </w:p>
        </w:tc>
        <w:tc>
          <w:tcPr>
            <w:tcW w:w="239" w:type="dxa"/>
            <w:vAlign w:val="center"/>
            <w:hideMark/>
          </w:tcPr>
          <w:p w14:paraId="691C1FC6" w14:textId="77777777" w:rsidR="00A7521D" w:rsidRDefault="00A7521D" w:rsidP="00A7521D">
            <w:pPr>
              <w:pStyle w:val="Caption"/>
              <w:jc w:val="right"/>
            </w:pPr>
          </w:p>
        </w:tc>
        <w:bookmarkStart w:id="1048" w:name="_Ref6479578"/>
        <w:tc>
          <w:tcPr>
            <w:tcW w:w="822" w:type="dxa"/>
            <w:vAlign w:val="center"/>
            <w:hideMark/>
          </w:tcPr>
          <w:p w14:paraId="76FBDAF9" w14:textId="77AAC0E0" w:rsidR="00A7521D" w:rsidRDefault="00A7521D" w:rsidP="00A7521D">
            <w:pPr>
              <w:pStyle w:val="Caption"/>
              <w:jc w:val="right"/>
              <w:rPr>
                <w:b w:val="0"/>
              </w:rPr>
            </w:pPr>
            <w:r>
              <w:rPr>
                <w:noProof/>
              </w:rPr>
              <w:fldChar w:fldCharType="begin"/>
            </w:r>
            <w:r>
              <w:rPr>
                <w:noProof/>
              </w:rPr>
              <w:instrText xml:space="preserve"> STYLEREF 1 \s </w:instrText>
            </w:r>
            <w:r>
              <w:rPr>
                <w:noProof/>
              </w:rPr>
              <w:fldChar w:fldCharType="separate"/>
            </w:r>
            <w:r w:rsidR="00CB7456">
              <w:rPr>
                <w:noProof/>
              </w:rPr>
              <w:t>13</w:t>
            </w:r>
            <w:r>
              <w:rPr>
                <w:noProof/>
              </w:rPr>
              <w:fldChar w:fldCharType="end"/>
            </w:r>
            <w:r>
              <w:rPr>
                <w:noProof/>
              </w:rPr>
              <w:t>.</w:t>
            </w:r>
            <w:r>
              <w:rPr>
                <w:noProof/>
              </w:rPr>
              <w:fldChar w:fldCharType="begin"/>
            </w:r>
            <w:r>
              <w:rPr>
                <w:noProof/>
              </w:rPr>
              <w:instrText xml:space="preserve"> SEQ Equation \* ARABIC \s 1 </w:instrText>
            </w:r>
            <w:r>
              <w:rPr>
                <w:noProof/>
              </w:rPr>
              <w:fldChar w:fldCharType="separate"/>
            </w:r>
            <w:r w:rsidR="00CB7456">
              <w:rPr>
                <w:noProof/>
              </w:rPr>
              <w:t>75</w:t>
            </w:r>
            <w:r>
              <w:rPr>
                <w:noProof/>
              </w:rPr>
              <w:fldChar w:fldCharType="end"/>
            </w:r>
            <w:bookmarkEnd w:id="1048"/>
          </w:p>
        </w:tc>
      </w:tr>
    </w:tbl>
    <w:p w14:paraId="7590240E" w14:textId="77777777" w:rsidR="00A7521D" w:rsidRDefault="00A7521D" w:rsidP="00A7521D"/>
    <w:p w14:paraId="35C41097" w14:textId="76531BC2" w:rsidR="00A7521D" w:rsidRDefault="00A7521D" w:rsidP="00A7521D">
      <w:pPr>
        <w:keepNext/>
      </w:pPr>
      <m:oMath>
        <m:r>
          <w:rPr>
            <w:rFonts w:ascii="Cambria Math" w:hAnsi="Cambria Math"/>
          </w:rPr>
          <m:t>β</m:t>
        </m:r>
      </m:oMath>
      <w:r>
        <w:t xml:space="preserve"> was a constant.</w:t>
      </w:r>
    </w:p>
    <w:p w14:paraId="3DBD5316" w14:textId="2F20962F" w:rsidR="00A7521D" w:rsidRDefault="00EA3042" w:rsidP="00A7521D">
      <w:pPr>
        <w:keepNext/>
      </w:pPr>
      <w:r>
        <w:rPr>
          <w:iCs/>
        </w:rPr>
        <w:t xml:space="preserve">The </w:t>
      </w:r>
      <w:r>
        <w:t xml:space="preserve">heat loss from the tubes and the heat content of the gases were dependent on the heat content of the combustion air and a constant. The constant, </w:t>
      </w:r>
      <m:oMath>
        <m:r>
          <w:rPr>
            <w:rFonts w:ascii="Cambria Math" w:hAnsi="Cambria Math"/>
          </w:rPr>
          <m:t>β</m:t>
        </m:r>
      </m:oMath>
      <w:r>
        <w:t>,</w:t>
      </w:r>
      <w:r w:rsidR="00A7521D">
        <w:t xml:space="preserve"> was found using Figure 1-10 </w:t>
      </w:r>
      <w:r w:rsidR="00A7521D">
        <w:fldChar w:fldCharType="begin" w:fldLock="1"/>
      </w:r>
      <w:r w:rsidR="002A6A73">
        <w:instrText>ADDIN CSL_CITATION {"citationItems":[{"id":"ITEM-1","itemData":{"ISBN":"0-87201-255-7","author":[{"dropping-particle":"","family":"Evans","given":"Frank L.","non-dropping-particle":"","parse-names":false,"suffix":""}],"container-title":"Equipment Design Handbook for Refineries and Chemical Plants","edition":"2","id":"ITEM-1","issued":{"date-parts":[["1974"]]},"page":"1-27","publisher":"Gulf Publishing Company","publisher-place":"Houston, America","title":"Fired Heaters and Boilers","type":"chapter"},"uris":["http://www.mendeley.com/documents/?uuid=70297c0c-6a5f-4751-91c5-d4386302a47e"]}],"mendeley":{"formattedCitation":"(Evans, 1974)","plainTextFormattedCitation":"(Evans, 1974)","previouslyFormattedCitation":"(Evans, 1974)"},"properties":{"noteIndex":0},"schema":"https://github.com/citation-style-language/schema/raw/master/csl-citation.json"}</w:instrText>
      </w:r>
      <w:r w:rsidR="00A7521D">
        <w:fldChar w:fldCharType="separate"/>
      </w:r>
      <w:r w:rsidR="002A6A73" w:rsidRPr="002A6A73">
        <w:rPr>
          <w:noProof/>
        </w:rPr>
        <w:t>(Evans, 1974)</w:t>
      </w:r>
      <w:r w:rsidR="00A7521D">
        <w:fldChar w:fldCharType="end"/>
      </w:r>
      <w:r w:rsidR="00A7521D">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37"/>
        <w:gridCol w:w="239"/>
        <w:gridCol w:w="822"/>
      </w:tblGrid>
      <w:tr w:rsidR="00A7521D" w14:paraId="768A2158" w14:textId="77777777" w:rsidTr="00A7521D">
        <w:tc>
          <w:tcPr>
            <w:tcW w:w="7137" w:type="dxa"/>
            <w:hideMark/>
          </w:tcPr>
          <w:p w14:paraId="232951DA" w14:textId="77777777" w:rsidR="00A7521D" w:rsidRDefault="00A7521D" w:rsidP="00A7521D">
            <w:pPr>
              <w:keepNext/>
              <w:rPr>
                <w:color w:val="FFFFFF"/>
              </w:rPr>
            </w:pPr>
            <m:oMathPara>
              <m:oMathParaPr>
                <m:jc m:val="left"/>
              </m:oMathParaPr>
              <m:oMath>
                <m:r>
                  <w:rPr>
                    <w:rFonts w:ascii="Cambria Math" w:hAnsi="Cambria Math"/>
                  </w:rPr>
                  <m:t>f=</m:t>
                </m:r>
                <m:f>
                  <m:fPr>
                    <m:ctrlPr>
                      <w:rPr>
                        <w:rFonts w:ascii="Cambria Math" w:hAnsi="Cambria Math"/>
                        <w:i/>
                      </w:rPr>
                    </m:ctrlPr>
                  </m:fPr>
                  <m:num>
                    <m:sSub>
                      <m:sSubPr>
                        <m:ctrlPr>
                          <w:rPr>
                            <w:rFonts w:ascii="Cambria Math" w:hAnsi="Cambria Math"/>
                            <w:i/>
                          </w:rPr>
                        </m:ctrlPr>
                      </m:sSubPr>
                      <m:e>
                        <m:r>
                          <w:rPr>
                            <w:rFonts w:ascii="Cambria Math" w:hAnsi="Cambria Math"/>
                          </w:rPr>
                          <m:t>h</m:t>
                        </m:r>
                      </m:e>
                      <m:sub>
                        <m:r>
                          <w:rPr>
                            <w:rFonts w:ascii="Cambria Math" w:hAnsi="Cambria Math"/>
                          </w:rPr>
                          <m:t>C,w</m:t>
                        </m:r>
                      </m:sub>
                    </m:sSub>
                  </m:num>
                  <m:den>
                    <m:sSub>
                      <m:sSubPr>
                        <m:ctrlPr>
                          <w:rPr>
                            <w:rFonts w:ascii="Cambria Math" w:hAnsi="Cambria Math"/>
                            <w:i/>
                          </w:rPr>
                        </m:ctrlPr>
                      </m:sSubPr>
                      <m:e>
                        <m:r>
                          <w:rPr>
                            <w:rFonts w:ascii="Cambria Math" w:hAnsi="Cambria Math"/>
                          </w:rPr>
                          <m:t>h</m:t>
                        </m:r>
                      </m:e>
                      <m:sub>
                        <m:r>
                          <w:rPr>
                            <w:rFonts w:ascii="Cambria Math" w:hAnsi="Cambria Math"/>
                          </w:rPr>
                          <m:t>C,tu</m:t>
                        </m:r>
                      </m:sub>
                    </m:sSub>
                    <m:r>
                      <w:rPr>
                        <w:rFonts w:ascii="Cambria Math" w:hAnsi="Cambria Math"/>
                      </w:rPr>
                      <m:t>+</m:t>
                    </m:r>
                    <m:sSub>
                      <m:sSubPr>
                        <m:ctrlPr>
                          <w:rPr>
                            <w:rFonts w:ascii="Cambria Math" w:hAnsi="Cambria Math"/>
                            <w:i/>
                          </w:rPr>
                        </m:ctrlPr>
                      </m:sSubPr>
                      <m:e>
                        <m:r>
                          <w:rPr>
                            <w:rFonts w:ascii="Cambria Math" w:hAnsi="Cambria Math"/>
                          </w:rPr>
                          <m:t>h</m:t>
                        </m:r>
                      </m:e>
                      <m:sub>
                        <m:r>
                          <w:rPr>
                            <w:rFonts w:ascii="Cambria Math" w:hAnsi="Cambria Math"/>
                          </w:rPr>
                          <m:t>C,gr</m:t>
                        </m:r>
                      </m:sub>
                    </m:sSub>
                    <m:r>
                      <w:rPr>
                        <w:rFonts w:ascii="Cambria Math" w:hAnsi="Cambria Math"/>
                      </w:rPr>
                      <m:t>+</m:t>
                    </m:r>
                    <m:sSub>
                      <m:sSubPr>
                        <m:ctrlPr>
                          <w:rPr>
                            <w:rFonts w:ascii="Cambria Math" w:hAnsi="Cambria Math"/>
                            <w:i/>
                          </w:rPr>
                        </m:ctrlPr>
                      </m:sSubPr>
                      <m:e>
                        <m:r>
                          <w:rPr>
                            <w:rFonts w:ascii="Cambria Math" w:hAnsi="Cambria Math"/>
                          </w:rPr>
                          <m:t>h</m:t>
                        </m:r>
                      </m:e>
                      <m:sub>
                        <m:r>
                          <w:rPr>
                            <w:rFonts w:ascii="Cambria Math" w:hAnsi="Cambria Math"/>
                          </w:rPr>
                          <m:t>C,w</m:t>
                        </m:r>
                      </m:sub>
                    </m:sSub>
                  </m:den>
                </m:f>
                <m:f>
                  <m:fPr>
                    <m:ctrlPr>
                      <w:rPr>
                        <w:rFonts w:ascii="Cambria Math" w:hAnsi="Cambria Math"/>
                        <w:i/>
                      </w:rPr>
                    </m:ctrlPr>
                  </m:fPr>
                  <m:num>
                    <m:sSub>
                      <m:sSubPr>
                        <m:ctrlPr>
                          <w:rPr>
                            <w:rFonts w:ascii="Cambria Math" w:hAnsi="Cambria Math"/>
                            <w:i/>
                          </w:rPr>
                        </m:ctrlPr>
                      </m:sSubPr>
                      <m:e>
                        <m:r>
                          <w:rPr>
                            <w:rFonts w:ascii="Cambria Math" w:hAnsi="Cambria Math"/>
                          </w:rPr>
                          <m:t>A</m:t>
                        </m:r>
                      </m:e>
                      <m:sub>
                        <m:r>
                          <w:rPr>
                            <w:rFonts w:ascii="Cambria Math" w:hAnsi="Cambria Math"/>
                          </w:rPr>
                          <m:t>C,w</m:t>
                        </m:r>
                      </m:sub>
                    </m:sSub>
                  </m:num>
                  <m:den>
                    <m:sSub>
                      <m:sSubPr>
                        <m:ctrlPr>
                          <w:rPr>
                            <w:rFonts w:ascii="Cambria Math" w:hAnsi="Cambria Math"/>
                            <w:i/>
                          </w:rPr>
                        </m:ctrlPr>
                      </m:sSubPr>
                      <m:e>
                        <m:r>
                          <w:rPr>
                            <w:rFonts w:ascii="Cambria Math" w:hAnsi="Cambria Math"/>
                          </w:rPr>
                          <m:t>A</m:t>
                        </m:r>
                      </m:e>
                      <m:sub>
                        <m:r>
                          <w:rPr>
                            <w:rFonts w:ascii="Cambria Math" w:hAnsi="Cambria Math"/>
                          </w:rPr>
                          <m:t>Ct</m:t>
                        </m:r>
                      </m:sub>
                    </m:sSub>
                  </m:den>
                </m:f>
              </m:oMath>
            </m:oMathPara>
          </w:p>
        </w:tc>
        <w:tc>
          <w:tcPr>
            <w:tcW w:w="239" w:type="dxa"/>
            <w:vAlign w:val="center"/>
            <w:hideMark/>
          </w:tcPr>
          <w:p w14:paraId="0335F064" w14:textId="77777777" w:rsidR="00A7521D" w:rsidRDefault="00A7521D" w:rsidP="00A7521D">
            <w:pPr>
              <w:pStyle w:val="Caption"/>
              <w:jc w:val="right"/>
            </w:pPr>
          </w:p>
        </w:tc>
        <w:tc>
          <w:tcPr>
            <w:tcW w:w="822" w:type="dxa"/>
            <w:vAlign w:val="center"/>
            <w:hideMark/>
          </w:tcPr>
          <w:p w14:paraId="4753D7C9" w14:textId="01866DC4" w:rsidR="00A7521D" w:rsidRDefault="00A7521D" w:rsidP="00A7521D">
            <w:pPr>
              <w:pStyle w:val="Caption"/>
              <w:jc w:val="right"/>
              <w:rPr>
                <w:b w:val="0"/>
              </w:rPr>
            </w:pPr>
            <w:r>
              <w:rPr>
                <w:noProof/>
              </w:rPr>
              <w:fldChar w:fldCharType="begin"/>
            </w:r>
            <w:r>
              <w:rPr>
                <w:noProof/>
              </w:rPr>
              <w:instrText xml:space="preserve"> STYLEREF 1 \s </w:instrText>
            </w:r>
            <w:r>
              <w:rPr>
                <w:noProof/>
              </w:rPr>
              <w:fldChar w:fldCharType="separate"/>
            </w:r>
            <w:r w:rsidR="00CB7456">
              <w:rPr>
                <w:noProof/>
              </w:rPr>
              <w:t>13</w:t>
            </w:r>
            <w:r>
              <w:rPr>
                <w:noProof/>
              </w:rPr>
              <w:fldChar w:fldCharType="end"/>
            </w:r>
            <w:r>
              <w:rPr>
                <w:noProof/>
              </w:rPr>
              <w:t>.</w:t>
            </w:r>
            <w:r>
              <w:rPr>
                <w:noProof/>
              </w:rPr>
              <w:fldChar w:fldCharType="begin"/>
            </w:r>
            <w:r>
              <w:rPr>
                <w:noProof/>
              </w:rPr>
              <w:instrText xml:space="preserve"> SEQ Equation \* ARABIC \s 1 </w:instrText>
            </w:r>
            <w:r>
              <w:rPr>
                <w:noProof/>
              </w:rPr>
              <w:fldChar w:fldCharType="separate"/>
            </w:r>
            <w:r w:rsidR="00CB7456">
              <w:rPr>
                <w:noProof/>
              </w:rPr>
              <w:t>76</w:t>
            </w:r>
            <w:r>
              <w:rPr>
                <w:noProof/>
              </w:rPr>
              <w:fldChar w:fldCharType="end"/>
            </w:r>
          </w:p>
        </w:tc>
      </w:tr>
    </w:tbl>
    <w:p w14:paraId="2C2E3052" w14:textId="77777777" w:rsidR="00A7521D" w:rsidRPr="00950075" w:rsidRDefault="00A7521D" w:rsidP="00A7521D">
      <w:pPr>
        <w:keepNext/>
      </w:pPr>
    </w:p>
    <w:p w14:paraId="03007D4E" w14:textId="77777777" w:rsidR="00A7521D" w:rsidRDefault="00A7521D" w:rsidP="00A7521D">
      <w:pPr>
        <w:pStyle w:val="NoSpacing"/>
      </w:pPr>
      <m:oMath>
        <m:r>
          <w:rPr>
            <w:rFonts w:ascii="Cambria Math" w:hAnsi="Cambria Math"/>
          </w:rPr>
          <m:t>f</m:t>
        </m:r>
      </m:oMath>
      <w:r>
        <w:t xml:space="preserve"> was the radiation factor of the walls of the convection section of the heater,</w:t>
      </w:r>
    </w:p>
    <w:p w14:paraId="44D3BFB3" w14:textId="77777777" w:rsidR="00A7521D" w:rsidRDefault="00C73E04" w:rsidP="00A7521D">
      <w:pPr>
        <w:pStyle w:val="NoSpacing"/>
      </w:pPr>
      <m:oMath>
        <m:sSub>
          <m:sSubPr>
            <m:ctrlPr>
              <w:rPr>
                <w:rFonts w:ascii="Cambria Math" w:hAnsi="Cambria Math"/>
                <w:i/>
              </w:rPr>
            </m:ctrlPr>
          </m:sSubPr>
          <m:e>
            <m:r>
              <w:rPr>
                <w:rFonts w:ascii="Cambria Math" w:hAnsi="Cambria Math"/>
              </w:rPr>
              <m:t>h</m:t>
            </m:r>
          </m:e>
          <m:sub>
            <m:r>
              <w:rPr>
                <w:rFonts w:ascii="Cambria Math" w:hAnsi="Cambria Math"/>
              </w:rPr>
              <m:t>C,w</m:t>
            </m:r>
          </m:sub>
        </m:sSub>
      </m:oMath>
      <w:r w:rsidR="00A7521D">
        <w:t xml:space="preserve"> was the coefficient for radiation from the walls of the convection section of the heater,</w:t>
      </w:r>
    </w:p>
    <w:p w14:paraId="0A6E0FDF" w14:textId="77777777" w:rsidR="00A7521D" w:rsidRDefault="00C73E04" w:rsidP="00A7521D">
      <w:pPr>
        <w:pStyle w:val="NoSpacing"/>
      </w:pPr>
      <m:oMath>
        <m:sSub>
          <m:sSubPr>
            <m:ctrlPr>
              <w:rPr>
                <w:rFonts w:ascii="Cambria Math" w:hAnsi="Cambria Math"/>
                <w:i/>
              </w:rPr>
            </m:ctrlPr>
          </m:sSubPr>
          <m:e>
            <m:r>
              <w:rPr>
                <w:rFonts w:ascii="Cambria Math" w:hAnsi="Cambria Math"/>
              </w:rPr>
              <m:t>h</m:t>
            </m:r>
          </m:e>
          <m:sub>
            <m:r>
              <w:rPr>
                <w:rFonts w:ascii="Cambria Math" w:hAnsi="Cambria Math"/>
              </w:rPr>
              <m:t>C,tu</m:t>
            </m:r>
          </m:sub>
        </m:sSub>
      </m:oMath>
      <w:r w:rsidR="00A7521D">
        <w:t xml:space="preserve"> was the coefficient for flue gas convection for flow across staggered banks of bare tubes,</w:t>
      </w:r>
    </w:p>
    <w:p w14:paraId="3B63A053" w14:textId="77777777" w:rsidR="00A7521D" w:rsidRDefault="00C73E04" w:rsidP="00A7521D">
      <w:pPr>
        <w:pStyle w:val="NoSpacing"/>
      </w:pPr>
      <m:oMath>
        <m:sSub>
          <m:sSubPr>
            <m:ctrlPr>
              <w:rPr>
                <w:rFonts w:ascii="Cambria Math" w:hAnsi="Cambria Math"/>
                <w:i/>
              </w:rPr>
            </m:ctrlPr>
          </m:sSubPr>
          <m:e>
            <m:r>
              <w:rPr>
                <w:rFonts w:ascii="Cambria Math" w:hAnsi="Cambria Math"/>
              </w:rPr>
              <m:t>h</m:t>
            </m:r>
          </m:e>
          <m:sub>
            <m:r>
              <w:rPr>
                <w:rFonts w:ascii="Cambria Math" w:hAnsi="Cambria Math"/>
              </w:rPr>
              <m:t>C,gr</m:t>
            </m:r>
          </m:sub>
        </m:sSub>
      </m:oMath>
      <w:r w:rsidR="00A7521D">
        <w:t xml:space="preserve"> was the coefficient for gas radiation,</w:t>
      </w:r>
    </w:p>
    <w:p w14:paraId="780A6079" w14:textId="77777777" w:rsidR="00A7521D" w:rsidRDefault="00C73E04" w:rsidP="00A7521D">
      <w:pPr>
        <w:pStyle w:val="NoSpacing"/>
      </w:pPr>
      <m:oMath>
        <m:sSub>
          <m:sSubPr>
            <m:ctrlPr>
              <w:rPr>
                <w:rFonts w:ascii="Cambria Math" w:hAnsi="Cambria Math"/>
                <w:i/>
              </w:rPr>
            </m:ctrlPr>
          </m:sSubPr>
          <m:e>
            <m:r>
              <w:rPr>
                <w:rFonts w:ascii="Cambria Math" w:hAnsi="Cambria Math"/>
              </w:rPr>
              <m:t>A</m:t>
            </m:r>
          </m:e>
          <m:sub>
            <m:r>
              <w:rPr>
                <w:rFonts w:ascii="Cambria Math" w:hAnsi="Cambria Math"/>
              </w:rPr>
              <m:t>C,w</m:t>
            </m:r>
          </m:sub>
        </m:sSub>
      </m:oMath>
      <w:r w:rsidR="00A7521D">
        <w:t xml:space="preserve"> was the wall area per row (m</w:t>
      </w:r>
      <w:r w:rsidR="00A7521D">
        <w:rPr>
          <w:vertAlign w:val="superscript"/>
        </w:rPr>
        <w:t>2</w:t>
      </w:r>
      <w:r w:rsidR="00A7521D">
        <w:t>),</w:t>
      </w:r>
    </w:p>
    <w:p w14:paraId="4123F75F" w14:textId="102E5308" w:rsidR="00A7521D" w:rsidRDefault="00C73E04" w:rsidP="00A7521D">
      <m:oMath>
        <m:sSub>
          <m:sSubPr>
            <m:ctrlPr>
              <w:rPr>
                <w:rFonts w:ascii="Cambria Math" w:hAnsi="Cambria Math"/>
                <w:i/>
              </w:rPr>
            </m:ctrlPr>
          </m:sSubPr>
          <m:e>
            <m:r>
              <w:rPr>
                <w:rFonts w:ascii="Cambria Math" w:hAnsi="Cambria Math"/>
              </w:rPr>
              <m:t>A</m:t>
            </m:r>
          </m:e>
          <m:sub>
            <m:r>
              <w:rPr>
                <w:rFonts w:ascii="Cambria Math" w:hAnsi="Cambria Math"/>
              </w:rPr>
              <m:t>Ct</m:t>
            </m:r>
          </m:sub>
        </m:sSub>
      </m:oMath>
      <w:r w:rsidR="00A7521D">
        <w:t xml:space="preserve"> was the tube area per row (m</w:t>
      </w:r>
      <w:r w:rsidR="00A7521D">
        <w:rPr>
          <w:vertAlign w:val="superscript"/>
        </w:rPr>
        <w:t>2</w:t>
      </w:r>
      <w:r w:rsidR="00A7521D">
        <w:t>).</w:t>
      </w:r>
    </w:p>
    <w:p w14:paraId="1BD5C344" w14:textId="57C960A8" w:rsidR="00A7521D" w:rsidRDefault="00EA3042" w:rsidP="00EA3042">
      <w:r>
        <w:t>The radiation factor of the walls of the convection section of the heater was dependent on the coefficient for radiation from the walls of the convection section of the heater, the coefficient for flue gas convection for flow across staggered banks of bare tubes, the coefficient for gas radiation, the wall area per row and the tube area per row. The coefficient for radiation from the walls of the convection section of the heater, the coefficient for flue gas convection for flow across staggered banks of bare tubes and the coefficient for gas radiation</w:t>
      </w:r>
      <w:r w:rsidR="00A7521D">
        <w:t xml:space="preserve"> were found using equations 1-12, 1-13, and 1-14 respectively </w:t>
      </w:r>
      <w:r w:rsidR="00A7521D">
        <w:fldChar w:fldCharType="begin" w:fldLock="1"/>
      </w:r>
      <w:r w:rsidR="002A6A73">
        <w:instrText>ADDIN CSL_CITATION {"citationItems":[{"id":"ITEM-1","itemData":{"ISBN":"0-87201-255-7","author":[{"dropping-particle":"","family":"Evans","given":"Frank L.","non-dropping-particle":"","parse-names":false,"suffix":""}],"container-title":"Equipment Design Handbook for Refineries and Chemical Plants","edition":"2","id":"ITEM-1","issued":{"date-parts":[["1974"]]},"page":"1-27","publisher":"Gulf Publishing Company","publisher-place":"Houston, America","title":"Fired Heaters and Boilers","type":"chapter"},"uris":["http://www.mendeley.com/documents/?uuid=70297c0c-6a5f-4751-91c5-d4386302a47e"]}],"mendeley":{"formattedCitation":"(Evans, 1974)","plainTextFormattedCitation":"(Evans, 1974)","previouslyFormattedCitation":"(Evans, 1974)"},"properties":{"noteIndex":0},"schema":"https://github.com/citation-style-language/schema/raw/master/csl-citation.json"}</w:instrText>
      </w:r>
      <w:r w:rsidR="00A7521D">
        <w:fldChar w:fldCharType="separate"/>
      </w:r>
      <w:r w:rsidR="002A6A73" w:rsidRPr="002A6A73">
        <w:rPr>
          <w:noProof/>
        </w:rPr>
        <w:t>(Evans, 1974)</w:t>
      </w:r>
      <w:r w:rsidR="00A7521D">
        <w:fldChar w:fldCharType="end"/>
      </w:r>
      <w:r w:rsidR="00A7521D">
        <w:t>.</w:t>
      </w:r>
      <w:r>
        <w:t xml:space="preserve"> The wall area per row and the tube area per row were dependent on the physical parameters of the FH.</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37"/>
        <w:gridCol w:w="239"/>
        <w:gridCol w:w="822"/>
      </w:tblGrid>
      <w:tr w:rsidR="00A7521D" w14:paraId="4B4425AC" w14:textId="77777777" w:rsidTr="00A7521D">
        <w:tc>
          <w:tcPr>
            <w:tcW w:w="7137" w:type="dxa"/>
            <w:hideMark/>
          </w:tcPr>
          <w:p w14:paraId="72B0D3AD" w14:textId="77777777" w:rsidR="00A7521D" w:rsidRDefault="00C73E04" w:rsidP="00A7521D">
            <w:pPr>
              <w:keepNext/>
              <w:rPr>
                <w:color w:val="FFFFFF"/>
              </w:rPr>
            </w:pPr>
            <m:oMathPara>
              <m:oMathParaPr>
                <m:jc m:val="left"/>
              </m:oMathParaPr>
              <m:oMath>
                <m:sSub>
                  <m:sSubPr>
                    <m:ctrlPr>
                      <w:rPr>
                        <w:rFonts w:ascii="Cambria Math" w:hAnsi="Cambria Math"/>
                        <w:i/>
                      </w:rPr>
                    </m:ctrlPr>
                  </m:sSubPr>
                  <m:e>
                    <m:r>
                      <w:rPr>
                        <w:rFonts w:ascii="Cambria Math" w:hAnsi="Cambria Math"/>
                      </w:rPr>
                      <m:t>A</m:t>
                    </m:r>
                  </m:e>
                  <m:sub>
                    <m:r>
                      <w:rPr>
                        <w:rFonts w:ascii="Cambria Math" w:hAnsi="Cambria Math"/>
                      </w:rPr>
                      <m:t>C</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q</m:t>
                        </m:r>
                      </m:e>
                      <m:sub>
                        <m:r>
                          <w:rPr>
                            <w:rFonts w:ascii="Cambria Math" w:hAnsi="Cambria Math"/>
                          </w:rPr>
                          <m:t>C</m:t>
                        </m:r>
                      </m:sub>
                    </m:sSub>
                  </m:num>
                  <m:den>
                    <m:sSub>
                      <m:sSubPr>
                        <m:ctrlPr>
                          <w:rPr>
                            <w:rFonts w:ascii="Cambria Math" w:hAnsi="Cambria Math"/>
                            <w:i/>
                          </w:rPr>
                        </m:ctrlPr>
                      </m:sSubPr>
                      <m:e>
                        <m:r>
                          <w:rPr>
                            <w:rFonts w:ascii="Cambria Math" w:hAnsi="Cambria Math"/>
                          </w:rPr>
                          <m:t>U</m:t>
                        </m:r>
                      </m:e>
                      <m:sub>
                        <m:r>
                          <w:rPr>
                            <w:rFonts w:ascii="Cambria Math" w:hAnsi="Cambria Math"/>
                          </w:rPr>
                          <m:t>c</m:t>
                        </m:r>
                      </m:sub>
                    </m:sSub>
                    <m:r>
                      <w:rPr>
                        <w:rFonts w:ascii="Cambria Math" w:hAnsi="Cambria Math"/>
                      </w:rPr>
                      <m:t>∆</m:t>
                    </m:r>
                    <m:sSub>
                      <m:sSubPr>
                        <m:ctrlPr>
                          <w:rPr>
                            <w:rFonts w:ascii="Cambria Math" w:hAnsi="Cambria Math"/>
                            <w:i/>
                            <w:iCs/>
                          </w:rPr>
                        </m:ctrlPr>
                      </m:sSubPr>
                      <m:e>
                        <m:r>
                          <w:rPr>
                            <w:rFonts w:ascii="Cambria Math" w:hAnsi="Cambria Math"/>
                          </w:rPr>
                          <m:t>T</m:t>
                        </m:r>
                      </m:e>
                      <m:sub>
                        <m:r>
                          <w:rPr>
                            <w:rFonts w:ascii="Cambria Math" w:hAnsi="Cambria Math"/>
                          </w:rPr>
                          <m:t>lm</m:t>
                        </m:r>
                      </m:sub>
                    </m:sSub>
                  </m:den>
                </m:f>
              </m:oMath>
            </m:oMathPara>
          </w:p>
        </w:tc>
        <w:tc>
          <w:tcPr>
            <w:tcW w:w="239" w:type="dxa"/>
            <w:vAlign w:val="center"/>
            <w:hideMark/>
          </w:tcPr>
          <w:p w14:paraId="04B59B19" w14:textId="77777777" w:rsidR="00A7521D" w:rsidRDefault="00A7521D" w:rsidP="00A7521D">
            <w:pPr>
              <w:pStyle w:val="Caption"/>
              <w:jc w:val="right"/>
            </w:pPr>
          </w:p>
        </w:tc>
        <w:tc>
          <w:tcPr>
            <w:tcW w:w="822" w:type="dxa"/>
            <w:vAlign w:val="center"/>
            <w:hideMark/>
          </w:tcPr>
          <w:p w14:paraId="460BBC50" w14:textId="3210E53A" w:rsidR="00A7521D" w:rsidRDefault="00A7521D" w:rsidP="00A7521D">
            <w:pPr>
              <w:pStyle w:val="Caption"/>
              <w:jc w:val="right"/>
              <w:rPr>
                <w:b w:val="0"/>
              </w:rPr>
            </w:pPr>
            <w:r>
              <w:rPr>
                <w:noProof/>
              </w:rPr>
              <w:fldChar w:fldCharType="begin"/>
            </w:r>
            <w:r>
              <w:rPr>
                <w:noProof/>
              </w:rPr>
              <w:instrText xml:space="preserve"> STYLEREF 1 \s </w:instrText>
            </w:r>
            <w:r>
              <w:rPr>
                <w:noProof/>
              </w:rPr>
              <w:fldChar w:fldCharType="separate"/>
            </w:r>
            <w:r w:rsidR="00CB7456">
              <w:rPr>
                <w:noProof/>
              </w:rPr>
              <w:t>13</w:t>
            </w:r>
            <w:r>
              <w:rPr>
                <w:noProof/>
              </w:rPr>
              <w:fldChar w:fldCharType="end"/>
            </w:r>
            <w:r>
              <w:rPr>
                <w:noProof/>
              </w:rPr>
              <w:t>.</w:t>
            </w:r>
            <w:r>
              <w:rPr>
                <w:noProof/>
              </w:rPr>
              <w:fldChar w:fldCharType="begin"/>
            </w:r>
            <w:r>
              <w:rPr>
                <w:noProof/>
              </w:rPr>
              <w:instrText xml:space="preserve"> SEQ Equation \* ARABIC \s 1 </w:instrText>
            </w:r>
            <w:r>
              <w:rPr>
                <w:noProof/>
              </w:rPr>
              <w:fldChar w:fldCharType="separate"/>
            </w:r>
            <w:r w:rsidR="00CB7456">
              <w:rPr>
                <w:noProof/>
              </w:rPr>
              <w:t>77</w:t>
            </w:r>
            <w:r>
              <w:rPr>
                <w:noProof/>
              </w:rPr>
              <w:fldChar w:fldCharType="end"/>
            </w:r>
          </w:p>
        </w:tc>
      </w:tr>
    </w:tbl>
    <w:p w14:paraId="106624CF" w14:textId="77777777" w:rsidR="00A7521D" w:rsidRDefault="00A7521D" w:rsidP="00A7521D"/>
    <w:p w14:paraId="399ECD33" w14:textId="77777777" w:rsidR="00A7521D" w:rsidRDefault="00C73E04" w:rsidP="00A7521D">
      <w:pPr>
        <w:pStyle w:val="NoSpacing"/>
      </w:pPr>
      <m:oMath>
        <m:sSub>
          <m:sSubPr>
            <m:ctrlPr>
              <w:rPr>
                <w:rFonts w:ascii="Cambria Math" w:hAnsi="Cambria Math"/>
                <w:i/>
              </w:rPr>
            </m:ctrlPr>
          </m:sSubPr>
          <m:e>
            <m:r>
              <w:rPr>
                <w:rFonts w:ascii="Cambria Math" w:hAnsi="Cambria Math"/>
              </w:rPr>
              <m:t>A</m:t>
            </m:r>
          </m:e>
          <m:sub>
            <m:r>
              <w:rPr>
                <w:rFonts w:ascii="Cambria Math" w:hAnsi="Cambria Math"/>
              </w:rPr>
              <m:t>C</m:t>
            </m:r>
          </m:sub>
        </m:sSub>
      </m:oMath>
      <w:r w:rsidR="00A7521D">
        <w:t xml:space="preserve"> was the SA of the convection section of the heater (m</w:t>
      </w:r>
      <w:r w:rsidR="00A7521D">
        <w:rPr>
          <w:vertAlign w:val="superscript"/>
        </w:rPr>
        <w:t>2</w:t>
      </w:r>
      <w:r w:rsidR="00A7521D">
        <w:t>),</w:t>
      </w:r>
    </w:p>
    <w:p w14:paraId="1C32F99E" w14:textId="77777777" w:rsidR="00A7521D" w:rsidRDefault="00C73E04" w:rsidP="00A7521D">
      <w:pPr>
        <w:pStyle w:val="NoSpacing"/>
      </w:pPr>
      <m:oMath>
        <m:sSub>
          <m:sSubPr>
            <m:ctrlPr>
              <w:rPr>
                <w:rFonts w:ascii="Cambria Math" w:hAnsi="Cambria Math"/>
                <w:i/>
              </w:rPr>
            </m:ctrlPr>
          </m:sSubPr>
          <m:e>
            <m:r>
              <w:rPr>
                <w:rFonts w:ascii="Cambria Math" w:hAnsi="Cambria Math"/>
              </w:rPr>
              <m:t>U</m:t>
            </m:r>
          </m:e>
          <m:sub>
            <m:r>
              <w:rPr>
                <w:rFonts w:ascii="Cambria Math" w:hAnsi="Cambria Math"/>
              </w:rPr>
              <m:t>C</m:t>
            </m:r>
          </m:sub>
        </m:sSub>
      </m:oMath>
      <w:r w:rsidR="00A7521D">
        <w:t xml:space="preserve"> was the overall convective HT rate (W/[m</w:t>
      </w:r>
      <w:r w:rsidR="00A7521D">
        <w:rPr>
          <w:vertAlign w:val="superscript"/>
        </w:rPr>
        <w:t>2</w:t>
      </w:r>
      <w:r w:rsidR="00A7521D">
        <w:t>°C]),</w:t>
      </w:r>
    </w:p>
    <w:p w14:paraId="6A9EDEF0" w14:textId="638DF794" w:rsidR="00A7521D" w:rsidRDefault="00A7521D" w:rsidP="00A7521D">
      <m:oMath>
        <m:r>
          <w:rPr>
            <w:rFonts w:ascii="Cambria Math" w:hAnsi="Cambria Math"/>
          </w:rPr>
          <m:t>∆</m:t>
        </m:r>
        <m:sSub>
          <m:sSubPr>
            <m:ctrlPr>
              <w:rPr>
                <w:rFonts w:ascii="Cambria Math" w:hAnsi="Cambria Math"/>
                <w:i/>
                <w:iCs/>
              </w:rPr>
            </m:ctrlPr>
          </m:sSubPr>
          <m:e>
            <m:r>
              <w:rPr>
                <w:rFonts w:ascii="Cambria Math" w:hAnsi="Cambria Math"/>
              </w:rPr>
              <m:t>T</m:t>
            </m:r>
          </m:e>
          <m:sub>
            <m:r>
              <w:rPr>
                <w:rFonts w:ascii="Cambria Math" w:hAnsi="Cambria Math"/>
              </w:rPr>
              <m:t>lm</m:t>
            </m:r>
          </m:sub>
        </m:sSub>
      </m:oMath>
      <w:r>
        <w:rPr>
          <w:iCs/>
        </w:rPr>
        <w:t xml:space="preserve"> was the logarithmic </w:t>
      </w:r>
      <w:r>
        <w:t>mean temperature difference (K).</w:t>
      </w:r>
    </w:p>
    <w:p w14:paraId="585FCDD8" w14:textId="4C9676E1" w:rsidR="00EA3042" w:rsidRDefault="00EA3042" w:rsidP="00A7521D">
      <w:r>
        <w:t xml:space="preserve">The SA of the convection section of the heater, the HT rate of the convection section of the heater, the overall convective HT rate and </w:t>
      </w:r>
      <w:r>
        <w:rPr>
          <w:iCs/>
        </w:rPr>
        <w:t xml:space="preserve">the logarithmic </w:t>
      </w:r>
      <w:r>
        <w:t xml:space="preserve">mean temperature difference. The overall convective HT rate and the </w:t>
      </w:r>
      <w:r>
        <w:rPr>
          <w:iCs/>
        </w:rPr>
        <w:t xml:space="preserve">logarithmic </w:t>
      </w:r>
      <w:r>
        <w:t xml:space="preserve">mean temperature difference were calculated using </w:t>
      </w:r>
      <w:r w:rsidR="00CD65EC">
        <w:t xml:space="preserve">Equations </w:t>
      </w:r>
      <w:r w:rsidR="00CD65EC">
        <w:fldChar w:fldCharType="begin"/>
      </w:r>
      <w:r w:rsidR="00CD65EC">
        <w:instrText xml:space="preserve"> REF _Ref531105165 \h </w:instrText>
      </w:r>
      <w:r w:rsidR="00CD65EC">
        <w:fldChar w:fldCharType="separate"/>
      </w:r>
      <w:r w:rsidR="00CB7456">
        <w:rPr>
          <w:noProof/>
        </w:rPr>
        <w:t>13</w:t>
      </w:r>
      <w:r w:rsidR="00CB7456">
        <w:t>.</w:t>
      </w:r>
      <w:r w:rsidR="00CB7456">
        <w:rPr>
          <w:noProof/>
        </w:rPr>
        <w:t>3</w:t>
      </w:r>
      <w:r w:rsidR="00CD65EC">
        <w:fldChar w:fldCharType="end"/>
      </w:r>
      <w:r w:rsidR="00CD65EC">
        <w:t xml:space="preserve"> and </w:t>
      </w:r>
      <w:r w:rsidR="00CD65EC">
        <w:fldChar w:fldCharType="begin"/>
      </w:r>
      <w:r w:rsidR="00CD65EC">
        <w:instrText xml:space="preserve"> REF _Ref531105227 \h </w:instrText>
      </w:r>
      <w:r w:rsidR="00CD65EC">
        <w:fldChar w:fldCharType="separate"/>
      </w:r>
      <w:r w:rsidR="00CB7456">
        <w:rPr>
          <w:noProof/>
        </w:rPr>
        <w:t>13</w:t>
      </w:r>
      <w:r w:rsidR="00CB7456">
        <w:t>.</w:t>
      </w:r>
      <w:r w:rsidR="00CB7456">
        <w:rPr>
          <w:noProof/>
        </w:rPr>
        <w:t>5</w:t>
      </w:r>
      <w:r w:rsidR="00CD65EC">
        <w:fldChar w:fldCharType="end"/>
      </w:r>
      <w:r w:rsidR="00CD65EC">
        <w:t>.</w:t>
      </w:r>
    </w:p>
    <w:p w14:paraId="553C1500" w14:textId="77777777" w:rsidR="0098192D" w:rsidRDefault="00A7521D" w:rsidP="00CD39BA">
      <w:r>
        <w:t xml:space="preserve">The modelling process then used Equation </w:t>
      </w:r>
      <w:r>
        <w:fldChar w:fldCharType="begin"/>
      </w:r>
      <w:r>
        <w:instrText xml:space="preserve"> REF _Ref531105165 \h </w:instrText>
      </w:r>
      <w:r>
        <w:fldChar w:fldCharType="separate"/>
      </w:r>
      <w:r w:rsidR="00CB7456">
        <w:rPr>
          <w:noProof/>
        </w:rPr>
        <w:t>13</w:t>
      </w:r>
      <w:r w:rsidR="00CB7456">
        <w:t>.</w:t>
      </w:r>
      <w:r w:rsidR="00CB7456">
        <w:rPr>
          <w:noProof/>
        </w:rPr>
        <w:t>3</w:t>
      </w:r>
      <w:r>
        <w:fldChar w:fldCharType="end"/>
      </w:r>
      <w:r>
        <w:t xml:space="preserve"> from the modelling of the HEX-DP.</w:t>
      </w:r>
    </w:p>
    <w:p w14:paraId="4092A5FB" w14:textId="3033A3C9" w:rsidR="00CD39BA" w:rsidRDefault="0098192D" w:rsidP="00CD39BA">
      <w:pPr>
        <w:rPr>
          <w:b/>
          <w:bCs/>
          <w:sz w:val="18"/>
          <w:szCs w:val="18"/>
        </w:rPr>
      </w:pPr>
      <w:r>
        <w:fldChar w:fldCharType="begin"/>
      </w:r>
      <w:r>
        <w:rPr>
          <w:iCs/>
        </w:rPr>
        <w:instrText xml:space="preserve"> REF _Ref7188735 \h </w:instrText>
      </w:r>
      <w:r>
        <w:fldChar w:fldCharType="separate"/>
      </w:r>
      <w:r>
        <w:t xml:space="preserve">Table </w:t>
      </w:r>
      <w:r>
        <w:rPr>
          <w:noProof/>
        </w:rPr>
        <w:t>13</w:t>
      </w:r>
      <w:r>
        <w:t>.</w:t>
      </w:r>
      <w:r>
        <w:rPr>
          <w:noProof/>
        </w:rPr>
        <w:t>12</w:t>
      </w:r>
      <w:r>
        <w:fldChar w:fldCharType="end"/>
      </w:r>
      <w:bookmarkStart w:id="1049" w:name="_GoBack"/>
      <w:bookmarkEnd w:id="1049"/>
      <w:r w:rsidR="00CD39BA">
        <w:rPr>
          <w:iCs/>
        </w:rPr>
        <w:t xml:space="preserve"> shows how the complex series of equations used in the modelling of a FH or a boiler are linked to each other.</w:t>
      </w:r>
    </w:p>
    <w:p w14:paraId="3C5E4965" w14:textId="77777777" w:rsidR="00CD39BA" w:rsidRDefault="00CD39BA">
      <w:pPr>
        <w:jc w:val="left"/>
        <w:rPr>
          <w:b/>
          <w:bCs/>
          <w:sz w:val="18"/>
          <w:szCs w:val="18"/>
        </w:rPr>
      </w:pPr>
      <w:bookmarkStart w:id="1050" w:name="_Ref7186180"/>
      <w:r>
        <w:br w:type="page"/>
      </w:r>
    </w:p>
    <w:p w14:paraId="595674C2" w14:textId="0E79807B" w:rsidR="00CD39BA" w:rsidRDefault="00CD39BA" w:rsidP="00CD39BA">
      <w:pPr>
        <w:pStyle w:val="Caption"/>
        <w:keepNext/>
      </w:pPr>
      <w:bookmarkStart w:id="1051" w:name="_Toc7187729"/>
      <w:bookmarkStart w:id="1052" w:name="_Ref7188735"/>
      <w:r>
        <w:lastRenderedPageBreak/>
        <w:t xml:space="preserve">Table </w:t>
      </w:r>
      <w:fldSimple w:instr=" STYLEREF 1 \s ">
        <w:r w:rsidR="00CB7456">
          <w:rPr>
            <w:noProof/>
          </w:rPr>
          <w:t>13</w:t>
        </w:r>
      </w:fldSimple>
      <w:r w:rsidR="009E1A67">
        <w:t>.</w:t>
      </w:r>
      <w:fldSimple w:instr=" SEQ Table \* ARABIC \s 1 ">
        <w:r w:rsidR="00CB7456">
          <w:rPr>
            <w:noProof/>
          </w:rPr>
          <w:t>12</w:t>
        </w:r>
      </w:fldSimple>
      <w:bookmarkEnd w:id="1050"/>
      <w:bookmarkEnd w:id="1052"/>
      <w:r>
        <w:t>: How the equations in the modelling of a FH or a burner are linked. Inputs in bold are outputs from other equations in the modelling of the HEX-FT.</w:t>
      </w:r>
      <w:bookmarkEnd w:id="1051"/>
    </w:p>
    <w:tbl>
      <w:tblPr>
        <w:tblStyle w:val="TableGrid"/>
        <w:tblW w:w="0" w:type="auto"/>
        <w:jc w:val="center"/>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26"/>
        <w:gridCol w:w="2516"/>
        <w:gridCol w:w="1052"/>
        <w:gridCol w:w="3205"/>
      </w:tblGrid>
      <w:tr w:rsidR="00CD39BA" w14:paraId="4B816864" w14:textId="77777777" w:rsidTr="00CD39BA">
        <w:trPr>
          <w:jc w:val="center"/>
        </w:trPr>
        <w:tc>
          <w:tcPr>
            <w:tcW w:w="1126" w:type="dxa"/>
            <w:tcBorders>
              <w:bottom w:val="single" w:sz="4" w:space="0" w:color="auto"/>
            </w:tcBorders>
          </w:tcPr>
          <w:p w14:paraId="610DC5F1" w14:textId="77777777" w:rsidR="00CD39BA" w:rsidRDefault="00CD39BA" w:rsidP="00CD39BA">
            <w:pPr>
              <w:jc w:val="center"/>
            </w:pPr>
            <w:r>
              <w:t>Equation</w:t>
            </w:r>
          </w:p>
        </w:tc>
        <w:tc>
          <w:tcPr>
            <w:tcW w:w="2516" w:type="dxa"/>
            <w:tcBorders>
              <w:bottom w:val="single" w:sz="4" w:space="0" w:color="auto"/>
            </w:tcBorders>
          </w:tcPr>
          <w:p w14:paraId="686F8970" w14:textId="77777777" w:rsidR="00CD39BA" w:rsidRDefault="00CD39BA" w:rsidP="00CD39BA">
            <w:pPr>
              <w:jc w:val="center"/>
            </w:pPr>
            <w:r>
              <w:t>Inputs</w:t>
            </w:r>
          </w:p>
        </w:tc>
        <w:tc>
          <w:tcPr>
            <w:tcW w:w="1052" w:type="dxa"/>
            <w:tcBorders>
              <w:bottom w:val="single" w:sz="4" w:space="0" w:color="auto"/>
            </w:tcBorders>
          </w:tcPr>
          <w:p w14:paraId="19F87431" w14:textId="77777777" w:rsidR="00CD39BA" w:rsidRDefault="00CD39BA" w:rsidP="00CD39BA">
            <w:pPr>
              <w:jc w:val="center"/>
            </w:pPr>
            <w:r>
              <w:t>Outputs</w:t>
            </w:r>
          </w:p>
        </w:tc>
        <w:tc>
          <w:tcPr>
            <w:tcW w:w="3205" w:type="dxa"/>
            <w:tcBorders>
              <w:bottom w:val="single" w:sz="4" w:space="0" w:color="auto"/>
            </w:tcBorders>
          </w:tcPr>
          <w:p w14:paraId="6B8E41DB" w14:textId="77777777" w:rsidR="00CD39BA" w:rsidRDefault="00CD39BA" w:rsidP="00CD39BA">
            <w:pPr>
              <w:jc w:val="center"/>
            </w:pPr>
            <w:r>
              <w:t>Linked to Equation</w:t>
            </w:r>
          </w:p>
        </w:tc>
      </w:tr>
      <w:tr w:rsidR="00CD39BA" w14:paraId="205E423A" w14:textId="77777777" w:rsidTr="00CD39BA">
        <w:trPr>
          <w:jc w:val="center"/>
        </w:trPr>
        <w:tc>
          <w:tcPr>
            <w:tcW w:w="1126" w:type="dxa"/>
            <w:tcBorders>
              <w:top w:val="single" w:sz="4" w:space="0" w:color="auto"/>
              <w:bottom w:val="nil"/>
            </w:tcBorders>
          </w:tcPr>
          <w:p w14:paraId="3E8EABA8" w14:textId="77777777" w:rsidR="00CD39BA" w:rsidRPr="001B794E" w:rsidRDefault="00CD39BA" w:rsidP="00CD39BA">
            <w:pPr>
              <w:jc w:val="center"/>
              <w:rPr>
                <w:color w:val="000000" w:themeColor="text1"/>
              </w:rPr>
            </w:pPr>
            <w:r>
              <w:rPr>
                <w:color w:val="000000" w:themeColor="text1"/>
              </w:rPr>
              <w:t>13.60</w:t>
            </w:r>
          </w:p>
        </w:tc>
        <w:tc>
          <w:tcPr>
            <w:tcW w:w="2516" w:type="dxa"/>
            <w:tcBorders>
              <w:top w:val="single" w:sz="4" w:space="0" w:color="auto"/>
              <w:bottom w:val="nil"/>
            </w:tcBorders>
          </w:tcPr>
          <w:p w14:paraId="025C1205" w14:textId="77777777" w:rsidR="00CD39BA" w:rsidRPr="001B794E" w:rsidRDefault="00CD39BA" w:rsidP="00CD39BA">
            <w:pPr>
              <w:jc w:val="center"/>
              <w:rPr>
                <w:color w:val="000000" w:themeColor="text1"/>
              </w:rPr>
            </w:pPr>
            <m:oMathPara>
              <m:oMath>
                <m:sSub>
                  <m:sSubPr>
                    <m:ctrlPr>
                      <w:rPr>
                        <w:rFonts w:ascii="Cambria Math" w:hAnsi="Cambria Math"/>
                        <w:b/>
                        <w:i/>
                        <w:color w:val="000000" w:themeColor="text1"/>
                      </w:rPr>
                    </m:ctrlPr>
                  </m:sSubPr>
                  <m:e>
                    <m:r>
                      <m:rPr>
                        <m:sty m:val="bi"/>
                      </m:rPr>
                      <w:rPr>
                        <w:rFonts w:ascii="Cambria Math" w:hAnsi="Cambria Math"/>
                        <w:color w:val="000000" w:themeColor="text1"/>
                      </w:rPr>
                      <m:t>q</m:t>
                    </m:r>
                  </m:e>
                  <m:sub>
                    <m:r>
                      <m:rPr>
                        <m:sty m:val="bi"/>
                      </m:rPr>
                      <w:rPr>
                        <w:rFonts w:ascii="Cambria Math" w:hAnsi="Cambria Math"/>
                        <w:color w:val="000000" w:themeColor="text1"/>
                      </w:rPr>
                      <m:t>C</m:t>
                    </m:r>
                  </m:sub>
                </m:sSub>
                <m:r>
                  <m:rPr>
                    <m:sty m:val="bi"/>
                  </m:rPr>
                  <w:rPr>
                    <w:rFonts w:ascii="Cambria Math" w:hAnsi="Cambria Math"/>
                    <w:color w:val="000000" w:themeColor="text1"/>
                  </w:rPr>
                  <m:t>,</m:t>
                </m:r>
                <m:sSub>
                  <m:sSubPr>
                    <m:ctrlPr>
                      <w:rPr>
                        <w:rFonts w:ascii="Cambria Math" w:hAnsi="Cambria Math"/>
                        <w:b/>
                        <w:i/>
                        <w:color w:val="000000" w:themeColor="text1"/>
                      </w:rPr>
                    </m:ctrlPr>
                  </m:sSubPr>
                  <m:e>
                    <m:r>
                      <m:rPr>
                        <m:sty m:val="bi"/>
                      </m:rPr>
                      <w:rPr>
                        <w:rFonts w:ascii="Cambria Math" w:hAnsi="Cambria Math"/>
                        <w:color w:val="000000" w:themeColor="text1"/>
                      </w:rPr>
                      <m:t>q</m:t>
                    </m:r>
                  </m:e>
                  <m:sub>
                    <m:r>
                      <m:rPr>
                        <m:sty m:val="bi"/>
                      </m:rPr>
                      <w:rPr>
                        <w:rFonts w:ascii="Cambria Math" w:hAnsi="Cambria Math"/>
                        <w:color w:val="000000" w:themeColor="text1"/>
                      </w:rPr>
                      <m:t>R</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q</m:t>
                    </m:r>
                  </m:e>
                  <m:sub>
                    <m:r>
                      <w:rPr>
                        <w:rFonts w:ascii="Cambria Math" w:hAnsi="Cambria Math"/>
                        <w:color w:val="000000" w:themeColor="text1"/>
                      </w:rPr>
                      <m:t>cm</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q</m:t>
                    </m:r>
                  </m:e>
                  <m:sub>
                    <m:r>
                      <w:rPr>
                        <w:rFonts w:ascii="Cambria Math" w:hAnsi="Cambria Math"/>
                        <w:color w:val="000000" w:themeColor="text1"/>
                      </w:rPr>
                      <m:t>ca</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q</m:t>
                    </m:r>
                  </m:e>
                  <m:sub>
                    <m:r>
                      <w:rPr>
                        <w:rFonts w:ascii="Cambria Math" w:hAnsi="Cambria Math"/>
                        <w:color w:val="000000" w:themeColor="text1"/>
                      </w:rPr>
                      <m:t>fu</m:t>
                    </m:r>
                  </m:sub>
                </m:sSub>
              </m:oMath>
            </m:oMathPara>
          </w:p>
        </w:tc>
        <w:tc>
          <w:tcPr>
            <w:tcW w:w="1052" w:type="dxa"/>
            <w:tcBorders>
              <w:top w:val="single" w:sz="4" w:space="0" w:color="auto"/>
              <w:bottom w:val="nil"/>
            </w:tcBorders>
          </w:tcPr>
          <w:p w14:paraId="212BEFF5" w14:textId="77777777" w:rsidR="00CD39BA" w:rsidRPr="001B794E" w:rsidRDefault="00CD39BA" w:rsidP="00CD39BA">
            <w:pPr>
              <w:jc w:val="center"/>
              <w:rPr>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q</m:t>
                    </m:r>
                  </m:e>
                  <m:sub>
                    <m:r>
                      <w:rPr>
                        <w:rFonts w:ascii="Cambria Math" w:hAnsi="Cambria Math"/>
                        <w:color w:val="000000" w:themeColor="text1"/>
                      </w:rPr>
                      <m:t>g</m:t>
                    </m:r>
                  </m:sub>
                </m:sSub>
              </m:oMath>
            </m:oMathPara>
          </w:p>
        </w:tc>
        <w:tc>
          <w:tcPr>
            <w:tcW w:w="3205" w:type="dxa"/>
            <w:tcBorders>
              <w:top w:val="single" w:sz="4" w:space="0" w:color="auto"/>
              <w:bottom w:val="nil"/>
            </w:tcBorders>
          </w:tcPr>
          <w:p w14:paraId="2DA14EF1" w14:textId="77777777" w:rsidR="00CD39BA" w:rsidRPr="001B794E" w:rsidRDefault="00CD39BA" w:rsidP="00CD39BA">
            <w:pPr>
              <w:jc w:val="center"/>
              <w:rPr>
                <w:color w:val="000000" w:themeColor="text1"/>
              </w:rPr>
            </w:pPr>
          </w:p>
        </w:tc>
      </w:tr>
      <w:tr w:rsidR="00CD39BA" w14:paraId="6FF21985" w14:textId="77777777" w:rsidTr="00CD39BA">
        <w:trPr>
          <w:jc w:val="center"/>
        </w:trPr>
        <w:tc>
          <w:tcPr>
            <w:tcW w:w="1126" w:type="dxa"/>
            <w:tcBorders>
              <w:top w:val="nil"/>
            </w:tcBorders>
          </w:tcPr>
          <w:p w14:paraId="5B1F7A45" w14:textId="77777777" w:rsidR="00CD39BA" w:rsidRPr="001B794E" w:rsidRDefault="00CD39BA" w:rsidP="00CD39BA">
            <w:pPr>
              <w:jc w:val="center"/>
              <w:rPr>
                <w:color w:val="000000" w:themeColor="text1"/>
              </w:rPr>
            </w:pPr>
            <w:r>
              <w:rPr>
                <w:color w:val="000000" w:themeColor="text1"/>
              </w:rPr>
              <w:t>13.61</w:t>
            </w:r>
          </w:p>
        </w:tc>
        <w:tc>
          <w:tcPr>
            <w:tcW w:w="2516" w:type="dxa"/>
            <w:tcBorders>
              <w:top w:val="nil"/>
            </w:tcBorders>
          </w:tcPr>
          <w:p w14:paraId="61A282AE" w14:textId="77777777" w:rsidR="00CD39BA" w:rsidRPr="001B794E" w:rsidRDefault="00CD39BA" w:rsidP="00CD39BA">
            <w:pPr>
              <w:jc w:val="center"/>
              <w:rPr>
                <w:color w:val="000000" w:themeColor="text1"/>
              </w:rPr>
            </w:pPr>
            <m:oMathPara>
              <m:oMath>
                <m:r>
                  <w:rPr>
                    <w:rFonts w:ascii="Cambria Math" w:hAnsi="Cambria Math"/>
                    <w:color w:val="000000" w:themeColor="text1"/>
                  </w:rPr>
                  <m:t>q,</m:t>
                </m:r>
                <m:sSub>
                  <m:sSubPr>
                    <m:ctrlPr>
                      <w:rPr>
                        <w:rFonts w:ascii="Cambria Math" w:hAnsi="Cambria Math"/>
                        <w:i/>
                        <w:color w:val="000000" w:themeColor="text1"/>
                      </w:rPr>
                    </m:ctrlPr>
                  </m:sSubPr>
                  <m:e>
                    <m:r>
                      <w:rPr>
                        <w:rFonts w:ascii="Cambria Math" w:hAnsi="Cambria Math"/>
                        <w:color w:val="000000" w:themeColor="text1"/>
                      </w:rPr>
                      <m:t>η</m:t>
                    </m:r>
                  </m:e>
                  <m:sub>
                    <m:r>
                      <w:rPr>
                        <w:rFonts w:ascii="Cambria Math" w:hAnsi="Cambria Math"/>
                        <w:color w:val="000000" w:themeColor="text1"/>
                      </w:rPr>
                      <m:t>cm</m:t>
                    </m:r>
                  </m:sub>
                </m:sSub>
              </m:oMath>
            </m:oMathPara>
          </w:p>
        </w:tc>
        <w:tc>
          <w:tcPr>
            <w:tcW w:w="1052" w:type="dxa"/>
            <w:tcBorders>
              <w:top w:val="nil"/>
            </w:tcBorders>
          </w:tcPr>
          <w:p w14:paraId="327C3058" w14:textId="77777777" w:rsidR="00CD39BA" w:rsidRPr="001B794E" w:rsidRDefault="00CD39BA" w:rsidP="00CD39BA">
            <w:pPr>
              <w:jc w:val="center"/>
              <w:rPr>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q</m:t>
                    </m:r>
                  </m:e>
                  <m:sub>
                    <m:r>
                      <w:rPr>
                        <w:rFonts w:ascii="Cambria Math" w:hAnsi="Cambria Math"/>
                        <w:color w:val="000000" w:themeColor="text1"/>
                      </w:rPr>
                      <m:t>C</m:t>
                    </m:r>
                  </m:sub>
                </m:sSub>
              </m:oMath>
            </m:oMathPara>
          </w:p>
        </w:tc>
        <w:tc>
          <w:tcPr>
            <w:tcW w:w="3205" w:type="dxa"/>
            <w:tcBorders>
              <w:top w:val="nil"/>
            </w:tcBorders>
          </w:tcPr>
          <w:p w14:paraId="61575F5B" w14:textId="77777777" w:rsidR="00CD39BA" w:rsidRPr="001B794E" w:rsidRDefault="00CD39BA" w:rsidP="00CD39BA">
            <w:pPr>
              <w:jc w:val="center"/>
              <w:rPr>
                <w:color w:val="000000" w:themeColor="text1"/>
              </w:rPr>
            </w:pPr>
            <w:proofErr w:type="spellStart"/>
            <w:r>
              <w:rPr>
                <w:color w:val="000000" w:themeColor="text1"/>
              </w:rPr>
              <w:t>Eqn</w:t>
            </w:r>
            <w:proofErr w:type="spellEnd"/>
            <w:r>
              <w:rPr>
                <w:color w:val="000000" w:themeColor="text1"/>
              </w:rPr>
              <w:t xml:space="preserve"> 13.60, </w:t>
            </w:r>
            <w:proofErr w:type="spellStart"/>
            <w:r>
              <w:rPr>
                <w:color w:val="000000" w:themeColor="text1"/>
              </w:rPr>
              <w:t>Eqn</w:t>
            </w:r>
            <w:proofErr w:type="spellEnd"/>
            <w:r>
              <w:rPr>
                <w:color w:val="000000" w:themeColor="text1"/>
              </w:rPr>
              <w:t xml:space="preserve"> 13.77</w:t>
            </w:r>
          </w:p>
        </w:tc>
      </w:tr>
      <w:tr w:rsidR="00CD39BA" w14:paraId="454426F0" w14:textId="77777777" w:rsidTr="00CD39BA">
        <w:trPr>
          <w:jc w:val="center"/>
        </w:trPr>
        <w:tc>
          <w:tcPr>
            <w:tcW w:w="1126" w:type="dxa"/>
          </w:tcPr>
          <w:p w14:paraId="35C9FFFF" w14:textId="77777777" w:rsidR="00CD39BA" w:rsidRPr="001B794E" w:rsidRDefault="00CD39BA" w:rsidP="00CD39BA">
            <w:pPr>
              <w:jc w:val="center"/>
              <w:rPr>
                <w:color w:val="000000" w:themeColor="text1"/>
              </w:rPr>
            </w:pPr>
            <w:r>
              <w:rPr>
                <w:color w:val="000000" w:themeColor="text1"/>
              </w:rPr>
              <w:t>13.62</w:t>
            </w:r>
          </w:p>
        </w:tc>
        <w:tc>
          <w:tcPr>
            <w:tcW w:w="2516" w:type="dxa"/>
          </w:tcPr>
          <w:p w14:paraId="216EBD12" w14:textId="77777777" w:rsidR="00CD39BA" w:rsidRPr="001B794E" w:rsidRDefault="00CD39BA" w:rsidP="00CD39BA">
            <w:pPr>
              <w:jc w:val="center"/>
              <w:rPr>
                <w:color w:val="000000" w:themeColor="text1"/>
              </w:rPr>
            </w:pPr>
            <m:oMathPara>
              <m:oMath>
                <m:r>
                  <w:rPr>
                    <w:rFonts w:ascii="Cambria Math" w:hAnsi="Cambria Math"/>
                    <w:color w:val="000000" w:themeColor="text1"/>
                  </w:rPr>
                  <m:t>q</m:t>
                </m:r>
              </m:oMath>
            </m:oMathPara>
          </w:p>
        </w:tc>
        <w:tc>
          <w:tcPr>
            <w:tcW w:w="1052" w:type="dxa"/>
          </w:tcPr>
          <w:p w14:paraId="30581071" w14:textId="77777777" w:rsidR="00CD39BA" w:rsidRPr="001B794E" w:rsidRDefault="00CD39BA" w:rsidP="00CD39BA">
            <w:pPr>
              <w:jc w:val="center"/>
              <w:rPr>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q</m:t>
                    </m:r>
                  </m:e>
                  <m:sub>
                    <m:r>
                      <w:rPr>
                        <w:rFonts w:ascii="Cambria Math" w:hAnsi="Cambria Math"/>
                        <w:color w:val="000000" w:themeColor="text1"/>
                      </w:rPr>
                      <m:t>R</m:t>
                    </m:r>
                  </m:sub>
                </m:sSub>
              </m:oMath>
            </m:oMathPara>
          </w:p>
        </w:tc>
        <w:tc>
          <w:tcPr>
            <w:tcW w:w="3205" w:type="dxa"/>
          </w:tcPr>
          <w:p w14:paraId="3D7B7BAB" w14:textId="77777777" w:rsidR="00CD39BA" w:rsidRPr="001B794E" w:rsidRDefault="00CD39BA" w:rsidP="00CD39BA">
            <w:pPr>
              <w:jc w:val="center"/>
              <w:rPr>
                <w:color w:val="000000" w:themeColor="text1"/>
              </w:rPr>
            </w:pPr>
            <w:proofErr w:type="spellStart"/>
            <w:r>
              <w:rPr>
                <w:color w:val="000000" w:themeColor="text1"/>
              </w:rPr>
              <w:t>Eqn</w:t>
            </w:r>
            <w:proofErr w:type="spellEnd"/>
            <w:r>
              <w:rPr>
                <w:color w:val="000000" w:themeColor="text1"/>
              </w:rPr>
              <w:t xml:space="preserve"> 13.60, </w:t>
            </w:r>
            <w:proofErr w:type="spellStart"/>
            <w:r>
              <w:rPr>
                <w:color w:val="000000" w:themeColor="text1"/>
              </w:rPr>
              <w:t>Eqn</w:t>
            </w:r>
            <w:proofErr w:type="spellEnd"/>
            <w:r>
              <w:rPr>
                <w:color w:val="000000" w:themeColor="text1"/>
              </w:rPr>
              <w:t xml:space="preserve"> 13.65</w:t>
            </w:r>
          </w:p>
        </w:tc>
      </w:tr>
      <w:tr w:rsidR="00CD39BA" w14:paraId="35F57A46" w14:textId="77777777" w:rsidTr="00CD39BA">
        <w:trPr>
          <w:jc w:val="center"/>
        </w:trPr>
        <w:tc>
          <w:tcPr>
            <w:tcW w:w="1126" w:type="dxa"/>
          </w:tcPr>
          <w:p w14:paraId="62969A87" w14:textId="77777777" w:rsidR="00CD39BA" w:rsidRPr="001B794E" w:rsidRDefault="00CD39BA" w:rsidP="00CD39BA">
            <w:pPr>
              <w:jc w:val="center"/>
              <w:rPr>
                <w:color w:val="000000" w:themeColor="text1"/>
              </w:rPr>
            </w:pPr>
            <w:r>
              <w:rPr>
                <w:color w:val="000000" w:themeColor="text1"/>
              </w:rPr>
              <w:t>13.63</w:t>
            </w:r>
          </w:p>
        </w:tc>
        <w:tc>
          <w:tcPr>
            <w:tcW w:w="2516" w:type="dxa"/>
          </w:tcPr>
          <w:p w14:paraId="46B328F9" w14:textId="77777777" w:rsidR="00CD39BA" w:rsidRPr="001B794E" w:rsidRDefault="00CD39BA" w:rsidP="00CD39BA">
            <w:pPr>
              <w:jc w:val="center"/>
              <w:rPr>
                <w:color w:val="000000" w:themeColor="text1"/>
              </w:rPr>
            </w:pPr>
            <m:oMathPara>
              <m:oMath>
                <m:sSub>
                  <m:sSubPr>
                    <m:ctrlPr>
                      <w:rPr>
                        <w:rFonts w:ascii="Cambria Math" w:hAnsi="Cambria Math"/>
                        <w:b/>
                        <w:i/>
                        <w:color w:val="000000" w:themeColor="text1"/>
                      </w:rPr>
                    </m:ctrlPr>
                  </m:sSubPr>
                  <m:e>
                    <m:r>
                      <m:rPr>
                        <m:sty m:val="bi"/>
                      </m:rPr>
                      <w:rPr>
                        <w:rFonts w:ascii="Cambria Math" w:hAnsi="Cambria Math"/>
                        <w:color w:val="000000" w:themeColor="text1"/>
                      </w:rPr>
                      <m:t>T</m:t>
                    </m:r>
                  </m:e>
                  <m:sub>
                    <m:r>
                      <m:rPr>
                        <m:sty m:val="bi"/>
                      </m:rPr>
                      <w:rPr>
                        <w:rFonts w:ascii="Cambria Math" w:hAnsi="Cambria Math"/>
                        <w:color w:val="000000" w:themeColor="text1"/>
                      </w:rPr>
                      <m:t>cr</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T</m:t>
                    </m:r>
                  </m:e>
                  <m:sub>
                    <m:r>
                      <w:rPr>
                        <w:rFonts w:ascii="Cambria Math" w:hAnsi="Cambria Math"/>
                        <w:color w:val="000000" w:themeColor="text1"/>
                      </w:rPr>
                      <m:t>2</m:t>
                    </m:r>
                  </m:sub>
                </m:sSub>
              </m:oMath>
            </m:oMathPara>
          </w:p>
        </w:tc>
        <w:tc>
          <w:tcPr>
            <w:tcW w:w="1052" w:type="dxa"/>
          </w:tcPr>
          <w:p w14:paraId="6237C2EE" w14:textId="77777777" w:rsidR="00CD39BA" w:rsidRPr="001B794E" w:rsidRDefault="00CD39BA" w:rsidP="00CD39BA">
            <w:pPr>
              <w:jc w:val="center"/>
              <w:rPr>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T</m:t>
                    </m:r>
                  </m:e>
                  <m:sub>
                    <m:r>
                      <w:rPr>
                        <w:rFonts w:ascii="Cambria Math" w:hAnsi="Cambria Math"/>
                        <w:color w:val="000000" w:themeColor="text1"/>
                      </w:rPr>
                      <m:t>fl</m:t>
                    </m:r>
                  </m:sub>
                </m:sSub>
              </m:oMath>
            </m:oMathPara>
          </w:p>
        </w:tc>
        <w:tc>
          <w:tcPr>
            <w:tcW w:w="3205" w:type="dxa"/>
          </w:tcPr>
          <w:p w14:paraId="103E0293" w14:textId="77777777" w:rsidR="00CD39BA" w:rsidRPr="001B794E" w:rsidRDefault="00CD39BA" w:rsidP="00CD39BA">
            <w:pPr>
              <w:jc w:val="center"/>
              <w:rPr>
                <w:color w:val="000000" w:themeColor="text1"/>
              </w:rPr>
            </w:pPr>
          </w:p>
        </w:tc>
      </w:tr>
      <w:tr w:rsidR="00CD39BA" w14:paraId="021F36A6" w14:textId="77777777" w:rsidTr="00CD39BA">
        <w:trPr>
          <w:jc w:val="center"/>
        </w:trPr>
        <w:tc>
          <w:tcPr>
            <w:tcW w:w="1126" w:type="dxa"/>
          </w:tcPr>
          <w:p w14:paraId="2560A41A" w14:textId="77777777" w:rsidR="00CD39BA" w:rsidRPr="001B794E" w:rsidRDefault="00CD39BA" w:rsidP="00CD39BA">
            <w:pPr>
              <w:jc w:val="center"/>
              <w:rPr>
                <w:color w:val="000000" w:themeColor="text1"/>
              </w:rPr>
            </w:pPr>
            <w:r>
              <w:rPr>
                <w:color w:val="000000" w:themeColor="text1"/>
              </w:rPr>
              <w:t>13.64</w:t>
            </w:r>
          </w:p>
        </w:tc>
        <w:tc>
          <w:tcPr>
            <w:tcW w:w="2516" w:type="dxa"/>
          </w:tcPr>
          <w:p w14:paraId="078436AA" w14:textId="77777777" w:rsidR="00CD39BA" w:rsidRPr="001B794E" w:rsidRDefault="00CD39BA" w:rsidP="00CD39BA">
            <w:pPr>
              <w:jc w:val="center"/>
              <w:rPr>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T</m:t>
                    </m:r>
                  </m:e>
                  <m:sub>
                    <m:r>
                      <w:rPr>
                        <w:rFonts w:ascii="Cambria Math" w:hAnsi="Cambria Math"/>
                        <w:color w:val="000000" w:themeColor="text1"/>
                      </w:rPr>
                      <m:t>2</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T</m:t>
                    </m:r>
                  </m:e>
                  <m:sub>
                    <m:r>
                      <w:rPr>
                        <w:rFonts w:ascii="Cambria Math" w:hAnsi="Cambria Math"/>
                        <w:color w:val="000000" w:themeColor="text1"/>
                      </w:rPr>
                      <m:t>1</m:t>
                    </m:r>
                  </m:sub>
                </m:sSub>
              </m:oMath>
            </m:oMathPara>
          </w:p>
        </w:tc>
        <w:tc>
          <w:tcPr>
            <w:tcW w:w="1052" w:type="dxa"/>
          </w:tcPr>
          <w:p w14:paraId="7631DA97" w14:textId="77777777" w:rsidR="00CD39BA" w:rsidRPr="001B794E" w:rsidRDefault="00CD39BA" w:rsidP="00CD39BA">
            <w:pPr>
              <w:jc w:val="center"/>
              <w:rPr>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T</m:t>
                    </m:r>
                  </m:e>
                  <m:sub>
                    <m:r>
                      <w:rPr>
                        <w:rFonts w:ascii="Cambria Math" w:hAnsi="Cambria Math"/>
                        <w:color w:val="000000" w:themeColor="text1"/>
                      </w:rPr>
                      <m:t>cr</m:t>
                    </m:r>
                  </m:sub>
                </m:sSub>
              </m:oMath>
            </m:oMathPara>
          </w:p>
        </w:tc>
        <w:tc>
          <w:tcPr>
            <w:tcW w:w="3205" w:type="dxa"/>
          </w:tcPr>
          <w:p w14:paraId="719BD3F4" w14:textId="77777777" w:rsidR="00CD39BA" w:rsidRPr="001B794E" w:rsidRDefault="00CD39BA" w:rsidP="00CD39BA">
            <w:pPr>
              <w:jc w:val="center"/>
              <w:rPr>
                <w:color w:val="000000" w:themeColor="text1"/>
              </w:rPr>
            </w:pPr>
            <w:proofErr w:type="spellStart"/>
            <w:r>
              <w:rPr>
                <w:color w:val="000000" w:themeColor="text1"/>
              </w:rPr>
              <w:t>Eqn</w:t>
            </w:r>
            <w:proofErr w:type="spellEnd"/>
            <w:r>
              <w:rPr>
                <w:color w:val="000000" w:themeColor="text1"/>
              </w:rPr>
              <w:t xml:space="preserve"> 13.63</w:t>
            </w:r>
          </w:p>
        </w:tc>
      </w:tr>
      <w:tr w:rsidR="00CD39BA" w14:paraId="45DEB4A1" w14:textId="77777777" w:rsidTr="00CD39BA">
        <w:trPr>
          <w:jc w:val="center"/>
        </w:trPr>
        <w:tc>
          <w:tcPr>
            <w:tcW w:w="1126" w:type="dxa"/>
          </w:tcPr>
          <w:p w14:paraId="02802D4A" w14:textId="77777777" w:rsidR="00CD39BA" w:rsidRPr="001B794E" w:rsidRDefault="00CD39BA" w:rsidP="00CD39BA">
            <w:pPr>
              <w:jc w:val="center"/>
              <w:rPr>
                <w:color w:val="000000" w:themeColor="text1"/>
              </w:rPr>
            </w:pPr>
            <w:r>
              <w:rPr>
                <w:color w:val="000000" w:themeColor="text1"/>
              </w:rPr>
              <w:t>13.65</w:t>
            </w:r>
          </w:p>
        </w:tc>
        <w:tc>
          <w:tcPr>
            <w:tcW w:w="2516" w:type="dxa"/>
          </w:tcPr>
          <w:p w14:paraId="0A561F18" w14:textId="77777777" w:rsidR="00CD39BA" w:rsidRPr="001B794E" w:rsidRDefault="00CD39BA" w:rsidP="00CD39BA">
            <w:pPr>
              <w:jc w:val="center"/>
              <w:rPr>
                <w:color w:val="000000" w:themeColor="text1"/>
              </w:rPr>
            </w:pPr>
            <m:oMathPara>
              <m:oMath>
                <m:sSub>
                  <m:sSubPr>
                    <m:ctrlPr>
                      <w:rPr>
                        <w:rFonts w:ascii="Cambria Math" w:hAnsi="Cambria Math"/>
                        <w:b/>
                        <w:i/>
                        <w:color w:val="000000" w:themeColor="text1"/>
                      </w:rPr>
                    </m:ctrlPr>
                  </m:sSubPr>
                  <m:e>
                    <m:r>
                      <m:rPr>
                        <m:sty m:val="bi"/>
                      </m:rPr>
                      <w:rPr>
                        <w:rFonts w:ascii="Cambria Math" w:hAnsi="Cambria Math"/>
                        <w:color w:val="000000" w:themeColor="text1"/>
                      </w:rPr>
                      <m:t>q</m:t>
                    </m:r>
                  </m:e>
                  <m:sub>
                    <m:r>
                      <m:rPr>
                        <m:sty m:val="bi"/>
                      </m:rPr>
                      <w:rPr>
                        <w:rFonts w:ascii="Cambria Math" w:hAnsi="Cambria Math"/>
                        <w:color w:val="000000" w:themeColor="text1"/>
                      </w:rPr>
                      <m:t>R</m:t>
                    </m:r>
                  </m:sub>
                </m:sSub>
                <m:r>
                  <w:rPr>
                    <w:rFonts w:ascii="Cambria Math" w:hAnsi="Cambria Math"/>
                    <w:color w:val="000000" w:themeColor="text1"/>
                  </w:rPr>
                  <m:t xml:space="preserve">, </m:t>
                </m:r>
                <m:sSub>
                  <m:sSubPr>
                    <m:ctrlPr>
                      <w:rPr>
                        <w:rFonts w:ascii="Cambria Math" w:hAnsi="Cambria Math"/>
                        <w:i/>
                        <w:color w:val="000000" w:themeColor="text1"/>
                      </w:rPr>
                    </m:ctrlPr>
                  </m:sSubPr>
                  <m:e>
                    <m:r>
                      <w:rPr>
                        <w:rFonts w:ascii="Cambria Math" w:hAnsi="Cambria Math"/>
                        <w:color w:val="000000" w:themeColor="text1"/>
                      </w:rPr>
                      <m:t>q</m:t>
                    </m:r>
                  </m:e>
                  <m:sub>
                    <m:r>
                      <w:rPr>
                        <w:rFonts w:ascii="Cambria Math" w:hAnsi="Cambria Math"/>
                        <w:color w:val="000000" w:themeColor="text1"/>
                      </w:rPr>
                      <m:t>max</m:t>
                    </m:r>
                  </m:sub>
                </m:sSub>
              </m:oMath>
            </m:oMathPara>
          </w:p>
        </w:tc>
        <w:tc>
          <w:tcPr>
            <w:tcW w:w="1052" w:type="dxa"/>
          </w:tcPr>
          <w:p w14:paraId="24F39077" w14:textId="77777777" w:rsidR="00CD39BA" w:rsidRPr="001B794E" w:rsidRDefault="00CD39BA" w:rsidP="00CD39BA">
            <w:pPr>
              <w:jc w:val="center"/>
              <w:rPr>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A</m:t>
                    </m:r>
                  </m:e>
                  <m:sub>
                    <m:r>
                      <w:rPr>
                        <w:rFonts w:ascii="Cambria Math" w:hAnsi="Cambria Math"/>
                        <w:color w:val="000000" w:themeColor="text1"/>
                      </w:rPr>
                      <m:t>R</m:t>
                    </m:r>
                  </m:sub>
                </m:sSub>
              </m:oMath>
            </m:oMathPara>
          </w:p>
        </w:tc>
        <w:tc>
          <w:tcPr>
            <w:tcW w:w="3205" w:type="dxa"/>
          </w:tcPr>
          <w:p w14:paraId="2EF9F2A7" w14:textId="77777777" w:rsidR="00CD39BA" w:rsidRPr="001B794E" w:rsidRDefault="00CD39BA" w:rsidP="00CD39BA">
            <w:pPr>
              <w:jc w:val="center"/>
              <w:rPr>
                <w:color w:val="000000" w:themeColor="text1"/>
              </w:rPr>
            </w:pPr>
            <w:proofErr w:type="spellStart"/>
            <w:r>
              <w:rPr>
                <w:color w:val="000000" w:themeColor="text1"/>
              </w:rPr>
              <w:t>Eqn</w:t>
            </w:r>
            <w:proofErr w:type="spellEnd"/>
            <w:r>
              <w:rPr>
                <w:color w:val="000000" w:themeColor="text1"/>
              </w:rPr>
              <w:t xml:space="preserve"> 13.66</w:t>
            </w:r>
          </w:p>
        </w:tc>
      </w:tr>
      <w:tr w:rsidR="00CD39BA" w14:paraId="3B0C96C0" w14:textId="77777777" w:rsidTr="00CD39BA">
        <w:trPr>
          <w:jc w:val="center"/>
        </w:trPr>
        <w:tc>
          <w:tcPr>
            <w:tcW w:w="1126" w:type="dxa"/>
          </w:tcPr>
          <w:p w14:paraId="0BC454AA" w14:textId="77777777" w:rsidR="00CD39BA" w:rsidRPr="001B794E" w:rsidRDefault="00CD39BA" w:rsidP="00CD39BA">
            <w:pPr>
              <w:jc w:val="center"/>
              <w:rPr>
                <w:color w:val="000000" w:themeColor="text1"/>
              </w:rPr>
            </w:pPr>
            <w:r>
              <w:rPr>
                <w:color w:val="000000" w:themeColor="text1"/>
              </w:rPr>
              <w:t>13.66</w:t>
            </w:r>
          </w:p>
        </w:tc>
        <w:tc>
          <w:tcPr>
            <w:tcW w:w="2516" w:type="dxa"/>
          </w:tcPr>
          <w:p w14:paraId="05F0BEE0" w14:textId="77777777" w:rsidR="00CD39BA" w:rsidRPr="000527C8" w:rsidRDefault="00CD39BA" w:rsidP="00CD39BA">
            <w:pPr>
              <w:jc w:val="center"/>
              <w:rPr>
                <w:b/>
                <w:color w:val="000000" w:themeColor="text1"/>
              </w:rPr>
            </w:pPr>
            <m:oMathPara>
              <m:oMath>
                <m:sSub>
                  <m:sSubPr>
                    <m:ctrlPr>
                      <w:rPr>
                        <w:rFonts w:ascii="Cambria Math" w:hAnsi="Cambria Math"/>
                        <w:b/>
                        <w:i/>
                        <w:color w:val="000000" w:themeColor="text1"/>
                      </w:rPr>
                    </m:ctrlPr>
                  </m:sSubPr>
                  <m:e>
                    <m:r>
                      <m:rPr>
                        <m:sty m:val="bi"/>
                      </m:rPr>
                      <w:rPr>
                        <w:rFonts w:ascii="Cambria Math" w:hAnsi="Cambria Math"/>
                        <w:color w:val="000000" w:themeColor="text1"/>
                      </w:rPr>
                      <m:t>A</m:t>
                    </m:r>
                  </m:e>
                  <m:sub>
                    <m:r>
                      <m:rPr>
                        <m:sty m:val="bi"/>
                      </m:rPr>
                      <w:rPr>
                        <w:rFonts w:ascii="Cambria Math" w:hAnsi="Cambria Math"/>
                        <w:color w:val="000000" w:themeColor="text1"/>
                      </w:rPr>
                      <m:t>R</m:t>
                    </m:r>
                  </m:sub>
                </m:sSub>
              </m:oMath>
            </m:oMathPara>
          </w:p>
        </w:tc>
        <w:tc>
          <w:tcPr>
            <w:tcW w:w="1052" w:type="dxa"/>
          </w:tcPr>
          <w:p w14:paraId="7FD744EE" w14:textId="77777777" w:rsidR="00CD39BA" w:rsidRPr="001B794E" w:rsidRDefault="00CD39BA" w:rsidP="00CD39BA">
            <w:pPr>
              <w:jc w:val="center"/>
              <w:rPr>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A</m:t>
                    </m:r>
                  </m:e>
                  <m:sub>
                    <m:r>
                      <w:rPr>
                        <w:rFonts w:ascii="Cambria Math" w:hAnsi="Cambria Math"/>
                        <w:color w:val="000000" w:themeColor="text1"/>
                      </w:rPr>
                      <m:t>tot</m:t>
                    </m:r>
                  </m:sub>
                </m:sSub>
              </m:oMath>
            </m:oMathPara>
          </w:p>
        </w:tc>
        <w:tc>
          <w:tcPr>
            <w:tcW w:w="3205" w:type="dxa"/>
          </w:tcPr>
          <w:p w14:paraId="007C4917" w14:textId="77777777" w:rsidR="00CD39BA" w:rsidRPr="001B794E" w:rsidRDefault="00CD39BA" w:rsidP="00CD39BA">
            <w:pPr>
              <w:jc w:val="center"/>
              <w:rPr>
                <w:color w:val="000000" w:themeColor="text1"/>
              </w:rPr>
            </w:pPr>
          </w:p>
        </w:tc>
      </w:tr>
      <w:tr w:rsidR="00CD39BA" w14:paraId="116B4014" w14:textId="77777777" w:rsidTr="00CD39BA">
        <w:trPr>
          <w:jc w:val="center"/>
        </w:trPr>
        <w:tc>
          <w:tcPr>
            <w:tcW w:w="1126" w:type="dxa"/>
          </w:tcPr>
          <w:p w14:paraId="6D0021B5" w14:textId="77777777" w:rsidR="00CD39BA" w:rsidRPr="001B794E" w:rsidRDefault="00CD39BA" w:rsidP="00CD39BA">
            <w:pPr>
              <w:jc w:val="center"/>
              <w:rPr>
                <w:color w:val="000000" w:themeColor="text1"/>
              </w:rPr>
            </w:pPr>
            <w:r>
              <w:rPr>
                <w:color w:val="000000" w:themeColor="text1"/>
              </w:rPr>
              <w:t>13.67</w:t>
            </w:r>
          </w:p>
        </w:tc>
        <w:tc>
          <w:tcPr>
            <w:tcW w:w="2516" w:type="dxa"/>
          </w:tcPr>
          <w:p w14:paraId="391A1FE1" w14:textId="77777777" w:rsidR="00CD39BA" w:rsidRPr="001B794E" w:rsidRDefault="00CD39BA" w:rsidP="00CD39BA">
            <w:pPr>
              <w:jc w:val="center"/>
              <w:rPr>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L</m:t>
                    </m:r>
                  </m:e>
                  <m:sub>
                    <m:r>
                      <w:rPr>
                        <w:rFonts w:ascii="Cambria Math" w:hAnsi="Cambria Math"/>
                        <w:color w:val="000000" w:themeColor="text1"/>
                      </w:rPr>
                      <m:t>he</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D</m:t>
                    </m:r>
                  </m:e>
                  <m:sub>
                    <m:r>
                      <w:rPr>
                        <w:rFonts w:ascii="Cambria Math" w:hAnsi="Cambria Math"/>
                        <w:color w:val="000000" w:themeColor="text1"/>
                      </w:rPr>
                      <m:t>he</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N</m:t>
                    </m:r>
                  </m:e>
                  <m:sub>
                    <m:r>
                      <w:rPr>
                        <w:rFonts w:ascii="Cambria Math" w:hAnsi="Cambria Math"/>
                        <w:color w:val="000000" w:themeColor="text1"/>
                      </w:rPr>
                      <m:t>st</m:t>
                    </m:r>
                  </m:sub>
                </m:sSub>
              </m:oMath>
            </m:oMathPara>
          </w:p>
        </w:tc>
        <w:tc>
          <w:tcPr>
            <w:tcW w:w="1052" w:type="dxa"/>
          </w:tcPr>
          <w:p w14:paraId="3A45CFC8" w14:textId="77777777" w:rsidR="00CD39BA" w:rsidRPr="001B794E" w:rsidRDefault="00CD39BA" w:rsidP="00CD39BA">
            <w:pPr>
              <w:jc w:val="center"/>
              <w:rPr>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A</m:t>
                    </m:r>
                  </m:e>
                  <m:sub>
                    <m:r>
                      <w:rPr>
                        <w:rFonts w:ascii="Cambria Math" w:hAnsi="Cambria Math"/>
                        <w:color w:val="000000" w:themeColor="text1"/>
                      </w:rPr>
                      <m:t>c,pl</m:t>
                    </m:r>
                  </m:sub>
                </m:sSub>
              </m:oMath>
            </m:oMathPara>
          </w:p>
        </w:tc>
        <w:tc>
          <w:tcPr>
            <w:tcW w:w="3205" w:type="dxa"/>
          </w:tcPr>
          <w:p w14:paraId="23410BB7" w14:textId="77777777" w:rsidR="00CD39BA" w:rsidRPr="001B794E" w:rsidRDefault="00CD39BA" w:rsidP="00CD39BA">
            <w:pPr>
              <w:jc w:val="center"/>
              <w:rPr>
                <w:color w:val="000000" w:themeColor="text1"/>
              </w:rPr>
            </w:pPr>
            <w:proofErr w:type="spellStart"/>
            <w:r>
              <w:rPr>
                <w:color w:val="000000" w:themeColor="text1"/>
              </w:rPr>
              <w:t>Eqn</w:t>
            </w:r>
            <w:proofErr w:type="spellEnd"/>
            <w:r>
              <w:rPr>
                <w:color w:val="000000" w:themeColor="text1"/>
              </w:rPr>
              <w:t xml:space="preserve"> 13.70, </w:t>
            </w:r>
            <w:proofErr w:type="spellStart"/>
            <w:r>
              <w:rPr>
                <w:color w:val="000000" w:themeColor="text1"/>
              </w:rPr>
              <w:t>Eqn</w:t>
            </w:r>
            <w:proofErr w:type="spellEnd"/>
            <w:r>
              <w:rPr>
                <w:color w:val="000000" w:themeColor="text1"/>
              </w:rPr>
              <w:t xml:space="preserve"> 13.73</w:t>
            </w:r>
          </w:p>
        </w:tc>
      </w:tr>
      <w:tr w:rsidR="00CD39BA" w14:paraId="68590E77" w14:textId="77777777" w:rsidTr="00CD39BA">
        <w:trPr>
          <w:jc w:val="center"/>
        </w:trPr>
        <w:tc>
          <w:tcPr>
            <w:tcW w:w="1126" w:type="dxa"/>
          </w:tcPr>
          <w:p w14:paraId="5A85F583" w14:textId="77777777" w:rsidR="00CD39BA" w:rsidRPr="001B794E" w:rsidRDefault="00CD39BA" w:rsidP="00CD39BA">
            <w:pPr>
              <w:jc w:val="center"/>
              <w:rPr>
                <w:color w:val="000000" w:themeColor="text1"/>
              </w:rPr>
            </w:pPr>
            <w:r>
              <w:rPr>
                <w:color w:val="000000" w:themeColor="text1"/>
              </w:rPr>
              <w:t>13.68</w:t>
            </w:r>
          </w:p>
        </w:tc>
        <w:tc>
          <w:tcPr>
            <w:tcW w:w="2516" w:type="dxa"/>
          </w:tcPr>
          <w:p w14:paraId="60288FE9" w14:textId="77777777" w:rsidR="00CD39BA" w:rsidRPr="001B794E" w:rsidRDefault="00CD39BA" w:rsidP="00CD39BA">
            <w:pPr>
              <w:jc w:val="center"/>
              <w:rPr>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L</m:t>
                    </m:r>
                  </m:e>
                  <m:sub>
                    <m:r>
                      <w:rPr>
                        <w:rFonts w:ascii="Cambria Math" w:hAnsi="Cambria Math"/>
                        <w:color w:val="000000" w:themeColor="text1"/>
                      </w:rPr>
                      <m:t>he</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N</m:t>
                    </m:r>
                  </m:e>
                  <m:sub>
                    <m:r>
                      <w:rPr>
                        <w:rFonts w:ascii="Cambria Math" w:hAnsi="Cambria Math"/>
                        <w:color w:val="000000" w:themeColor="text1"/>
                      </w:rPr>
                      <m:t>tu</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N</m:t>
                    </m:r>
                  </m:e>
                  <m:sub>
                    <m:r>
                      <w:rPr>
                        <w:rFonts w:ascii="Cambria Math" w:hAnsi="Cambria Math"/>
                        <w:color w:val="000000" w:themeColor="text1"/>
                      </w:rPr>
                      <m:t>st</m:t>
                    </m:r>
                  </m:sub>
                </m:sSub>
              </m:oMath>
            </m:oMathPara>
          </w:p>
        </w:tc>
        <w:tc>
          <w:tcPr>
            <w:tcW w:w="1052" w:type="dxa"/>
          </w:tcPr>
          <w:p w14:paraId="0F25B803" w14:textId="77777777" w:rsidR="00CD39BA" w:rsidRPr="001B794E" w:rsidRDefault="00CD39BA" w:rsidP="00CD39BA">
            <w:pPr>
              <w:jc w:val="center"/>
              <w:rPr>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A</m:t>
                    </m:r>
                  </m:e>
                  <m:sub>
                    <m:r>
                      <w:rPr>
                        <w:rFonts w:ascii="Cambria Math" w:hAnsi="Cambria Math"/>
                        <w:color w:val="000000" w:themeColor="text1"/>
                      </w:rPr>
                      <m:t>ct</m:t>
                    </m:r>
                  </m:sub>
                </m:sSub>
              </m:oMath>
            </m:oMathPara>
          </w:p>
        </w:tc>
        <w:tc>
          <w:tcPr>
            <w:tcW w:w="3205" w:type="dxa"/>
          </w:tcPr>
          <w:p w14:paraId="351100D0" w14:textId="77777777" w:rsidR="00CD39BA" w:rsidRPr="001B794E" w:rsidRDefault="00CD39BA" w:rsidP="00CD39BA">
            <w:pPr>
              <w:jc w:val="center"/>
              <w:rPr>
                <w:color w:val="000000" w:themeColor="text1"/>
              </w:rPr>
            </w:pPr>
          </w:p>
        </w:tc>
      </w:tr>
      <w:tr w:rsidR="00CD39BA" w14:paraId="6315390A" w14:textId="77777777" w:rsidTr="00CD39BA">
        <w:trPr>
          <w:jc w:val="center"/>
        </w:trPr>
        <w:tc>
          <w:tcPr>
            <w:tcW w:w="1126" w:type="dxa"/>
          </w:tcPr>
          <w:p w14:paraId="3B8CE271" w14:textId="77777777" w:rsidR="00CD39BA" w:rsidRPr="001B794E" w:rsidRDefault="00CD39BA" w:rsidP="00CD39BA">
            <w:pPr>
              <w:jc w:val="center"/>
              <w:rPr>
                <w:color w:val="000000" w:themeColor="text1"/>
              </w:rPr>
            </w:pPr>
            <w:r>
              <w:rPr>
                <w:color w:val="000000" w:themeColor="text1"/>
              </w:rPr>
              <w:t>13.69</w:t>
            </w:r>
          </w:p>
        </w:tc>
        <w:tc>
          <w:tcPr>
            <w:tcW w:w="2516" w:type="dxa"/>
          </w:tcPr>
          <w:p w14:paraId="26D7E284" w14:textId="77777777" w:rsidR="00CD39BA" w:rsidRPr="001B794E" w:rsidRDefault="00CD39BA" w:rsidP="00CD39BA">
            <w:pPr>
              <w:jc w:val="center"/>
              <w:rPr>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W</m:t>
                    </m:r>
                  </m:e>
                  <m:sub>
                    <m:r>
                      <w:rPr>
                        <w:rFonts w:ascii="Cambria Math" w:hAnsi="Cambria Math"/>
                        <w:color w:val="000000" w:themeColor="text1"/>
                      </w:rPr>
                      <m:t>he</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L</m:t>
                    </m:r>
                  </m:e>
                  <m:sub>
                    <m:r>
                      <w:rPr>
                        <w:rFonts w:ascii="Cambria Math" w:hAnsi="Cambria Math"/>
                        <w:color w:val="000000" w:themeColor="text1"/>
                      </w:rPr>
                      <m:t>he,ht</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L</m:t>
                    </m:r>
                  </m:e>
                  <m:sub>
                    <m:r>
                      <w:rPr>
                        <w:rFonts w:ascii="Cambria Math" w:hAnsi="Cambria Math"/>
                        <w:color w:val="000000" w:themeColor="text1"/>
                      </w:rPr>
                      <m:t>he</m:t>
                    </m:r>
                  </m:sub>
                </m:sSub>
              </m:oMath>
            </m:oMathPara>
          </w:p>
        </w:tc>
        <w:tc>
          <w:tcPr>
            <w:tcW w:w="1052" w:type="dxa"/>
          </w:tcPr>
          <w:p w14:paraId="4319B726" w14:textId="77777777" w:rsidR="00CD39BA" w:rsidRPr="001B794E" w:rsidRDefault="00CD39BA" w:rsidP="00CD39BA">
            <w:pPr>
              <w:jc w:val="center"/>
              <w:rPr>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A</m:t>
                    </m:r>
                  </m:e>
                  <m:sub>
                    <m:r>
                      <w:rPr>
                        <w:rFonts w:ascii="Cambria Math" w:hAnsi="Cambria Math"/>
                        <w:color w:val="000000" w:themeColor="text1"/>
                      </w:rPr>
                      <m:t>en</m:t>
                    </m:r>
                  </m:sub>
                </m:sSub>
              </m:oMath>
            </m:oMathPara>
          </w:p>
        </w:tc>
        <w:tc>
          <w:tcPr>
            <w:tcW w:w="3205" w:type="dxa"/>
          </w:tcPr>
          <w:p w14:paraId="4C93F470" w14:textId="77777777" w:rsidR="00CD39BA" w:rsidRPr="001B794E" w:rsidRDefault="00CD39BA" w:rsidP="00CD39BA">
            <w:pPr>
              <w:jc w:val="center"/>
              <w:rPr>
                <w:color w:val="000000" w:themeColor="text1"/>
              </w:rPr>
            </w:pPr>
            <w:proofErr w:type="spellStart"/>
            <w:r>
              <w:rPr>
                <w:color w:val="000000" w:themeColor="text1"/>
              </w:rPr>
              <w:t>Eqn</w:t>
            </w:r>
            <w:proofErr w:type="spellEnd"/>
            <w:r>
              <w:rPr>
                <w:color w:val="000000" w:themeColor="text1"/>
              </w:rPr>
              <w:t xml:space="preserve"> 13.70</w:t>
            </w:r>
          </w:p>
        </w:tc>
      </w:tr>
      <w:tr w:rsidR="00CD39BA" w14:paraId="06B458D4" w14:textId="77777777" w:rsidTr="00CD39BA">
        <w:trPr>
          <w:jc w:val="center"/>
        </w:trPr>
        <w:tc>
          <w:tcPr>
            <w:tcW w:w="1126" w:type="dxa"/>
          </w:tcPr>
          <w:p w14:paraId="403A11FE" w14:textId="77777777" w:rsidR="00CD39BA" w:rsidRPr="001B794E" w:rsidRDefault="00CD39BA" w:rsidP="00CD39BA">
            <w:pPr>
              <w:jc w:val="center"/>
              <w:rPr>
                <w:color w:val="000000" w:themeColor="text1"/>
              </w:rPr>
            </w:pPr>
            <w:r>
              <w:rPr>
                <w:color w:val="000000" w:themeColor="text1"/>
              </w:rPr>
              <w:t>13.70</w:t>
            </w:r>
          </w:p>
        </w:tc>
        <w:tc>
          <w:tcPr>
            <w:tcW w:w="2516" w:type="dxa"/>
          </w:tcPr>
          <w:p w14:paraId="0ED1238E" w14:textId="77777777" w:rsidR="00CD39BA" w:rsidRPr="000527C8" w:rsidRDefault="00CD39BA" w:rsidP="00CD39BA">
            <w:pPr>
              <w:jc w:val="center"/>
              <w:rPr>
                <w:b/>
                <w:color w:val="000000" w:themeColor="text1"/>
              </w:rPr>
            </w:pPr>
            <m:oMathPara>
              <m:oMath>
                <m:sSub>
                  <m:sSubPr>
                    <m:ctrlPr>
                      <w:rPr>
                        <w:rFonts w:ascii="Cambria Math" w:hAnsi="Cambria Math"/>
                        <w:b/>
                        <w:i/>
                        <w:color w:val="000000" w:themeColor="text1"/>
                      </w:rPr>
                    </m:ctrlPr>
                  </m:sSubPr>
                  <m:e>
                    <m:r>
                      <m:rPr>
                        <m:sty m:val="bi"/>
                      </m:rPr>
                      <w:rPr>
                        <w:rFonts w:ascii="Cambria Math" w:hAnsi="Cambria Math"/>
                        <w:color w:val="000000" w:themeColor="text1"/>
                      </w:rPr>
                      <m:t>A</m:t>
                    </m:r>
                  </m:e>
                  <m:sub>
                    <m:r>
                      <m:rPr>
                        <m:sty m:val="bi"/>
                      </m:rPr>
                      <w:rPr>
                        <w:rFonts w:ascii="Cambria Math" w:hAnsi="Cambria Math"/>
                        <w:color w:val="000000" w:themeColor="text1"/>
                      </w:rPr>
                      <m:t>c,pl</m:t>
                    </m:r>
                  </m:sub>
                </m:sSub>
                <m:r>
                  <m:rPr>
                    <m:sty m:val="bi"/>
                  </m:rPr>
                  <w:rPr>
                    <w:rFonts w:ascii="Cambria Math" w:hAnsi="Cambria Math"/>
                    <w:color w:val="000000" w:themeColor="text1"/>
                  </w:rPr>
                  <m:t>,</m:t>
                </m:r>
                <m:sSub>
                  <m:sSubPr>
                    <m:ctrlPr>
                      <w:rPr>
                        <w:rFonts w:ascii="Cambria Math" w:hAnsi="Cambria Math"/>
                        <w:b/>
                        <w:i/>
                        <w:color w:val="000000" w:themeColor="text1"/>
                      </w:rPr>
                    </m:ctrlPr>
                  </m:sSubPr>
                  <m:e>
                    <m:r>
                      <m:rPr>
                        <m:sty m:val="bi"/>
                      </m:rPr>
                      <w:rPr>
                        <w:rFonts w:ascii="Cambria Math" w:hAnsi="Cambria Math"/>
                        <w:color w:val="000000" w:themeColor="text1"/>
                      </w:rPr>
                      <m:t>A</m:t>
                    </m:r>
                  </m:e>
                  <m:sub>
                    <m:r>
                      <m:rPr>
                        <m:sty m:val="bi"/>
                      </m:rPr>
                      <w:rPr>
                        <w:rFonts w:ascii="Cambria Math" w:hAnsi="Cambria Math"/>
                        <w:color w:val="000000" w:themeColor="text1"/>
                      </w:rPr>
                      <m:t>en</m:t>
                    </m:r>
                  </m:sub>
                </m:sSub>
              </m:oMath>
            </m:oMathPara>
          </w:p>
        </w:tc>
        <w:tc>
          <w:tcPr>
            <w:tcW w:w="1052" w:type="dxa"/>
          </w:tcPr>
          <w:p w14:paraId="084DAFBE" w14:textId="77777777" w:rsidR="00CD39BA" w:rsidRPr="001B794E" w:rsidRDefault="00CD39BA" w:rsidP="00CD39BA">
            <w:pPr>
              <w:jc w:val="center"/>
              <w:rPr>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A</m:t>
                    </m:r>
                  </m:e>
                  <m:sub>
                    <m:r>
                      <w:rPr>
                        <w:rFonts w:ascii="Cambria Math" w:hAnsi="Cambria Math"/>
                        <w:color w:val="000000" w:themeColor="text1"/>
                      </w:rPr>
                      <m:t>R</m:t>
                    </m:r>
                  </m:sub>
                </m:sSub>
              </m:oMath>
            </m:oMathPara>
          </w:p>
        </w:tc>
        <w:tc>
          <w:tcPr>
            <w:tcW w:w="3205" w:type="dxa"/>
          </w:tcPr>
          <w:p w14:paraId="275BC57F" w14:textId="77777777" w:rsidR="00CD39BA" w:rsidRPr="001B794E" w:rsidRDefault="00CD39BA" w:rsidP="00CD39BA">
            <w:pPr>
              <w:jc w:val="center"/>
              <w:rPr>
                <w:color w:val="000000" w:themeColor="text1"/>
              </w:rPr>
            </w:pPr>
          </w:p>
        </w:tc>
      </w:tr>
      <w:tr w:rsidR="00CD39BA" w14:paraId="035CC842" w14:textId="77777777" w:rsidTr="00CD39BA">
        <w:trPr>
          <w:jc w:val="center"/>
        </w:trPr>
        <w:tc>
          <w:tcPr>
            <w:tcW w:w="1126" w:type="dxa"/>
          </w:tcPr>
          <w:p w14:paraId="4FC07FA0" w14:textId="77777777" w:rsidR="00CD39BA" w:rsidRPr="001B794E" w:rsidRDefault="00CD39BA" w:rsidP="00CD39BA">
            <w:pPr>
              <w:jc w:val="center"/>
              <w:rPr>
                <w:color w:val="000000" w:themeColor="text1"/>
              </w:rPr>
            </w:pPr>
            <w:r>
              <w:rPr>
                <w:color w:val="000000" w:themeColor="text1"/>
              </w:rPr>
              <w:t>13.71</w:t>
            </w:r>
          </w:p>
        </w:tc>
        <w:tc>
          <w:tcPr>
            <w:tcW w:w="2516" w:type="dxa"/>
          </w:tcPr>
          <w:p w14:paraId="26ED0953" w14:textId="77777777" w:rsidR="00CD39BA" w:rsidRPr="001B794E" w:rsidRDefault="00CD39BA" w:rsidP="00CD39BA">
            <w:pPr>
              <w:jc w:val="center"/>
              <w:rPr>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W</m:t>
                    </m:r>
                  </m:e>
                  <m:sub>
                    <m:r>
                      <w:rPr>
                        <w:rFonts w:ascii="Cambria Math" w:hAnsi="Cambria Math"/>
                        <w:color w:val="000000" w:themeColor="text1"/>
                      </w:rPr>
                      <m:t>he</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L</m:t>
                    </m:r>
                  </m:e>
                  <m:sub>
                    <m:r>
                      <w:rPr>
                        <w:rFonts w:ascii="Cambria Math" w:hAnsi="Cambria Math"/>
                        <w:color w:val="000000" w:themeColor="text1"/>
                      </w:rPr>
                      <m:t>he,ht</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L</m:t>
                    </m:r>
                  </m:e>
                  <m:sub>
                    <m:r>
                      <w:rPr>
                        <w:rFonts w:ascii="Cambria Math" w:hAnsi="Cambria Math"/>
                        <w:color w:val="000000" w:themeColor="text1"/>
                      </w:rPr>
                      <m:t>he</m:t>
                    </m:r>
                  </m:sub>
                </m:sSub>
              </m:oMath>
            </m:oMathPara>
          </w:p>
        </w:tc>
        <w:tc>
          <w:tcPr>
            <w:tcW w:w="1052" w:type="dxa"/>
          </w:tcPr>
          <w:p w14:paraId="6E8B73B7" w14:textId="77777777" w:rsidR="00CD39BA" w:rsidRPr="001B794E" w:rsidRDefault="00CD39BA" w:rsidP="00CD39BA">
            <w:pPr>
              <w:jc w:val="center"/>
              <w:rPr>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V</m:t>
                    </m:r>
                  </m:e>
                  <m:sub>
                    <m:r>
                      <w:rPr>
                        <w:rFonts w:ascii="Cambria Math" w:hAnsi="Cambria Math"/>
                        <w:color w:val="000000" w:themeColor="text1"/>
                      </w:rPr>
                      <m:t>fr</m:t>
                    </m:r>
                  </m:sub>
                </m:sSub>
              </m:oMath>
            </m:oMathPara>
          </w:p>
        </w:tc>
        <w:tc>
          <w:tcPr>
            <w:tcW w:w="3205" w:type="dxa"/>
          </w:tcPr>
          <w:p w14:paraId="76E32704" w14:textId="77777777" w:rsidR="00CD39BA" w:rsidRPr="001B794E" w:rsidRDefault="00CD39BA" w:rsidP="00CD39BA">
            <w:pPr>
              <w:jc w:val="center"/>
              <w:rPr>
                <w:color w:val="000000" w:themeColor="text1"/>
              </w:rPr>
            </w:pPr>
            <w:proofErr w:type="spellStart"/>
            <w:r>
              <w:rPr>
                <w:color w:val="000000" w:themeColor="text1"/>
              </w:rPr>
              <w:t>Eqn</w:t>
            </w:r>
            <w:proofErr w:type="spellEnd"/>
            <w:r>
              <w:rPr>
                <w:color w:val="000000" w:themeColor="text1"/>
              </w:rPr>
              <w:t xml:space="preserve"> 13.72</w:t>
            </w:r>
          </w:p>
        </w:tc>
      </w:tr>
      <w:tr w:rsidR="00CD39BA" w14:paraId="06A6C76B" w14:textId="77777777" w:rsidTr="00CD39BA">
        <w:trPr>
          <w:jc w:val="center"/>
        </w:trPr>
        <w:tc>
          <w:tcPr>
            <w:tcW w:w="1126" w:type="dxa"/>
          </w:tcPr>
          <w:p w14:paraId="197B2C93" w14:textId="77777777" w:rsidR="00CD39BA" w:rsidRPr="001B794E" w:rsidRDefault="00CD39BA" w:rsidP="00CD39BA">
            <w:pPr>
              <w:jc w:val="center"/>
              <w:rPr>
                <w:color w:val="000000" w:themeColor="text1"/>
              </w:rPr>
            </w:pPr>
            <w:r>
              <w:rPr>
                <w:color w:val="000000" w:themeColor="text1"/>
              </w:rPr>
              <w:t>13.72</w:t>
            </w:r>
          </w:p>
        </w:tc>
        <w:tc>
          <w:tcPr>
            <w:tcW w:w="2516" w:type="dxa"/>
          </w:tcPr>
          <w:p w14:paraId="2569B768" w14:textId="77777777" w:rsidR="00CD39BA" w:rsidRPr="001B794E" w:rsidRDefault="00CD39BA" w:rsidP="00CD39BA">
            <w:pPr>
              <w:jc w:val="center"/>
              <w:rPr>
                <w:color w:val="000000" w:themeColor="text1"/>
              </w:rPr>
            </w:pPr>
            <m:oMathPara>
              <m:oMath>
                <m:sSub>
                  <m:sSubPr>
                    <m:ctrlPr>
                      <w:rPr>
                        <w:rFonts w:ascii="Cambria Math" w:hAnsi="Cambria Math"/>
                        <w:b/>
                        <w:i/>
                        <w:color w:val="000000" w:themeColor="text1"/>
                      </w:rPr>
                    </m:ctrlPr>
                  </m:sSubPr>
                  <m:e>
                    <m:r>
                      <m:rPr>
                        <m:sty m:val="bi"/>
                      </m:rPr>
                      <w:rPr>
                        <w:rFonts w:ascii="Cambria Math" w:hAnsi="Cambria Math"/>
                        <w:color w:val="000000" w:themeColor="text1"/>
                      </w:rPr>
                      <m:t>V</m:t>
                    </m:r>
                  </m:e>
                  <m:sub>
                    <m:r>
                      <m:rPr>
                        <m:sty m:val="bi"/>
                      </m:rPr>
                      <w:rPr>
                        <w:rFonts w:ascii="Cambria Math" w:hAnsi="Cambria Math"/>
                        <w:color w:val="000000" w:themeColor="text1"/>
                      </w:rPr>
                      <m:t>fr</m:t>
                    </m:r>
                  </m:sub>
                </m:sSub>
              </m:oMath>
            </m:oMathPara>
          </w:p>
        </w:tc>
        <w:tc>
          <w:tcPr>
            <w:tcW w:w="1052" w:type="dxa"/>
          </w:tcPr>
          <w:p w14:paraId="63ADC681" w14:textId="77777777" w:rsidR="00CD39BA" w:rsidRPr="001B794E" w:rsidRDefault="00CD39BA" w:rsidP="00CD39BA">
            <w:pPr>
              <w:jc w:val="center"/>
              <w:rPr>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L</m:t>
                    </m:r>
                  </m:e>
                  <m:sub>
                    <m:r>
                      <w:rPr>
                        <w:rFonts w:ascii="Cambria Math" w:hAnsi="Cambria Math"/>
                        <w:color w:val="000000" w:themeColor="text1"/>
                      </w:rPr>
                      <m:t>be</m:t>
                    </m:r>
                  </m:sub>
                </m:sSub>
              </m:oMath>
            </m:oMathPara>
          </w:p>
        </w:tc>
        <w:tc>
          <w:tcPr>
            <w:tcW w:w="3205" w:type="dxa"/>
          </w:tcPr>
          <w:p w14:paraId="1CA525C5" w14:textId="77777777" w:rsidR="00CD39BA" w:rsidRPr="001B794E" w:rsidRDefault="00CD39BA" w:rsidP="00CD39BA">
            <w:pPr>
              <w:jc w:val="center"/>
              <w:rPr>
                <w:color w:val="000000" w:themeColor="text1"/>
              </w:rPr>
            </w:pPr>
          </w:p>
        </w:tc>
      </w:tr>
      <w:tr w:rsidR="00CD39BA" w14:paraId="4FBFCFDE" w14:textId="77777777" w:rsidTr="00CD39BA">
        <w:trPr>
          <w:jc w:val="center"/>
        </w:trPr>
        <w:tc>
          <w:tcPr>
            <w:tcW w:w="1126" w:type="dxa"/>
          </w:tcPr>
          <w:p w14:paraId="473D06F9" w14:textId="77777777" w:rsidR="00CD39BA" w:rsidRPr="001B794E" w:rsidRDefault="00CD39BA" w:rsidP="00CD39BA">
            <w:pPr>
              <w:jc w:val="center"/>
              <w:rPr>
                <w:color w:val="000000" w:themeColor="text1"/>
              </w:rPr>
            </w:pPr>
            <w:r>
              <w:rPr>
                <w:color w:val="000000" w:themeColor="text1"/>
              </w:rPr>
              <w:t>13.73</w:t>
            </w:r>
          </w:p>
        </w:tc>
        <w:tc>
          <w:tcPr>
            <w:tcW w:w="2516" w:type="dxa"/>
          </w:tcPr>
          <w:p w14:paraId="0B4153A7" w14:textId="77777777" w:rsidR="00CD39BA" w:rsidRPr="00D35590" w:rsidRDefault="00CD39BA" w:rsidP="00CD39BA">
            <w:pPr>
              <w:jc w:val="center"/>
              <w:rPr>
                <w:color w:val="000000" w:themeColor="text1"/>
              </w:rPr>
            </w:pPr>
            <m:oMathPara>
              <m:oMath>
                <m:sSub>
                  <m:sSubPr>
                    <m:ctrlPr>
                      <w:rPr>
                        <w:rFonts w:ascii="Cambria Math" w:hAnsi="Cambria Math"/>
                        <w:b/>
                        <w:i/>
                        <w:color w:val="000000" w:themeColor="text1"/>
                      </w:rPr>
                    </m:ctrlPr>
                  </m:sSubPr>
                  <m:e>
                    <m:r>
                      <m:rPr>
                        <m:sty m:val="bi"/>
                      </m:rPr>
                      <w:rPr>
                        <w:rFonts w:ascii="Cambria Math" w:hAnsi="Cambria Math"/>
                        <w:color w:val="000000" w:themeColor="text1"/>
                      </w:rPr>
                      <m:t>q</m:t>
                    </m:r>
                  </m:e>
                  <m:sub>
                    <m:r>
                      <m:rPr>
                        <m:sty m:val="bi"/>
                      </m:rPr>
                      <w:rPr>
                        <w:rFonts w:ascii="Cambria Math" w:hAnsi="Cambria Math"/>
                        <w:color w:val="000000" w:themeColor="text1"/>
                      </w:rPr>
                      <m:t>loss,tu</m:t>
                    </m:r>
                  </m:sub>
                </m:sSub>
                <m:r>
                  <m:rPr>
                    <m:sty m:val="bi"/>
                  </m:rPr>
                  <w:rPr>
                    <w:rFonts w:ascii="Cambria Math" w:hAnsi="Cambria Math"/>
                    <w:color w:val="000000" w:themeColor="text1"/>
                  </w:rPr>
                  <m:t>,</m:t>
                </m:r>
                <m:sSub>
                  <m:sSubPr>
                    <m:ctrlPr>
                      <w:rPr>
                        <w:rFonts w:ascii="Cambria Math" w:hAnsi="Cambria Math"/>
                        <w:b/>
                        <w:i/>
                        <w:color w:val="000000" w:themeColor="text1"/>
                      </w:rPr>
                    </m:ctrlPr>
                  </m:sSubPr>
                  <m:e>
                    <m:r>
                      <m:rPr>
                        <m:sty m:val="bi"/>
                      </m:rPr>
                      <w:rPr>
                        <w:rFonts w:ascii="Cambria Math" w:hAnsi="Cambria Math"/>
                        <w:color w:val="000000" w:themeColor="text1"/>
                      </w:rPr>
                      <m:t>q</m:t>
                    </m:r>
                  </m:e>
                  <m:sub>
                    <m:r>
                      <m:rPr>
                        <m:sty m:val="bi"/>
                      </m:rPr>
                      <w:rPr>
                        <w:rFonts w:ascii="Cambria Math" w:hAnsi="Cambria Math"/>
                        <w:color w:val="000000" w:themeColor="text1"/>
                      </w:rPr>
                      <m:t>g</m:t>
                    </m:r>
                  </m:sub>
                </m:sSub>
                <m:r>
                  <w:rPr>
                    <w:rFonts w:ascii="Cambria Math" w:hAnsi="Cambria Math"/>
                    <w:color w:val="000000" w:themeColor="text1"/>
                  </w:rPr>
                  <m:t>,</m:t>
                </m:r>
                <m:sSub>
                  <m:sSubPr>
                    <m:ctrlPr>
                      <w:rPr>
                        <w:rFonts w:ascii="Cambria Math" w:hAnsi="Cambria Math"/>
                        <w:b/>
                        <w:i/>
                        <w:color w:val="000000" w:themeColor="text1"/>
                      </w:rPr>
                    </m:ctrlPr>
                  </m:sSubPr>
                  <m:e>
                    <m:r>
                      <m:rPr>
                        <m:sty m:val="bi"/>
                      </m:rPr>
                      <w:rPr>
                        <w:rFonts w:ascii="Cambria Math" w:hAnsi="Cambria Math"/>
                        <w:color w:val="000000" w:themeColor="text1"/>
                      </w:rPr>
                      <m:t>A</m:t>
                    </m:r>
                  </m:e>
                  <m:sub>
                    <m:r>
                      <m:rPr>
                        <m:sty m:val="bi"/>
                      </m:rPr>
                      <w:rPr>
                        <w:rFonts w:ascii="Cambria Math" w:hAnsi="Cambria Math"/>
                        <w:color w:val="000000" w:themeColor="text1"/>
                      </w:rPr>
                      <m:t>c,pl</m:t>
                    </m:r>
                  </m:sub>
                </m:sSub>
                <m:r>
                  <w:rPr>
                    <w:rFonts w:ascii="Cambria Math" w:hAnsi="Cambria Math"/>
                    <w:color w:val="000000" w:themeColor="text1"/>
                  </w:rPr>
                  <m:t>,α,F,</m:t>
                </m:r>
                <m:sSub>
                  <m:sSubPr>
                    <m:ctrlPr>
                      <w:rPr>
                        <w:rFonts w:ascii="Cambria Math" w:hAnsi="Cambria Math"/>
                        <w:i/>
                        <w:color w:val="000000" w:themeColor="text1"/>
                      </w:rPr>
                    </m:ctrlPr>
                  </m:sSubPr>
                  <m:e>
                    <m:r>
                      <w:rPr>
                        <w:rFonts w:ascii="Cambria Math" w:hAnsi="Cambria Math"/>
                        <w:color w:val="000000" w:themeColor="text1"/>
                      </w:rPr>
                      <m:t>q</m:t>
                    </m:r>
                  </m:e>
                  <m:sub>
                    <m:r>
                      <w:rPr>
                        <w:rFonts w:ascii="Cambria Math" w:hAnsi="Cambria Math"/>
                        <w:color w:val="000000" w:themeColor="text1"/>
                      </w:rPr>
                      <m:t>ca</m:t>
                    </m:r>
                  </m:sub>
                </m:sSub>
              </m:oMath>
            </m:oMathPara>
          </w:p>
          <w:p w14:paraId="6432F54C" w14:textId="77777777" w:rsidR="00CD39BA" w:rsidRPr="001B794E" w:rsidRDefault="00CD39BA" w:rsidP="00CD39BA">
            <w:pPr>
              <w:jc w:val="center"/>
              <w:rPr>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q</m:t>
                    </m:r>
                  </m:e>
                  <m:sub>
                    <m:r>
                      <w:rPr>
                        <w:rFonts w:ascii="Cambria Math" w:hAnsi="Cambria Math"/>
                        <w:color w:val="000000" w:themeColor="text1"/>
                      </w:rPr>
                      <m:t>cm</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q</m:t>
                    </m:r>
                  </m:e>
                  <m:sub>
                    <m:r>
                      <w:rPr>
                        <w:rFonts w:ascii="Cambria Math" w:hAnsi="Cambria Math"/>
                        <w:color w:val="000000" w:themeColor="text1"/>
                      </w:rPr>
                      <m:t>fu</m:t>
                    </m:r>
                  </m:sub>
                </m:sSub>
              </m:oMath>
            </m:oMathPara>
          </w:p>
        </w:tc>
        <w:tc>
          <w:tcPr>
            <w:tcW w:w="1052" w:type="dxa"/>
          </w:tcPr>
          <w:p w14:paraId="11F95754" w14:textId="77777777" w:rsidR="00CD39BA" w:rsidRPr="001B794E" w:rsidRDefault="00CD39BA" w:rsidP="00CD39BA">
            <w:pPr>
              <w:jc w:val="center"/>
              <w:rPr>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q</m:t>
                    </m:r>
                  </m:e>
                  <m:sub>
                    <m:r>
                      <w:rPr>
                        <w:rFonts w:ascii="Cambria Math" w:hAnsi="Cambria Math"/>
                        <w:color w:val="000000" w:themeColor="text1"/>
                      </w:rPr>
                      <m:t>R</m:t>
                    </m:r>
                  </m:sub>
                </m:sSub>
              </m:oMath>
            </m:oMathPara>
          </w:p>
        </w:tc>
        <w:tc>
          <w:tcPr>
            <w:tcW w:w="3205" w:type="dxa"/>
          </w:tcPr>
          <w:p w14:paraId="2597E884" w14:textId="77777777" w:rsidR="00CD39BA" w:rsidRPr="001B794E" w:rsidRDefault="00CD39BA" w:rsidP="00CD39BA">
            <w:pPr>
              <w:jc w:val="center"/>
              <w:rPr>
                <w:color w:val="000000" w:themeColor="text1"/>
              </w:rPr>
            </w:pPr>
          </w:p>
        </w:tc>
      </w:tr>
      <w:tr w:rsidR="00CD39BA" w14:paraId="3A81CC0D" w14:textId="77777777" w:rsidTr="00CD39BA">
        <w:trPr>
          <w:jc w:val="center"/>
        </w:trPr>
        <w:tc>
          <w:tcPr>
            <w:tcW w:w="1126" w:type="dxa"/>
          </w:tcPr>
          <w:p w14:paraId="0C964F2B" w14:textId="77777777" w:rsidR="00CD39BA" w:rsidRPr="001B794E" w:rsidRDefault="00CD39BA" w:rsidP="00CD39BA">
            <w:pPr>
              <w:jc w:val="center"/>
              <w:rPr>
                <w:color w:val="000000" w:themeColor="text1"/>
              </w:rPr>
            </w:pPr>
            <w:r>
              <w:rPr>
                <w:color w:val="000000" w:themeColor="text1"/>
              </w:rPr>
              <w:t>13.74</w:t>
            </w:r>
          </w:p>
        </w:tc>
        <w:tc>
          <w:tcPr>
            <w:tcW w:w="2516" w:type="dxa"/>
          </w:tcPr>
          <w:p w14:paraId="7D67DE16" w14:textId="77777777" w:rsidR="00CD39BA" w:rsidRPr="001B794E" w:rsidRDefault="00CD39BA" w:rsidP="00CD39BA">
            <w:pPr>
              <w:jc w:val="center"/>
              <w:rPr>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q</m:t>
                    </m:r>
                  </m:e>
                  <m:sub>
                    <m:r>
                      <w:rPr>
                        <w:rFonts w:ascii="Cambria Math" w:hAnsi="Cambria Math"/>
                        <w:color w:val="000000" w:themeColor="text1"/>
                      </w:rPr>
                      <m:t>cm</m:t>
                    </m:r>
                  </m:sub>
                </m:sSub>
              </m:oMath>
            </m:oMathPara>
          </w:p>
        </w:tc>
        <w:tc>
          <w:tcPr>
            <w:tcW w:w="1052" w:type="dxa"/>
          </w:tcPr>
          <w:p w14:paraId="14BFFE69" w14:textId="77777777" w:rsidR="00CD39BA" w:rsidRPr="00D35590" w:rsidRDefault="00CD39BA" w:rsidP="00CD39BA">
            <w:pPr>
              <w:jc w:val="center"/>
              <w:rPr>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q</m:t>
                    </m:r>
                  </m:e>
                  <m:sub>
                    <m:r>
                      <w:rPr>
                        <w:rFonts w:ascii="Cambria Math" w:hAnsi="Cambria Math"/>
                        <w:color w:val="000000" w:themeColor="text1"/>
                      </w:rPr>
                      <m:t>loss,tu</m:t>
                    </m:r>
                  </m:sub>
                </m:sSub>
              </m:oMath>
            </m:oMathPara>
          </w:p>
        </w:tc>
        <w:tc>
          <w:tcPr>
            <w:tcW w:w="3205" w:type="dxa"/>
          </w:tcPr>
          <w:p w14:paraId="248FC4E8" w14:textId="77777777" w:rsidR="00CD39BA" w:rsidRPr="001B794E" w:rsidRDefault="00CD39BA" w:rsidP="00CD39BA">
            <w:pPr>
              <w:jc w:val="center"/>
              <w:rPr>
                <w:color w:val="000000" w:themeColor="text1"/>
              </w:rPr>
            </w:pPr>
            <w:proofErr w:type="spellStart"/>
            <w:r>
              <w:rPr>
                <w:color w:val="000000" w:themeColor="text1"/>
              </w:rPr>
              <w:t>Eqn</w:t>
            </w:r>
            <w:proofErr w:type="spellEnd"/>
            <w:r>
              <w:rPr>
                <w:color w:val="000000" w:themeColor="text1"/>
              </w:rPr>
              <w:t xml:space="preserve"> 13.73</w:t>
            </w:r>
          </w:p>
        </w:tc>
      </w:tr>
      <w:tr w:rsidR="00CD39BA" w14:paraId="2591146F" w14:textId="77777777" w:rsidTr="00CD39BA">
        <w:trPr>
          <w:jc w:val="center"/>
        </w:trPr>
        <w:tc>
          <w:tcPr>
            <w:tcW w:w="1126" w:type="dxa"/>
          </w:tcPr>
          <w:p w14:paraId="207DEB69" w14:textId="77777777" w:rsidR="00CD39BA" w:rsidRPr="001B794E" w:rsidRDefault="00CD39BA" w:rsidP="00CD39BA">
            <w:pPr>
              <w:jc w:val="center"/>
              <w:rPr>
                <w:color w:val="000000" w:themeColor="text1"/>
              </w:rPr>
            </w:pPr>
            <w:r>
              <w:rPr>
                <w:color w:val="000000" w:themeColor="text1"/>
              </w:rPr>
              <w:t>13.75</w:t>
            </w:r>
          </w:p>
        </w:tc>
        <w:tc>
          <w:tcPr>
            <w:tcW w:w="2516" w:type="dxa"/>
          </w:tcPr>
          <w:p w14:paraId="19BCE913" w14:textId="77777777" w:rsidR="00CD39BA" w:rsidRPr="001B794E" w:rsidRDefault="00CD39BA" w:rsidP="00CD39BA">
            <w:pPr>
              <w:jc w:val="center"/>
              <w:rPr>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q</m:t>
                    </m:r>
                  </m:e>
                  <m:sub>
                    <m:r>
                      <w:rPr>
                        <w:rFonts w:ascii="Cambria Math" w:hAnsi="Cambria Math"/>
                        <w:color w:val="000000" w:themeColor="text1"/>
                      </w:rPr>
                      <m:t>cm</m:t>
                    </m:r>
                  </m:sub>
                </m:sSub>
                <m:r>
                  <w:rPr>
                    <w:rFonts w:ascii="Cambria Math" w:hAnsi="Cambria Math"/>
                    <w:color w:val="000000" w:themeColor="text1"/>
                  </w:rPr>
                  <m:t>,β</m:t>
                </m:r>
              </m:oMath>
            </m:oMathPara>
          </w:p>
        </w:tc>
        <w:tc>
          <w:tcPr>
            <w:tcW w:w="1052" w:type="dxa"/>
          </w:tcPr>
          <w:p w14:paraId="7F462DC7" w14:textId="77777777" w:rsidR="00CD39BA" w:rsidRPr="001B794E" w:rsidRDefault="00CD39BA" w:rsidP="00CD39BA">
            <w:pPr>
              <w:jc w:val="center"/>
              <w:rPr>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q</m:t>
                    </m:r>
                  </m:e>
                  <m:sub>
                    <m:r>
                      <w:rPr>
                        <w:rFonts w:ascii="Cambria Math" w:hAnsi="Cambria Math"/>
                        <w:color w:val="000000" w:themeColor="text1"/>
                      </w:rPr>
                      <m:t>g</m:t>
                    </m:r>
                  </m:sub>
                </m:sSub>
              </m:oMath>
            </m:oMathPara>
          </w:p>
        </w:tc>
        <w:tc>
          <w:tcPr>
            <w:tcW w:w="3205" w:type="dxa"/>
          </w:tcPr>
          <w:p w14:paraId="42572E1E" w14:textId="77777777" w:rsidR="00CD39BA" w:rsidRPr="001B794E" w:rsidRDefault="00CD39BA" w:rsidP="00CD39BA">
            <w:pPr>
              <w:jc w:val="center"/>
              <w:rPr>
                <w:color w:val="000000" w:themeColor="text1"/>
              </w:rPr>
            </w:pPr>
            <w:proofErr w:type="spellStart"/>
            <w:r>
              <w:rPr>
                <w:color w:val="000000" w:themeColor="text1"/>
              </w:rPr>
              <w:t>Eqn</w:t>
            </w:r>
            <w:proofErr w:type="spellEnd"/>
            <w:r>
              <w:rPr>
                <w:color w:val="000000" w:themeColor="text1"/>
              </w:rPr>
              <w:t xml:space="preserve"> 13.73</w:t>
            </w:r>
          </w:p>
        </w:tc>
      </w:tr>
      <w:tr w:rsidR="00CD39BA" w14:paraId="2B4B42DE" w14:textId="77777777" w:rsidTr="00CD39BA">
        <w:trPr>
          <w:jc w:val="center"/>
        </w:trPr>
        <w:tc>
          <w:tcPr>
            <w:tcW w:w="1126" w:type="dxa"/>
          </w:tcPr>
          <w:p w14:paraId="49C9B081" w14:textId="77777777" w:rsidR="00CD39BA" w:rsidRPr="001B794E" w:rsidRDefault="00CD39BA" w:rsidP="00CD39BA">
            <w:pPr>
              <w:jc w:val="center"/>
              <w:rPr>
                <w:color w:val="000000" w:themeColor="text1"/>
              </w:rPr>
            </w:pPr>
            <w:r>
              <w:rPr>
                <w:color w:val="000000" w:themeColor="text1"/>
              </w:rPr>
              <w:t>13.76</w:t>
            </w:r>
          </w:p>
        </w:tc>
        <w:tc>
          <w:tcPr>
            <w:tcW w:w="2516" w:type="dxa"/>
          </w:tcPr>
          <w:p w14:paraId="598517F5" w14:textId="77777777" w:rsidR="00CD39BA" w:rsidRPr="001B794E" w:rsidRDefault="00CD39BA" w:rsidP="00CD39BA">
            <w:pPr>
              <w:jc w:val="center"/>
              <w:rPr>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h</m:t>
                    </m:r>
                  </m:e>
                  <m:sub>
                    <m:r>
                      <w:rPr>
                        <w:rFonts w:ascii="Cambria Math" w:hAnsi="Cambria Math"/>
                        <w:color w:val="000000" w:themeColor="text1"/>
                      </w:rPr>
                      <m:t>C,w</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h</m:t>
                    </m:r>
                  </m:e>
                  <m:sub>
                    <m:r>
                      <w:rPr>
                        <w:rFonts w:ascii="Cambria Math" w:hAnsi="Cambria Math"/>
                        <w:color w:val="000000" w:themeColor="text1"/>
                      </w:rPr>
                      <m:t>C,tu</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h</m:t>
                    </m:r>
                  </m:e>
                  <m:sub>
                    <m:r>
                      <w:rPr>
                        <w:rFonts w:ascii="Cambria Math" w:hAnsi="Cambria Math"/>
                        <w:color w:val="000000" w:themeColor="text1"/>
                      </w:rPr>
                      <m:t>C,gr</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A</m:t>
                    </m:r>
                  </m:e>
                  <m:sub>
                    <m:r>
                      <w:rPr>
                        <w:rFonts w:ascii="Cambria Math" w:hAnsi="Cambria Math"/>
                        <w:color w:val="000000" w:themeColor="text1"/>
                      </w:rPr>
                      <m:t>C,w</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A</m:t>
                    </m:r>
                  </m:e>
                  <m:sub>
                    <m:r>
                      <w:rPr>
                        <w:rFonts w:ascii="Cambria Math" w:hAnsi="Cambria Math"/>
                        <w:color w:val="000000" w:themeColor="text1"/>
                      </w:rPr>
                      <m:t>Ct</m:t>
                    </m:r>
                  </m:sub>
                </m:sSub>
              </m:oMath>
            </m:oMathPara>
          </w:p>
        </w:tc>
        <w:tc>
          <w:tcPr>
            <w:tcW w:w="1052" w:type="dxa"/>
          </w:tcPr>
          <w:p w14:paraId="61F4FCB3" w14:textId="77777777" w:rsidR="00CD39BA" w:rsidRPr="001B794E" w:rsidRDefault="00CD39BA" w:rsidP="00CD39BA">
            <w:pPr>
              <w:jc w:val="center"/>
              <w:rPr>
                <w:color w:val="000000" w:themeColor="text1"/>
              </w:rPr>
            </w:pPr>
            <m:oMathPara>
              <m:oMath>
                <m:r>
                  <w:rPr>
                    <w:rFonts w:ascii="Cambria Math" w:hAnsi="Cambria Math"/>
                    <w:color w:val="000000" w:themeColor="text1"/>
                  </w:rPr>
                  <m:t>f</m:t>
                </m:r>
              </m:oMath>
            </m:oMathPara>
          </w:p>
        </w:tc>
        <w:tc>
          <w:tcPr>
            <w:tcW w:w="3205" w:type="dxa"/>
          </w:tcPr>
          <w:p w14:paraId="0E8F520C" w14:textId="77777777" w:rsidR="00CD39BA" w:rsidRPr="001B794E" w:rsidRDefault="00CD39BA" w:rsidP="00CD39BA">
            <w:pPr>
              <w:jc w:val="center"/>
              <w:rPr>
                <w:color w:val="000000" w:themeColor="text1"/>
              </w:rPr>
            </w:pPr>
          </w:p>
        </w:tc>
      </w:tr>
      <w:tr w:rsidR="00CD39BA" w14:paraId="764F65F8" w14:textId="77777777" w:rsidTr="00CD39BA">
        <w:trPr>
          <w:jc w:val="center"/>
        </w:trPr>
        <w:tc>
          <w:tcPr>
            <w:tcW w:w="1126" w:type="dxa"/>
          </w:tcPr>
          <w:p w14:paraId="01511472" w14:textId="77777777" w:rsidR="00CD39BA" w:rsidRPr="001B794E" w:rsidRDefault="00CD39BA" w:rsidP="00CD39BA">
            <w:pPr>
              <w:jc w:val="center"/>
              <w:rPr>
                <w:color w:val="000000" w:themeColor="text1"/>
              </w:rPr>
            </w:pPr>
            <w:r>
              <w:rPr>
                <w:color w:val="000000" w:themeColor="text1"/>
              </w:rPr>
              <w:t>13.77</w:t>
            </w:r>
          </w:p>
        </w:tc>
        <w:tc>
          <w:tcPr>
            <w:tcW w:w="2516" w:type="dxa"/>
          </w:tcPr>
          <w:p w14:paraId="1E8A0C11" w14:textId="77777777" w:rsidR="00CD39BA" w:rsidRPr="001B794E" w:rsidRDefault="00CD39BA" w:rsidP="00CD39BA">
            <w:pPr>
              <w:jc w:val="center"/>
              <w:rPr>
                <w:color w:val="000000" w:themeColor="text1"/>
              </w:rPr>
            </w:pPr>
            <m:oMathPara>
              <m:oMath>
                <m:sSub>
                  <m:sSubPr>
                    <m:ctrlPr>
                      <w:rPr>
                        <w:rFonts w:ascii="Cambria Math" w:hAnsi="Cambria Math"/>
                        <w:b/>
                        <w:i/>
                        <w:color w:val="000000" w:themeColor="text1"/>
                      </w:rPr>
                    </m:ctrlPr>
                  </m:sSubPr>
                  <m:e>
                    <m:r>
                      <m:rPr>
                        <m:sty m:val="bi"/>
                      </m:rPr>
                      <w:rPr>
                        <w:rFonts w:ascii="Cambria Math" w:hAnsi="Cambria Math"/>
                        <w:color w:val="000000" w:themeColor="text1"/>
                      </w:rPr>
                      <m:t>q</m:t>
                    </m:r>
                  </m:e>
                  <m:sub>
                    <m:r>
                      <m:rPr>
                        <m:sty m:val="bi"/>
                      </m:rPr>
                      <w:rPr>
                        <w:rFonts w:ascii="Cambria Math" w:hAnsi="Cambria Math"/>
                        <w:color w:val="000000" w:themeColor="text1"/>
                      </w:rPr>
                      <m:t>c</m:t>
                    </m:r>
                  </m:sub>
                </m:sSub>
                <m:r>
                  <m:rPr>
                    <m:sty m:val="bi"/>
                  </m:rP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U</m:t>
                    </m:r>
                  </m:e>
                  <m:sub>
                    <m:r>
                      <w:rPr>
                        <w:rFonts w:ascii="Cambria Math" w:hAnsi="Cambria Math"/>
                        <w:color w:val="000000" w:themeColor="text1"/>
                      </w:rPr>
                      <m:t>c</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∆T</m:t>
                    </m:r>
                  </m:e>
                  <m:sub>
                    <m:r>
                      <w:rPr>
                        <w:rFonts w:ascii="Cambria Math" w:hAnsi="Cambria Math"/>
                        <w:color w:val="000000" w:themeColor="text1"/>
                      </w:rPr>
                      <m:t>lm</m:t>
                    </m:r>
                  </m:sub>
                </m:sSub>
              </m:oMath>
            </m:oMathPara>
          </w:p>
        </w:tc>
        <w:tc>
          <w:tcPr>
            <w:tcW w:w="1052" w:type="dxa"/>
          </w:tcPr>
          <w:p w14:paraId="30FDB9ED" w14:textId="77777777" w:rsidR="00CD39BA" w:rsidRPr="001B794E" w:rsidRDefault="00CD39BA" w:rsidP="00CD39BA">
            <w:pPr>
              <w:jc w:val="center"/>
              <w:rPr>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A</m:t>
                    </m:r>
                  </m:e>
                  <m:sub>
                    <m:r>
                      <w:rPr>
                        <w:rFonts w:ascii="Cambria Math" w:hAnsi="Cambria Math"/>
                        <w:color w:val="000000" w:themeColor="text1"/>
                      </w:rPr>
                      <m:t>c</m:t>
                    </m:r>
                  </m:sub>
                </m:sSub>
              </m:oMath>
            </m:oMathPara>
          </w:p>
        </w:tc>
        <w:tc>
          <w:tcPr>
            <w:tcW w:w="3205" w:type="dxa"/>
          </w:tcPr>
          <w:p w14:paraId="10D27E99" w14:textId="77777777" w:rsidR="00CD39BA" w:rsidRPr="001B794E" w:rsidRDefault="00CD39BA" w:rsidP="00CD39BA">
            <w:pPr>
              <w:jc w:val="center"/>
              <w:rPr>
                <w:color w:val="000000" w:themeColor="text1"/>
              </w:rPr>
            </w:pPr>
          </w:p>
        </w:tc>
      </w:tr>
    </w:tbl>
    <w:p w14:paraId="130AFC7A" w14:textId="77777777" w:rsidR="00CD39BA" w:rsidRPr="00CD39BA" w:rsidRDefault="00CD39BA" w:rsidP="00CD39BA"/>
    <w:p w14:paraId="61D8E684" w14:textId="77777777" w:rsidR="00A7521D" w:rsidRDefault="00A7521D" w:rsidP="00A7521D">
      <w:pPr>
        <w:pStyle w:val="Heading2"/>
      </w:pPr>
      <w:bookmarkStart w:id="1053" w:name="_Toc525230060"/>
      <w:bookmarkStart w:id="1054" w:name="_Ref531344108"/>
      <w:bookmarkStart w:id="1055" w:name="_Toc7187608"/>
      <w:r>
        <w:t>Rankine Cycle or Organic Rankine Cycle Equations</w:t>
      </w:r>
      <w:bookmarkEnd w:id="1053"/>
      <w:bookmarkEnd w:id="1054"/>
      <w:bookmarkEnd w:id="1055"/>
    </w:p>
    <w:p w14:paraId="591051A9" w14:textId="5AC17E02" w:rsidR="00A7521D" w:rsidRDefault="00A7521D" w:rsidP="00A7521D">
      <w:r>
        <w:t xml:space="preserve">The equations used in the modelling of the RC and ORC are shown below, as calculated in section </w:t>
      </w:r>
      <w:r w:rsidR="00D82F1A">
        <w:fldChar w:fldCharType="begin"/>
      </w:r>
      <w:r w:rsidR="00D82F1A">
        <w:instrText xml:space="preserve"> REF _Ref531345458 \n \h </w:instrText>
      </w:r>
      <w:r w:rsidR="00D82F1A">
        <w:fldChar w:fldCharType="separate"/>
      </w:r>
      <w:r w:rsidR="00CB7456">
        <w:t>5.1.1.6</w:t>
      </w:r>
      <w:r w:rsidR="00D82F1A">
        <w:fldChar w:fldCharType="end"/>
      </w:r>
      <w:r w:rsidR="00D82F1A">
        <w:t xml:space="preserve"> and section </w:t>
      </w:r>
      <w:r w:rsidR="00D82F1A">
        <w:fldChar w:fldCharType="begin"/>
      </w:r>
      <w:r w:rsidR="00D82F1A">
        <w:instrText xml:space="preserve"> REF _Ref531345461 \n \h </w:instrText>
      </w:r>
      <w:r w:rsidR="00D82F1A">
        <w:fldChar w:fldCharType="separate"/>
      </w:r>
      <w:r w:rsidR="00CB7456">
        <w:t>5.1.1.11</w:t>
      </w:r>
      <w:r w:rsidR="00D82F1A">
        <w:fldChar w:fldCharType="end"/>
      </w:r>
      <w:r>
        <w:t xml:space="preserve">. All equations came from Tufts University </w:t>
      </w:r>
      <w:r>
        <w:fldChar w:fldCharType="begin" w:fldLock="1"/>
      </w:r>
      <w:r w:rsidR="002A6A73">
        <w:instrText>ADDIN CSL_CITATION {"citationItems":[{"id":"ITEM-1","itemData":{"author":[{"dropping-particle":"","family":"Tufts University","given":"","non-dropping-particle":"","parse-names":false,"suffix":""}],"id":"ITEM-1","issued":{"date-parts":[["2003"]]},"publisher-place":"Boston, America","title":"Ideal Rankine Cycle","type":"report"},"uris":["http://www.mendeley.com/documents/?uuid=f9f1c635-9422-4698-9dba-519f4f21972b"]}],"mendeley":{"formattedCitation":"(Tufts University, 2003)","plainTextFormattedCitation":"(Tufts University, 2003)","previouslyFormattedCitation":"(Tufts University, 2003)"},"properties":{"noteIndex":0},"schema":"https://github.com/citation-style-language/schema/raw/master/csl-citation.json"}</w:instrText>
      </w:r>
      <w:r>
        <w:fldChar w:fldCharType="separate"/>
      </w:r>
      <w:r w:rsidR="002A6A73" w:rsidRPr="002A6A73">
        <w:rPr>
          <w:noProof/>
        </w:rPr>
        <w:t>(Tufts University, 2003)</w:t>
      </w:r>
      <w:r>
        <w:fldChar w:fldCharType="end"/>
      </w:r>
      <w:r>
        <w:t xml:space="preserve">. The data for the RC came from </w:t>
      </w:r>
      <w:proofErr w:type="spellStart"/>
      <w:r>
        <w:t>Spirax</w:t>
      </w:r>
      <w:proofErr w:type="spellEnd"/>
      <w:r>
        <w:t xml:space="preserve"> </w:t>
      </w:r>
      <w:proofErr w:type="spellStart"/>
      <w:r>
        <w:t>Sarco</w:t>
      </w:r>
      <w:proofErr w:type="spellEnd"/>
      <w:r>
        <w:t xml:space="preserve"> software </w:t>
      </w:r>
      <w:r>
        <w:fldChar w:fldCharType="begin" w:fldLock="1"/>
      </w:r>
      <w:r w:rsidR="002A6A73">
        <w:instrText>ADDIN CSL_CITATION {"citationItems":[{"id":"ITEM-1","itemData":{"URL":"http://www.spiraxsarco.com/Resources/Pages/steam-tables.aspx","accessed":{"date-parts":[["2018","9","13"]]},"author":[{"dropping-particle":"","family":"Spirax Sarco","given":"","non-dropping-particle":"","parse-names":false,"suffix":""}],"id":"ITEM-1","issued":{"date-parts":[["2018"]]},"title":"Steam Tables","type":"webpage"},"uris":["http://www.mendeley.com/documents/?uuid=a1176c49-b564-4538-8248-54adccd47046"]}],"mendeley":{"formattedCitation":"(Spirax Sarco, 2018)","plainTextFormattedCitation":"(Spirax Sarco, 2018)","previouslyFormattedCitation":"(Spirax Sarco, 2018)"},"properties":{"noteIndex":0},"schema":"https://github.com/citation-style-language/schema/raw/master/csl-citation.json"}</w:instrText>
      </w:r>
      <w:r>
        <w:fldChar w:fldCharType="separate"/>
      </w:r>
      <w:r w:rsidR="002A6A73" w:rsidRPr="002A6A73">
        <w:rPr>
          <w:noProof/>
        </w:rPr>
        <w:t>(Spirax Sarco, 2018)</w:t>
      </w:r>
      <w:r>
        <w:fldChar w:fldCharType="end"/>
      </w:r>
      <w:r>
        <w:t xml:space="preserve"> and for the ORC it came from NIST software </w:t>
      </w:r>
      <w:r>
        <w:fldChar w:fldCharType="begin" w:fldLock="1"/>
      </w:r>
      <w:r w:rsidR="002A6A73">
        <w:instrText>ADDIN CSL_CITATION {"citationItems":[{"id":"ITEM-1","itemData":{"author":[{"dropping-particle":"","family":"NIST","given":"","non-dropping-particle":"","parse-names":false,"suffix":""}],"id":"ITEM-1","issued":{"date-parts":[["2018"]]},"number":"10","publisher":"National Institute of Standards and Technology","publisher-place":"Gaithersburg, America","title":"Reference Fluid Thermodynamic and Transport Properties Database (REFPROP): Version 10","type":"article"},"uris":["http://www.mendeley.com/documents/?uuid=5f4ec186-2f8a-4278-adf5-ebbee933dfad"]}],"mendeley":{"formattedCitation":"(NIST, 2018)","plainTextFormattedCitation":"(NIST, 2018)","previouslyFormattedCitation":"(NIST, 2018)"},"properties":{"noteIndex":0},"schema":"https://github.com/citation-style-language/schema/raw/master/csl-citation.json"}</w:instrText>
      </w:r>
      <w:r>
        <w:fldChar w:fldCharType="separate"/>
      </w:r>
      <w:r w:rsidR="002A6A73" w:rsidRPr="002A6A73">
        <w:rPr>
          <w:noProof/>
        </w:rPr>
        <w:t>(NIST, 2018)</w:t>
      </w:r>
      <w:r>
        <w:fldChar w:fldCharType="end"/>
      </w:r>
      <w:r>
        <w:t xml:space="preserve">. The basic design of the ORC or the RC is shown in </w:t>
      </w:r>
      <w:r>
        <w:fldChar w:fldCharType="begin"/>
      </w:r>
      <w:r>
        <w:instrText xml:space="preserve"> REF _Ref525664727 \h </w:instrText>
      </w:r>
      <w:r>
        <w:fldChar w:fldCharType="separate"/>
      </w:r>
      <w:r w:rsidR="00CB7456">
        <w:t xml:space="preserve">Figure </w:t>
      </w:r>
      <w:r w:rsidR="00CB7456">
        <w:rPr>
          <w:noProof/>
        </w:rPr>
        <w:t>13</w:t>
      </w:r>
      <w:r w:rsidR="00CB7456">
        <w:t>.</w:t>
      </w:r>
      <w:r w:rsidR="00CB7456">
        <w:rPr>
          <w:noProof/>
        </w:rPr>
        <w:t>1</w:t>
      </w:r>
      <w:r>
        <w:fldChar w:fldCharType="end"/>
      </w:r>
      <w:r>
        <w:t>.</w:t>
      </w:r>
    </w:p>
    <w:p w14:paraId="621995F6" w14:textId="77777777" w:rsidR="00A7521D" w:rsidRDefault="00A7521D" w:rsidP="00A7521D">
      <w:pPr>
        <w:keepNext/>
        <w:jc w:val="center"/>
      </w:pPr>
      <w:r>
        <w:rPr>
          <w:noProof/>
        </w:rPr>
        <w:drawing>
          <wp:inline distT="0" distB="0" distL="0" distR="0" wp14:anchorId="70B2DA57" wp14:editId="186F2EFF">
            <wp:extent cx="3168000" cy="2543884"/>
            <wp:effectExtent l="19050" t="19050" r="13970" b="27940"/>
            <wp:docPr id="50" name="Picture 1">
              <a:extLst xmlns:a="http://schemas.openxmlformats.org/drawingml/2006/main">
                <a:ext uri="{FF2B5EF4-FFF2-40B4-BE49-F238E27FC236}">
                  <a16:creationId xmlns:a16="http://schemas.microsoft.com/office/drawing/2014/main" id="{3ED3D087-E4C3-44BF-BD61-81C31912C27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3ED3D087-E4C3-44BF-BD61-81C31912C273}"/>
                        </a:ext>
                      </a:extLst>
                    </pic:cNvPr>
                    <pic:cNvPicPr>
                      <a:picLocks noChangeAspect="1"/>
                    </pic:cNvPicPr>
                  </pic:nvPicPr>
                  <pic:blipFill>
                    <a:blip r:embed="rId36"/>
                    <a:stretch>
                      <a:fillRect/>
                    </a:stretch>
                  </pic:blipFill>
                  <pic:spPr>
                    <a:xfrm>
                      <a:off x="0" y="0"/>
                      <a:ext cx="3168000" cy="2543884"/>
                    </a:xfrm>
                    <a:prstGeom prst="rect">
                      <a:avLst/>
                    </a:prstGeom>
                    <a:ln>
                      <a:solidFill>
                        <a:schemeClr val="tx1"/>
                      </a:solidFill>
                    </a:ln>
                  </pic:spPr>
                </pic:pic>
              </a:graphicData>
            </a:graphic>
          </wp:inline>
        </w:drawing>
      </w:r>
    </w:p>
    <w:p w14:paraId="0A9AE8D8" w14:textId="78689480" w:rsidR="00A7521D" w:rsidRDefault="00A7521D" w:rsidP="00A7521D">
      <w:pPr>
        <w:pStyle w:val="Caption"/>
      </w:pPr>
      <w:bookmarkStart w:id="1056" w:name="_Ref525664727"/>
      <w:bookmarkStart w:id="1057" w:name="_Toc525230111"/>
      <w:bookmarkStart w:id="1058" w:name="_Toc7187662"/>
      <w:r>
        <w:t xml:space="preserve">Figure </w:t>
      </w:r>
      <w:fldSimple w:instr=" STYLEREF 1 \s ">
        <w:r w:rsidR="00CB7456">
          <w:rPr>
            <w:noProof/>
          </w:rPr>
          <w:t>13</w:t>
        </w:r>
      </w:fldSimple>
      <w:r w:rsidR="007B29C3">
        <w:t>.</w:t>
      </w:r>
      <w:fldSimple w:instr=" SEQ Figure \* ARABIC \s 1 ">
        <w:r w:rsidR="00CB7456">
          <w:rPr>
            <w:noProof/>
          </w:rPr>
          <w:t>1</w:t>
        </w:r>
      </w:fldSimple>
      <w:bookmarkEnd w:id="1056"/>
      <w:r>
        <w:t>: Basic design of an ORC or RC.</w:t>
      </w:r>
      <w:bookmarkEnd w:id="1057"/>
      <w:bookmarkEnd w:id="1058"/>
    </w:p>
    <w:tbl>
      <w:tblPr>
        <w:tblStyle w:val="TableGrid"/>
        <w:tblW w:w="509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79"/>
        <w:gridCol w:w="789"/>
        <w:gridCol w:w="789"/>
      </w:tblGrid>
      <w:tr w:rsidR="00A7521D" w14:paraId="6E59C8D4" w14:textId="77777777" w:rsidTr="00A7521D">
        <w:tc>
          <w:tcPr>
            <w:tcW w:w="6779" w:type="dxa"/>
            <w:hideMark/>
          </w:tcPr>
          <w:p w14:paraId="73E35E36" w14:textId="77777777" w:rsidR="00A7521D" w:rsidRDefault="00C73E04" w:rsidP="00A7521D">
            <w:pPr>
              <w:keepNext/>
              <w:rPr>
                <w:color w:val="FFFFFF"/>
              </w:rPr>
            </w:pPr>
            <m:oMathPara>
              <m:oMathParaPr>
                <m:jc m:val="left"/>
              </m:oMathParaPr>
              <m:oMath>
                <m:sSub>
                  <m:sSubPr>
                    <m:ctrlPr>
                      <w:rPr>
                        <w:rFonts w:ascii="Cambria Math" w:hAnsi="Cambria Math"/>
                        <w:i/>
                        <w:iCs/>
                      </w:rPr>
                    </m:ctrlPr>
                  </m:sSubPr>
                  <m:e>
                    <m:r>
                      <w:rPr>
                        <w:rFonts w:ascii="Cambria Math" w:hAnsi="Cambria Math"/>
                      </w:rPr>
                      <m:t>s</m:t>
                    </m:r>
                  </m:e>
                  <m:sub>
                    <m:r>
                      <w:rPr>
                        <w:rFonts w:ascii="Cambria Math" w:hAnsi="Cambria Math"/>
                      </w:rPr>
                      <m:t>s4</m:t>
                    </m:r>
                  </m:sub>
                </m:sSub>
                <m:r>
                  <w:rPr>
                    <w:rFonts w:ascii="Cambria Math" w:hAnsi="Cambria Math"/>
                  </w:rPr>
                  <m:t>=</m:t>
                </m:r>
                <m:sSub>
                  <m:sSubPr>
                    <m:ctrlPr>
                      <w:rPr>
                        <w:rFonts w:ascii="Cambria Math" w:hAnsi="Cambria Math"/>
                        <w:i/>
                        <w:iCs/>
                      </w:rPr>
                    </m:ctrlPr>
                  </m:sSubPr>
                  <m:e>
                    <m:r>
                      <w:rPr>
                        <w:rFonts w:ascii="Cambria Math" w:hAnsi="Cambria Math"/>
                      </w:rPr>
                      <m:t>s</m:t>
                    </m:r>
                  </m:e>
                  <m:sub>
                    <m:r>
                      <w:rPr>
                        <w:rFonts w:ascii="Cambria Math" w:hAnsi="Cambria Math"/>
                      </w:rPr>
                      <m:t>s3</m:t>
                    </m:r>
                  </m:sub>
                </m:sSub>
              </m:oMath>
            </m:oMathPara>
          </w:p>
        </w:tc>
        <w:tc>
          <w:tcPr>
            <w:tcW w:w="789" w:type="dxa"/>
            <w:vAlign w:val="center"/>
            <w:hideMark/>
          </w:tcPr>
          <w:p w14:paraId="74A24336" w14:textId="77777777" w:rsidR="00A7521D" w:rsidRDefault="00A7521D" w:rsidP="00A7521D">
            <w:pPr>
              <w:pStyle w:val="Caption"/>
              <w:jc w:val="right"/>
              <w:rPr>
                <w:b w:val="0"/>
              </w:rPr>
            </w:pPr>
          </w:p>
        </w:tc>
        <w:tc>
          <w:tcPr>
            <w:tcW w:w="789" w:type="dxa"/>
            <w:vAlign w:val="center"/>
          </w:tcPr>
          <w:p w14:paraId="0FF969BA" w14:textId="6FFFF49E" w:rsidR="00A7521D" w:rsidRDefault="00A7521D" w:rsidP="00A7521D">
            <w:pPr>
              <w:pStyle w:val="Caption"/>
              <w:jc w:val="right"/>
              <w:rPr>
                <w:b w:val="0"/>
              </w:rPr>
            </w:pPr>
            <w:r>
              <w:rPr>
                <w:noProof/>
              </w:rPr>
              <w:fldChar w:fldCharType="begin"/>
            </w:r>
            <w:r>
              <w:rPr>
                <w:noProof/>
              </w:rPr>
              <w:instrText xml:space="preserve"> STYLEREF 1 \s </w:instrText>
            </w:r>
            <w:r>
              <w:rPr>
                <w:noProof/>
              </w:rPr>
              <w:fldChar w:fldCharType="separate"/>
            </w:r>
            <w:r w:rsidR="00CB7456">
              <w:rPr>
                <w:noProof/>
              </w:rPr>
              <w:t>13</w:t>
            </w:r>
            <w:r>
              <w:rPr>
                <w:noProof/>
              </w:rPr>
              <w:fldChar w:fldCharType="end"/>
            </w:r>
            <w:r>
              <w:rPr>
                <w:noProof/>
              </w:rPr>
              <w:t>.</w:t>
            </w:r>
            <w:r>
              <w:rPr>
                <w:noProof/>
              </w:rPr>
              <w:fldChar w:fldCharType="begin"/>
            </w:r>
            <w:r>
              <w:rPr>
                <w:noProof/>
              </w:rPr>
              <w:instrText xml:space="preserve"> SEQ Equation \* ARABIC \s 1 </w:instrText>
            </w:r>
            <w:r>
              <w:rPr>
                <w:noProof/>
              </w:rPr>
              <w:fldChar w:fldCharType="separate"/>
            </w:r>
            <w:r w:rsidR="00CB7456">
              <w:rPr>
                <w:noProof/>
              </w:rPr>
              <w:t>78</w:t>
            </w:r>
            <w:r>
              <w:rPr>
                <w:noProof/>
              </w:rPr>
              <w:fldChar w:fldCharType="end"/>
            </w:r>
          </w:p>
        </w:tc>
      </w:tr>
    </w:tbl>
    <w:p w14:paraId="057A5911" w14:textId="77777777" w:rsidR="00A7521D" w:rsidRPr="00684EA9" w:rsidRDefault="00A7521D" w:rsidP="00A7521D"/>
    <w:p w14:paraId="41B791F4" w14:textId="77777777" w:rsidR="00A7521D" w:rsidRDefault="00C73E04" w:rsidP="00A7521D">
      <w:pPr>
        <w:pStyle w:val="NoSpacing"/>
      </w:pPr>
      <m:oMath>
        <m:sSub>
          <m:sSubPr>
            <m:ctrlPr>
              <w:rPr>
                <w:rFonts w:ascii="Cambria Math" w:hAnsi="Cambria Math"/>
                <w:i/>
              </w:rPr>
            </m:ctrlPr>
          </m:sSubPr>
          <m:e>
            <m:r>
              <w:rPr>
                <w:rFonts w:ascii="Cambria Math" w:hAnsi="Cambria Math"/>
              </w:rPr>
              <m:t>s</m:t>
            </m:r>
          </m:e>
          <m:sub>
            <m:r>
              <w:rPr>
                <w:rFonts w:ascii="Cambria Math" w:hAnsi="Cambria Math"/>
              </w:rPr>
              <m:t>s4</m:t>
            </m:r>
          </m:sub>
        </m:sSub>
      </m:oMath>
      <w:r w:rsidR="00A7521D">
        <w:t xml:space="preserve"> wa</w:t>
      </w:r>
      <w:proofErr w:type="spellStart"/>
      <w:r w:rsidR="00A7521D">
        <w:t>s</w:t>
      </w:r>
      <w:proofErr w:type="spellEnd"/>
      <w:r w:rsidR="00A7521D">
        <w:t xml:space="preserve"> the specific entropy of the working fluid after the turbine (kJ/[</w:t>
      </w:r>
      <w:proofErr w:type="spellStart"/>
      <w:r w:rsidR="00A7521D">
        <w:t>kgK</w:t>
      </w:r>
      <w:proofErr w:type="spellEnd"/>
      <w:r w:rsidR="00A7521D">
        <w:t>]),</w:t>
      </w:r>
    </w:p>
    <w:p w14:paraId="3A6720FF" w14:textId="798C505B" w:rsidR="00A7521D" w:rsidRDefault="00C73E04" w:rsidP="00A7521D">
      <w:pPr>
        <w:rPr>
          <w:iCs/>
        </w:rPr>
      </w:pPr>
      <m:oMath>
        <m:sSub>
          <m:sSubPr>
            <m:ctrlPr>
              <w:rPr>
                <w:rFonts w:ascii="Cambria Math" w:hAnsi="Cambria Math"/>
                <w:i/>
                <w:iCs/>
              </w:rPr>
            </m:ctrlPr>
          </m:sSubPr>
          <m:e>
            <m:r>
              <w:rPr>
                <w:rFonts w:ascii="Cambria Math" w:hAnsi="Cambria Math"/>
              </w:rPr>
              <m:t>s</m:t>
            </m:r>
          </m:e>
          <m:sub>
            <m:r>
              <w:rPr>
                <w:rFonts w:ascii="Cambria Math" w:hAnsi="Cambria Math"/>
              </w:rPr>
              <m:t>s3</m:t>
            </m:r>
          </m:sub>
        </m:sSub>
      </m:oMath>
      <w:r w:rsidR="00A7521D">
        <w:rPr>
          <w:iCs/>
        </w:rPr>
        <w:t xml:space="preserve"> was the specific entropy of the working fluid at the superheated state </w:t>
      </w:r>
      <w:r w:rsidR="00A7521D">
        <w:t>(kJ/[</w:t>
      </w:r>
      <w:proofErr w:type="spellStart"/>
      <w:r w:rsidR="00A7521D">
        <w:t>kgK</w:t>
      </w:r>
      <w:proofErr w:type="spellEnd"/>
      <w:r w:rsidR="00A7521D">
        <w:t>])</w:t>
      </w:r>
      <w:r w:rsidR="00A7521D">
        <w:rPr>
          <w:iCs/>
        </w:rPr>
        <w:t>.</w:t>
      </w:r>
    </w:p>
    <w:p w14:paraId="16F3AA0C" w14:textId="73B8E0DE" w:rsidR="009B52D5" w:rsidRDefault="003468E9" w:rsidP="00A7521D">
      <w:pPr>
        <w:rPr>
          <w:iCs/>
        </w:rPr>
      </w:pPr>
      <w:r>
        <w:rPr>
          <w:iCs/>
        </w:rPr>
        <w:t xml:space="preserve">The specific entropy of the working fluid after the turbine was dependent on the specific entropy of the working fluid at the superheated state. The specific entropy of the working fluid at the superheated state </w:t>
      </w:r>
      <w:r w:rsidR="00D66689">
        <w:rPr>
          <w:iCs/>
        </w:rPr>
        <w:t>was</w:t>
      </w:r>
      <w:r>
        <w:rPr>
          <w:iCs/>
        </w:rPr>
        <w:t xml:space="preserve"> calculated during the modelling of the HEXs or the FH.</w:t>
      </w:r>
    </w:p>
    <w:tbl>
      <w:tblPr>
        <w:tblStyle w:val="TableGrid"/>
        <w:tblW w:w="5095"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84"/>
        <w:gridCol w:w="785"/>
        <w:gridCol w:w="785"/>
      </w:tblGrid>
      <w:tr w:rsidR="00A7521D" w14:paraId="479BCF0E" w14:textId="77777777" w:rsidTr="00A7521D">
        <w:tc>
          <w:tcPr>
            <w:tcW w:w="6783" w:type="dxa"/>
            <w:hideMark/>
          </w:tcPr>
          <w:p w14:paraId="2169AAEF" w14:textId="1324A127" w:rsidR="00A7521D" w:rsidRDefault="00C73E04" w:rsidP="00A7521D">
            <w:pPr>
              <w:keepNext/>
              <w:rPr>
                <w:color w:val="FFFFFF"/>
              </w:rPr>
            </w:pPr>
            <m:oMathPara>
              <m:oMathParaPr>
                <m:jc m:val="left"/>
              </m:oMathParaPr>
              <m:oMath>
                <m:sSub>
                  <m:sSubPr>
                    <m:ctrlPr>
                      <w:rPr>
                        <w:rFonts w:ascii="Cambria Math" w:hAnsi="Cambria Math"/>
                        <w:i/>
                        <w:iCs/>
                      </w:rPr>
                    </m:ctrlPr>
                  </m:sSubPr>
                  <m:e>
                    <m:r>
                      <w:rPr>
                        <w:rFonts w:ascii="Cambria Math" w:hAnsi="Cambria Math"/>
                      </w:rPr>
                      <m:t>α</m:t>
                    </m:r>
                  </m:e>
                  <m:sub>
                    <m:r>
                      <w:rPr>
                        <w:rFonts w:ascii="Cambria Math" w:hAnsi="Cambria Math"/>
                      </w:rPr>
                      <m:t>4</m:t>
                    </m:r>
                  </m:sub>
                </m:sSub>
                <m:r>
                  <w:rPr>
                    <w:rFonts w:ascii="Cambria Math" w:hAnsi="Cambria Math"/>
                  </w:rPr>
                  <m:t>=</m:t>
                </m:r>
                <m:f>
                  <m:fPr>
                    <m:ctrlPr>
                      <w:rPr>
                        <w:rFonts w:ascii="Cambria Math" w:hAnsi="Cambria Math"/>
                        <w:i/>
                        <w:iCs/>
                      </w:rPr>
                    </m:ctrlPr>
                  </m:fPr>
                  <m:num>
                    <m:sSub>
                      <m:sSubPr>
                        <m:ctrlPr>
                          <w:rPr>
                            <w:rFonts w:ascii="Cambria Math" w:hAnsi="Cambria Math"/>
                            <w:i/>
                            <w:iCs/>
                          </w:rPr>
                        </m:ctrlPr>
                      </m:sSubPr>
                      <m:e>
                        <m:r>
                          <w:rPr>
                            <w:rFonts w:ascii="Cambria Math" w:hAnsi="Cambria Math"/>
                          </w:rPr>
                          <m:t>s</m:t>
                        </m:r>
                      </m:e>
                      <m:sub>
                        <m:r>
                          <w:rPr>
                            <w:rFonts w:ascii="Cambria Math" w:hAnsi="Cambria Math"/>
                          </w:rPr>
                          <m:t>s4</m:t>
                        </m:r>
                      </m:sub>
                    </m:sSub>
                    <m:r>
                      <w:rPr>
                        <w:rFonts w:ascii="Cambria Math" w:hAnsi="Cambria Math"/>
                      </w:rPr>
                      <m:t>-</m:t>
                    </m:r>
                    <m:sSub>
                      <m:sSubPr>
                        <m:ctrlPr>
                          <w:rPr>
                            <w:rFonts w:ascii="Cambria Math" w:hAnsi="Cambria Math"/>
                            <w:i/>
                            <w:iCs/>
                          </w:rPr>
                        </m:ctrlPr>
                      </m:sSubPr>
                      <m:e>
                        <m:r>
                          <w:rPr>
                            <w:rFonts w:ascii="Cambria Math" w:hAnsi="Cambria Math"/>
                          </w:rPr>
                          <m:t>s</m:t>
                        </m:r>
                      </m:e>
                      <m:sub>
                        <m:r>
                          <w:rPr>
                            <w:rFonts w:ascii="Cambria Math" w:hAnsi="Cambria Math"/>
                          </w:rPr>
                          <m:t>l</m:t>
                        </m:r>
                        <m:r>
                          <w:rPr>
                            <w:rFonts w:ascii="Cambria Math" w:hAnsi="Cambria Math"/>
                          </w:rPr>
                          <m:t>,s4</m:t>
                        </m:r>
                      </m:sub>
                    </m:sSub>
                  </m:num>
                  <m:den>
                    <m:sSub>
                      <m:sSubPr>
                        <m:ctrlPr>
                          <w:rPr>
                            <w:rFonts w:ascii="Cambria Math" w:hAnsi="Cambria Math"/>
                            <w:i/>
                            <w:iCs/>
                          </w:rPr>
                        </m:ctrlPr>
                      </m:sSubPr>
                      <m:e>
                        <m:r>
                          <w:rPr>
                            <w:rFonts w:ascii="Cambria Math" w:hAnsi="Cambria Math"/>
                          </w:rPr>
                          <m:t>s</m:t>
                        </m:r>
                      </m:e>
                      <m:sub>
                        <m:r>
                          <w:rPr>
                            <w:rFonts w:ascii="Cambria Math" w:hAnsi="Cambria Math"/>
                          </w:rPr>
                          <m:t>v,s4</m:t>
                        </m:r>
                      </m:sub>
                    </m:sSub>
                    <m:r>
                      <w:rPr>
                        <w:rFonts w:ascii="Cambria Math" w:hAnsi="Cambria Math"/>
                      </w:rPr>
                      <m:t>-</m:t>
                    </m:r>
                    <m:sSub>
                      <m:sSubPr>
                        <m:ctrlPr>
                          <w:rPr>
                            <w:rFonts w:ascii="Cambria Math" w:hAnsi="Cambria Math"/>
                            <w:i/>
                            <w:iCs/>
                          </w:rPr>
                        </m:ctrlPr>
                      </m:sSubPr>
                      <m:e>
                        <m:r>
                          <w:rPr>
                            <w:rFonts w:ascii="Cambria Math" w:hAnsi="Cambria Math"/>
                          </w:rPr>
                          <m:t>s</m:t>
                        </m:r>
                      </m:e>
                      <m:sub>
                        <m:r>
                          <w:rPr>
                            <w:rFonts w:ascii="Cambria Math" w:hAnsi="Cambria Math"/>
                          </w:rPr>
                          <m:t>l,s4</m:t>
                        </m:r>
                      </m:sub>
                    </m:sSub>
                  </m:den>
                </m:f>
              </m:oMath>
            </m:oMathPara>
          </w:p>
        </w:tc>
        <w:tc>
          <w:tcPr>
            <w:tcW w:w="785" w:type="dxa"/>
            <w:vAlign w:val="center"/>
            <w:hideMark/>
          </w:tcPr>
          <w:p w14:paraId="6DCF538F" w14:textId="77777777" w:rsidR="00A7521D" w:rsidRDefault="00A7521D" w:rsidP="00A7521D">
            <w:pPr>
              <w:pStyle w:val="Caption"/>
              <w:jc w:val="right"/>
              <w:rPr>
                <w:b w:val="0"/>
              </w:rPr>
            </w:pPr>
          </w:p>
        </w:tc>
        <w:tc>
          <w:tcPr>
            <w:tcW w:w="785" w:type="dxa"/>
            <w:vAlign w:val="center"/>
          </w:tcPr>
          <w:p w14:paraId="45C592C1" w14:textId="042CE277" w:rsidR="00A7521D" w:rsidRDefault="00A7521D" w:rsidP="00A7521D">
            <w:pPr>
              <w:pStyle w:val="Caption"/>
              <w:jc w:val="right"/>
              <w:rPr>
                <w:b w:val="0"/>
              </w:rPr>
            </w:pPr>
            <w:r>
              <w:rPr>
                <w:noProof/>
              </w:rPr>
              <w:fldChar w:fldCharType="begin"/>
            </w:r>
            <w:r>
              <w:rPr>
                <w:noProof/>
              </w:rPr>
              <w:instrText xml:space="preserve"> STYLEREF 1 \s </w:instrText>
            </w:r>
            <w:r>
              <w:rPr>
                <w:noProof/>
              </w:rPr>
              <w:fldChar w:fldCharType="separate"/>
            </w:r>
            <w:r w:rsidR="00CB7456">
              <w:rPr>
                <w:noProof/>
              </w:rPr>
              <w:t>13</w:t>
            </w:r>
            <w:r>
              <w:rPr>
                <w:noProof/>
              </w:rPr>
              <w:fldChar w:fldCharType="end"/>
            </w:r>
            <w:r>
              <w:rPr>
                <w:noProof/>
              </w:rPr>
              <w:t>.</w:t>
            </w:r>
            <w:r>
              <w:rPr>
                <w:noProof/>
              </w:rPr>
              <w:fldChar w:fldCharType="begin"/>
            </w:r>
            <w:r>
              <w:rPr>
                <w:noProof/>
              </w:rPr>
              <w:instrText xml:space="preserve"> SEQ Equation \* ARABIC \s 1 </w:instrText>
            </w:r>
            <w:r>
              <w:rPr>
                <w:noProof/>
              </w:rPr>
              <w:fldChar w:fldCharType="separate"/>
            </w:r>
            <w:r w:rsidR="00CB7456">
              <w:rPr>
                <w:noProof/>
              </w:rPr>
              <w:t>79</w:t>
            </w:r>
            <w:r>
              <w:rPr>
                <w:noProof/>
              </w:rPr>
              <w:fldChar w:fldCharType="end"/>
            </w:r>
          </w:p>
        </w:tc>
      </w:tr>
    </w:tbl>
    <w:p w14:paraId="3F6316DD" w14:textId="77777777" w:rsidR="00A7521D" w:rsidRDefault="00A7521D" w:rsidP="00A7521D">
      <w:pPr>
        <w:rPr>
          <w:iCs/>
        </w:rPr>
      </w:pPr>
    </w:p>
    <w:p w14:paraId="577100C3" w14:textId="77777777" w:rsidR="00A7521D" w:rsidRDefault="00C73E04" w:rsidP="00A7521D">
      <w:pPr>
        <w:pStyle w:val="NoSpacing"/>
      </w:pPr>
      <m:oMath>
        <m:sSub>
          <m:sSubPr>
            <m:ctrlPr>
              <w:rPr>
                <w:rFonts w:ascii="Cambria Math" w:hAnsi="Cambria Math"/>
                <w:i/>
              </w:rPr>
            </m:ctrlPr>
          </m:sSubPr>
          <m:e>
            <m:r>
              <w:rPr>
                <w:rFonts w:ascii="Cambria Math" w:hAnsi="Cambria Math"/>
              </w:rPr>
              <m:t>α</m:t>
            </m:r>
          </m:e>
          <m:sub>
            <m:r>
              <w:rPr>
                <w:rFonts w:ascii="Cambria Math" w:hAnsi="Cambria Math"/>
              </w:rPr>
              <m:t>4</m:t>
            </m:r>
          </m:sub>
        </m:sSub>
      </m:oMath>
      <w:r w:rsidR="00A7521D">
        <w:t xml:space="preserve"> was a constant.</w:t>
      </w:r>
    </w:p>
    <w:p w14:paraId="253728EF" w14:textId="77777777" w:rsidR="00A7521D" w:rsidRDefault="00C73E04" w:rsidP="00A7521D">
      <w:pPr>
        <w:pStyle w:val="NoSpacing"/>
      </w:pPr>
      <m:oMath>
        <m:sSub>
          <m:sSubPr>
            <m:ctrlPr>
              <w:rPr>
                <w:rFonts w:ascii="Cambria Math" w:hAnsi="Cambria Math"/>
                <w:i/>
                <w:iCs/>
              </w:rPr>
            </m:ctrlPr>
          </m:sSubPr>
          <m:e>
            <m:r>
              <w:rPr>
                <w:rFonts w:ascii="Cambria Math" w:hAnsi="Cambria Math"/>
              </w:rPr>
              <m:t>s</m:t>
            </m:r>
          </m:e>
          <m:sub>
            <m:r>
              <w:rPr>
                <w:rFonts w:ascii="Cambria Math" w:hAnsi="Cambria Math"/>
              </w:rPr>
              <m:t>l,s4</m:t>
            </m:r>
          </m:sub>
        </m:sSub>
      </m:oMath>
      <w:r w:rsidR="00A7521D">
        <w:rPr>
          <w:iCs/>
        </w:rPr>
        <w:t xml:space="preserve"> was the liquid entropy of </w:t>
      </w:r>
      <w:r w:rsidR="00A7521D">
        <w:t>the working fluid after the turbine (kJ/[</w:t>
      </w:r>
      <w:proofErr w:type="spellStart"/>
      <w:r w:rsidR="00A7521D">
        <w:t>kgK</w:t>
      </w:r>
      <w:proofErr w:type="spellEnd"/>
      <w:r w:rsidR="00A7521D">
        <w:t>]),</w:t>
      </w:r>
    </w:p>
    <w:p w14:paraId="502A2879" w14:textId="2C518931" w:rsidR="00A7521D" w:rsidRDefault="00C73E04" w:rsidP="00A7521D">
      <m:oMath>
        <m:sSub>
          <m:sSubPr>
            <m:ctrlPr>
              <w:rPr>
                <w:rFonts w:ascii="Cambria Math" w:hAnsi="Cambria Math"/>
                <w:i/>
                <w:iCs/>
              </w:rPr>
            </m:ctrlPr>
          </m:sSubPr>
          <m:e>
            <m:r>
              <w:rPr>
                <w:rFonts w:ascii="Cambria Math" w:hAnsi="Cambria Math"/>
              </w:rPr>
              <m:t>s</m:t>
            </m:r>
          </m:e>
          <m:sub>
            <m:r>
              <w:rPr>
                <w:rFonts w:ascii="Cambria Math" w:hAnsi="Cambria Math"/>
              </w:rPr>
              <m:t>v,s4</m:t>
            </m:r>
          </m:sub>
        </m:sSub>
      </m:oMath>
      <w:r w:rsidR="00A7521D">
        <w:rPr>
          <w:iCs/>
        </w:rPr>
        <w:t xml:space="preserve"> was the vapour entropy of </w:t>
      </w:r>
      <w:r w:rsidR="00A7521D">
        <w:t>the working fluid after the turbine (kJ/[</w:t>
      </w:r>
      <w:proofErr w:type="spellStart"/>
      <w:r w:rsidR="00A7521D">
        <w:t>kgK</w:t>
      </w:r>
      <w:proofErr w:type="spellEnd"/>
      <w:r w:rsidR="00A7521D">
        <w:t>]).</w:t>
      </w:r>
    </w:p>
    <w:p w14:paraId="4F08DCB7" w14:textId="3772645B" w:rsidR="003468E9" w:rsidRDefault="00C73E04" w:rsidP="00A7521D">
      <m:oMath>
        <m:sSub>
          <m:sSubPr>
            <m:ctrlPr>
              <w:rPr>
                <w:rFonts w:ascii="Cambria Math" w:hAnsi="Cambria Math"/>
                <w:i/>
              </w:rPr>
            </m:ctrlPr>
          </m:sSubPr>
          <m:e>
            <m:r>
              <w:rPr>
                <w:rFonts w:ascii="Cambria Math" w:hAnsi="Cambria Math"/>
              </w:rPr>
              <m:t>α</m:t>
            </m:r>
          </m:e>
          <m:sub>
            <m:r>
              <w:rPr>
                <w:rFonts w:ascii="Cambria Math" w:hAnsi="Cambria Math"/>
              </w:rPr>
              <m:t>4</m:t>
            </m:r>
          </m:sub>
        </m:sSub>
      </m:oMath>
      <w:r w:rsidR="003468E9">
        <w:t xml:space="preserve"> was dependent on the specific entropy of the working fluid after the turbine, </w:t>
      </w:r>
      <w:r w:rsidR="003468E9">
        <w:rPr>
          <w:iCs/>
        </w:rPr>
        <w:t xml:space="preserve">the liquid entropy of </w:t>
      </w:r>
      <w:r w:rsidR="003468E9">
        <w:t xml:space="preserve">the working fluid after the turbine and </w:t>
      </w:r>
      <w:r w:rsidR="003468E9">
        <w:rPr>
          <w:iCs/>
        </w:rPr>
        <w:t xml:space="preserve">the vapour entropy of </w:t>
      </w:r>
      <w:r w:rsidR="003468E9">
        <w:t xml:space="preserve">the working fluid after the turbine. The liquid and vapour entropies </w:t>
      </w:r>
      <w:r w:rsidR="003468E9">
        <w:rPr>
          <w:iCs/>
        </w:rPr>
        <w:t xml:space="preserve">of </w:t>
      </w:r>
      <w:r w:rsidR="003468E9">
        <w:t>the working fluid after the turbine came from either steam tables or the NIST software.</w:t>
      </w:r>
    </w:p>
    <w:tbl>
      <w:tblPr>
        <w:tblStyle w:val="TableGrid"/>
        <w:tblW w:w="5095"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82"/>
        <w:gridCol w:w="786"/>
        <w:gridCol w:w="786"/>
      </w:tblGrid>
      <w:tr w:rsidR="00A7521D" w14:paraId="21FA8740" w14:textId="77777777" w:rsidTr="00A7521D">
        <w:tc>
          <w:tcPr>
            <w:tcW w:w="6782" w:type="dxa"/>
            <w:hideMark/>
          </w:tcPr>
          <w:p w14:paraId="7C5F8704" w14:textId="4BCCAFBA" w:rsidR="00A7521D" w:rsidRDefault="00C73E04" w:rsidP="00A7521D">
            <w:pPr>
              <w:keepNext/>
              <w:rPr>
                <w:color w:val="FFFFFF"/>
              </w:rPr>
            </w:pPr>
            <m:oMathPara>
              <m:oMathParaPr>
                <m:jc m:val="left"/>
              </m:oMathParaPr>
              <m:oMath>
                <m:sSub>
                  <m:sSubPr>
                    <m:ctrlPr>
                      <w:rPr>
                        <w:rFonts w:ascii="Cambria Math" w:hAnsi="Cambria Math"/>
                        <w:i/>
                        <w:iCs/>
                      </w:rPr>
                    </m:ctrlPr>
                  </m:sSubPr>
                  <m:e>
                    <m:r>
                      <w:rPr>
                        <w:rFonts w:ascii="Cambria Math" w:hAnsi="Cambria Math"/>
                      </w:rPr>
                      <m:t>H</m:t>
                    </m:r>
                  </m:e>
                  <m:sub>
                    <m:r>
                      <w:rPr>
                        <w:rFonts w:ascii="Cambria Math" w:hAnsi="Cambria Math"/>
                      </w:rPr>
                      <m:t>4</m:t>
                    </m:r>
                  </m:sub>
                </m:sSub>
                <m:r>
                  <w:rPr>
                    <w:rFonts w:ascii="Cambria Math" w:hAnsi="Cambria Math"/>
                  </w:rPr>
                  <m:t>=</m:t>
                </m:r>
                <m:sSub>
                  <m:sSubPr>
                    <m:ctrlPr>
                      <w:rPr>
                        <w:rFonts w:ascii="Cambria Math" w:hAnsi="Cambria Math"/>
                        <w:i/>
                        <w:iCs/>
                      </w:rPr>
                    </m:ctrlPr>
                  </m:sSubPr>
                  <m:e>
                    <m:r>
                      <w:rPr>
                        <w:rFonts w:ascii="Cambria Math" w:hAnsi="Cambria Math"/>
                      </w:rPr>
                      <m:t>H</m:t>
                    </m:r>
                  </m:e>
                  <m:sub>
                    <m:r>
                      <w:rPr>
                        <w:rFonts w:ascii="Cambria Math" w:hAnsi="Cambria Math"/>
                      </w:rPr>
                      <m:t>v,s4</m:t>
                    </m:r>
                  </m:sub>
                </m:sSub>
                <m:r>
                  <w:rPr>
                    <w:rFonts w:ascii="Cambria Math" w:hAnsi="Cambria Math"/>
                  </w:rPr>
                  <m:t>+</m:t>
                </m:r>
                <m:sSub>
                  <m:sSubPr>
                    <m:ctrlPr>
                      <w:rPr>
                        <w:rFonts w:ascii="Cambria Math" w:hAnsi="Cambria Math"/>
                        <w:i/>
                        <w:iCs/>
                      </w:rPr>
                    </m:ctrlPr>
                  </m:sSubPr>
                  <m:e>
                    <m:r>
                      <w:rPr>
                        <w:rFonts w:ascii="Cambria Math" w:hAnsi="Cambria Math"/>
                      </w:rPr>
                      <m:t>α</m:t>
                    </m:r>
                  </m:e>
                  <m:sub>
                    <m:r>
                      <w:rPr>
                        <w:rFonts w:ascii="Cambria Math" w:hAnsi="Cambria Math"/>
                      </w:rPr>
                      <m:t>4</m:t>
                    </m:r>
                  </m:sub>
                </m:sSub>
                <m:sSub>
                  <m:sSubPr>
                    <m:ctrlPr>
                      <w:rPr>
                        <w:rFonts w:ascii="Cambria Math" w:hAnsi="Cambria Math"/>
                        <w:i/>
                        <w:iCs/>
                      </w:rPr>
                    </m:ctrlPr>
                  </m:sSubPr>
                  <m:e>
                    <m:r>
                      <w:rPr>
                        <w:rFonts w:ascii="Cambria Math" w:hAnsi="Cambria Math"/>
                      </w:rPr>
                      <m:t>H</m:t>
                    </m:r>
                  </m:e>
                  <m:sub>
                    <m:r>
                      <w:rPr>
                        <w:rFonts w:ascii="Cambria Math" w:hAnsi="Cambria Math"/>
                      </w:rPr>
                      <m:t>v,s4</m:t>
                    </m:r>
                  </m:sub>
                </m:sSub>
              </m:oMath>
            </m:oMathPara>
          </w:p>
        </w:tc>
        <w:tc>
          <w:tcPr>
            <w:tcW w:w="786" w:type="dxa"/>
            <w:vAlign w:val="center"/>
            <w:hideMark/>
          </w:tcPr>
          <w:p w14:paraId="77CB9538" w14:textId="77777777" w:rsidR="00A7521D" w:rsidRDefault="00A7521D" w:rsidP="00A7521D">
            <w:pPr>
              <w:pStyle w:val="Caption"/>
              <w:jc w:val="right"/>
              <w:rPr>
                <w:b w:val="0"/>
              </w:rPr>
            </w:pPr>
          </w:p>
        </w:tc>
        <w:tc>
          <w:tcPr>
            <w:tcW w:w="786" w:type="dxa"/>
            <w:vAlign w:val="center"/>
          </w:tcPr>
          <w:p w14:paraId="58286D6B" w14:textId="21C8CDC4" w:rsidR="00A7521D" w:rsidRDefault="00A7521D" w:rsidP="00A7521D">
            <w:pPr>
              <w:pStyle w:val="Caption"/>
              <w:jc w:val="right"/>
              <w:rPr>
                <w:b w:val="0"/>
              </w:rPr>
            </w:pPr>
            <w:r>
              <w:rPr>
                <w:noProof/>
              </w:rPr>
              <w:fldChar w:fldCharType="begin"/>
            </w:r>
            <w:r>
              <w:rPr>
                <w:noProof/>
              </w:rPr>
              <w:instrText xml:space="preserve"> STYLEREF 1 \s </w:instrText>
            </w:r>
            <w:r>
              <w:rPr>
                <w:noProof/>
              </w:rPr>
              <w:fldChar w:fldCharType="separate"/>
            </w:r>
            <w:r w:rsidR="00CB7456">
              <w:rPr>
                <w:noProof/>
              </w:rPr>
              <w:t>13</w:t>
            </w:r>
            <w:r>
              <w:rPr>
                <w:noProof/>
              </w:rPr>
              <w:fldChar w:fldCharType="end"/>
            </w:r>
            <w:r>
              <w:rPr>
                <w:noProof/>
              </w:rPr>
              <w:t>.</w:t>
            </w:r>
            <w:r>
              <w:rPr>
                <w:noProof/>
              </w:rPr>
              <w:fldChar w:fldCharType="begin"/>
            </w:r>
            <w:r>
              <w:rPr>
                <w:noProof/>
              </w:rPr>
              <w:instrText xml:space="preserve"> SEQ Equation \* ARABIC \s 1 </w:instrText>
            </w:r>
            <w:r>
              <w:rPr>
                <w:noProof/>
              </w:rPr>
              <w:fldChar w:fldCharType="separate"/>
            </w:r>
            <w:r w:rsidR="00CB7456">
              <w:rPr>
                <w:noProof/>
              </w:rPr>
              <w:t>80</w:t>
            </w:r>
            <w:r>
              <w:rPr>
                <w:noProof/>
              </w:rPr>
              <w:fldChar w:fldCharType="end"/>
            </w:r>
          </w:p>
        </w:tc>
      </w:tr>
    </w:tbl>
    <w:p w14:paraId="232372E0" w14:textId="77777777" w:rsidR="00A7521D" w:rsidRDefault="00A7521D" w:rsidP="00A7521D"/>
    <w:p w14:paraId="21FABFF0" w14:textId="77777777" w:rsidR="00A7521D" w:rsidRDefault="00C73E04" w:rsidP="00A7521D">
      <w:pPr>
        <w:pStyle w:val="NoSpacing"/>
      </w:pPr>
      <m:oMath>
        <m:sSub>
          <m:sSubPr>
            <m:ctrlPr>
              <w:rPr>
                <w:rFonts w:ascii="Cambria Math" w:hAnsi="Cambria Math"/>
                <w:i/>
                <w:iCs/>
              </w:rPr>
            </m:ctrlPr>
          </m:sSubPr>
          <m:e>
            <m:r>
              <w:rPr>
                <w:rFonts w:ascii="Cambria Math" w:hAnsi="Cambria Math"/>
              </w:rPr>
              <m:t>H</m:t>
            </m:r>
          </m:e>
          <m:sub>
            <m:r>
              <w:rPr>
                <w:rFonts w:ascii="Cambria Math" w:hAnsi="Cambria Math"/>
              </w:rPr>
              <m:t>4</m:t>
            </m:r>
          </m:sub>
        </m:sSub>
      </m:oMath>
      <w:r w:rsidR="00A7521D">
        <w:rPr>
          <w:iCs/>
        </w:rPr>
        <w:t xml:space="preserve"> was the </w:t>
      </w:r>
      <w:r w:rsidR="00A7521D">
        <w:t xml:space="preserve">specific enthalpy of the working fluid after the </w:t>
      </w:r>
      <w:r w:rsidR="00A7521D" w:rsidRPr="00A65C71">
        <w:t>turbine</w:t>
      </w:r>
      <w:r w:rsidR="00A7521D">
        <w:t xml:space="preserve"> (kJ/kg),</w:t>
      </w:r>
    </w:p>
    <w:p w14:paraId="2BA21562" w14:textId="77777777" w:rsidR="00A7521D" w:rsidRDefault="00C73E04" w:rsidP="00A7521D">
      <w:pPr>
        <w:pStyle w:val="NoSpacing"/>
      </w:pPr>
      <m:oMath>
        <m:sSub>
          <m:sSubPr>
            <m:ctrlPr>
              <w:rPr>
                <w:rFonts w:ascii="Cambria Math" w:hAnsi="Cambria Math"/>
                <w:i/>
                <w:iCs/>
              </w:rPr>
            </m:ctrlPr>
          </m:sSubPr>
          <m:e>
            <m:r>
              <w:rPr>
                <w:rFonts w:ascii="Cambria Math" w:hAnsi="Cambria Math"/>
              </w:rPr>
              <m:t>H</m:t>
            </m:r>
          </m:e>
          <m:sub>
            <m:r>
              <w:rPr>
                <w:rFonts w:ascii="Cambria Math" w:hAnsi="Cambria Math"/>
              </w:rPr>
              <m:t>l,s4</m:t>
            </m:r>
          </m:sub>
        </m:sSub>
      </m:oMath>
      <w:r w:rsidR="00A7521D">
        <w:rPr>
          <w:iCs/>
        </w:rPr>
        <w:t xml:space="preserve"> was the liquid en</w:t>
      </w:r>
      <w:proofErr w:type="spellStart"/>
      <w:r w:rsidR="00A7521D">
        <w:rPr>
          <w:iCs/>
        </w:rPr>
        <w:t>thalpy</w:t>
      </w:r>
      <w:proofErr w:type="spellEnd"/>
      <w:r w:rsidR="00A7521D">
        <w:rPr>
          <w:iCs/>
        </w:rPr>
        <w:t xml:space="preserve"> of the </w:t>
      </w:r>
      <w:r w:rsidR="00A7521D">
        <w:t xml:space="preserve">working fluid </w:t>
      </w:r>
      <w:r w:rsidR="00A7521D" w:rsidRPr="00A65C71">
        <w:t>after</w:t>
      </w:r>
      <w:r w:rsidR="00A7521D">
        <w:t xml:space="preserve"> the turbine (kJ/kg),</w:t>
      </w:r>
    </w:p>
    <w:p w14:paraId="041B171D" w14:textId="55795A56" w:rsidR="00A7521D" w:rsidRDefault="00C73E04" w:rsidP="00A7521D">
      <m:oMath>
        <m:sSub>
          <m:sSubPr>
            <m:ctrlPr>
              <w:rPr>
                <w:rFonts w:ascii="Cambria Math" w:hAnsi="Cambria Math"/>
                <w:i/>
                <w:iCs/>
              </w:rPr>
            </m:ctrlPr>
          </m:sSubPr>
          <m:e>
            <m:r>
              <w:rPr>
                <w:rFonts w:ascii="Cambria Math" w:hAnsi="Cambria Math"/>
              </w:rPr>
              <m:t>H</m:t>
            </m:r>
          </m:e>
          <m:sub>
            <m:r>
              <w:rPr>
                <w:rFonts w:ascii="Cambria Math" w:hAnsi="Cambria Math"/>
              </w:rPr>
              <m:t>v,s4</m:t>
            </m:r>
          </m:sub>
        </m:sSub>
      </m:oMath>
      <w:r w:rsidR="00A7521D">
        <w:rPr>
          <w:iCs/>
        </w:rPr>
        <w:t xml:space="preserve"> was the vapour enthalpy of the </w:t>
      </w:r>
      <w:r w:rsidR="00A7521D">
        <w:t>working fluid after the turbine (kJ/kg).</w:t>
      </w:r>
    </w:p>
    <w:p w14:paraId="2589F38B" w14:textId="64D0078D" w:rsidR="00D66689" w:rsidRDefault="00D66689" w:rsidP="00D66689">
      <w:r>
        <w:t xml:space="preserve">The specific enthalpy of the working fluid after the </w:t>
      </w:r>
      <w:r w:rsidRPr="00A65C71">
        <w:t>turbine</w:t>
      </w:r>
      <w:r>
        <w:t xml:space="preserve"> was dependent on </w:t>
      </w:r>
      <w:r>
        <w:rPr>
          <w:iCs/>
        </w:rPr>
        <w:t xml:space="preserve">the liquid enthalpy of the </w:t>
      </w:r>
      <w:r>
        <w:t xml:space="preserve">working fluid </w:t>
      </w:r>
      <w:r w:rsidRPr="00A65C71">
        <w:t>after</w:t>
      </w:r>
      <w:r>
        <w:t xml:space="preserve"> the turbine and </w:t>
      </w:r>
      <w:r>
        <w:rPr>
          <w:iCs/>
        </w:rPr>
        <w:t xml:space="preserve">the vapour enthalpy of the </w:t>
      </w:r>
      <w:r>
        <w:t xml:space="preserve">working fluid after the turbine. The liquid and vapour enthalpies </w:t>
      </w:r>
      <w:r>
        <w:rPr>
          <w:iCs/>
        </w:rPr>
        <w:t xml:space="preserve">of </w:t>
      </w:r>
      <w:r>
        <w:t>the working fluid after the turbine came from either steam tables or the NIST software.</w:t>
      </w:r>
    </w:p>
    <w:tbl>
      <w:tblPr>
        <w:tblStyle w:val="TableGrid"/>
        <w:tblW w:w="5096"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79"/>
        <w:gridCol w:w="788"/>
        <w:gridCol w:w="788"/>
      </w:tblGrid>
      <w:tr w:rsidR="00A7521D" w14:paraId="591C5EC0" w14:textId="77777777" w:rsidTr="00D66689">
        <w:tc>
          <w:tcPr>
            <w:tcW w:w="6779" w:type="dxa"/>
            <w:hideMark/>
          </w:tcPr>
          <w:p w14:paraId="1E526417" w14:textId="77777777" w:rsidR="00A7521D" w:rsidRDefault="00A7521D" w:rsidP="00A7521D">
            <w:pPr>
              <w:keepNext/>
              <w:rPr>
                <w:color w:val="FFFFFF"/>
              </w:rPr>
            </w:pPr>
            <m:oMathPara>
              <m:oMathParaPr>
                <m:jc m:val="left"/>
              </m:oMathParaPr>
              <m:oMath>
                <m:r>
                  <w:rPr>
                    <w:rFonts w:ascii="Cambria Math" w:hAnsi="Cambria Math"/>
                  </w:rPr>
                  <m:t>∆</m:t>
                </m:r>
                <m:sSub>
                  <m:sSubPr>
                    <m:ctrlPr>
                      <w:rPr>
                        <w:rFonts w:ascii="Cambria Math" w:hAnsi="Cambria Math"/>
                        <w:i/>
                        <w:iCs/>
                      </w:rPr>
                    </m:ctrlPr>
                  </m:sSubPr>
                  <m:e>
                    <m:r>
                      <w:rPr>
                        <w:rFonts w:ascii="Cambria Math" w:hAnsi="Cambria Math"/>
                      </w:rPr>
                      <m:t>P</m:t>
                    </m:r>
                  </m:e>
                  <m:sub>
                    <m:r>
                      <w:rPr>
                        <w:rFonts w:ascii="Cambria Math" w:hAnsi="Cambria Math"/>
                      </w:rPr>
                      <m:t>s1</m:t>
                    </m:r>
                  </m:sub>
                </m:sSub>
                <m:r>
                  <w:rPr>
                    <w:rFonts w:ascii="Cambria Math" w:hAnsi="Cambria Math"/>
                  </w:rPr>
                  <m:t>=</m:t>
                </m:r>
                <m:sSub>
                  <m:sSubPr>
                    <m:ctrlPr>
                      <w:rPr>
                        <w:rFonts w:ascii="Cambria Math" w:hAnsi="Cambria Math"/>
                        <w:i/>
                        <w:iCs/>
                      </w:rPr>
                    </m:ctrlPr>
                  </m:sSubPr>
                  <m:e>
                    <m:r>
                      <w:rPr>
                        <w:rFonts w:ascii="Cambria Math" w:hAnsi="Cambria Math"/>
                      </w:rPr>
                      <m:t>∆P</m:t>
                    </m:r>
                  </m:e>
                  <m:sub>
                    <m:r>
                      <w:rPr>
                        <w:rFonts w:ascii="Cambria Math" w:hAnsi="Cambria Math"/>
                      </w:rPr>
                      <m:t>s4</m:t>
                    </m:r>
                  </m:sub>
                </m:sSub>
              </m:oMath>
            </m:oMathPara>
          </w:p>
        </w:tc>
        <w:tc>
          <w:tcPr>
            <w:tcW w:w="788" w:type="dxa"/>
            <w:vAlign w:val="center"/>
            <w:hideMark/>
          </w:tcPr>
          <w:p w14:paraId="59D694CE" w14:textId="77777777" w:rsidR="00A7521D" w:rsidRDefault="00A7521D" w:rsidP="00A7521D">
            <w:pPr>
              <w:pStyle w:val="Caption"/>
              <w:jc w:val="right"/>
              <w:rPr>
                <w:b w:val="0"/>
              </w:rPr>
            </w:pPr>
          </w:p>
        </w:tc>
        <w:tc>
          <w:tcPr>
            <w:tcW w:w="788" w:type="dxa"/>
            <w:vAlign w:val="center"/>
          </w:tcPr>
          <w:p w14:paraId="1817837F" w14:textId="4E8B553A" w:rsidR="00A7521D" w:rsidRDefault="00A7521D" w:rsidP="00A7521D">
            <w:pPr>
              <w:pStyle w:val="Caption"/>
              <w:jc w:val="right"/>
              <w:rPr>
                <w:b w:val="0"/>
              </w:rPr>
            </w:pPr>
            <w:r>
              <w:rPr>
                <w:noProof/>
              </w:rPr>
              <w:fldChar w:fldCharType="begin"/>
            </w:r>
            <w:r>
              <w:rPr>
                <w:noProof/>
              </w:rPr>
              <w:instrText xml:space="preserve"> STYLEREF 1 \s </w:instrText>
            </w:r>
            <w:r>
              <w:rPr>
                <w:noProof/>
              </w:rPr>
              <w:fldChar w:fldCharType="separate"/>
            </w:r>
            <w:r w:rsidR="00CB7456">
              <w:rPr>
                <w:noProof/>
              </w:rPr>
              <w:t>13</w:t>
            </w:r>
            <w:r>
              <w:rPr>
                <w:noProof/>
              </w:rPr>
              <w:fldChar w:fldCharType="end"/>
            </w:r>
            <w:r>
              <w:rPr>
                <w:noProof/>
              </w:rPr>
              <w:t>.</w:t>
            </w:r>
            <w:r>
              <w:rPr>
                <w:noProof/>
              </w:rPr>
              <w:fldChar w:fldCharType="begin"/>
            </w:r>
            <w:r>
              <w:rPr>
                <w:noProof/>
              </w:rPr>
              <w:instrText xml:space="preserve"> SEQ Equation \* ARABIC \s 1 </w:instrText>
            </w:r>
            <w:r>
              <w:rPr>
                <w:noProof/>
              </w:rPr>
              <w:fldChar w:fldCharType="separate"/>
            </w:r>
            <w:r w:rsidR="00CB7456">
              <w:rPr>
                <w:noProof/>
              </w:rPr>
              <w:t>81</w:t>
            </w:r>
            <w:r>
              <w:rPr>
                <w:noProof/>
              </w:rPr>
              <w:fldChar w:fldCharType="end"/>
            </w:r>
          </w:p>
        </w:tc>
      </w:tr>
    </w:tbl>
    <w:p w14:paraId="306BCDC2" w14:textId="77777777" w:rsidR="00A7521D" w:rsidRDefault="00A7521D" w:rsidP="00A7521D"/>
    <w:p w14:paraId="32C1556F" w14:textId="77777777" w:rsidR="00A7521D" w:rsidRDefault="00A7521D" w:rsidP="00A7521D">
      <w:pPr>
        <w:pStyle w:val="NoSpacing"/>
      </w:pPr>
      <m:oMath>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s1</m:t>
            </m:r>
          </m:sub>
        </m:sSub>
      </m:oMath>
      <w:r>
        <w:t xml:space="preserve"> was the pressure of the working fluid in a saturated state (kPa),</w:t>
      </w:r>
    </w:p>
    <w:p w14:paraId="3DF74184" w14:textId="1BBE95CD" w:rsidR="00A7521D" w:rsidRDefault="00C73E04" w:rsidP="00A7521D">
      <w:pPr>
        <w:rPr>
          <w:iCs/>
        </w:rPr>
      </w:pPr>
      <m:oMath>
        <m:sSub>
          <m:sSubPr>
            <m:ctrlPr>
              <w:rPr>
                <w:rFonts w:ascii="Cambria Math" w:hAnsi="Cambria Math"/>
                <w:i/>
                <w:iCs/>
              </w:rPr>
            </m:ctrlPr>
          </m:sSubPr>
          <m:e>
            <m:r>
              <w:rPr>
                <w:rFonts w:ascii="Cambria Math" w:hAnsi="Cambria Math"/>
              </w:rPr>
              <m:t>∆P</m:t>
            </m:r>
          </m:e>
          <m:sub>
            <m:r>
              <w:rPr>
                <w:rFonts w:ascii="Cambria Math" w:hAnsi="Cambria Math"/>
              </w:rPr>
              <m:t>s4</m:t>
            </m:r>
          </m:sub>
        </m:sSub>
      </m:oMath>
      <w:r w:rsidR="00A7521D">
        <w:rPr>
          <w:iCs/>
        </w:rPr>
        <w:t xml:space="preserve"> was the pressure of the working fluid </w:t>
      </w:r>
      <w:r w:rsidR="00A7521D">
        <w:t>after the turbine</w:t>
      </w:r>
      <w:r w:rsidR="00A7521D">
        <w:rPr>
          <w:iCs/>
        </w:rPr>
        <w:t xml:space="preserve"> (kPa).</w:t>
      </w:r>
    </w:p>
    <w:p w14:paraId="79858A53" w14:textId="0D8B7E72" w:rsidR="00D66689" w:rsidRDefault="00D66689" w:rsidP="00A7521D">
      <w:pPr>
        <w:rPr>
          <w:iCs/>
        </w:rPr>
      </w:pPr>
      <w:r>
        <w:rPr>
          <w:iCs/>
        </w:rPr>
        <w:t xml:space="preserve">The pressure </w:t>
      </w:r>
      <w:r>
        <w:t xml:space="preserve">of the working fluid in a saturated state was dependent on </w:t>
      </w:r>
      <w:r>
        <w:rPr>
          <w:iCs/>
        </w:rPr>
        <w:t xml:space="preserve">the pressure of the working fluid </w:t>
      </w:r>
      <w:r>
        <w:t xml:space="preserve">after the turbine. </w:t>
      </w:r>
      <w:r>
        <w:rPr>
          <w:iCs/>
        </w:rPr>
        <w:t xml:space="preserve">The pressure of the working fluid </w:t>
      </w:r>
      <w:r>
        <w:t xml:space="preserve">after the turbine was </w:t>
      </w:r>
      <w:r>
        <w:rPr>
          <w:iCs/>
        </w:rPr>
        <w:t>calculated during the modelling of the HEXs or the FH.</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51"/>
        <w:gridCol w:w="768"/>
        <w:gridCol w:w="779"/>
      </w:tblGrid>
      <w:tr w:rsidR="00A7521D" w14:paraId="5A2CD4E7" w14:textId="77777777" w:rsidTr="00A7521D">
        <w:tc>
          <w:tcPr>
            <w:tcW w:w="6785" w:type="dxa"/>
            <w:hideMark/>
          </w:tcPr>
          <w:p w14:paraId="519935A6" w14:textId="77777777" w:rsidR="00A7521D" w:rsidRDefault="00C73E04" w:rsidP="00A7521D">
            <w:pPr>
              <w:keepNext/>
              <w:rPr>
                <w:color w:val="FFFFFF"/>
              </w:rPr>
            </w:pPr>
            <m:oMathPara>
              <m:oMathParaPr>
                <m:jc m:val="left"/>
              </m:oMathParaPr>
              <m:oMath>
                <m:sSub>
                  <m:sSubPr>
                    <m:ctrlPr>
                      <w:rPr>
                        <w:rFonts w:ascii="Cambria Math" w:hAnsi="Cambria Math"/>
                        <w:i/>
                        <w:iCs/>
                      </w:rPr>
                    </m:ctrlPr>
                  </m:sSubPr>
                  <m:e>
                    <m:r>
                      <w:rPr>
                        <w:rFonts w:ascii="Cambria Math" w:hAnsi="Cambria Math"/>
                      </w:rPr>
                      <m:t>w</m:t>
                    </m:r>
                  </m:e>
                  <m:sub>
                    <m:r>
                      <w:rPr>
                        <w:rFonts w:ascii="Cambria Math" w:hAnsi="Cambria Math"/>
                      </w:rPr>
                      <m:t>pump</m:t>
                    </m:r>
                  </m:sub>
                </m:sSub>
                <m:r>
                  <w:rPr>
                    <w:rFonts w:ascii="Cambria Math" w:hAnsi="Cambria Math"/>
                  </w:rPr>
                  <m:t>=</m:t>
                </m:r>
                <m:f>
                  <m:fPr>
                    <m:ctrlPr>
                      <w:rPr>
                        <w:rFonts w:ascii="Cambria Math" w:hAnsi="Cambria Math"/>
                        <w:i/>
                        <w:iCs/>
                      </w:rPr>
                    </m:ctrlPr>
                  </m:fPr>
                  <m:num>
                    <m:d>
                      <m:dPr>
                        <m:ctrlPr>
                          <w:rPr>
                            <w:rFonts w:ascii="Cambria Math" w:hAnsi="Cambria Math"/>
                            <w:i/>
                            <w:iCs/>
                          </w:rPr>
                        </m:ctrlPr>
                      </m:dPr>
                      <m:e>
                        <m:sSub>
                          <m:sSubPr>
                            <m:ctrlPr>
                              <w:rPr>
                                <w:rFonts w:ascii="Cambria Math" w:hAnsi="Cambria Math"/>
                                <w:i/>
                                <w:iCs/>
                              </w:rPr>
                            </m:ctrlPr>
                          </m:sSubPr>
                          <m:e>
                            <m:r>
                              <w:rPr>
                                <w:rFonts w:ascii="Cambria Math" w:hAnsi="Cambria Math"/>
                              </w:rPr>
                              <m:t>∆P</m:t>
                            </m:r>
                          </m:e>
                          <m:sub>
                            <m:r>
                              <w:rPr>
                                <w:rFonts w:ascii="Cambria Math" w:hAnsi="Cambria Math"/>
                              </w:rPr>
                              <m:t>s1</m:t>
                            </m:r>
                          </m:sub>
                        </m:sSub>
                        <m:r>
                          <w:rPr>
                            <w:rFonts w:ascii="Cambria Math" w:hAnsi="Cambria Math"/>
                          </w:rPr>
                          <m:t>-</m:t>
                        </m:r>
                        <m:sSub>
                          <m:sSubPr>
                            <m:ctrlPr>
                              <w:rPr>
                                <w:rFonts w:ascii="Cambria Math" w:hAnsi="Cambria Math"/>
                                <w:i/>
                                <w:iCs/>
                              </w:rPr>
                            </m:ctrlPr>
                          </m:sSubPr>
                          <m:e>
                            <m:r>
                              <w:rPr>
                                <w:rFonts w:ascii="Cambria Math" w:hAnsi="Cambria Math"/>
                              </w:rPr>
                              <m:t>∆P</m:t>
                            </m:r>
                          </m:e>
                          <m:sub>
                            <m:r>
                              <w:rPr>
                                <w:rFonts w:ascii="Cambria Math" w:hAnsi="Cambria Math"/>
                              </w:rPr>
                              <m:t>s2</m:t>
                            </m:r>
                          </m:sub>
                        </m:sSub>
                      </m:e>
                    </m:d>
                  </m:num>
                  <m:den>
                    <m:sSub>
                      <m:sSubPr>
                        <m:ctrlPr>
                          <w:rPr>
                            <w:rFonts w:ascii="Cambria Math" w:hAnsi="Cambria Math"/>
                            <w:i/>
                            <w:iCs/>
                          </w:rPr>
                        </m:ctrlPr>
                      </m:sSubPr>
                      <m:e>
                        <m:r>
                          <w:rPr>
                            <w:rFonts w:ascii="Cambria Math" w:hAnsi="Cambria Math"/>
                          </w:rPr>
                          <m:t>ρ</m:t>
                        </m:r>
                      </m:e>
                      <m:sub>
                        <m:r>
                          <w:rPr>
                            <w:rFonts w:ascii="Cambria Math" w:hAnsi="Cambria Math"/>
                          </w:rPr>
                          <m:t>s1</m:t>
                        </m:r>
                      </m:sub>
                    </m:sSub>
                  </m:den>
                </m:f>
              </m:oMath>
            </m:oMathPara>
          </w:p>
        </w:tc>
        <w:tc>
          <w:tcPr>
            <w:tcW w:w="783" w:type="dxa"/>
            <w:vAlign w:val="center"/>
            <w:hideMark/>
          </w:tcPr>
          <w:p w14:paraId="7DAC1331" w14:textId="77777777" w:rsidR="00A7521D" w:rsidRDefault="00A7521D" w:rsidP="00A7521D">
            <w:pPr>
              <w:pStyle w:val="Caption"/>
              <w:jc w:val="right"/>
              <w:rPr>
                <w:b w:val="0"/>
              </w:rPr>
            </w:pPr>
          </w:p>
        </w:tc>
        <w:tc>
          <w:tcPr>
            <w:tcW w:w="783" w:type="dxa"/>
            <w:vAlign w:val="center"/>
          </w:tcPr>
          <w:p w14:paraId="4D694299" w14:textId="5621A340" w:rsidR="00A7521D" w:rsidRDefault="00A7521D" w:rsidP="00A7521D">
            <w:pPr>
              <w:pStyle w:val="Caption"/>
              <w:jc w:val="right"/>
              <w:rPr>
                <w:b w:val="0"/>
              </w:rPr>
            </w:pPr>
            <w:r>
              <w:rPr>
                <w:noProof/>
              </w:rPr>
              <w:fldChar w:fldCharType="begin"/>
            </w:r>
            <w:r>
              <w:rPr>
                <w:noProof/>
              </w:rPr>
              <w:instrText xml:space="preserve"> STYLEREF 1 \s </w:instrText>
            </w:r>
            <w:r>
              <w:rPr>
                <w:noProof/>
              </w:rPr>
              <w:fldChar w:fldCharType="separate"/>
            </w:r>
            <w:r w:rsidR="00CB7456">
              <w:rPr>
                <w:noProof/>
              </w:rPr>
              <w:t>13</w:t>
            </w:r>
            <w:r>
              <w:rPr>
                <w:noProof/>
              </w:rPr>
              <w:fldChar w:fldCharType="end"/>
            </w:r>
            <w:r>
              <w:rPr>
                <w:noProof/>
              </w:rPr>
              <w:t>.</w:t>
            </w:r>
            <w:r>
              <w:rPr>
                <w:noProof/>
              </w:rPr>
              <w:fldChar w:fldCharType="begin"/>
            </w:r>
            <w:r>
              <w:rPr>
                <w:noProof/>
              </w:rPr>
              <w:instrText xml:space="preserve"> SEQ Equation \* ARABIC \s 1 </w:instrText>
            </w:r>
            <w:r>
              <w:rPr>
                <w:noProof/>
              </w:rPr>
              <w:fldChar w:fldCharType="separate"/>
            </w:r>
            <w:r w:rsidR="00CB7456">
              <w:rPr>
                <w:noProof/>
              </w:rPr>
              <w:t>82</w:t>
            </w:r>
            <w:r>
              <w:rPr>
                <w:noProof/>
              </w:rPr>
              <w:fldChar w:fldCharType="end"/>
            </w:r>
          </w:p>
        </w:tc>
      </w:tr>
    </w:tbl>
    <w:p w14:paraId="04F07C49" w14:textId="77777777" w:rsidR="00A7521D" w:rsidRDefault="00A7521D" w:rsidP="00A7521D">
      <w:pPr>
        <w:rPr>
          <w:iCs/>
        </w:rPr>
      </w:pPr>
    </w:p>
    <w:p w14:paraId="18DCB23F" w14:textId="77777777" w:rsidR="00A7521D" w:rsidRDefault="00C73E04" w:rsidP="00A7521D">
      <w:pPr>
        <w:pStyle w:val="NoSpacing"/>
      </w:pPr>
      <m:oMath>
        <m:sSub>
          <m:sSubPr>
            <m:ctrlPr>
              <w:rPr>
                <w:rFonts w:ascii="Cambria Math" w:hAnsi="Cambria Math"/>
                <w:i/>
              </w:rPr>
            </m:ctrlPr>
          </m:sSubPr>
          <m:e>
            <m:r>
              <w:rPr>
                <w:rFonts w:ascii="Cambria Math" w:hAnsi="Cambria Math"/>
              </w:rPr>
              <m:t>w</m:t>
            </m:r>
          </m:e>
          <m:sub>
            <m:r>
              <w:rPr>
                <w:rFonts w:ascii="Cambria Math" w:hAnsi="Cambria Math"/>
              </w:rPr>
              <m:t>pump</m:t>
            </m:r>
          </m:sub>
        </m:sSub>
      </m:oMath>
      <w:r w:rsidR="00A7521D">
        <w:t xml:space="preserve"> was the work done by the pump in the RC or the ORC (kJ/kg),</w:t>
      </w:r>
    </w:p>
    <w:p w14:paraId="65AED76D" w14:textId="77777777" w:rsidR="00A7521D" w:rsidRDefault="00C73E04" w:rsidP="00A7521D">
      <w:pPr>
        <w:pStyle w:val="NoSpacing"/>
      </w:pPr>
      <m:oMath>
        <m:sSub>
          <m:sSubPr>
            <m:ctrlPr>
              <w:rPr>
                <w:rFonts w:ascii="Cambria Math" w:hAnsi="Cambria Math"/>
                <w:i/>
              </w:rPr>
            </m:ctrlPr>
          </m:sSubPr>
          <m:e>
            <m:r>
              <w:rPr>
                <w:rFonts w:ascii="Cambria Math" w:hAnsi="Cambria Math"/>
              </w:rPr>
              <m:t>ρ</m:t>
            </m:r>
          </m:e>
          <m:sub>
            <m:r>
              <w:rPr>
                <w:rFonts w:ascii="Cambria Math" w:hAnsi="Cambria Math"/>
              </w:rPr>
              <m:t>s1</m:t>
            </m:r>
          </m:sub>
        </m:sSub>
      </m:oMath>
      <w:r w:rsidR="00A7521D">
        <w:t xml:space="preserve"> was the density of the saturated liquid (kg/m</w:t>
      </w:r>
      <w:r w:rsidR="00A7521D">
        <w:rPr>
          <w:vertAlign w:val="superscript"/>
        </w:rPr>
        <w:t>3</w:t>
      </w:r>
      <w:r w:rsidR="00A7521D">
        <w:t>),</w:t>
      </w:r>
    </w:p>
    <w:p w14:paraId="7F8B67CE" w14:textId="3B7E86E0" w:rsidR="00A7521D" w:rsidRDefault="00C73E04" w:rsidP="00A7521D">
      <w:pPr>
        <w:rPr>
          <w:iCs/>
        </w:rPr>
      </w:pPr>
      <m:oMath>
        <m:sSub>
          <m:sSubPr>
            <m:ctrlPr>
              <w:rPr>
                <w:rFonts w:ascii="Cambria Math" w:hAnsi="Cambria Math"/>
                <w:i/>
                <w:iCs/>
              </w:rPr>
            </m:ctrlPr>
          </m:sSubPr>
          <m:e>
            <m:r>
              <w:rPr>
                <w:rFonts w:ascii="Cambria Math" w:hAnsi="Cambria Math"/>
              </w:rPr>
              <m:t>P</m:t>
            </m:r>
          </m:e>
          <m:sub>
            <m:r>
              <w:rPr>
                <w:rFonts w:ascii="Cambria Math" w:hAnsi="Cambria Math"/>
              </w:rPr>
              <m:t>s2</m:t>
            </m:r>
          </m:sub>
        </m:sSub>
      </m:oMath>
      <w:r w:rsidR="00A7521D">
        <w:rPr>
          <w:iCs/>
        </w:rPr>
        <w:t xml:space="preserve"> was the p</w:t>
      </w:r>
      <w:proofErr w:type="spellStart"/>
      <w:r w:rsidR="00A7521D">
        <w:rPr>
          <w:iCs/>
        </w:rPr>
        <w:t>ressure</w:t>
      </w:r>
      <w:proofErr w:type="spellEnd"/>
      <w:r w:rsidR="00A7521D">
        <w:rPr>
          <w:iCs/>
        </w:rPr>
        <w:t xml:space="preserve"> of the working fluid </w:t>
      </w:r>
      <w:r w:rsidR="00A7521D">
        <w:t>after the pump</w:t>
      </w:r>
      <w:r w:rsidR="00A7521D">
        <w:rPr>
          <w:iCs/>
        </w:rPr>
        <w:t xml:space="preserve"> (kPa).</w:t>
      </w:r>
    </w:p>
    <w:p w14:paraId="00090058" w14:textId="6833C5DE" w:rsidR="00D66689" w:rsidRPr="009414F9" w:rsidRDefault="00D66689" w:rsidP="00A7521D">
      <w:r>
        <w:t xml:space="preserve">The work done by the pump was dependent on the pressure of the working fluid in a saturated state, the </w:t>
      </w:r>
      <w:r>
        <w:rPr>
          <w:iCs/>
        </w:rPr>
        <w:t xml:space="preserve">pressure of the working fluid </w:t>
      </w:r>
      <w:r>
        <w:t xml:space="preserve">after the pump and the density of the saturated liquid. The </w:t>
      </w:r>
      <w:r>
        <w:rPr>
          <w:iCs/>
        </w:rPr>
        <w:t xml:space="preserve">pressure of the working fluid </w:t>
      </w:r>
      <w:r>
        <w:t xml:space="preserve">after the pump was </w:t>
      </w:r>
      <w:r>
        <w:rPr>
          <w:iCs/>
        </w:rPr>
        <w:t>calculated during the modelling of the HEXs or the FH. The density of the saturated liquid was dependent on the choice of the working fluid and the operating conditions.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16"/>
        <w:gridCol w:w="641"/>
        <w:gridCol w:w="641"/>
      </w:tblGrid>
      <w:tr w:rsidR="00A7521D" w14:paraId="54D5C090" w14:textId="77777777" w:rsidTr="00A7521D">
        <w:tc>
          <w:tcPr>
            <w:tcW w:w="6782" w:type="dxa"/>
            <w:hideMark/>
          </w:tcPr>
          <w:p w14:paraId="221A49AA" w14:textId="50CF25A8" w:rsidR="00A7521D" w:rsidRDefault="00C73E04" w:rsidP="00A7521D">
            <w:pPr>
              <w:keepNext/>
              <w:rPr>
                <w:color w:val="FFFFFF"/>
              </w:rPr>
            </w:pPr>
            <m:oMathPara>
              <m:oMathParaPr>
                <m:jc m:val="left"/>
              </m:oMathParaPr>
              <m:oMath>
                <m:sSub>
                  <m:sSubPr>
                    <m:ctrlPr>
                      <w:rPr>
                        <w:rFonts w:ascii="Cambria Math" w:hAnsi="Cambria Math"/>
                        <w:i/>
                        <w:iCs/>
                      </w:rPr>
                    </m:ctrlPr>
                  </m:sSubPr>
                  <m:e>
                    <m:r>
                      <w:rPr>
                        <w:rFonts w:ascii="Cambria Math" w:hAnsi="Cambria Math"/>
                      </w:rPr>
                      <m:t>H</m:t>
                    </m:r>
                  </m:e>
                  <m:sub>
                    <m:r>
                      <w:rPr>
                        <w:rFonts w:ascii="Cambria Math" w:hAnsi="Cambria Math"/>
                      </w:rPr>
                      <m:t>2</m:t>
                    </m:r>
                  </m:sub>
                </m:sSub>
                <m:r>
                  <w:rPr>
                    <w:rFonts w:ascii="Cambria Math" w:hAnsi="Cambria Math"/>
                  </w:rPr>
                  <m:t>=</m:t>
                </m:r>
                <m:sSub>
                  <m:sSubPr>
                    <m:ctrlPr>
                      <w:rPr>
                        <w:rFonts w:ascii="Cambria Math" w:hAnsi="Cambria Math"/>
                        <w:i/>
                        <w:iCs/>
                      </w:rPr>
                    </m:ctrlPr>
                  </m:sSubPr>
                  <m:e>
                    <m:r>
                      <w:rPr>
                        <w:rFonts w:ascii="Cambria Math" w:hAnsi="Cambria Math"/>
                      </w:rPr>
                      <m:t>H</m:t>
                    </m:r>
                  </m:e>
                  <m:sub>
                    <m:r>
                      <w:rPr>
                        <w:rFonts w:ascii="Cambria Math" w:hAnsi="Cambria Math"/>
                      </w:rPr>
                      <m:t>1</m:t>
                    </m:r>
                  </m:sub>
                </m:sSub>
                <m:r>
                  <w:rPr>
                    <w:rFonts w:ascii="Cambria Math" w:hAnsi="Cambria Math"/>
                  </w:rPr>
                  <m:t>-</m:t>
                </m:r>
                <m:sSub>
                  <m:sSubPr>
                    <m:ctrlPr>
                      <w:rPr>
                        <w:rFonts w:ascii="Cambria Math" w:hAnsi="Cambria Math"/>
                        <w:i/>
                        <w:iCs/>
                      </w:rPr>
                    </m:ctrlPr>
                  </m:sSubPr>
                  <m:e>
                    <m:r>
                      <w:rPr>
                        <w:rFonts w:ascii="Cambria Math" w:hAnsi="Cambria Math"/>
                      </w:rPr>
                      <m:t>w</m:t>
                    </m:r>
                  </m:e>
                  <m:sub>
                    <m:r>
                      <w:rPr>
                        <w:rFonts w:ascii="Cambria Math" w:hAnsi="Cambria Math"/>
                      </w:rPr>
                      <m:t>pump</m:t>
                    </m:r>
                  </m:sub>
                </m:sSub>
              </m:oMath>
            </m:oMathPara>
          </w:p>
        </w:tc>
        <w:tc>
          <w:tcPr>
            <w:tcW w:w="629" w:type="dxa"/>
            <w:vAlign w:val="center"/>
            <w:hideMark/>
          </w:tcPr>
          <w:p w14:paraId="6588D419" w14:textId="77777777" w:rsidR="00A7521D" w:rsidRDefault="00A7521D" w:rsidP="00A7521D">
            <w:pPr>
              <w:pStyle w:val="Caption"/>
              <w:jc w:val="right"/>
            </w:pPr>
          </w:p>
        </w:tc>
        <w:tc>
          <w:tcPr>
            <w:tcW w:w="629" w:type="dxa"/>
            <w:vAlign w:val="bottom"/>
          </w:tcPr>
          <w:p w14:paraId="4D3DBF03" w14:textId="238B27C4" w:rsidR="00A7521D" w:rsidRDefault="00A7521D" w:rsidP="00A7521D">
            <w:pPr>
              <w:pStyle w:val="Caption"/>
              <w:jc w:val="right"/>
            </w:pPr>
            <w:r>
              <w:rPr>
                <w:noProof/>
              </w:rPr>
              <w:fldChar w:fldCharType="begin"/>
            </w:r>
            <w:r>
              <w:rPr>
                <w:noProof/>
              </w:rPr>
              <w:instrText xml:space="preserve"> STYLEREF 1 \s </w:instrText>
            </w:r>
            <w:r>
              <w:rPr>
                <w:noProof/>
              </w:rPr>
              <w:fldChar w:fldCharType="separate"/>
            </w:r>
            <w:r w:rsidR="00CB7456">
              <w:rPr>
                <w:noProof/>
              </w:rPr>
              <w:t>13</w:t>
            </w:r>
            <w:r>
              <w:rPr>
                <w:noProof/>
              </w:rPr>
              <w:fldChar w:fldCharType="end"/>
            </w:r>
            <w:r>
              <w:rPr>
                <w:noProof/>
              </w:rPr>
              <w:t>.</w:t>
            </w:r>
            <w:r>
              <w:rPr>
                <w:noProof/>
              </w:rPr>
              <w:fldChar w:fldCharType="begin"/>
            </w:r>
            <w:r>
              <w:rPr>
                <w:noProof/>
              </w:rPr>
              <w:instrText xml:space="preserve"> SEQ Equation \* ARABIC \s 1 </w:instrText>
            </w:r>
            <w:r>
              <w:rPr>
                <w:noProof/>
              </w:rPr>
              <w:fldChar w:fldCharType="separate"/>
            </w:r>
            <w:r w:rsidR="00CB7456">
              <w:rPr>
                <w:noProof/>
              </w:rPr>
              <w:t>83</w:t>
            </w:r>
            <w:r>
              <w:rPr>
                <w:noProof/>
              </w:rPr>
              <w:fldChar w:fldCharType="end"/>
            </w:r>
          </w:p>
        </w:tc>
      </w:tr>
    </w:tbl>
    <w:p w14:paraId="2749326D" w14:textId="77777777" w:rsidR="00A7521D" w:rsidRDefault="00A7521D" w:rsidP="00A7521D">
      <w:pPr>
        <w:keepNext/>
      </w:pPr>
    </w:p>
    <w:p w14:paraId="3E203878" w14:textId="7097FC6F" w:rsidR="00A7521D" w:rsidRDefault="00C73E04" w:rsidP="00A7521D">
      <w:pPr>
        <w:pStyle w:val="NoSpacing"/>
      </w:pPr>
      <m:oMath>
        <m:sSub>
          <m:sSubPr>
            <m:ctrlPr>
              <w:rPr>
                <w:rFonts w:ascii="Cambria Math" w:hAnsi="Cambria Math"/>
                <w:i/>
                <w:iCs/>
              </w:rPr>
            </m:ctrlPr>
          </m:sSubPr>
          <m:e>
            <m:r>
              <w:rPr>
                <w:rFonts w:ascii="Cambria Math" w:hAnsi="Cambria Math"/>
              </w:rPr>
              <m:t>H</m:t>
            </m:r>
          </m:e>
          <m:sub>
            <m:r>
              <w:rPr>
                <w:rFonts w:ascii="Cambria Math" w:hAnsi="Cambria Math"/>
              </w:rPr>
              <m:t>2</m:t>
            </m:r>
          </m:sub>
        </m:sSub>
      </m:oMath>
      <w:r w:rsidR="00A7521D">
        <w:rPr>
          <w:iCs/>
        </w:rPr>
        <w:t xml:space="preserve"> was the specific </w:t>
      </w:r>
      <w:r w:rsidR="00A7521D" w:rsidRPr="00D84402">
        <w:t xml:space="preserve">enthalpy of the working fluid post </w:t>
      </w:r>
      <w:r w:rsidR="00A7521D">
        <w:t>pump (kJ/kg),</w:t>
      </w:r>
    </w:p>
    <w:p w14:paraId="75232843" w14:textId="11BC26F6" w:rsidR="00A7521D" w:rsidRDefault="00C73E04" w:rsidP="00A7521D">
      <m:oMath>
        <m:sSub>
          <m:sSubPr>
            <m:ctrlPr>
              <w:rPr>
                <w:rFonts w:ascii="Cambria Math" w:hAnsi="Cambria Math"/>
                <w:i/>
                <w:iCs/>
              </w:rPr>
            </m:ctrlPr>
          </m:sSubPr>
          <m:e>
            <m:r>
              <w:rPr>
                <w:rFonts w:ascii="Cambria Math" w:hAnsi="Cambria Math"/>
              </w:rPr>
              <m:t>H</m:t>
            </m:r>
          </m:e>
          <m:sub>
            <m:r>
              <w:rPr>
                <w:rFonts w:ascii="Cambria Math" w:hAnsi="Cambria Math"/>
              </w:rPr>
              <m:t>1</m:t>
            </m:r>
          </m:sub>
        </m:sSub>
      </m:oMath>
      <w:r w:rsidR="00A7521D">
        <w:rPr>
          <w:iCs/>
        </w:rPr>
        <w:t xml:space="preserve"> was the specific </w:t>
      </w:r>
      <w:r w:rsidR="00A7521D" w:rsidRPr="00D84402">
        <w:t xml:space="preserve">enthalpy of the </w:t>
      </w:r>
      <w:r w:rsidR="00A7521D">
        <w:t>saturated liquid (kJ/kg).</w:t>
      </w:r>
    </w:p>
    <w:p w14:paraId="58E68F03" w14:textId="67D77A7F" w:rsidR="00D66689" w:rsidRDefault="00D66689" w:rsidP="00A7521D">
      <w:r>
        <w:t xml:space="preserve">The </w:t>
      </w:r>
      <w:r>
        <w:rPr>
          <w:iCs/>
        </w:rPr>
        <w:t xml:space="preserve">specific </w:t>
      </w:r>
      <w:r w:rsidRPr="00D84402">
        <w:t xml:space="preserve">enthalpy of the working fluid post </w:t>
      </w:r>
      <w:r>
        <w:t xml:space="preserve">pump was dependent on the </w:t>
      </w:r>
      <w:r>
        <w:rPr>
          <w:iCs/>
        </w:rPr>
        <w:t xml:space="preserve">specific </w:t>
      </w:r>
      <w:r w:rsidRPr="00D84402">
        <w:t xml:space="preserve">enthalpy of the </w:t>
      </w:r>
      <w:r>
        <w:t xml:space="preserve">saturated liquid. The </w:t>
      </w:r>
      <w:r>
        <w:rPr>
          <w:iCs/>
        </w:rPr>
        <w:t xml:space="preserve">specific </w:t>
      </w:r>
      <w:r w:rsidRPr="00D84402">
        <w:t xml:space="preserve">enthalpy of the </w:t>
      </w:r>
      <w:r>
        <w:t>saturated liquid came from either steam tables or the NIST software.</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82"/>
        <w:gridCol w:w="629"/>
        <w:gridCol w:w="787"/>
      </w:tblGrid>
      <w:tr w:rsidR="00A7521D" w14:paraId="5BA06CBF" w14:textId="77777777" w:rsidTr="00A7521D">
        <w:tc>
          <w:tcPr>
            <w:tcW w:w="6782" w:type="dxa"/>
            <w:hideMark/>
          </w:tcPr>
          <w:p w14:paraId="60CC75EB" w14:textId="6FE9CBB0" w:rsidR="00A7521D" w:rsidRDefault="00C73E04" w:rsidP="00A7521D">
            <w:pPr>
              <w:keepNext/>
              <w:rPr>
                <w:color w:val="FFFFFF"/>
              </w:rPr>
            </w:pPr>
            <m:oMathPara>
              <m:oMathParaPr>
                <m:jc m:val="left"/>
              </m:oMathParaPr>
              <m:oMath>
                <m:sSub>
                  <m:sSubPr>
                    <m:ctrlPr>
                      <w:rPr>
                        <w:rFonts w:ascii="Cambria Math" w:hAnsi="Cambria Math"/>
                        <w:i/>
                        <w:iCs/>
                      </w:rPr>
                    </m:ctrlPr>
                  </m:sSubPr>
                  <m:e>
                    <m:r>
                      <w:rPr>
                        <w:rFonts w:ascii="Cambria Math" w:hAnsi="Cambria Math"/>
                      </w:rPr>
                      <m:t>w</m:t>
                    </m:r>
                  </m:e>
                  <m:sub>
                    <m:r>
                      <w:rPr>
                        <w:rFonts w:ascii="Cambria Math" w:hAnsi="Cambria Math"/>
                      </w:rPr>
                      <m:t>turbine</m:t>
                    </m:r>
                  </m:sub>
                </m:sSub>
                <m:r>
                  <w:rPr>
                    <w:rFonts w:ascii="Cambria Math" w:hAnsi="Cambria Math"/>
                  </w:rPr>
                  <m:t>=</m:t>
                </m:r>
                <m:sSub>
                  <m:sSubPr>
                    <m:ctrlPr>
                      <w:rPr>
                        <w:rFonts w:ascii="Cambria Math" w:hAnsi="Cambria Math"/>
                        <w:i/>
                        <w:iCs/>
                      </w:rPr>
                    </m:ctrlPr>
                  </m:sSubPr>
                  <m:e>
                    <m:r>
                      <w:rPr>
                        <w:rFonts w:ascii="Cambria Math" w:hAnsi="Cambria Math"/>
                      </w:rPr>
                      <m:t>H</m:t>
                    </m:r>
                  </m:e>
                  <m:sub>
                    <m:r>
                      <w:rPr>
                        <w:rFonts w:ascii="Cambria Math" w:hAnsi="Cambria Math"/>
                      </w:rPr>
                      <m:t>3</m:t>
                    </m:r>
                  </m:sub>
                </m:sSub>
                <m:r>
                  <w:rPr>
                    <w:rFonts w:ascii="Cambria Math" w:hAnsi="Cambria Math"/>
                  </w:rPr>
                  <m:t>-</m:t>
                </m:r>
                <m:sSub>
                  <m:sSubPr>
                    <m:ctrlPr>
                      <w:rPr>
                        <w:rFonts w:ascii="Cambria Math" w:hAnsi="Cambria Math"/>
                        <w:i/>
                        <w:iCs/>
                      </w:rPr>
                    </m:ctrlPr>
                  </m:sSubPr>
                  <m:e>
                    <m:r>
                      <w:rPr>
                        <w:rFonts w:ascii="Cambria Math" w:hAnsi="Cambria Math"/>
                      </w:rPr>
                      <m:t>H</m:t>
                    </m:r>
                  </m:e>
                  <m:sub>
                    <m:r>
                      <w:rPr>
                        <w:rFonts w:ascii="Cambria Math" w:hAnsi="Cambria Math"/>
                      </w:rPr>
                      <m:t>4</m:t>
                    </m:r>
                  </m:sub>
                </m:sSub>
              </m:oMath>
            </m:oMathPara>
          </w:p>
        </w:tc>
        <w:tc>
          <w:tcPr>
            <w:tcW w:w="629" w:type="dxa"/>
            <w:vAlign w:val="center"/>
            <w:hideMark/>
          </w:tcPr>
          <w:p w14:paraId="1ED4A1A6" w14:textId="77777777" w:rsidR="00A7521D" w:rsidRDefault="00A7521D" w:rsidP="00A7521D">
            <w:pPr>
              <w:pStyle w:val="Caption"/>
              <w:jc w:val="right"/>
            </w:pPr>
          </w:p>
        </w:tc>
        <w:tc>
          <w:tcPr>
            <w:tcW w:w="787" w:type="dxa"/>
            <w:vAlign w:val="center"/>
            <w:hideMark/>
          </w:tcPr>
          <w:p w14:paraId="5E4A18A5" w14:textId="794260DE" w:rsidR="00A7521D" w:rsidRDefault="00A7521D" w:rsidP="00A7521D">
            <w:pPr>
              <w:pStyle w:val="Caption"/>
              <w:jc w:val="right"/>
              <w:rPr>
                <w:b w:val="0"/>
              </w:rPr>
            </w:pPr>
            <w:r>
              <w:rPr>
                <w:noProof/>
              </w:rPr>
              <w:fldChar w:fldCharType="begin"/>
            </w:r>
            <w:r>
              <w:rPr>
                <w:noProof/>
              </w:rPr>
              <w:instrText xml:space="preserve"> STYLEREF 1 \s </w:instrText>
            </w:r>
            <w:r>
              <w:rPr>
                <w:noProof/>
              </w:rPr>
              <w:fldChar w:fldCharType="separate"/>
            </w:r>
            <w:r w:rsidR="00CB7456">
              <w:rPr>
                <w:noProof/>
              </w:rPr>
              <w:t>13</w:t>
            </w:r>
            <w:r>
              <w:rPr>
                <w:noProof/>
              </w:rPr>
              <w:fldChar w:fldCharType="end"/>
            </w:r>
            <w:r>
              <w:rPr>
                <w:noProof/>
              </w:rPr>
              <w:t>.</w:t>
            </w:r>
            <w:r>
              <w:rPr>
                <w:noProof/>
              </w:rPr>
              <w:fldChar w:fldCharType="begin"/>
            </w:r>
            <w:r>
              <w:rPr>
                <w:noProof/>
              </w:rPr>
              <w:instrText xml:space="preserve"> SEQ Equation \* ARABIC \s 1 </w:instrText>
            </w:r>
            <w:r>
              <w:rPr>
                <w:noProof/>
              </w:rPr>
              <w:fldChar w:fldCharType="separate"/>
            </w:r>
            <w:r w:rsidR="00CB7456">
              <w:rPr>
                <w:noProof/>
              </w:rPr>
              <w:t>84</w:t>
            </w:r>
            <w:r>
              <w:rPr>
                <w:noProof/>
              </w:rPr>
              <w:fldChar w:fldCharType="end"/>
            </w:r>
          </w:p>
        </w:tc>
      </w:tr>
    </w:tbl>
    <w:p w14:paraId="3478D06D" w14:textId="77777777" w:rsidR="00A7521D" w:rsidRDefault="00A7521D" w:rsidP="00A7521D"/>
    <w:p w14:paraId="19E0B4CD" w14:textId="77777777" w:rsidR="00A7521D" w:rsidRDefault="00C73E04" w:rsidP="00A7521D">
      <w:pPr>
        <w:pStyle w:val="NoSpacing"/>
      </w:pPr>
      <m:oMath>
        <m:sSub>
          <m:sSubPr>
            <m:ctrlPr>
              <w:rPr>
                <w:rFonts w:ascii="Cambria Math" w:hAnsi="Cambria Math"/>
                <w:i/>
                <w:iCs/>
              </w:rPr>
            </m:ctrlPr>
          </m:sSubPr>
          <m:e>
            <m:r>
              <w:rPr>
                <w:rFonts w:ascii="Cambria Math" w:hAnsi="Cambria Math"/>
              </w:rPr>
              <m:t>w</m:t>
            </m:r>
          </m:e>
          <m:sub>
            <m:r>
              <w:rPr>
                <w:rFonts w:ascii="Cambria Math" w:hAnsi="Cambria Math"/>
              </w:rPr>
              <m:t>turbine</m:t>
            </m:r>
          </m:sub>
        </m:sSub>
      </m:oMath>
      <w:r w:rsidR="00A7521D">
        <w:rPr>
          <w:iCs/>
        </w:rPr>
        <w:t xml:space="preserve"> was the work </w:t>
      </w:r>
      <w:r w:rsidR="00A7521D">
        <w:t>generated by the condenser in the RC or the ORC (kJ/kg),</w:t>
      </w:r>
    </w:p>
    <w:p w14:paraId="5C84CFB9" w14:textId="7A2F6FEC" w:rsidR="00A7521D" w:rsidRDefault="00C73E04" w:rsidP="00A7521D">
      <m:oMath>
        <m:sSub>
          <m:sSubPr>
            <m:ctrlPr>
              <w:rPr>
                <w:rFonts w:ascii="Cambria Math" w:hAnsi="Cambria Math"/>
                <w:i/>
                <w:iCs/>
              </w:rPr>
            </m:ctrlPr>
          </m:sSubPr>
          <m:e>
            <m:r>
              <w:rPr>
                <w:rFonts w:ascii="Cambria Math" w:hAnsi="Cambria Math"/>
              </w:rPr>
              <m:t>H</m:t>
            </m:r>
          </m:e>
          <m:sub>
            <m:r>
              <w:rPr>
                <w:rFonts w:ascii="Cambria Math" w:hAnsi="Cambria Math"/>
              </w:rPr>
              <m:t>3</m:t>
            </m:r>
          </m:sub>
        </m:sSub>
      </m:oMath>
      <w:r w:rsidR="00A7521D">
        <w:rPr>
          <w:iCs/>
        </w:rPr>
        <w:t xml:space="preserve"> was the specific </w:t>
      </w:r>
      <w:r w:rsidR="00A7521D" w:rsidRPr="00D84402">
        <w:t xml:space="preserve">enthalpy of the </w:t>
      </w:r>
      <w:r w:rsidR="00A7521D">
        <w:t>liquid in the superheated state (kJ/kg).</w:t>
      </w:r>
    </w:p>
    <w:p w14:paraId="595E9696" w14:textId="78D3FDD3" w:rsidR="00D66689" w:rsidRDefault="00D66689" w:rsidP="00A7521D">
      <w:r>
        <w:t xml:space="preserve">The </w:t>
      </w:r>
      <w:r>
        <w:rPr>
          <w:iCs/>
        </w:rPr>
        <w:t xml:space="preserve">work </w:t>
      </w:r>
      <w:r>
        <w:t xml:space="preserve">generated by the condenser was dependent on the </w:t>
      </w:r>
      <w:r>
        <w:rPr>
          <w:iCs/>
        </w:rPr>
        <w:t xml:space="preserve">specific </w:t>
      </w:r>
      <w:r w:rsidRPr="00D84402">
        <w:t xml:space="preserve">enthalpy of the </w:t>
      </w:r>
      <w:r>
        <w:t>liquid in the superheated state</w:t>
      </w:r>
      <w:r w:rsidRPr="00D66689">
        <w:rPr>
          <w:iCs/>
        </w:rPr>
        <w:t xml:space="preserve"> </w:t>
      </w:r>
      <w:r>
        <w:rPr>
          <w:iCs/>
        </w:rPr>
        <w:t xml:space="preserve">specific </w:t>
      </w:r>
      <w:r w:rsidRPr="00D84402">
        <w:t xml:space="preserve">enthalpy of the </w:t>
      </w:r>
      <w:r>
        <w:t xml:space="preserve">liquid in the superheated state and the specific enthalpy of the working fluid after the </w:t>
      </w:r>
      <w:r w:rsidRPr="00A65C71">
        <w:t>turbine</w:t>
      </w:r>
      <w:r>
        <w:t xml:space="preserve">. The </w:t>
      </w:r>
      <w:r>
        <w:rPr>
          <w:iCs/>
        </w:rPr>
        <w:t xml:space="preserve">specific </w:t>
      </w:r>
      <w:r w:rsidRPr="00D84402">
        <w:t xml:space="preserve">enthalpy of the </w:t>
      </w:r>
      <w:r>
        <w:t>liquid in the superheated state</w:t>
      </w:r>
      <w:r w:rsidRPr="00D66689">
        <w:rPr>
          <w:iCs/>
        </w:rPr>
        <w:t xml:space="preserve"> </w:t>
      </w:r>
      <w:r>
        <w:rPr>
          <w:iCs/>
        </w:rPr>
        <w:t xml:space="preserve">specific </w:t>
      </w:r>
      <w:r w:rsidRPr="00D84402">
        <w:t xml:space="preserve">enthalpy of the </w:t>
      </w:r>
      <w:r>
        <w:t>liquid came from either steam tables or the NIST software.</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82"/>
        <w:gridCol w:w="629"/>
        <w:gridCol w:w="787"/>
      </w:tblGrid>
      <w:tr w:rsidR="00A7521D" w14:paraId="447012B8" w14:textId="77777777" w:rsidTr="00A7521D">
        <w:tc>
          <w:tcPr>
            <w:tcW w:w="6782" w:type="dxa"/>
            <w:hideMark/>
          </w:tcPr>
          <w:p w14:paraId="6E21CF56" w14:textId="592D0EE4" w:rsidR="00A7521D" w:rsidRDefault="00C73E04" w:rsidP="00A7521D">
            <w:pPr>
              <w:keepNext/>
              <w:rPr>
                <w:color w:val="FFFFFF"/>
              </w:rPr>
            </w:pPr>
            <m:oMathPara>
              <m:oMathParaPr>
                <m:jc m:val="left"/>
              </m:oMathParaPr>
              <m:oMath>
                <m:sSub>
                  <m:sSubPr>
                    <m:ctrlPr>
                      <w:rPr>
                        <w:rFonts w:ascii="Cambria Math" w:hAnsi="Cambria Math"/>
                        <w:i/>
                        <w:iCs/>
                      </w:rPr>
                    </m:ctrlPr>
                  </m:sSubPr>
                  <m:e>
                    <m:r>
                      <w:rPr>
                        <w:rFonts w:ascii="Cambria Math" w:hAnsi="Cambria Math"/>
                      </w:rPr>
                      <m:t>η</m:t>
                    </m:r>
                  </m:e>
                  <m:sub>
                    <m:r>
                      <w:rPr>
                        <w:rFonts w:ascii="Cambria Math" w:hAnsi="Cambria Math"/>
                      </w:rPr>
                      <m:t>th</m:t>
                    </m:r>
                  </m:sub>
                </m:sSub>
                <m:r>
                  <w:rPr>
                    <w:rFonts w:ascii="Cambria Math" w:hAnsi="Cambria Math"/>
                  </w:rPr>
                  <m:t>=</m:t>
                </m:r>
                <m:f>
                  <m:fPr>
                    <m:ctrlPr>
                      <w:rPr>
                        <w:rFonts w:ascii="Cambria Math" w:hAnsi="Cambria Math"/>
                        <w:i/>
                        <w:iCs/>
                      </w:rPr>
                    </m:ctrlPr>
                  </m:fPr>
                  <m:num>
                    <m:sSub>
                      <m:sSubPr>
                        <m:ctrlPr>
                          <w:rPr>
                            <w:rFonts w:ascii="Cambria Math" w:hAnsi="Cambria Math"/>
                            <w:i/>
                            <w:iCs/>
                          </w:rPr>
                        </m:ctrlPr>
                      </m:sSubPr>
                      <m:e>
                        <m:r>
                          <w:rPr>
                            <w:rFonts w:ascii="Cambria Math" w:hAnsi="Cambria Math"/>
                          </w:rPr>
                          <m:t>w</m:t>
                        </m:r>
                      </m:e>
                      <m:sub>
                        <m:r>
                          <w:rPr>
                            <w:rFonts w:ascii="Cambria Math" w:hAnsi="Cambria Math"/>
                          </w:rPr>
                          <m:t>net</m:t>
                        </m:r>
                      </m:sub>
                    </m:sSub>
                  </m:num>
                  <m:den>
                    <m:sSub>
                      <m:sSubPr>
                        <m:ctrlPr>
                          <w:rPr>
                            <w:rFonts w:ascii="Cambria Math" w:hAnsi="Cambria Math"/>
                            <w:i/>
                            <w:iCs/>
                          </w:rPr>
                        </m:ctrlPr>
                      </m:sSubPr>
                      <m:e>
                        <m:r>
                          <w:rPr>
                            <w:rFonts w:ascii="Cambria Math" w:hAnsi="Cambria Math"/>
                          </w:rPr>
                          <m:t>q</m:t>
                        </m:r>
                      </m:e>
                      <m:sub>
                        <m:r>
                          <w:rPr>
                            <w:rFonts w:ascii="Cambria Math" w:hAnsi="Cambria Math"/>
                          </w:rPr>
                          <m:t>in</m:t>
                        </m:r>
                      </m:sub>
                    </m:sSub>
                  </m:den>
                </m:f>
                <m:r>
                  <w:rPr>
                    <w:rFonts w:ascii="Cambria Math" w:hAnsi="Cambria Math"/>
                  </w:rPr>
                  <m:t>=</m:t>
                </m:r>
                <m:f>
                  <m:fPr>
                    <m:ctrlPr>
                      <w:rPr>
                        <w:rFonts w:ascii="Cambria Math" w:hAnsi="Cambria Math"/>
                        <w:i/>
                        <w:iCs/>
                      </w:rPr>
                    </m:ctrlPr>
                  </m:fPr>
                  <m:num>
                    <m:sSub>
                      <m:sSubPr>
                        <m:ctrlPr>
                          <w:rPr>
                            <w:rFonts w:ascii="Cambria Math" w:hAnsi="Cambria Math"/>
                            <w:i/>
                            <w:iCs/>
                          </w:rPr>
                        </m:ctrlPr>
                      </m:sSubPr>
                      <m:e>
                        <m:r>
                          <w:rPr>
                            <w:rFonts w:ascii="Cambria Math" w:hAnsi="Cambria Math"/>
                          </w:rPr>
                          <m:t>w</m:t>
                        </m:r>
                      </m:e>
                      <m:sub>
                        <m:r>
                          <w:rPr>
                            <w:rFonts w:ascii="Cambria Math" w:hAnsi="Cambria Math"/>
                          </w:rPr>
                          <m:t>pump</m:t>
                        </m:r>
                      </m:sub>
                    </m:sSub>
                    <m:r>
                      <w:rPr>
                        <w:rFonts w:ascii="Cambria Math" w:hAnsi="Cambria Math"/>
                      </w:rPr>
                      <m:t>+</m:t>
                    </m:r>
                    <m:sSub>
                      <m:sSubPr>
                        <m:ctrlPr>
                          <w:rPr>
                            <w:rFonts w:ascii="Cambria Math" w:hAnsi="Cambria Math"/>
                            <w:i/>
                            <w:iCs/>
                          </w:rPr>
                        </m:ctrlPr>
                      </m:sSubPr>
                      <m:e>
                        <m:r>
                          <w:rPr>
                            <w:rFonts w:ascii="Cambria Math" w:hAnsi="Cambria Math"/>
                          </w:rPr>
                          <m:t>w</m:t>
                        </m:r>
                      </m:e>
                      <m:sub>
                        <m:r>
                          <w:rPr>
                            <w:rFonts w:ascii="Cambria Math" w:hAnsi="Cambria Math"/>
                          </w:rPr>
                          <m:t>turbine</m:t>
                        </m:r>
                      </m:sub>
                    </m:sSub>
                  </m:num>
                  <m:den>
                    <m:sSub>
                      <m:sSubPr>
                        <m:ctrlPr>
                          <w:rPr>
                            <w:rFonts w:ascii="Cambria Math" w:hAnsi="Cambria Math"/>
                            <w:i/>
                            <w:iCs/>
                          </w:rPr>
                        </m:ctrlPr>
                      </m:sSubPr>
                      <m:e>
                        <m:r>
                          <w:rPr>
                            <w:rFonts w:ascii="Cambria Math" w:hAnsi="Cambria Math"/>
                          </w:rPr>
                          <m:t>H</m:t>
                        </m:r>
                      </m:e>
                      <m:sub>
                        <m:r>
                          <w:rPr>
                            <w:rFonts w:ascii="Cambria Math" w:hAnsi="Cambria Math"/>
                          </w:rPr>
                          <m:t>3</m:t>
                        </m:r>
                      </m:sub>
                    </m:sSub>
                    <m:r>
                      <w:rPr>
                        <w:rFonts w:ascii="Cambria Math" w:hAnsi="Cambria Math"/>
                      </w:rPr>
                      <m:t>-</m:t>
                    </m:r>
                    <m:sSub>
                      <m:sSubPr>
                        <m:ctrlPr>
                          <w:rPr>
                            <w:rFonts w:ascii="Cambria Math" w:hAnsi="Cambria Math"/>
                            <w:i/>
                            <w:iCs/>
                          </w:rPr>
                        </m:ctrlPr>
                      </m:sSubPr>
                      <m:e>
                        <m:r>
                          <w:rPr>
                            <w:rFonts w:ascii="Cambria Math" w:hAnsi="Cambria Math"/>
                          </w:rPr>
                          <m:t>H</m:t>
                        </m:r>
                      </m:e>
                      <m:sub>
                        <m:r>
                          <w:rPr>
                            <w:rFonts w:ascii="Cambria Math" w:hAnsi="Cambria Math"/>
                          </w:rPr>
                          <m:t>2</m:t>
                        </m:r>
                      </m:sub>
                    </m:sSub>
                  </m:den>
                </m:f>
              </m:oMath>
            </m:oMathPara>
          </w:p>
        </w:tc>
        <w:tc>
          <w:tcPr>
            <w:tcW w:w="629" w:type="dxa"/>
            <w:vAlign w:val="center"/>
            <w:hideMark/>
          </w:tcPr>
          <w:p w14:paraId="221BFBFF" w14:textId="77777777" w:rsidR="00A7521D" w:rsidRDefault="00A7521D" w:rsidP="00A7521D">
            <w:pPr>
              <w:pStyle w:val="Caption"/>
              <w:jc w:val="right"/>
            </w:pPr>
          </w:p>
        </w:tc>
        <w:tc>
          <w:tcPr>
            <w:tcW w:w="787" w:type="dxa"/>
            <w:vAlign w:val="center"/>
            <w:hideMark/>
          </w:tcPr>
          <w:p w14:paraId="269F32E4" w14:textId="14569923" w:rsidR="00A7521D" w:rsidRDefault="00A7521D" w:rsidP="00A7521D">
            <w:pPr>
              <w:pStyle w:val="Caption"/>
              <w:jc w:val="right"/>
              <w:rPr>
                <w:b w:val="0"/>
              </w:rPr>
            </w:pPr>
            <w:r>
              <w:rPr>
                <w:noProof/>
              </w:rPr>
              <w:fldChar w:fldCharType="begin"/>
            </w:r>
            <w:r>
              <w:rPr>
                <w:noProof/>
              </w:rPr>
              <w:instrText xml:space="preserve"> STYLEREF 1 \s </w:instrText>
            </w:r>
            <w:r>
              <w:rPr>
                <w:noProof/>
              </w:rPr>
              <w:fldChar w:fldCharType="separate"/>
            </w:r>
            <w:r w:rsidR="00CB7456">
              <w:rPr>
                <w:noProof/>
              </w:rPr>
              <w:t>13</w:t>
            </w:r>
            <w:r>
              <w:rPr>
                <w:noProof/>
              </w:rPr>
              <w:fldChar w:fldCharType="end"/>
            </w:r>
            <w:r>
              <w:rPr>
                <w:noProof/>
              </w:rPr>
              <w:t>.</w:t>
            </w:r>
            <w:r>
              <w:rPr>
                <w:noProof/>
              </w:rPr>
              <w:fldChar w:fldCharType="begin"/>
            </w:r>
            <w:r>
              <w:rPr>
                <w:noProof/>
              </w:rPr>
              <w:instrText xml:space="preserve"> SEQ Equation \* ARABIC \s 1 </w:instrText>
            </w:r>
            <w:r>
              <w:rPr>
                <w:noProof/>
              </w:rPr>
              <w:fldChar w:fldCharType="separate"/>
            </w:r>
            <w:r w:rsidR="00CB7456">
              <w:rPr>
                <w:noProof/>
              </w:rPr>
              <w:t>85</w:t>
            </w:r>
            <w:r>
              <w:rPr>
                <w:noProof/>
              </w:rPr>
              <w:fldChar w:fldCharType="end"/>
            </w:r>
          </w:p>
        </w:tc>
      </w:tr>
    </w:tbl>
    <w:p w14:paraId="1A8AF809" w14:textId="77777777" w:rsidR="00A7521D" w:rsidRDefault="00A7521D" w:rsidP="00A7521D"/>
    <w:p w14:paraId="605A26EB" w14:textId="77777777" w:rsidR="00A7521D" w:rsidRDefault="00C73E04" w:rsidP="00A7521D">
      <w:pPr>
        <w:pStyle w:val="NoSpacing"/>
      </w:pPr>
      <m:oMath>
        <m:sSub>
          <m:sSubPr>
            <m:ctrlPr>
              <w:rPr>
                <w:rFonts w:ascii="Cambria Math" w:hAnsi="Cambria Math"/>
                <w:i/>
              </w:rPr>
            </m:ctrlPr>
          </m:sSubPr>
          <m:e>
            <m:r>
              <w:rPr>
                <w:rFonts w:ascii="Cambria Math" w:hAnsi="Cambria Math"/>
              </w:rPr>
              <m:t>η</m:t>
            </m:r>
          </m:e>
          <m:sub>
            <m:r>
              <w:rPr>
                <w:rFonts w:ascii="Cambria Math" w:hAnsi="Cambria Math"/>
              </w:rPr>
              <m:t>th</m:t>
            </m:r>
          </m:sub>
        </m:sSub>
      </m:oMath>
      <w:r w:rsidR="00A7521D">
        <w:t xml:space="preserve"> was the thermal efficiency of the turbine (%),</w:t>
      </w:r>
    </w:p>
    <w:p w14:paraId="7D93E14E" w14:textId="77777777" w:rsidR="00A7521D" w:rsidRDefault="00C73E04" w:rsidP="00A7521D">
      <w:pPr>
        <w:pStyle w:val="NoSpacing"/>
      </w:pPr>
      <m:oMath>
        <m:sSub>
          <m:sSubPr>
            <m:ctrlPr>
              <w:rPr>
                <w:rFonts w:ascii="Cambria Math" w:hAnsi="Cambria Math"/>
                <w:i/>
                <w:iCs/>
              </w:rPr>
            </m:ctrlPr>
          </m:sSubPr>
          <m:e>
            <m:r>
              <w:rPr>
                <w:rFonts w:ascii="Cambria Math" w:hAnsi="Cambria Math"/>
              </w:rPr>
              <m:t>w</m:t>
            </m:r>
          </m:e>
          <m:sub>
            <m:r>
              <w:rPr>
                <w:rFonts w:ascii="Cambria Math" w:hAnsi="Cambria Math"/>
              </w:rPr>
              <m:t>turbine</m:t>
            </m:r>
          </m:sub>
        </m:sSub>
      </m:oMath>
      <w:r w:rsidR="00A7521D">
        <w:rPr>
          <w:iCs/>
        </w:rPr>
        <w:t xml:space="preserve"> was the net work </w:t>
      </w:r>
      <w:r w:rsidR="00A7521D">
        <w:t>generated in the RC or the ORC (kJ/kg),</w:t>
      </w:r>
    </w:p>
    <w:p w14:paraId="2D3768AB" w14:textId="794DA26D" w:rsidR="00A7521D" w:rsidRDefault="00C73E04" w:rsidP="00A7521D">
      <m:oMath>
        <m:sSub>
          <m:sSubPr>
            <m:ctrlPr>
              <w:rPr>
                <w:rFonts w:ascii="Cambria Math" w:hAnsi="Cambria Math"/>
                <w:i/>
              </w:rPr>
            </m:ctrlPr>
          </m:sSubPr>
          <m:e>
            <m:r>
              <w:rPr>
                <w:rFonts w:ascii="Cambria Math" w:hAnsi="Cambria Math"/>
              </w:rPr>
              <m:t>q</m:t>
            </m:r>
          </m:e>
          <m:sub>
            <m:r>
              <w:rPr>
                <w:rFonts w:ascii="Cambria Math" w:hAnsi="Cambria Math"/>
              </w:rPr>
              <m:t>in</m:t>
            </m:r>
          </m:sub>
        </m:sSub>
      </m:oMath>
      <w:r w:rsidR="00A7521D">
        <w:t xml:space="preserve"> was the energy input to the RC or the ORC (kJ).</w:t>
      </w:r>
    </w:p>
    <w:p w14:paraId="325D2B4E" w14:textId="41B89B62" w:rsidR="00D66689" w:rsidRDefault="00D66689" w:rsidP="00A7521D">
      <w:r>
        <w:t xml:space="preserve">The thermal efficient of the turbine was dependent on the work done by the pump, the </w:t>
      </w:r>
      <w:r>
        <w:rPr>
          <w:iCs/>
        </w:rPr>
        <w:t xml:space="preserve">work </w:t>
      </w:r>
      <w:r>
        <w:t xml:space="preserve">generated by the </w:t>
      </w:r>
      <w:r w:rsidR="00D3110F">
        <w:t>turbine</w:t>
      </w:r>
      <w:r>
        <w:t xml:space="preserve">, </w:t>
      </w:r>
      <w:r w:rsidR="00D3110F">
        <w:rPr>
          <w:iCs/>
        </w:rPr>
        <w:t xml:space="preserve">the specific </w:t>
      </w:r>
      <w:r w:rsidR="00D3110F" w:rsidRPr="00D84402">
        <w:t xml:space="preserve">enthalpy of the </w:t>
      </w:r>
      <w:r w:rsidR="00D3110F">
        <w:t xml:space="preserve">liquid in the superheated state and </w:t>
      </w:r>
      <w:r w:rsidR="00D3110F">
        <w:rPr>
          <w:iCs/>
        </w:rPr>
        <w:t xml:space="preserve">the specific </w:t>
      </w:r>
      <w:r w:rsidR="00D3110F" w:rsidRPr="00D84402">
        <w:t xml:space="preserve">enthalpy of the working fluid post </w:t>
      </w:r>
      <w:r w:rsidR="00D3110F">
        <w:t>pump.</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82"/>
        <w:gridCol w:w="629"/>
        <w:gridCol w:w="787"/>
      </w:tblGrid>
      <w:tr w:rsidR="00A7521D" w14:paraId="15A933C9" w14:textId="77777777" w:rsidTr="00A7521D">
        <w:tc>
          <w:tcPr>
            <w:tcW w:w="6782" w:type="dxa"/>
            <w:hideMark/>
          </w:tcPr>
          <w:p w14:paraId="41B7415C" w14:textId="27DC9C73" w:rsidR="00A7521D" w:rsidRDefault="00CD39BA" w:rsidP="00A7521D">
            <w:pPr>
              <w:keepNext/>
              <w:rPr>
                <w:color w:val="FFFFFF"/>
              </w:rPr>
            </w:pPr>
            <m:oMathPara>
              <m:oMathParaPr>
                <m:jc m:val="left"/>
              </m:oMathParaPr>
              <m:oMath>
                <m:sSub>
                  <m:sSubPr>
                    <m:ctrlPr>
                      <w:rPr>
                        <w:rFonts w:ascii="Cambria Math" w:hAnsi="Cambria Math"/>
                        <w:i/>
                      </w:rPr>
                    </m:ctrlPr>
                  </m:sSubPr>
                  <m:e>
                    <m:acc>
                      <m:accPr>
                        <m:chr m:val="̇"/>
                        <m:ctrlPr>
                          <w:rPr>
                            <w:rFonts w:ascii="Cambria Math" w:hAnsi="Cambria Math"/>
                            <w:i/>
                          </w:rPr>
                        </m:ctrlPr>
                      </m:accPr>
                      <m:e>
                        <m:r>
                          <w:rPr>
                            <w:rFonts w:ascii="Cambria Math" w:hAnsi="Cambria Math"/>
                          </w:rPr>
                          <m:t>m</m:t>
                        </m:r>
                      </m:e>
                    </m:acc>
                  </m:e>
                  <m:sub>
                    <m:r>
                      <w:rPr>
                        <w:rFonts w:ascii="Cambria Math" w:hAnsi="Cambria Math"/>
                      </w:rPr>
                      <m:t>w</m:t>
                    </m:r>
                  </m:sub>
                </m:sSub>
                <m:r>
                  <w:rPr>
                    <w:rFonts w:ascii="Cambria Math" w:hAnsi="Cambria Math"/>
                  </w:rPr>
                  <m:t>=</m:t>
                </m:r>
                <m:f>
                  <m:fPr>
                    <m:ctrlPr>
                      <w:rPr>
                        <w:rFonts w:ascii="Cambria Math" w:hAnsi="Cambria Math"/>
                        <w:i/>
                        <w:iCs/>
                      </w:rPr>
                    </m:ctrlPr>
                  </m:fPr>
                  <m:num>
                    <m:sSub>
                      <m:sSubPr>
                        <m:ctrlPr>
                          <w:rPr>
                            <w:rFonts w:ascii="Cambria Math" w:hAnsi="Cambria Math"/>
                            <w:i/>
                            <w:iCs/>
                          </w:rPr>
                        </m:ctrlPr>
                      </m:sSubPr>
                      <m:e>
                        <m:r>
                          <w:rPr>
                            <w:rFonts w:ascii="Cambria Math" w:hAnsi="Cambria Math"/>
                          </w:rPr>
                          <m:t>P</m:t>
                        </m:r>
                      </m:e>
                      <m:sub>
                        <m:r>
                          <w:rPr>
                            <w:rFonts w:ascii="Cambria Math" w:hAnsi="Cambria Math"/>
                          </w:rPr>
                          <m:t>net</m:t>
                        </m:r>
                      </m:sub>
                    </m:sSub>
                  </m:num>
                  <m:den>
                    <m:sSub>
                      <m:sSubPr>
                        <m:ctrlPr>
                          <w:rPr>
                            <w:rFonts w:ascii="Cambria Math" w:hAnsi="Cambria Math"/>
                            <w:i/>
                            <w:iCs/>
                          </w:rPr>
                        </m:ctrlPr>
                      </m:sSubPr>
                      <m:e>
                        <m:r>
                          <w:rPr>
                            <w:rFonts w:ascii="Cambria Math" w:hAnsi="Cambria Math"/>
                          </w:rPr>
                          <m:t>w</m:t>
                        </m:r>
                      </m:e>
                      <m:sub>
                        <m:r>
                          <w:rPr>
                            <w:rFonts w:ascii="Cambria Math" w:hAnsi="Cambria Math"/>
                          </w:rPr>
                          <m:t>net</m:t>
                        </m:r>
                      </m:sub>
                    </m:sSub>
                  </m:den>
                </m:f>
              </m:oMath>
            </m:oMathPara>
          </w:p>
        </w:tc>
        <w:tc>
          <w:tcPr>
            <w:tcW w:w="629" w:type="dxa"/>
            <w:vAlign w:val="center"/>
            <w:hideMark/>
          </w:tcPr>
          <w:p w14:paraId="2E534D13" w14:textId="77777777" w:rsidR="00A7521D" w:rsidRDefault="00A7521D" w:rsidP="00A7521D">
            <w:pPr>
              <w:pStyle w:val="Caption"/>
              <w:jc w:val="right"/>
            </w:pPr>
          </w:p>
        </w:tc>
        <w:tc>
          <w:tcPr>
            <w:tcW w:w="787" w:type="dxa"/>
            <w:vAlign w:val="center"/>
            <w:hideMark/>
          </w:tcPr>
          <w:p w14:paraId="4CC0A5E6" w14:textId="0464075A" w:rsidR="00A7521D" w:rsidRDefault="00A7521D" w:rsidP="00A7521D">
            <w:pPr>
              <w:pStyle w:val="Caption"/>
              <w:jc w:val="right"/>
              <w:rPr>
                <w:b w:val="0"/>
              </w:rPr>
            </w:pPr>
            <w:r>
              <w:rPr>
                <w:noProof/>
              </w:rPr>
              <w:fldChar w:fldCharType="begin"/>
            </w:r>
            <w:r>
              <w:rPr>
                <w:noProof/>
              </w:rPr>
              <w:instrText xml:space="preserve"> STYLEREF 1 \s </w:instrText>
            </w:r>
            <w:r>
              <w:rPr>
                <w:noProof/>
              </w:rPr>
              <w:fldChar w:fldCharType="separate"/>
            </w:r>
            <w:r w:rsidR="00CB7456">
              <w:rPr>
                <w:noProof/>
              </w:rPr>
              <w:t>13</w:t>
            </w:r>
            <w:r>
              <w:rPr>
                <w:noProof/>
              </w:rPr>
              <w:fldChar w:fldCharType="end"/>
            </w:r>
            <w:r>
              <w:rPr>
                <w:noProof/>
              </w:rPr>
              <w:t>.</w:t>
            </w:r>
            <w:r>
              <w:rPr>
                <w:noProof/>
              </w:rPr>
              <w:fldChar w:fldCharType="begin"/>
            </w:r>
            <w:r>
              <w:rPr>
                <w:noProof/>
              </w:rPr>
              <w:instrText xml:space="preserve"> SEQ Equation \* ARABIC \s 1 </w:instrText>
            </w:r>
            <w:r>
              <w:rPr>
                <w:noProof/>
              </w:rPr>
              <w:fldChar w:fldCharType="separate"/>
            </w:r>
            <w:r w:rsidR="00CB7456">
              <w:rPr>
                <w:noProof/>
              </w:rPr>
              <w:t>86</w:t>
            </w:r>
            <w:r>
              <w:rPr>
                <w:noProof/>
              </w:rPr>
              <w:fldChar w:fldCharType="end"/>
            </w:r>
          </w:p>
        </w:tc>
      </w:tr>
    </w:tbl>
    <w:p w14:paraId="17346796" w14:textId="77777777" w:rsidR="00A7521D" w:rsidRDefault="00A7521D" w:rsidP="00A7521D"/>
    <w:p w14:paraId="5076967F" w14:textId="7A80FE49" w:rsidR="00A7521D" w:rsidRDefault="00CD39BA" w:rsidP="00A7521D">
      <w:pPr>
        <w:pStyle w:val="NoSpacing"/>
      </w:pPr>
      <m:oMath>
        <m:sSub>
          <m:sSubPr>
            <m:ctrlPr>
              <w:rPr>
                <w:rFonts w:ascii="Cambria Math" w:hAnsi="Cambria Math"/>
                <w:i/>
              </w:rPr>
            </m:ctrlPr>
          </m:sSubPr>
          <m:e>
            <m:acc>
              <m:accPr>
                <m:chr m:val="̇"/>
                <m:ctrlPr>
                  <w:rPr>
                    <w:rFonts w:ascii="Cambria Math" w:hAnsi="Cambria Math"/>
                    <w:i/>
                  </w:rPr>
                </m:ctrlPr>
              </m:accPr>
              <m:e>
                <m:r>
                  <w:rPr>
                    <w:rFonts w:ascii="Cambria Math" w:hAnsi="Cambria Math"/>
                  </w:rPr>
                  <m:t>m</m:t>
                </m:r>
              </m:e>
            </m:acc>
          </m:e>
          <m:sub>
            <m:r>
              <w:rPr>
                <w:rFonts w:ascii="Cambria Math" w:hAnsi="Cambria Math"/>
              </w:rPr>
              <m:t>w</m:t>
            </m:r>
          </m:sub>
        </m:sSub>
      </m:oMath>
      <w:r w:rsidR="00A7521D">
        <w:rPr>
          <w:iCs/>
        </w:rPr>
        <w:t xml:space="preserve"> was the mass </w:t>
      </w:r>
      <w:r w:rsidR="00A7521D">
        <w:t>flowrate in the RC or the ORC (kg/s),</w:t>
      </w:r>
    </w:p>
    <w:p w14:paraId="70785808" w14:textId="622DD105" w:rsidR="00A7521D" w:rsidRDefault="00C73E04" w:rsidP="00A7521D">
      <m:oMath>
        <m:sSub>
          <m:sSubPr>
            <m:ctrlPr>
              <w:rPr>
                <w:rFonts w:ascii="Cambria Math" w:hAnsi="Cambria Math"/>
                <w:i/>
                <w:iCs/>
              </w:rPr>
            </m:ctrlPr>
          </m:sSubPr>
          <m:e>
            <m:r>
              <w:rPr>
                <w:rFonts w:ascii="Cambria Math" w:hAnsi="Cambria Math"/>
              </w:rPr>
              <m:t>P</m:t>
            </m:r>
          </m:e>
          <m:sub>
            <m:r>
              <w:rPr>
                <w:rFonts w:ascii="Cambria Math" w:hAnsi="Cambria Math"/>
              </w:rPr>
              <m:t>net</m:t>
            </m:r>
          </m:sub>
        </m:sSub>
      </m:oMath>
      <w:r w:rsidR="00A7521D">
        <w:rPr>
          <w:iCs/>
        </w:rPr>
        <w:t xml:space="preserve"> was the net power </w:t>
      </w:r>
      <w:r w:rsidR="00A7521D">
        <w:t>generated in the RC or the ORC (kW).</w:t>
      </w:r>
    </w:p>
    <w:p w14:paraId="12B8A587" w14:textId="6706C15C" w:rsidR="00D3110F" w:rsidRDefault="00D3110F" w:rsidP="00A7521D">
      <w:r>
        <w:t>The mass flowrate was dependent on the network power and net-work. The net power was calculated in the modelling of the HEX or the FH.</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82"/>
        <w:gridCol w:w="629"/>
        <w:gridCol w:w="787"/>
      </w:tblGrid>
      <w:tr w:rsidR="00A7521D" w14:paraId="0EDF12B0" w14:textId="77777777" w:rsidTr="00A7521D">
        <w:tc>
          <w:tcPr>
            <w:tcW w:w="6782" w:type="dxa"/>
            <w:hideMark/>
          </w:tcPr>
          <w:p w14:paraId="53D61933" w14:textId="361E2675" w:rsidR="00A7521D" w:rsidRDefault="00CD39BA" w:rsidP="00A7521D">
            <w:pPr>
              <w:keepNext/>
              <w:rPr>
                <w:color w:val="FFFFFF"/>
              </w:rPr>
            </w:pPr>
            <m:oMathPara>
              <m:oMathParaPr>
                <m:jc m:val="left"/>
              </m:oMathParaPr>
              <m:oMath>
                <m:sSub>
                  <m:sSubPr>
                    <m:ctrlPr>
                      <w:rPr>
                        <w:rFonts w:ascii="Cambria Math" w:hAnsi="Cambria Math"/>
                        <w:i/>
                      </w:rPr>
                    </m:ctrlPr>
                  </m:sSubPr>
                  <m:e>
                    <m:acc>
                      <m:accPr>
                        <m:chr m:val="̇"/>
                        <m:ctrlPr>
                          <w:rPr>
                            <w:rFonts w:ascii="Cambria Math" w:hAnsi="Cambria Math"/>
                            <w:i/>
                          </w:rPr>
                        </m:ctrlPr>
                      </m:accPr>
                      <m:e>
                        <m:r>
                          <w:rPr>
                            <w:rFonts w:ascii="Cambria Math" w:hAnsi="Cambria Math"/>
                          </w:rPr>
                          <m:t>Q</m:t>
                        </m:r>
                      </m:e>
                    </m:acc>
                  </m:e>
                  <m:sub>
                    <m:r>
                      <w:rPr>
                        <w:rFonts w:ascii="Cambria Math" w:hAnsi="Cambria Math"/>
                      </w:rPr>
                      <m:t>cw</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m</m:t>
                        </m:r>
                      </m:e>
                    </m:acc>
                  </m:e>
                  <m:sub>
                    <m:r>
                      <w:rPr>
                        <w:rFonts w:ascii="Cambria Math" w:hAnsi="Cambria Math"/>
                      </w:rPr>
                      <m:t>w</m:t>
                    </m:r>
                  </m:sub>
                </m:sSub>
                <m:d>
                  <m:dPr>
                    <m:ctrlPr>
                      <w:rPr>
                        <w:rFonts w:ascii="Cambria Math" w:hAnsi="Cambria Math"/>
                        <w:i/>
                        <w:iCs/>
                      </w:rPr>
                    </m:ctrlPr>
                  </m:dPr>
                  <m:e>
                    <m:sSub>
                      <m:sSubPr>
                        <m:ctrlPr>
                          <w:rPr>
                            <w:rFonts w:ascii="Cambria Math" w:hAnsi="Cambria Math"/>
                            <w:i/>
                            <w:iCs/>
                          </w:rPr>
                        </m:ctrlPr>
                      </m:sSubPr>
                      <m:e>
                        <m:r>
                          <w:rPr>
                            <w:rFonts w:ascii="Cambria Math" w:hAnsi="Cambria Math"/>
                          </w:rPr>
                          <m:t>H</m:t>
                        </m:r>
                      </m:e>
                      <m:sub>
                        <m:r>
                          <w:rPr>
                            <w:rFonts w:ascii="Cambria Math" w:hAnsi="Cambria Math"/>
                          </w:rPr>
                          <m:t>1</m:t>
                        </m:r>
                      </m:sub>
                    </m:sSub>
                    <m:r>
                      <w:rPr>
                        <w:rFonts w:ascii="Cambria Math" w:hAnsi="Cambria Math"/>
                      </w:rPr>
                      <m:t>-</m:t>
                    </m:r>
                    <m:sSub>
                      <m:sSubPr>
                        <m:ctrlPr>
                          <w:rPr>
                            <w:rFonts w:ascii="Cambria Math" w:hAnsi="Cambria Math"/>
                            <w:i/>
                            <w:iCs/>
                          </w:rPr>
                        </m:ctrlPr>
                      </m:sSubPr>
                      <m:e>
                        <m:r>
                          <w:rPr>
                            <w:rFonts w:ascii="Cambria Math" w:hAnsi="Cambria Math"/>
                          </w:rPr>
                          <m:t>H</m:t>
                        </m:r>
                      </m:e>
                      <m:sub>
                        <m:r>
                          <w:rPr>
                            <w:rFonts w:ascii="Cambria Math" w:hAnsi="Cambria Math"/>
                          </w:rPr>
                          <m:t>4</m:t>
                        </m:r>
                      </m:sub>
                    </m:sSub>
                  </m:e>
                </m:d>
              </m:oMath>
            </m:oMathPara>
          </w:p>
        </w:tc>
        <w:tc>
          <w:tcPr>
            <w:tcW w:w="629" w:type="dxa"/>
            <w:vAlign w:val="center"/>
            <w:hideMark/>
          </w:tcPr>
          <w:p w14:paraId="5791A1C0" w14:textId="77777777" w:rsidR="00A7521D" w:rsidRDefault="00A7521D" w:rsidP="00A7521D">
            <w:pPr>
              <w:pStyle w:val="Caption"/>
              <w:jc w:val="right"/>
            </w:pPr>
          </w:p>
        </w:tc>
        <w:tc>
          <w:tcPr>
            <w:tcW w:w="787" w:type="dxa"/>
            <w:vAlign w:val="center"/>
            <w:hideMark/>
          </w:tcPr>
          <w:p w14:paraId="08F735FE" w14:textId="453E6A54" w:rsidR="00A7521D" w:rsidRDefault="00A7521D" w:rsidP="00A7521D">
            <w:pPr>
              <w:pStyle w:val="Caption"/>
              <w:jc w:val="right"/>
              <w:rPr>
                <w:b w:val="0"/>
              </w:rPr>
            </w:pPr>
            <w:r>
              <w:rPr>
                <w:noProof/>
              </w:rPr>
              <w:fldChar w:fldCharType="begin"/>
            </w:r>
            <w:r>
              <w:rPr>
                <w:noProof/>
              </w:rPr>
              <w:instrText xml:space="preserve"> STYLEREF 1 \s </w:instrText>
            </w:r>
            <w:r>
              <w:rPr>
                <w:noProof/>
              </w:rPr>
              <w:fldChar w:fldCharType="separate"/>
            </w:r>
            <w:r w:rsidR="00CB7456">
              <w:rPr>
                <w:noProof/>
              </w:rPr>
              <w:t>13</w:t>
            </w:r>
            <w:r>
              <w:rPr>
                <w:noProof/>
              </w:rPr>
              <w:fldChar w:fldCharType="end"/>
            </w:r>
            <w:r>
              <w:rPr>
                <w:noProof/>
              </w:rPr>
              <w:t>.</w:t>
            </w:r>
            <w:r>
              <w:rPr>
                <w:noProof/>
              </w:rPr>
              <w:fldChar w:fldCharType="begin"/>
            </w:r>
            <w:r>
              <w:rPr>
                <w:noProof/>
              </w:rPr>
              <w:instrText xml:space="preserve"> SEQ Equation \* ARABIC \s 1 </w:instrText>
            </w:r>
            <w:r>
              <w:rPr>
                <w:noProof/>
              </w:rPr>
              <w:fldChar w:fldCharType="separate"/>
            </w:r>
            <w:r w:rsidR="00CB7456">
              <w:rPr>
                <w:noProof/>
              </w:rPr>
              <w:t>87</w:t>
            </w:r>
            <w:r>
              <w:rPr>
                <w:noProof/>
              </w:rPr>
              <w:fldChar w:fldCharType="end"/>
            </w:r>
          </w:p>
        </w:tc>
      </w:tr>
    </w:tbl>
    <w:p w14:paraId="1EDCB35F" w14:textId="77777777" w:rsidR="00A7521D" w:rsidRDefault="00A7521D" w:rsidP="00A7521D"/>
    <w:p w14:paraId="13D9F74A" w14:textId="7B2600B0" w:rsidR="00A7521D" w:rsidRDefault="00CD39BA" w:rsidP="00A7521D">
      <m:oMath>
        <m:sSub>
          <m:sSubPr>
            <m:ctrlPr>
              <w:rPr>
                <w:rFonts w:ascii="Cambria Math" w:hAnsi="Cambria Math"/>
                <w:i/>
              </w:rPr>
            </m:ctrlPr>
          </m:sSubPr>
          <m:e>
            <m:acc>
              <m:accPr>
                <m:chr m:val="̇"/>
                <m:ctrlPr>
                  <w:rPr>
                    <w:rFonts w:ascii="Cambria Math" w:hAnsi="Cambria Math"/>
                    <w:i/>
                  </w:rPr>
                </m:ctrlPr>
              </m:accPr>
              <m:e>
                <m:r>
                  <w:rPr>
                    <w:rFonts w:ascii="Cambria Math" w:hAnsi="Cambria Math"/>
                  </w:rPr>
                  <m:t>Q</m:t>
                </m:r>
              </m:e>
            </m:acc>
          </m:e>
          <m:sub>
            <m:r>
              <w:rPr>
                <w:rFonts w:ascii="Cambria Math" w:hAnsi="Cambria Math"/>
              </w:rPr>
              <m:t>cw</m:t>
            </m:r>
          </m:sub>
        </m:sSub>
      </m:oMath>
      <w:r w:rsidR="00A7521D">
        <w:rPr>
          <w:iCs/>
        </w:rPr>
        <w:t xml:space="preserve"> was the heat given </w:t>
      </w:r>
      <w:r w:rsidR="00A7521D">
        <w:t>off by the RC or the ORC (kW).</w:t>
      </w:r>
    </w:p>
    <w:p w14:paraId="538E5ACD" w14:textId="176D4AEB" w:rsidR="00D3110F" w:rsidRDefault="00D3110F" w:rsidP="00A7521D">
      <w:r>
        <w:t>The heat given off was dependent on t</w:t>
      </w:r>
      <w:r>
        <w:rPr>
          <w:iCs/>
        </w:rPr>
        <w:t xml:space="preserve">he specific </w:t>
      </w:r>
      <w:r w:rsidRPr="00D84402">
        <w:t xml:space="preserve">enthalpy of the </w:t>
      </w:r>
      <w:r>
        <w:t xml:space="preserve">saturated liquid and the specific enthalpy of the working fluid after the </w:t>
      </w:r>
      <w:r w:rsidRPr="00A65C71">
        <w:t>turbine</w:t>
      </w:r>
      <w: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82"/>
        <w:gridCol w:w="629"/>
        <w:gridCol w:w="787"/>
      </w:tblGrid>
      <w:tr w:rsidR="00A7521D" w14:paraId="384A1BBA" w14:textId="77777777" w:rsidTr="00A7521D">
        <w:tc>
          <w:tcPr>
            <w:tcW w:w="6782" w:type="dxa"/>
            <w:hideMark/>
          </w:tcPr>
          <w:p w14:paraId="2BF09911" w14:textId="77777777" w:rsidR="00A7521D" w:rsidRDefault="00A7521D" w:rsidP="00A7521D">
            <w:pPr>
              <w:keepNext/>
              <w:rPr>
                <w:color w:val="FFFFFF"/>
              </w:rPr>
            </w:pPr>
            <m:oMathPara>
              <m:oMathParaPr>
                <m:jc m:val="left"/>
              </m:oMathParaPr>
              <m:oMath>
                <m:r>
                  <w:rPr>
                    <w:rFonts w:ascii="Cambria Math" w:hAnsi="Cambria Math"/>
                  </w:rPr>
                  <m:t>∆T=</m:t>
                </m:r>
                <m:f>
                  <m:fPr>
                    <m:ctrlPr>
                      <w:rPr>
                        <w:rFonts w:ascii="Cambria Math" w:hAnsi="Cambria Math"/>
                        <w:i/>
                        <w:iCs/>
                      </w:rPr>
                    </m:ctrlPr>
                  </m:fPr>
                  <m:num>
                    <m:sSub>
                      <m:sSubPr>
                        <m:ctrlPr>
                          <w:rPr>
                            <w:rFonts w:ascii="Cambria Math" w:hAnsi="Cambria Math"/>
                            <w:i/>
                            <w:iCs/>
                          </w:rPr>
                        </m:ctrlPr>
                      </m:sSubPr>
                      <m:e>
                        <m:acc>
                          <m:accPr>
                            <m:chr m:val="̇"/>
                            <m:ctrlPr>
                              <w:rPr>
                                <w:rFonts w:ascii="Cambria Math" w:hAnsi="Cambria Math"/>
                                <w:i/>
                                <w:iCs/>
                              </w:rPr>
                            </m:ctrlPr>
                          </m:accPr>
                          <m:e>
                            <m:r>
                              <w:rPr>
                                <w:rFonts w:ascii="Cambria Math" w:hAnsi="Cambria Math"/>
                              </w:rPr>
                              <m:t>Q</m:t>
                            </m:r>
                          </m:e>
                        </m:acc>
                      </m:e>
                      <m:sub>
                        <m:r>
                          <w:rPr>
                            <w:rFonts w:ascii="Cambria Math" w:hAnsi="Cambria Math"/>
                          </w:rPr>
                          <m:t>cw</m:t>
                        </m:r>
                      </m:sub>
                    </m:sSub>
                  </m:num>
                  <m:den>
                    <m:sSub>
                      <m:sSubPr>
                        <m:ctrlPr>
                          <w:rPr>
                            <w:rFonts w:ascii="Cambria Math" w:hAnsi="Cambria Math"/>
                            <w:i/>
                            <w:iCs/>
                          </w:rPr>
                        </m:ctrlPr>
                      </m:sSubPr>
                      <m:e>
                        <m:acc>
                          <m:accPr>
                            <m:chr m:val="̇"/>
                            <m:ctrlPr>
                              <w:rPr>
                                <w:rFonts w:ascii="Cambria Math" w:hAnsi="Cambria Math"/>
                                <w:i/>
                                <w:iCs/>
                              </w:rPr>
                            </m:ctrlPr>
                          </m:accPr>
                          <m:e>
                            <m:r>
                              <w:rPr>
                                <w:rFonts w:ascii="Cambria Math" w:hAnsi="Cambria Math"/>
                              </w:rPr>
                              <m:t>m</m:t>
                            </m:r>
                          </m:e>
                        </m:acc>
                      </m:e>
                      <m:sub>
                        <m:r>
                          <w:rPr>
                            <w:rFonts w:ascii="Cambria Math" w:hAnsi="Cambria Math"/>
                          </w:rPr>
                          <m:t>cw</m:t>
                        </m:r>
                      </m:sub>
                    </m:sSub>
                    <m:sSub>
                      <m:sSubPr>
                        <m:ctrlPr>
                          <w:rPr>
                            <w:rFonts w:ascii="Cambria Math" w:hAnsi="Cambria Math"/>
                            <w:i/>
                            <w:iCs/>
                          </w:rPr>
                        </m:ctrlPr>
                      </m:sSubPr>
                      <m:e>
                        <m:r>
                          <w:rPr>
                            <w:rFonts w:ascii="Cambria Math" w:hAnsi="Cambria Math"/>
                          </w:rPr>
                          <m:t>c</m:t>
                        </m:r>
                      </m:e>
                      <m:sub>
                        <m:r>
                          <w:rPr>
                            <w:rFonts w:ascii="Cambria Math" w:hAnsi="Cambria Math"/>
                          </w:rPr>
                          <m:t>p</m:t>
                        </m:r>
                      </m:sub>
                    </m:sSub>
                  </m:den>
                </m:f>
              </m:oMath>
            </m:oMathPara>
          </w:p>
        </w:tc>
        <w:tc>
          <w:tcPr>
            <w:tcW w:w="629" w:type="dxa"/>
            <w:vAlign w:val="center"/>
            <w:hideMark/>
          </w:tcPr>
          <w:p w14:paraId="482CEA15" w14:textId="77777777" w:rsidR="00A7521D" w:rsidRDefault="00A7521D" w:rsidP="00A7521D">
            <w:pPr>
              <w:pStyle w:val="Caption"/>
              <w:jc w:val="right"/>
            </w:pPr>
          </w:p>
        </w:tc>
        <w:tc>
          <w:tcPr>
            <w:tcW w:w="787" w:type="dxa"/>
            <w:vAlign w:val="center"/>
            <w:hideMark/>
          </w:tcPr>
          <w:p w14:paraId="7E1CF759" w14:textId="481732E0" w:rsidR="00A7521D" w:rsidRDefault="00A7521D" w:rsidP="00A7521D">
            <w:pPr>
              <w:pStyle w:val="Caption"/>
              <w:jc w:val="right"/>
              <w:rPr>
                <w:b w:val="0"/>
              </w:rPr>
            </w:pPr>
            <w:r>
              <w:rPr>
                <w:noProof/>
              </w:rPr>
              <w:fldChar w:fldCharType="begin"/>
            </w:r>
            <w:r>
              <w:rPr>
                <w:noProof/>
              </w:rPr>
              <w:instrText xml:space="preserve"> STYLEREF 1 \s </w:instrText>
            </w:r>
            <w:r>
              <w:rPr>
                <w:noProof/>
              </w:rPr>
              <w:fldChar w:fldCharType="separate"/>
            </w:r>
            <w:r w:rsidR="00CB7456">
              <w:rPr>
                <w:noProof/>
              </w:rPr>
              <w:t>13</w:t>
            </w:r>
            <w:r>
              <w:rPr>
                <w:noProof/>
              </w:rPr>
              <w:fldChar w:fldCharType="end"/>
            </w:r>
            <w:r>
              <w:rPr>
                <w:noProof/>
              </w:rPr>
              <w:t>.</w:t>
            </w:r>
            <w:r>
              <w:rPr>
                <w:noProof/>
              </w:rPr>
              <w:fldChar w:fldCharType="begin"/>
            </w:r>
            <w:r>
              <w:rPr>
                <w:noProof/>
              </w:rPr>
              <w:instrText xml:space="preserve"> SEQ Equation \* ARABIC \s 1 </w:instrText>
            </w:r>
            <w:r>
              <w:rPr>
                <w:noProof/>
              </w:rPr>
              <w:fldChar w:fldCharType="separate"/>
            </w:r>
            <w:r w:rsidR="00CB7456">
              <w:rPr>
                <w:noProof/>
              </w:rPr>
              <w:t>88</w:t>
            </w:r>
            <w:r>
              <w:rPr>
                <w:noProof/>
              </w:rPr>
              <w:fldChar w:fldCharType="end"/>
            </w:r>
          </w:p>
        </w:tc>
      </w:tr>
    </w:tbl>
    <w:p w14:paraId="0E1674EE" w14:textId="77777777" w:rsidR="00A7521D" w:rsidRDefault="00A7521D" w:rsidP="00A7521D"/>
    <w:p w14:paraId="0E909772" w14:textId="77777777" w:rsidR="00A7521D" w:rsidRDefault="00A7521D" w:rsidP="00A7521D">
      <w:pPr>
        <w:pStyle w:val="NoSpacing"/>
      </w:pPr>
      <m:oMath>
        <m:r>
          <w:rPr>
            <w:rFonts w:ascii="Cambria Math" w:hAnsi="Cambria Math"/>
          </w:rPr>
          <m:t>∆T</m:t>
        </m:r>
      </m:oMath>
      <w:r>
        <w:t xml:space="preserve"> was the temperature change in the condenser (K),</w:t>
      </w:r>
    </w:p>
    <w:p w14:paraId="5C0EA0BE" w14:textId="77777777" w:rsidR="00A7521D" w:rsidRDefault="00C73E04" w:rsidP="00A7521D">
      <w:pPr>
        <w:pStyle w:val="NoSpacing"/>
      </w:pPr>
      <m:oMath>
        <m:sSub>
          <m:sSubPr>
            <m:ctrlPr>
              <w:rPr>
                <w:rFonts w:ascii="Cambria Math" w:hAnsi="Cambria Math"/>
                <w:i/>
              </w:rPr>
            </m:ctrlPr>
          </m:sSubPr>
          <m:e>
            <m:acc>
              <m:accPr>
                <m:chr m:val="̇"/>
                <m:ctrlPr>
                  <w:rPr>
                    <w:rFonts w:ascii="Cambria Math" w:hAnsi="Cambria Math"/>
                    <w:i/>
                  </w:rPr>
                </m:ctrlPr>
              </m:accPr>
              <m:e>
                <m:r>
                  <w:rPr>
                    <w:rFonts w:ascii="Cambria Math" w:hAnsi="Cambria Math"/>
                  </w:rPr>
                  <m:t>Q</m:t>
                </m:r>
              </m:e>
            </m:acc>
          </m:e>
          <m:sub>
            <m:r>
              <w:rPr>
                <w:rFonts w:ascii="Cambria Math" w:hAnsi="Cambria Math"/>
              </w:rPr>
              <m:t>cw</m:t>
            </m:r>
          </m:sub>
        </m:sSub>
      </m:oMath>
      <w:r w:rsidR="00A7521D">
        <w:t xml:space="preserve"> was the heat given off in the condenser (kW),</w:t>
      </w:r>
    </w:p>
    <w:p w14:paraId="383978EF" w14:textId="77777777" w:rsidR="00A7521D" w:rsidRDefault="00C73E04" w:rsidP="00A7521D">
      <w:pPr>
        <w:pStyle w:val="NoSpacing"/>
      </w:pPr>
      <m:oMath>
        <m:sSub>
          <m:sSubPr>
            <m:ctrlPr>
              <w:rPr>
                <w:rFonts w:ascii="Cambria Math" w:hAnsi="Cambria Math"/>
                <w:i/>
              </w:rPr>
            </m:ctrlPr>
          </m:sSubPr>
          <m:e>
            <m:acc>
              <m:accPr>
                <m:chr m:val="̇"/>
                <m:ctrlPr>
                  <w:rPr>
                    <w:rFonts w:ascii="Cambria Math" w:hAnsi="Cambria Math"/>
                    <w:i/>
                  </w:rPr>
                </m:ctrlPr>
              </m:accPr>
              <m:e>
                <m:r>
                  <w:rPr>
                    <w:rFonts w:ascii="Cambria Math" w:hAnsi="Cambria Math"/>
                  </w:rPr>
                  <m:t>m</m:t>
                </m:r>
              </m:e>
            </m:acc>
          </m:e>
          <m:sub>
            <m:r>
              <w:rPr>
                <w:rFonts w:ascii="Cambria Math" w:hAnsi="Cambria Math"/>
              </w:rPr>
              <m:t>cw</m:t>
            </m:r>
          </m:sub>
        </m:sSub>
      </m:oMath>
      <w:r w:rsidR="00A7521D">
        <w:t xml:space="preserve"> was the mass flowrate through the condenser (kg/s),</w:t>
      </w:r>
    </w:p>
    <w:p w14:paraId="0FE12F7C" w14:textId="0934C6B5" w:rsidR="00A7521D" w:rsidRDefault="00C73E04" w:rsidP="00A7521D">
      <w:pPr>
        <w:rPr>
          <w:iCs/>
        </w:rPr>
      </w:pPr>
      <m:oMath>
        <m:sSub>
          <m:sSubPr>
            <m:ctrlPr>
              <w:rPr>
                <w:rFonts w:ascii="Cambria Math" w:hAnsi="Cambria Math"/>
                <w:i/>
                <w:iCs/>
              </w:rPr>
            </m:ctrlPr>
          </m:sSubPr>
          <m:e>
            <m:r>
              <w:rPr>
                <w:rFonts w:ascii="Cambria Math" w:hAnsi="Cambria Math"/>
              </w:rPr>
              <m:t>c</m:t>
            </m:r>
          </m:e>
          <m:sub>
            <m:r>
              <w:rPr>
                <w:rFonts w:ascii="Cambria Math" w:hAnsi="Cambria Math"/>
              </w:rPr>
              <m:t>p</m:t>
            </m:r>
          </m:sub>
        </m:sSub>
      </m:oMath>
      <w:r w:rsidR="00A7521D">
        <w:rPr>
          <w:iCs/>
        </w:rPr>
        <w:t xml:space="preserve"> was the specific heat capacity of the working fluid (kJ/[</w:t>
      </w:r>
      <w:proofErr w:type="spellStart"/>
      <w:r w:rsidR="00A7521D">
        <w:rPr>
          <w:iCs/>
        </w:rPr>
        <w:t>kg°C</w:t>
      </w:r>
      <w:proofErr w:type="spellEnd"/>
      <w:r w:rsidR="00A7521D">
        <w:rPr>
          <w:iCs/>
        </w:rPr>
        <w:t>]).</w:t>
      </w:r>
    </w:p>
    <w:p w14:paraId="48B7D0E4" w14:textId="40C4AADF" w:rsidR="00D3110F" w:rsidRDefault="00D3110F" w:rsidP="00A7521D">
      <w:r>
        <w:rPr>
          <w:iCs/>
        </w:rPr>
        <w:t xml:space="preserve">The temperature change in the condenser is dependent on the heat given off in the condenser, the mass flowrate through the condenser and the specific heat capacity of the working fluid. The </w:t>
      </w:r>
      <w:r>
        <w:t>heat given off in the condenser and the mass flowrate through the were calculated in the modelling of the HEX or the FH. The specific heat capacity of the working fluid was dependent on the choice of the working fluid and the operating conditions.</w:t>
      </w:r>
    </w:p>
    <w:p w14:paraId="322F7FA0" w14:textId="6C431677" w:rsidR="00EB00CC" w:rsidRDefault="00EB00CC" w:rsidP="00EB00CC">
      <w:pPr>
        <w:rPr>
          <w:b/>
          <w:bCs/>
          <w:sz w:val="18"/>
          <w:szCs w:val="18"/>
        </w:rPr>
      </w:pPr>
      <w:r>
        <w:rPr>
          <w:iCs/>
        </w:rPr>
        <w:fldChar w:fldCharType="begin"/>
      </w:r>
      <w:r>
        <w:rPr>
          <w:iCs/>
        </w:rPr>
        <w:instrText xml:space="preserve"> REF _Ref7186425 \h </w:instrText>
      </w:r>
      <w:r>
        <w:rPr>
          <w:iCs/>
        </w:rPr>
      </w:r>
      <w:r>
        <w:rPr>
          <w:iCs/>
        </w:rPr>
        <w:fldChar w:fldCharType="separate"/>
      </w:r>
      <w:r w:rsidR="00CB7456">
        <w:t xml:space="preserve">Table </w:t>
      </w:r>
      <w:r w:rsidR="00CB7456">
        <w:rPr>
          <w:noProof/>
        </w:rPr>
        <w:t>13</w:t>
      </w:r>
      <w:r w:rsidR="00CB7456">
        <w:t>.</w:t>
      </w:r>
      <w:r w:rsidR="00CB7456">
        <w:rPr>
          <w:noProof/>
        </w:rPr>
        <w:t>13</w:t>
      </w:r>
      <w:r>
        <w:rPr>
          <w:iCs/>
        </w:rPr>
        <w:fldChar w:fldCharType="end"/>
      </w:r>
      <w:r>
        <w:rPr>
          <w:iCs/>
        </w:rPr>
        <w:t xml:space="preserve"> shows how the complex series of equations used in the modelling of a RC or an ORC are linked to each other.</w:t>
      </w:r>
    </w:p>
    <w:p w14:paraId="0516C178" w14:textId="2ED630C6" w:rsidR="00EB00CC" w:rsidRDefault="00EB00CC" w:rsidP="00EB00CC">
      <w:pPr>
        <w:pStyle w:val="Caption"/>
        <w:keepNext/>
      </w:pPr>
      <w:bookmarkStart w:id="1059" w:name="_Ref7186425"/>
      <w:bookmarkStart w:id="1060" w:name="_Toc7187730"/>
      <w:r>
        <w:t xml:space="preserve">Table </w:t>
      </w:r>
      <w:fldSimple w:instr=" STYLEREF 1 \s ">
        <w:r w:rsidR="00CB7456">
          <w:rPr>
            <w:noProof/>
          </w:rPr>
          <w:t>13</w:t>
        </w:r>
      </w:fldSimple>
      <w:r w:rsidR="009E1A67">
        <w:t>.</w:t>
      </w:r>
      <w:fldSimple w:instr=" SEQ Table \* ARABIC \s 1 ">
        <w:r w:rsidR="00CB7456">
          <w:rPr>
            <w:noProof/>
          </w:rPr>
          <w:t>13</w:t>
        </w:r>
      </w:fldSimple>
      <w:bookmarkEnd w:id="1059"/>
      <w:r>
        <w:t>: How the equations in the modelling of a RC or an ORC are linked. Inputs in bold are outputs from other equations in the modelling of a RC or an ORC.</w:t>
      </w:r>
      <w:bookmarkEnd w:id="1060"/>
    </w:p>
    <w:tbl>
      <w:tblPr>
        <w:tblStyle w:val="TableGrid"/>
        <w:tblW w:w="0" w:type="auto"/>
        <w:jc w:val="center"/>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26"/>
        <w:gridCol w:w="2516"/>
        <w:gridCol w:w="1052"/>
        <w:gridCol w:w="3205"/>
      </w:tblGrid>
      <w:tr w:rsidR="00EB00CC" w14:paraId="301F81FC" w14:textId="77777777" w:rsidTr="00D737A2">
        <w:trPr>
          <w:jc w:val="center"/>
        </w:trPr>
        <w:tc>
          <w:tcPr>
            <w:tcW w:w="1126" w:type="dxa"/>
            <w:tcBorders>
              <w:bottom w:val="single" w:sz="4" w:space="0" w:color="auto"/>
            </w:tcBorders>
          </w:tcPr>
          <w:p w14:paraId="3EFCF3EC" w14:textId="77777777" w:rsidR="00EB00CC" w:rsidRDefault="00EB00CC" w:rsidP="00D737A2">
            <w:pPr>
              <w:jc w:val="center"/>
            </w:pPr>
            <w:r>
              <w:t>Equation</w:t>
            </w:r>
          </w:p>
        </w:tc>
        <w:tc>
          <w:tcPr>
            <w:tcW w:w="2516" w:type="dxa"/>
            <w:tcBorders>
              <w:bottom w:val="single" w:sz="4" w:space="0" w:color="auto"/>
            </w:tcBorders>
          </w:tcPr>
          <w:p w14:paraId="09268C70" w14:textId="77777777" w:rsidR="00EB00CC" w:rsidRDefault="00EB00CC" w:rsidP="00D737A2">
            <w:pPr>
              <w:jc w:val="center"/>
            </w:pPr>
            <w:r>
              <w:t>Inputs</w:t>
            </w:r>
          </w:p>
        </w:tc>
        <w:tc>
          <w:tcPr>
            <w:tcW w:w="1052" w:type="dxa"/>
            <w:tcBorders>
              <w:bottom w:val="single" w:sz="4" w:space="0" w:color="auto"/>
            </w:tcBorders>
          </w:tcPr>
          <w:p w14:paraId="26E66727" w14:textId="77777777" w:rsidR="00EB00CC" w:rsidRDefault="00EB00CC" w:rsidP="00D737A2">
            <w:pPr>
              <w:jc w:val="center"/>
            </w:pPr>
            <w:r>
              <w:t>Outputs</w:t>
            </w:r>
          </w:p>
        </w:tc>
        <w:tc>
          <w:tcPr>
            <w:tcW w:w="3205" w:type="dxa"/>
            <w:tcBorders>
              <w:bottom w:val="single" w:sz="4" w:space="0" w:color="auto"/>
            </w:tcBorders>
          </w:tcPr>
          <w:p w14:paraId="700FFB10" w14:textId="77777777" w:rsidR="00EB00CC" w:rsidRDefault="00EB00CC" w:rsidP="00D737A2">
            <w:pPr>
              <w:jc w:val="center"/>
            </w:pPr>
            <w:r>
              <w:t>Linked to Equation</w:t>
            </w:r>
          </w:p>
        </w:tc>
      </w:tr>
      <w:tr w:rsidR="00EB00CC" w14:paraId="19EA4ED8" w14:textId="77777777" w:rsidTr="00D737A2">
        <w:trPr>
          <w:jc w:val="center"/>
        </w:trPr>
        <w:tc>
          <w:tcPr>
            <w:tcW w:w="1126" w:type="dxa"/>
            <w:tcBorders>
              <w:top w:val="single" w:sz="4" w:space="0" w:color="auto"/>
              <w:bottom w:val="nil"/>
            </w:tcBorders>
          </w:tcPr>
          <w:p w14:paraId="43CA6D0C" w14:textId="77777777" w:rsidR="00EB00CC" w:rsidRPr="008A7BB2" w:rsidRDefault="00EB00CC" w:rsidP="00D737A2">
            <w:pPr>
              <w:jc w:val="center"/>
              <w:rPr>
                <w:color w:val="000000" w:themeColor="text1"/>
              </w:rPr>
            </w:pPr>
            <w:r>
              <w:rPr>
                <w:color w:val="000000" w:themeColor="text1"/>
              </w:rPr>
              <w:t>13.78</w:t>
            </w:r>
          </w:p>
        </w:tc>
        <w:tc>
          <w:tcPr>
            <w:tcW w:w="2516" w:type="dxa"/>
            <w:tcBorders>
              <w:top w:val="single" w:sz="4" w:space="0" w:color="auto"/>
              <w:bottom w:val="nil"/>
            </w:tcBorders>
          </w:tcPr>
          <w:p w14:paraId="47C650A8" w14:textId="77777777" w:rsidR="00EB00CC" w:rsidRPr="008A7BB2" w:rsidRDefault="00EB00CC" w:rsidP="00D737A2">
            <w:pPr>
              <w:jc w:val="center"/>
              <w:rPr>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s</m:t>
                    </m:r>
                  </m:e>
                  <m:sub>
                    <m:r>
                      <w:rPr>
                        <w:rFonts w:ascii="Cambria Math" w:hAnsi="Cambria Math"/>
                        <w:color w:val="000000" w:themeColor="text1"/>
                      </w:rPr>
                      <m:t>s3</m:t>
                    </m:r>
                  </m:sub>
                </m:sSub>
              </m:oMath>
            </m:oMathPara>
          </w:p>
        </w:tc>
        <w:tc>
          <w:tcPr>
            <w:tcW w:w="1052" w:type="dxa"/>
            <w:tcBorders>
              <w:top w:val="single" w:sz="4" w:space="0" w:color="auto"/>
              <w:bottom w:val="nil"/>
            </w:tcBorders>
          </w:tcPr>
          <w:p w14:paraId="1E111B12" w14:textId="77777777" w:rsidR="00EB00CC" w:rsidRPr="008A7BB2" w:rsidRDefault="00EB00CC" w:rsidP="00D737A2">
            <w:pPr>
              <w:jc w:val="center"/>
              <w:rPr>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s</m:t>
                    </m:r>
                  </m:e>
                  <m:sub>
                    <m:r>
                      <w:rPr>
                        <w:rFonts w:ascii="Cambria Math" w:hAnsi="Cambria Math"/>
                        <w:color w:val="000000" w:themeColor="text1"/>
                      </w:rPr>
                      <m:t>s4</m:t>
                    </m:r>
                  </m:sub>
                </m:sSub>
              </m:oMath>
            </m:oMathPara>
          </w:p>
        </w:tc>
        <w:tc>
          <w:tcPr>
            <w:tcW w:w="3205" w:type="dxa"/>
            <w:tcBorders>
              <w:top w:val="single" w:sz="4" w:space="0" w:color="auto"/>
              <w:bottom w:val="nil"/>
            </w:tcBorders>
          </w:tcPr>
          <w:p w14:paraId="11483372" w14:textId="77777777" w:rsidR="00EB00CC" w:rsidRPr="008A7BB2" w:rsidRDefault="00EB00CC" w:rsidP="00D737A2">
            <w:pPr>
              <w:jc w:val="center"/>
              <w:rPr>
                <w:color w:val="000000" w:themeColor="text1"/>
              </w:rPr>
            </w:pPr>
            <w:proofErr w:type="spellStart"/>
            <w:r>
              <w:rPr>
                <w:color w:val="000000" w:themeColor="text1"/>
              </w:rPr>
              <w:t>Eqn</w:t>
            </w:r>
            <w:proofErr w:type="spellEnd"/>
            <w:r>
              <w:rPr>
                <w:color w:val="000000" w:themeColor="text1"/>
              </w:rPr>
              <w:t xml:space="preserve"> 13.79</w:t>
            </w:r>
          </w:p>
        </w:tc>
      </w:tr>
      <w:tr w:rsidR="00EB00CC" w14:paraId="2953B265" w14:textId="77777777" w:rsidTr="00D737A2">
        <w:trPr>
          <w:jc w:val="center"/>
        </w:trPr>
        <w:tc>
          <w:tcPr>
            <w:tcW w:w="1126" w:type="dxa"/>
            <w:tcBorders>
              <w:top w:val="nil"/>
            </w:tcBorders>
          </w:tcPr>
          <w:p w14:paraId="4CDF714F" w14:textId="77777777" w:rsidR="00EB00CC" w:rsidRPr="008A7BB2" w:rsidRDefault="00EB00CC" w:rsidP="00D737A2">
            <w:pPr>
              <w:jc w:val="center"/>
              <w:rPr>
                <w:color w:val="000000" w:themeColor="text1"/>
              </w:rPr>
            </w:pPr>
            <w:r>
              <w:rPr>
                <w:color w:val="000000" w:themeColor="text1"/>
              </w:rPr>
              <w:t>13.79</w:t>
            </w:r>
          </w:p>
        </w:tc>
        <w:tc>
          <w:tcPr>
            <w:tcW w:w="2516" w:type="dxa"/>
            <w:tcBorders>
              <w:top w:val="nil"/>
            </w:tcBorders>
          </w:tcPr>
          <w:p w14:paraId="330AD06C" w14:textId="77777777" w:rsidR="00EB00CC" w:rsidRPr="008A7BB2" w:rsidRDefault="00EB00CC" w:rsidP="00D737A2">
            <w:pPr>
              <w:jc w:val="center"/>
              <w:rPr>
                <w:color w:val="000000" w:themeColor="text1"/>
              </w:rPr>
            </w:pPr>
            <m:oMathPara>
              <m:oMath>
                <m:sSub>
                  <m:sSubPr>
                    <m:ctrlPr>
                      <w:rPr>
                        <w:rFonts w:ascii="Cambria Math" w:hAnsi="Cambria Math"/>
                        <w:b/>
                        <w:i/>
                        <w:color w:val="000000" w:themeColor="text1"/>
                      </w:rPr>
                    </m:ctrlPr>
                  </m:sSubPr>
                  <m:e>
                    <m:r>
                      <m:rPr>
                        <m:sty m:val="bi"/>
                      </m:rPr>
                      <w:rPr>
                        <w:rFonts w:ascii="Cambria Math" w:hAnsi="Cambria Math"/>
                        <w:color w:val="000000" w:themeColor="text1"/>
                      </w:rPr>
                      <m:t>s</m:t>
                    </m:r>
                  </m:e>
                  <m:sub>
                    <m:r>
                      <m:rPr>
                        <m:sty m:val="bi"/>
                      </m:rPr>
                      <w:rPr>
                        <w:rFonts w:ascii="Cambria Math" w:hAnsi="Cambria Math"/>
                        <w:color w:val="000000" w:themeColor="text1"/>
                      </w:rPr>
                      <m:t>s</m:t>
                    </m:r>
                    <m:r>
                      <m:rPr>
                        <m:sty m:val="bi"/>
                      </m:rPr>
                      <w:rPr>
                        <w:rFonts w:ascii="Cambria Math" w:hAnsi="Cambria Math"/>
                        <w:color w:val="000000" w:themeColor="text1"/>
                      </w:rPr>
                      <m:t>4</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s</m:t>
                    </m:r>
                  </m:e>
                  <m:sub>
                    <m:r>
                      <w:rPr>
                        <w:rFonts w:ascii="Cambria Math" w:hAnsi="Cambria Math"/>
                        <w:color w:val="000000" w:themeColor="text1"/>
                      </w:rPr>
                      <m:t>l,s4</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s</m:t>
                    </m:r>
                  </m:e>
                  <m:sub>
                    <m:r>
                      <w:rPr>
                        <w:rFonts w:ascii="Cambria Math" w:hAnsi="Cambria Math"/>
                        <w:color w:val="000000" w:themeColor="text1"/>
                      </w:rPr>
                      <m:t>v,s4</m:t>
                    </m:r>
                  </m:sub>
                </m:sSub>
              </m:oMath>
            </m:oMathPara>
          </w:p>
        </w:tc>
        <w:tc>
          <w:tcPr>
            <w:tcW w:w="1052" w:type="dxa"/>
            <w:tcBorders>
              <w:top w:val="nil"/>
            </w:tcBorders>
          </w:tcPr>
          <w:p w14:paraId="40EA8837" w14:textId="77777777" w:rsidR="00EB00CC" w:rsidRPr="008A7BB2" w:rsidRDefault="00EB00CC" w:rsidP="00D737A2">
            <w:pPr>
              <w:jc w:val="center"/>
              <w:rPr>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α</m:t>
                    </m:r>
                  </m:e>
                  <m:sub>
                    <m:r>
                      <w:rPr>
                        <w:rFonts w:ascii="Cambria Math" w:hAnsi="Cambria Math"/>
                        <w:color w:val="000000" w:themeColor="text1"/>
                      </w:rPr>
                      <m:t>4</m:t>
                    </m:r>
                  </m:sub>
                </m:sSub>
              </m:oMath>
            </m:oMathPara>
          </w:p>
        </w:tc>
        <w:tc>
          <w:tcPr>
            <w:tcW w:w="3205" w:type="dxa"/>
            <w:tcBorders>
              <w:top w:val="nil"/>
            </w:tcBorders>
          </w:tcPr>
          <w:p w14:paraId="00787CAD" w14:textId="77777777" w:rsidR="00EB00CC" w:rsidRPr="008A7BB2" w:rsidRDefault="00EB00CC" w:rsidP="00D737A2">
            <w:pPr>
              <w:jc w:val="center"/>
              <w:rPr>
                <w:color w:val="000000" w:themeColor="text1"/>
              </w:rPr>
            </w:pPr>
            <w:proofErr w:type="spellStart"/>
            <w:r>
              <w:rPr>
                <w:color w:val="000000" w:themeColor="text1"/>
              </w:rPr>
              <w:t>Eqn</w:t>
            </w:r>
            <w:proofErr w:type="spellEnd"/>
            <w:r>
              <w:rPr>
                <w:color w:val="000000" w:themeColor="text1"/>
              </w:rPr>
              <w:t xml:space="preserve"> 13.80</w:t>
            </w:r>
          </w:p>
        </w:tc>
      </w:tr>
      <w:tr w:rsidR="00EB00CC" w14:paraId="6866B46D" w14:textId="77777777" w:rsidTr="00D737A2">
        <w:trPr>
          <w:jc w:val="center"/>
        </w:trPr>
        <w:tc>
          <w:tcPr>
            <w:tcW w:w="1126" w:type="dxa"/>
          </w:tcPr>
          <w:p w14:paraId="0AEF935B" w14:textId="77777777" w:rsidR="00EB00CC" w:rsidRPr="008A7BB2" w:rsidRDefault="00EB00CC" w:rsidP="00D737A2">
            <w:pPr>
              <w:jc w:val="center"/>
              <w:rPr>
                <w:color w:val="000000" w:themeColor="text1"/>
              </w:rPr>
            </w:pPr>
            <w:r>
              <w:rPr>
                <w:color w:val="000000" w:themeColor="text1"/>
              </w:rPr>
              <w:t>13.80</w:t>
            </w:r>
          </w:p>
        </w:tc>
        <w:tc>
          <w:tcPr>
            <w:tcW w:w="2516" w:type="dxa"/>
          </w:tcPr>
          <w:p w14:paraId="23F4ADB0" w14:textId="77777777" w:rsidR="00EB00CC" w:rsidRPr="008A7BB2" w:rsidRDefault="00EB00CC" w:rsidP="00D737A2">
            <w:pPr>
              <w:jc w:val="center"/>
              <w:rPr>
                <w:color w:val="000000" w:themeColor="text1"/>
              </w:rPr>
            </w:pPr>
            <m:oMathPara>
              <m:oMath>
                <m:sSub>
                  <m:sSubPr>
                    <m:ctrlPr>
                      <w:rPr>
                        <w:rFonts w:ascii="Cambria Math" w:hAnsi="Cambria Math"/>
                        <w:b/>
                        <w:i/>
                        <w:color w:val="000000" w:themeColor="text1"/>
                      </w:rPr>
                    </m:ctrlPr>
                  </m:sSubPr>
                  <m:e>
                    <m:r>
                      <m:rPr>
                        <m:sty m:val="bi"/>
                      </m:rPr>
                      <w:rPr>
                        <w:rFonts w:ascii="Cambria Math" w:hAnsi="Cambria Math"/>
                        <w:color w:val="000000" w:themeColor="text1"/>
                      </w:rPr>
                      <m:t>α</m:t>
                    </m:r>
                  </m:e>
                  <m:sub>
                    <m:r>
                      <m:rPr>
                        <m:sty m:val="bi"/>
                      </m:rPr>
                      <w:rPr>
                        <w:rFonts w:ascii="Cambria Math" w:hAnsi="Cambria Math"/>
                        <w:color w:val="000000" w:themeColor="text1"/>
                      </w:rPr>
                      <m:t>4</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H</m:t>
                    </m:r>
                  </m:e>
                  <m:sub>
                    <m:r>
                      <w:rPr>
                        <w:rFonts w:ascii="Cambria Math" w:hAnsi="Cambria Math"/>
                        <w:color w:val="000000" w:themeColor="text1"/>
                      </w:rPr>
                      <m:t>v,s4</m:t>
                    </m:r>
                  </m:sub>
                </m:sSub>
              </m:oMath>
            </m:oMathPara>
          </w:p>
        </w:tc>
        <w:tc>
          <w:tcPr>
            <w:tcW w:w="1052" w:type="dxa"/>
          </w:tcPr>
          <w:p w14:paraId="7CB80DCA" w14:textId="77777777" w:rsidR="00EB00CC" w:rsidRPr="008A7BB2" w:rsidRDefault="00EB00CC" w:rsidP="00D737A2">
            <w:pPr>
              <w:jc w:val="center"/>
              <w:rPr>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H</m:t>
                    </m:r>
                  </m:e>
                  <m:sub>
                    <m:r>
                      <w:rPr>
                        <w:rFonts w:ascii="Cambria Math" w:hAnsi="Cambria Math"/>
                        <w:color w:val="000000" w:themeColor="text1"/>
                      </w:rPr>
                      <m:t>s4</m:t>
                    </m:r>
                  </m:sub>
                </m:sSub>
              </m:oMath>
            </m:oMathPara>
          </w:p>
        </w:tc>
        <w:tc>
          <w:tcPr>
            <w:tcW w:w="3205" w:type="dxa"/>
          </w:tcPr>
          <w:p w14:paraId="3BF60691" w14:textId="77777777" w:rsidR="00EB00CC" w:rsidRPr="008A7BB2" w:rsidRDefault="00EB00CC" w:rsidP="00D737A2">
            <w:pPr>
              <w:jc w:val="center"/>
              <w:rPr>
                <w:color w:val="000000" w:themeColor="text1"/>
              </w:rPr>
            </w:pPr>
            <w:proofErr w:type="spellStart"/>
            <w:r>
              <w:rPr>
                <w:color w:val="000000" w:themeColor="text1"/>
              </w:rPr>
              <w:t>Eqn</w:t>
            </w:r>
            <w:proofErr w:type="spellEnd"/>
            <w:r>
              <w:rPr>
                <w:color w:val="000000" w:themeColor="text1"/>
              </w:rPr>
              <w:t xml:space="preserve"> 13.84, </w:t>
            </w:r>
            <w:proofErr w:type="spellStart"/>
            <w:r>
              <w:rPr>
                <w:color w:val="000000" w:themeColor="text1"/>
              </w:rPr>
              <w:t>Eqn</w:t>
            </w:r>
            <w:proofErr w:type="spellEnd"/>
            <w:r>
              <w:rPr>
                <w:color w:val="000000" w:themeColor="text1"/>
              </w:rPr>
              <w:t xml:space="preserve"> 13.87</w:t>
            </w:r>
          </w:p>
        </w:tc>
      </w:tr>
      <w:tr w:rsidR="00EB00CC" w14:paraId="09F5D6CD" w14:textId="77777777" w:rsidTr="00D737A2">
        <w:trPr>
          <w:jc w:val="center"/>
        </w:trPr>
        <w:tc>
          <w:tcPr>
            <w:tcW w:w="1126" w:type="dxa"/>
          </w:tcPr>
          <w:p w14:paraId="4724ABF0" w14:textId="77777777" w:rsidR="00EB00CC" w:rsidRPr="008A7BB2" w:rsidRDefault="00EB00CC" w:rsidP="00D737A2">
            <w:pPr>
              <w:jc w:val="center"/>
              <w:rPr>
                <w:color w:val="000000" w:themeColor="text1"/>
              </w:rPr>
            </w:pPr>
            <w:r>
              <w:rPr>
                <w:color w:val="000000" w:themeColor="text1"/>
              </w:rPr>
              <w:t>13.81</w:t>
            </w:r>
          </w:p>
        </w:tc>
        <w:tc>
          <w:tcPr>
            <w:tcW w:w="2516" w:type="dxa"/>
          </w:tcPr>
          <w:p w14:paraId="64E4F711" w14:textId="77777777" w:rsidR="00EB00CC" w:rsidRPr="008A7BB2" w:rsidRDefault="00EB00CC" w:rsidP="00D737A2">
            <w:pPr>
              <w:jc w:val="center"/>
              <w:rPr>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∆P</m:t>
                    </m:r>
                  </m:e>
                  <m:sub>
                    <m:r>
                      <w:rPr>
                        <w:rFonts w:ascii="Cambria Math" w:hAnsi="Cambria Math"/>
                        <w:color w:val="000000" w:themeColor="text1"/>
                      </w:rPr>
                      <m:t>s4</m:t>
                    </m:r>
                  </m:sub>
                </m:sSub>
              </m:oMath>
            </m:oMathPara>
          </w:p>
        </w:tc>
        <w:tc>
          <w:tcPr>
            <w:tcW w:w="1052" w:type="dxa"/>
          </w:tcPr>
          <w:p w14:paraId="3EE7420F" w14:textId="77777777" w:rsidR="00EB00CC" w:rsidRPr="008A7BB2" w:rsidRDefault="00EB00CC" w:rsidP="00D737A2">
            <w:pPr>
              <w:jc w:val="center"/>
              <w:rPr>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∆P</m:t>
                    </m:r>
                  </m:e>
                  <m:sub>
                    <m:r>
                      <w:rPr>
                        <w:rFonts w:ascii="Cambria Math" w:hAnsi="Cambria Math"/>
                        <w:color w:val="000000" w:themeColor="text1"/>
                      </w:rPr>
                      <m:t>s1</m:t>
                    </m:r>
                  </m:sub>
                </m:sSub>
              </m:oMath>
            </m:oMathPara>
          </w:p>
        </w:tc>
        <w:tc>
          <w:tcPr>
            <w:tcW w:w="3205" w:type="dxa"/>
          </w:tcPr>
          <w:p w14:paraId="48DE0F18" w14:textId="77777777" w:rsidR="00EB00CC" w:rsidRPr="008A7BB2" w:rsidRDefault="00EB00CC" w:rsidP="00D737A2">
            <w:pPr>
              <w:jc w:val="center"/>
              <w:rPr>
                <w:color w:val="000000" w:themeColor="text1"/>
              </w:rPr>
            </w:pPr>
            <w:proofErr w:type="spellStart"/>
            <w:r>
              <w:rPr>
                <w:color w:val="000000" w:themeColor="text1"/>
              </w:rPr>
              <w:t>Eqn</w:t>
            </w:r>
            <w:proofErr w:type="spellEnd"/>
            <w:r>
              <w:rPr>
                <w:color w:val="000000" w:themeColor="text1"/>
              </w:rPr>
              <w:t xml:space="preserve"> 13.82</w:t>
            </w:r>
          </w:p>
        </w:tc>
      </w:tr>
      <w:tr w:rsidR="00EB00CC" w14:paraId="4A1701D3" w14:textId="77777777" w:rsidTr="00D737A2">
        <w:trPr>
          <w:jc w:val="center"/>
        </w:trPr>
        <w:tc>
          <w:tcPr>
            <w:tcW w:w="1126" w:type="dxa"/>
          </w:tcPr>
          <w:p w14:paraId="373E2A19" w14:textId="77777777" w:rsidR="00EB00CC" w:rsidRPr="008A7BB2" w:rsidRDefault="00EB00CC" w:rsidP="00D737A2">
            <w:pPr>
              <w:jc w:val="center"/>
              <w:rPr>
                <w:color w:val="000000" w:themeColor="text1"/>
              </w:rPr>
            </w:pPr>
            <w:r>
              <w:rPr>
                <w:color w:val="000000" w:themeColor="text1"/>
              </w:rPr>
              <w:t>13.82</w:t>
            </w:r>
          </w:p>
        </w:tc>
        <w:tc>
          <w:tcPr>
            <w:tcW w:w="2516" w:type="dxa"/>
          </w:tcPr>
          <w:p w14:paraId="66E1E0B0" w14:textId="77777777" w:rsidR="00EB00CC" w:rsidRPr="008A7BB2" w:rsidRDefault="00EB00CC" w:rsidP="00D737A2">
            <w:pPr>
              <w:jc w:val="center"/>
              <w:rPr>
                <w:color w:val="000000" w:themeColor="text1"/>
              </w:rPr>
            </w:pPr>
            <m:oMathPara>
              <m:oMath>
                <m:sSub>
                  <m:sSubPr>
                    <m:ctrlPr>
                      <w:rPr>
                        <w:rFonts w:ascii="Cambria Math" w:hAnsi="Cambria Math"/>
                        <w:b/>
                        <w:i/>
                        <w:color w:val="000000" w:themeColor="text1"/>
                      </w:rPr>
                    </m:ctrlPr>
                  </m:sSubPr>
                  <m:e>
                    <m:r>
                      <m:rPr>
                        <m:sty m:val="bi"/>
                      </m:rPr>
                      <w:rPr>
                        <w:rFonts w:ascii="Cambria Math" w:hAnsi="Cambria Math"/>
                        <w:color w:val="000000" w:themeColor="text1"/>
                      </w:rPr>
                      <m:t>∆P</m:t>
                    </m:r>
                  </m:e>
                  <m:sub>
                    <m:r>
                      <m:rPr>
                        <m:sty m:val="bi"/>
                      </m:rPr>
                      <w:rPr>
                        <w:rFonts w:ascii="Cambria Math" w:hAnsi="Cambria Math"/>
                        <w:color w:val="000000" w:themeColor="text1"/>
                      </w:rPr>
                      <m:t>s</m:t>
                    </m:r>
                    <m:r>
                      <m:rPr>
                        <m:sty m:val="bi"/>
                      </m:rPr>
                      <w:rPr>
                        <w:rFonts w:ascii="Cambria Math" w:hAnsi="Cambria Math"/>
                        <w:color w:val="000000" w:themeColor="text1"/>
                      </w:rPr>
                      <m:t>1</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∆P</m:t>
                    </m:r>
                  </m:e>
                  <m:sub>
                    <m:r>
                      <w:rPr>
                        <w:rFonts w:ascii="Cambria Math" w:hAnsi="Cambria Math"/>
                        <w:color w:val="000000" w:themeColor="text1"/>
                      </w:rPr>
                      <m:t>s2</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ρ</m:t>
                    </m:r>
                  </m:e>
                  <m:sub>
                    <m:r>
                      <w:rPr>
                        <w:rFonts w:ascii="Cambria Math" w:hAnsi="Cambria Math"/>
                        <w:color w:val="000000" w:themeColor="text1"/>
                      </w:rPr>
                      <m:t>s1</m:t>
                    </m:r>
                  </m:sub>
                </m:sSub>
              </m:oMath>
            </m:oMathPara>
          </w:p>
        </w:tc>
        <w:tc>
          <w:tcPr>
            <w:tcW w:w="1052" w:type="dxa"/>
          </w:tcPr>
          <w:p w14:paraId="0275B774" w14:textId="77777777" w:rsidR="00EB00CC" w:rsidRPr="008A7BB2" w:rsidRDefault="00EB00CC" w:rsidP="00D737A2">
            <w:pPr>
              <w:jc w:val="center"/>
              <w:rPr>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w</m:t>
                    </m:r>
                  </m:e>
                  <m:sub>
                    <m:r>
                      <w:rPr>
                        <w:rFonts w:ascii="Cambria Math" w:hAnsi="Cambria Math"/>
                        <w:color w:val="000000" w:themeColor="text1"/>
                      </w:rPr>
                      <m:t>pump</m:t>
                    </m:r>
                  </m:sub>
                </m:sSub>
              </m:oMath>
            </m:oMathPara>
          </w:p>
        </w:tc>
        <w:tc>
          <w:tcPr>
            <w:tcW w:w="3205" w:type="dxa"/>
          </w:tcPr>
          <w:p w14:paraId="790B85C0" w14:textId="77777777" w:rsidR="00EB00CC" w:rsidRPr="008A7BB2" w:rsidRDefault="00EB00CC" w:rsidP="00D737A2">
            <w:pPr>
              <w:jc w:val="center"/>
              <w:rPr>
                <w:color w:val="000000" w:themeColor="text1"/>
              </w:rPr>
            </w:pPr>
            <w:proofErr w:type="spellStart"/>
            <w:r>
              <w:rPr>
                <w:color w:val="000000" w:themeColor="text1"/>
              </w:rPr>
              <w:t>Eqn</w:t>
            </w:r>
            <w:proofErr w:type="spellEnd"/>
            <w:r>
              <w:rPr>
                <w:color w:val="000000" w:themeColor="text1"/>
              </w:rPr>
              <w:t xml:space="preserve"> 13.83, </w:t>
            </w:r>
            <w:proofErr w:type="spellStart"/>
            <w:r>
              <w:rPr>
                <w:color w:val="000000" w:themeColor="text1"/>
              </w:rPr>
              <w:t>Eqn</w:t>
            </w:r>
            <w:proofErr w:type="spellEnd"/>
            <w:r>
              <w:rPr>
                <w:color w:val="000000" w:themeColor="text1"/>
              </w:rPr>
              <w:t xml:space="preserve"> 13.85, </w:t>
            </w:r>
            <w:proofErr w:type="spellStart"/>
            <w:r>
              <w:rPr>
                <w:color w:val="000000" w:themeColor="text1"/>
              </w:rPr>
              <w:t>Eqn</w:t>
            </w:r>
            <w:proofErr w:type="spellEnd"/>
            <w:r>
              <w:rPr>
                <w:color w:val="000000" w:themeColor="text1"/>
              </w:rPr>
              <w:t xml:space="preserve"> 13.86</w:t>
            </w:r>
          </w:p>
        </w:tc>
      </w:tr>
      <w:tr w:rsidR="00EB00CC" w14:paraId="063BAB37" w14:textId="77777777" w:rsidTr="00D737A2">
        <w:trPr>
          <w:jc w:val="center"/>
        </w:trPr>
        <w:tc>
          <w:tcPr>
            <w:tcW w:w="1126" w:type="dxa"/>
          </w:tcPr>
          <w:p w14:paraId="6FADDBC8" w14:textId="77777777" w:rsidR="00EB00CC" w:rsidRPr="008A7BB2" w:rsidRDefault="00EB00CC" w:rsidP="00D737A2">
            <w:pPr>
              <w:jc w:val="center"/>
              <w:rPr>
                <w:color w:val="000000" w:themeColor="text1"/>
              </w:rPr>
            </w:pPr>
            <w:r>
              <w:rPr>
                <w:color w:val="000000" w:themeColor="text1"/>
              </w:rPr>
              <w:t>13.83</w:t>
            </w:r>
          </w:p>
        </w:tc>
        <w:tc>
          <w:tcPr>
            <w:tcW w:w="2516" w:type="dxa"/>
          </w:tcPr>
          <w:p w14:paraId="7BD58994" w14:textId="77777777" w:rsidR="00EB00CC" w:rsidRPr="008A7BB2" w:rsidRDefault="00EB00CC" w:rsidP="00D737A2">
            <w:pPr>
              <w:jc w:val="center"/>
              <w:rPr>
                <w:color w:val="000000" w:themeColor="text1"/>
              </w:rPr>
            </w:pPr>
            <m:oMathPara>
              <m:oMath>
                <m:sSub>
                  <m:sSubPr>
                    <m:ctrlPr>
                      <w:rPr>
                        <w:rFonts w:ascii="Cambria Math" w:hAnsi="Cambria Math"/>
                        <w:b/>
                        <w:i/>
                        <w:color w:val="000000" w:themeColor="text1"/>
                      </w:rPr>
                    </m:ctrlPr>
                  </m:sSubPr>
                  <m:e>
                    <m:r>
                      <m:rPr>
                        <m:sty m:val="bi"/>
                      </m:rPr>
                      <w:rPr>
                        <w:rFonts w:ascii="Cambria Math" w:hAnsi="Cambria Math"/>
                        <w:color w:val="000000" w:themeColor="text1"/>
                      </w:rPr>
                      <m:t>w</m:t>
                    </m:r>
                  </m:e>
                  <m:sub>
                    <m:r>
                      <m:rPr>
                        <m:sty m:val="bi"/>
                      </m:rPr>
                      <w:rPr>
                        <w:rFonts w:ascii="Cambria Math" w:hAnsi="Cambria Math"/>
                        <w:color w:val="000000" w:themeColor="text1"/>
                      </w:rPr>
                      <m:t>pump</m:t>
                    </m:r>
                  </m:sub>
                </m:sSub>
                <m:r>
                  <w:rPr>
                    <w:rFonts w:ascii="Cambria Math" w:hAnsi="Cambria Math"/>
                    <w:color w:val="000000" w:themeColor="text1"/>
                  </w:rPr>
                  <m:t xml:space="preserve">, </m:t>
                </m:r>
                <m:sSub>
                  <m:sSubPr>
                    <m:ctrlPr>
                      <w:rPr>
                        <w:rFonts w:ascii="Cambria Math" w:hAnsi="Cambria Math"/>
                        <w:i/>
                        <w:color w:val="000000" w:themeColor="text1"/>
                      </w:rPr>
                    </m:ctrlPr>
                  </m:sSubPr>
                  <m:e>
                    <m:r>
                      <w:rPr>
                        <w:rFonts w:ascii="Cambria Math" w:hAnsi="Cambria Math"/>
                        <w:color w:val="000000" w:themeColor="text1"/>
                      </w:rPr>
                      <m:t>H</m:t>
                    </m:r>
                  </m:e>
                  <m:sub>
                    <m:r>
                      <w:rPr>
                        <w:rFonts w:ascii="Cambria Math" w:hAnsi="Cambria Math"/>
                        <w:color w:val="000000" w:themeColor="text1"/>
                      </w:rPr>
                      <m:t>s1</m:t>
                    </m:r>
                  </m:sub>
                </m:sSub>
              </m:oMath>
            </m:oMathPara>
          </w:p>
        </w:tc>
        <w:tc>
          <w:tcPr>
            <w:tcW w:w="1052" w:type="dxa"/>
          </w:tcPr>
          <w:p w14:paraId="4A0BF1C5" w14:textId="77777777" w:rsidR="00EB00CC" w:rsidRPr="008A7BB2" w:rsidRDefault="00EB00CC" w:rsidP="00D737A2">
            <w:pPr>
              <w:jc w:val="center"/>
              <w:rPr>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H</m:t>
                    </m:r>
                  </m:e>
                  <m:sub>
                    <m:r>
                      <w:rPr>
                        <w:rFonts w:ascii="Cambria Math" w:hAnsi="Cambria Math"/>
                        <w:color w:val="000000" w:themeColor="text1"/>
                      </w:rPr>
                      <m:t>s2</m:t>
                    </m:r>
                  </m:sub>
                </m:sSub>
              </m:oMath>
            </m:oMathPara>
          </w:p>
        </w:tc>
        <w:tc>
          <w:tcPr>
            <w:tcW w:w="3205" w:type="dxa"/>
          </w:tcPr>
          <w:p w14:paraId="4746E7E9" w14:textId="77777777" w:rsidR="00EB00CC" w:rsidRPr="008A7BB2" w:rsidRDefault="00EB00CC" w:rsidP="00D737A2">
            <w:pPr>
              <w:jc w:val="center"/>
              <w:rPr>
                <w:color w:val="000000" w:themeColor="text1"/>
              </w:rPr>
            </w:pPr>
            <w:proofErr w:type="spellStart"/>
            <w:r>
              <w:rPr>
                <w:color w:val="000000" w:themeColor="text1"/>
              </w:rPr>
              <w:t>Eqn</w:t>
            </w:r>
            <w:proofErr w:type="spellEnd"/>
            <w:r>
              <w:rPr>
                <w:color w:val="000000" w:themeColor="text1"/>
              </w:rPr>
              <w:t xml:space="preserve"> 13.85</w:t>
            </w:r>
          </w:p>
        </w:tc>
      </w:tr>
      <w:tr w:rsidR="00EB00CC" w14:paraId="1AFF9523" w14:textId="77777777" w:rsidTr="00D737A2">
        <w:trPr>
          <w:jc w:val="center"/>
        </w:trPr>
        <w:tc>
          <w:tcPr>
            <w:tcW w:w="1126" w:type="dxa"/>
          </w:tcPr>
          <w:p w14:paraId="3A242117" w14:textId="77777777" w:rsidR="00EB00CC" w:rsidRPr="008A7BB2" w:rsidRDefault="00EB00CC" w:rsidP="00D737A2">
            <w:pPr>
              <w:jc w:val="center"/>
              <w:rPr>
                <w:color w:val="000000" w:themeColor="text1"/>
              </w:rPr>
            </w:pPr>
            <w:r>
              <w:rPr>
                <w:color w:val="000000" w:themeColor="text1"/>
              </w:rPr>
              <w:t>13.84</w:t>
            </w:r>
          </w:p>
        </w:tc>
        <w:tc>
          <w:tcPr>
            <w:tcW w:w="2516" w:type="dxa"/>
          </w:tcPr>
          <w:p w14:paraId="17164D78" w14:textId="77777777" w:rsidR="00EB00CC" w:rsidRPr="008A7BB2" w:rsidRDefault="00EB00CC" w:rsidP="00D737A2">
            <w:pPr>
              <w:jc w:val="center"/>
              <w:rPr>
                <w:b/>
                <w:color w:val="000000" w:themeColor="text1"/>
              </w:rPr>
            </w:pPr>
            <m:oMathPara>
              <m:oMath>
                <m:sSub>
                  <m:sSubPr>
                    <m:ctrlPr>
                      <w:rPr>
                        <w:rFonts w:ascii="Cambria Math" w:hAnsi="Cambria Math"/>
                        <w:b/>
                        <w:i/>
                        <w:color w:val="000000" w:themeColor="text1"/>
                      </w:rPr>
                    </m:ctrlPr>
                  </m:sSubPr>
                  <m:e>
                    <m:r>
                      <m:rPr>
                        <m:sty m:val="bi"/>
                      </m:rPr>
                      <w:rPr>
                        <w:rFonts w:ascii="Cambria Math" w:hAnsi="Cambria Math"/>
                        <w:color w:val="000000" w:themeColor="text1"/>
                      </w:rPr>
                      <m:t>H</m:t>
                    </m:r>
                  </m:e>
                  <m:sub>
                    <m:r>
                      <m:rPr>
                        <m:sty m:val="bi"/>
                      </m:rPr>
                      <w:rPr>
                        <w:rFonts w:ascii="Cambria Math" w:hAnsi="Cambria Math"/>
                        <w:color w:val="000000" w:themeColor="text1"/>
                      </w:rPr>
                      <m:t>s</m:t>
                    </m:r>
                    <m:r>
                      <m:rPr>
                        <m:sty m:val="bi"/>
                      </m:rPr>
                      <w:rPr>
                        <w:rFonts w:ascii="Cambria Math" w:hAnsi="Cambria Math"/>
                        <w:color w:val="000000" w:themeColor="text1"/>
                      </w:rPr>
                      <m:t>4</m:t>
                    </m:r>
                  </m:sub>
                </m:sSub>
                <m:r>
                  <w:rPr>
                    <w:rFonts w:ascii="Cambria Math" w:hAnsi="Cambria Math"/>
                    <w:color w:val="000000" w:themeColor="text1"/>
                  </w:rPr>
                  <m:t xml:space="preserve">, </m:t>
                </m:r>
                <m:sSub>
                  <m:sSubPr>
                    <m:ctrlPr>
                      <w:rPr>
                        <w:rFonts w:ascii="Cambria Math" w:hAnsi="Cambria Math"/>
                        <w:i/>
                        <w:color w:val="000000" w:themeColor="text1"/>
                      </w:rPr>
                    </m:ctrlPr>
                  </m:sSubPr>
                  <m:e>
                    <m:r>
                      <w:rPr>
                        <w:rFonts w:ascii="Cambria Math" w:hAnsi="Cambria Math"/>
                        <w:color w:val="000000" w:themeColor="text1"/>
                      </w:rPr>
                      <m:t>H</m:t>
                    </m:r>
                  </m:e>
                  <m:sub>
                    <m:r>
                      <w:rPr>
                        <w:rFonts w:ascii="Cambria Math" w:hAnsi="Cambria Math"/>
                        <w:color w:val="000000" w:themeColor="text1"/>
                      </w:rPr>
                      <m:t>s3</m:t>
                    </m:r>
                  </m:sub>
                </m:sSub>
              </m:oMath>
            </m:oMathPara>
          </w:p>
        </w:tc>
        <w:tc>
          <w:tcPr>
            <w:tcW w:w="1052" w:type="dxa"/>
          </w:tcPr>
          <w:p w14:paraId="4DA6AD77" w14:textId="77777777" w:rsidR="00EB00CC" w:rsidRPr="008A7BB2" w:rsidRDefault="00EB00CC" w:rsidP="00D737A2">
            <w:pPr>
              <w:jc w:val="center"/>
              <w:rPr>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w</m:t>
                    </m:r>
                  </m:e>
                  <m:sub>
                    <m:r>
                      <w:rPr>
                        <w:rFonts w:ascii="Cambria Math" w:hAnsi="Cambria Math"/>
                        <w:color w:val="000000" w:themeColor="text1"/>
                      </w:rPr>
                      <m:t>turbine</m:t>
                    </m:r>
                  </m:sub>
                </m:sSub>
              </m:oMath>
            </m:oMathPara>
          </w:p>
        </w:tc>
        <w:tc>
          <w:tcPr>
            <w:tcW w:w="3205" w:type="dxa"/>
          </w:tcPr>
          <w:p w14:paraId="0E5982E7" w14:textId="77777777" w:rsidR="00EB00CC" w:rsidRPr="008A7BB2" w:rsidRDefault="00EB00CC" w:rsidP="00D737A2">
            <w:pPr>
              <w:jc w:val="center"/>
              <w:rPr>
                <w:color w:val="000000" w:themeColor="text1"/>
              </w:rPr>
            </w:pPr>
            <w:proofErr w:type="spellStart"/>
            <w:r>
              <w:rPr>
                <w:color w:val="000000" w:themeColor="text1"/>
              </w:rPr>
              <w:t>Eqn</w:t>
            </w:r>
            <w:proofErr w:type="spellEnd"/>
            <w:r>
              <w:rPr>
                <w:color w:val="000000" w:themeColor="text1"/>
              </w:rPr>
              <w:t xml:space="preserve"> 13.85, </w:t>
            </w:r>
            <w:proofErr w:type="spellStart"/>
            <w:r>
              <w:rPr>
                <w:color w:val="000000" w:themeColor="text1"/>
              </w:rPr>
              <w:t>Eqn</w:t>
            </w:r>
            <w:proofErr w:type="spellEnd"/>
            <w:r>
              <w:rPr>
                <w:color w:val="000000" w:themeColor="text1"/>
              </w:rPr>
              <w:t xml:space="preserve"> 13.86</w:t>
            </w:r>
          </w:p>
        </w:tc>
      </w:tr>
      <w:tr w:rsidR="00EB00CC" w14:paraId="2DE22759" w14:textId="77777777" w:rsidTr="00D737A2">
        <w:trPr>
          <w:jc w:val="center"/>
        </w:trPr>
        <w:tc>
          <w:tcPr>
            <w:tcW w:w="1126" w:type="dxa"/>
          </w:tcPr>
          <w:p w14:paraId="5A09228D" w14:textId="77777777" w:rsidR="00EB00CC" w:rsidRPr="008A7BB2" w:rsidRDefault="00EB00CC" w:rsidP="00D737A2">
            <w:pPr>
              <w:jc w:val="center"/>
              <w:rPr>
                <w:color w:val="000000" w:themeColor="text1"/>
              </w:rPr>
            </w:pPr>
            <w:r>
              <w:rPr>
                <w:color w:val="000000" w:themeColor="text1"/>
              </w:rPr>
              <w:t>13.85</w:t>
            </w:r>
          </w:p>
        </w:tc>
        <w:tc>
          <w:tcPr>
            <w:tcW w:w="2516" w:type="dxa"/>
          </w:tcPr>
          <w:p w14:paraId="2B7F55F6" w14:textId="77777777" w:rsidR="00EB00CC" w:rsidRPr="008A7BB2" w:rsidRDefault="00EB00CC" w:rsidP="00D737A2">
            <w:pPr>
              <w:jc w:val="center"/>
              <w:rPr>
                <w:color w:val="000000" w:themeColor="text1"/>
              </w:rPr>
            </w:pPr>
            <m:oMathPara>
              <m:oMath>
                <m:sSub>
                  <m:sSubPr>
                    <m:ctrlPr>
                      <w:rPr>
                        <w:rFonts w:ascii="Cambria Math" w:hAnsi="Cambria Math"/>
                        <w:b/>
                        <w:i/>
                        <w:color w:val="000000" w:themeColor="text1"/>
                      </w:rPr>
                    </m:ctrlPr>
                  </m:sSubPr>
                  <m:e>
                    <m:r>
                      <m:rPr>
                        <m:sty m:val="bi"/>
                      </m:rPr>
                      <w:rPr>
                        <w:rFonts w:ascii="Cambria Math" w:hAnsi="Cambria Math"/>
                        <w:color w:val="000000" w:themeColor="text1"/>
                      </w:rPr>
                      <m:t>w</m:t>
                    </m:r>
                  </m:e>
                  <m:sub>
                    <m:r>
                      <m:rPr>
                        <m:sty m:val="bi"/>
                      </m:rPr>
                      <w:rPr>
                        <w:rFonts w:ascii="Cambria Math" w:hAnsi="Cambria Math"/>
                        <w:color w:val="000000" w:themeColor="text1"/>
                      </w:rPr>
                      <m:t>pump</m:t>
                    </m:r>
                  </m:sub>
                </m:sSub>
                <m:r>
                  <w:rPr>
                    <w:rFonts w:ascii="Cambria Math" w:hAnsi="Cambria Math"/>
                    <w:color w:val="000000" w:themeColor="text1"/>
                  </w:rPr>
                  <m:t>,</m:t>
                </m:r>
                <m:sSub>
                  <m:sSubPr>
                    <m:ctrlPr>
                      <w:rPr>
                        <w:rFonts w:ascii="Cambria Math" w:hAnsi="Cambria Math"/>
                        <w:b/>
                        <w:i/>
                        <w:color w:val="000000" w:themeColor="text1"/>
                      </w:rPr>
                    </m:ctrlPr>
                  </m:sSubPr>
                  <m:e>
                    <m:r>
                      <m:rPr>
                        <m:sty m:val="bi"/>
                      </m:rPr>
                      <w:rPr>
                        <w:rFonts w:ascii="Cambria Math" w:hAnsi="Cambria Math"/>
                        <w:color w:val="000000" w:themeColor="text1"/>
                      </w:rPr>
                      <m:t>H</m:t>
                    </m:r>
                  </m:e>
                  <m:sub>
                    <m:r>
                      <m:rPr>
                        <m:sty m:val="bi"/>
                      </m:rPr>
                      <w:rPr>
                        <w:rFonts w:ascii="Cambria Math" w:hAnsi="Cambria Math"/>
                        <w:color w:val="000000" w:themeColor="text1"/>
                      </w:rPr>
                      <m:t>s</m:t>
                    </m:r>
                    <m:r>
                      <m:rPr>
                        <m:sty m:val="bi"/>
                      </m:rPr>
                      <w:rPr>
                        <w:rFonts w:ascii="Cambria Math" w:hAnsi="Cambria Math"/>
                        <w:color w:val="000000" w:themeColor="text1"/>
                      </w:rPr>
                      <m:t>2</m:t>
                    </m:r>
                  </m:sub>
                </m:sSub>
                <m:r>
                  <w:rPr>
                    <w:rFonts w:ascii="Cambria Math" w:hAnsi="Cambria Math"/>
                    <w:color w:val="000000" w:themeColor="text1"/>
                  </w:rPr>
                  <m:t>,</m:t>
                </m:r>
                <m:sSub>
                  <m:sSubPr>
                    <m:ctrlPr>
                      <w:rPr>
                        <w:rFonts w:ascii="Cambria Math" w:hAnsi="Cambria Math"/>
                        <w:b/>
                        <w:i/>
                        <w:color w:val="000000" w:themeColor="text1"/>
                      </w:rPr>
                    </m:ctrlPr>
                  </m:sSubPr>
                  <m:e>
                    <m:r>
                      <m:rPr>
                        <m:sty m:val="bi"/>
                      </m:rPr>
                      <w:rPr>
                        <w:rFonts w:ascii="Cambria Math" w:hAnsi="Cambria Math"/>
                        <w:color w:val="000000" w:themeColor="text1"/>
                      </w:rPr>
                      <m:t>w</m:t>
                    </m:r>
                  </m:e>
                  <m:sub>
                    <m:r>
                      <m:rPr>
                        <m:sty m:val="bi"/>
                      </m:rPr>
                      <w:rPr>
                        <w:rFonts w:ascii="Cambria Math" w:hAnsi="Cambria Math"/>
                        <w:color w:val="000000" w:themeColor="text1"/>
                      </w:rPr>
                      <m:t>turbine</m:t>
                    </m:r>
                  </m:sub>
                </m:sSub>
                <m:r>
                  <w:rPr>
                    <w:rFonts w:ascii="Cambria Math" w:hAnsi="Cambria Math"/>
                    <w:color w:val="000000" w:themeColor="text1"/>
                  </w:rPr>
                  <m:t xml:space="preserve">, </m:t>
                </m:r>
                <m:sSub>
                  <m:sSubPr>
                    <m:ctrlPr>
                      <w:rPr>
                        <w:rFonts w:ascii="Cambria Math" w:hAnsi="Cambria Math"/>
                        <w:i/>
                        <w:color w:val="000000" w:themeColor="text1"/>
                      </w:rPr>
                    </m:ctrlPr>
                  </m:sSubPr>
                  <m:e>
                    <m:r>
                      <w:rPr>
                        <w:rFonts w:ascii="Cambria Math" w:hAnsi="Cambria Math"/>
                        <w:color w:val="000000" w:themeColor="text1"/>
                      </w:rPr>
                      <m:t>H</m:t>
                    </m:r>
                  </m:e>
                  <m:sub>
                    <m:r>
                      <w:rPr>
                        <w:rFonts w:ascii="Cambria Math" w:hAnsi="Cambria Math"/>
                        <w:color w:val="000000" w:themeColor="text1"/>
                      </w:rPr>
                      <m:t>s3</m:t>
                    </m:r>
                  </m:sub>
                </m:sSub>
              </m:oMath>
            </m:oMathPara>
          </w:p>
        </w:tc>
        <w:tc>
          <w:tcPr>
            <w:tcW w:w="1052" w:type="dxa"/>
          </w:tcPr>
          <w:p w14:paraId="4F1196EF" w14:textId="77777777" w:rsidR="00EB00CC" w:rsidRPr="008A7BB2" w:rsidRDefault="00EB00CC" w:rsidP="00D737A2">
            <w:pPr>
              <w:jc w:val="center"/>
              <w:rPr>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η</m:t>
                    </m:r>
                  </m:e>
                  <m:sub>
                    <m:r>
                      <w:rPr>
                        <w:rFonts w:ascii="Cambria Math" w:hAnsi="Cambria Math"/>
                        <w:color w:val="000000" w:themeColor="text1"/>
                      </w:rPr>
                      <m:t>th</m:t>
                    </m:r>
                  </m:sub>
                </m:sSub>
              </m:oMath>
            </m:oMathPara>
          </w:p>
        </w:tc>
        <w:tc>
          <w:tcPr>
            <w:tcW w:w="3205" w:type="dxa"/>
          </w:tcPr>
          <w:p w14:paraId="70D81D1F" w14:textId="77777777" w:rsidR="00EB00CC" w:rsidRPr="008A7BB2" w:rsidRDefault="00EB00CC" w:rsidP="00D737A2">
            <w:pPr>
              <w:jc w:val="center"/>
              <w:rPr>
                <w:color w:val="000000" w:themeColor="text1"/>
              </w:rPr>
            </w:pPr>
          </w:p>
        </w:tc>
      </w:tr>
      <w:tr w:rsidR="00EB00CC" w14:paraId="5FCF890F" w14:textId="77777777" w:rsidTr="00D737A2">
        <w:trPr>
          <w:jc w:val="center"/>
        </w:trPr>
        <w:tc>
          <w:tcPr>
            <w:tcW w:w="1126" w:type="dxa"/>
          </w:tcPr>
          <w:p w14:paraId="580C4930" w14:textId="77777777" w:rsidR="00EB00CC" w:rsidRPr="008A7BB2" w:rsidRDefault="00EB00CC" w:rsidP="00D737A2">
            <w:pPr>
              <w:jc w:val="center"/>
              <w:rPr>
                <w:color w:val="000000" w:themeColor="text1"/>
              </w:rPr>
            </w:pPr>
            <w:r>
              <w:rPr>
                <w:color w:val="000000" w:themeColor="text1"/>
              </w:rPr>
              <w:t>13.86</w:t>
            </w:r>
          </w:p>
        </w:tc>
        <w:tc>
          <w:tcPr>
            <w:tcW w:w="2516" w:type="dxa"/>
          </w:tcPr>
          <w:p w14:paraId="6A6097B1" w14:textId="77777777" w:rsidR="00EB00CC" w:rsidRPr="008A7BB2" w:rsidRDefault="00EB00CC" w:rsidP="00D737A2">
            <w:pPr>
              <w:jc w:val="center"/>
              <w:rPr>
                <w:color w:val="000000" w:themeColor="text1"/>
              </w:rPr>
            </w:pPr>
            <m:oMathPara>
              <m:oMath>
                <m:sSub>
                  <m:sSubPr>
                    <m:ctrlPr>
                      <w:rPr>
                        <w:rFonts w:ascii="Cambria Math" w:hAnsi="Cambria Math"/>
                        <w:b/>
                        <w:i/>
                        <w:color w:val="000000" w:themeColor="text1"/>
                      </w:rPr>
                    </m:ctrlPr>
                  </m:sSubPr>
                  <m:e>
                    <m:r>
                      <m:rPr>
                        <m:sty m:val="bi"/>
                      </m:rPr>
                      <w:rPr>
                        <w:rFonts w:ascii="Cambria Math" w:hAnsi="Cambria Math"/>
                        <w:color w:val="000000" w:themeColor="text1"/>
                      </w:rPr>
                      <m:t>w</m:t>
                    </m:r>
                  </m:e>
                  <m:sub>
                    <m:r>
                      <m:rPr>
                        <m:sty m:val="bi"/>
                      </m:rPr>
                      <w:rPr>
                        <w:rFonts w:ascii="Cambria Math" w:hAnsi="Cambria Math"/>
                        <w:color w:val="000000" w:themeColor="text1"/>
                      </w:rPr>
                      <m:t>pump</m:t>
                    </m:r>
                  </m:sub>
                </m:sSub>
                <m:r>
                  <w:rPr>
                    <w:rFonts w:ascii="Cambria Math" w:hAnsi="Cambria Math"/>
                    <w:color w:val="000000" w:themeColor="text1"/>
                  </w:rPr>
                  <m:t>,</m:t>
                </m:r>
                <m:r>
                  <m:rPr>
                    <m:sty m:val="bi"/>
                  </m:rPr>
                  <w:rPr>
                    <w:rFonts w:ascii="Cambria Math" w:hAnsi="Cambria Math"/>
                    <w:color w:val="000000" w:themeColor="text1"/>
                  </w:rPr>
                  <m:t xml:space="preserve"> </m:t>
                </m:r>
                <m:sSub>
                  <m:sSubPr>
                    <m:ctrlPr>
                      <w:rPr>
                        <w:rFonts w:ascii="Cambria Math" w:hAnsi="Cambria Math"/>
                        <w:b/>
                        <w:i/>
                        <w:color w:val="000000" w:themeColor="text1"/>
                      </w:rPr>
                    </m:ctrlPr>
                  </m:sSubPr>
                  <m:e>
                    <m:r>
                      <m:rPr>
                        <m:sty m:val="bi"/>
                      </m:rPr>
                      <w:rPr>
                        <w:rFonts w:ascii="Cambria Math" w:hAnsi="Cambria Math"/>
                        <w:color w:val="000000" w:themeColor="text1"/>
                      </w:rPr>
                      <m:t>w</m:t>
                    </m:r>
                  </m:e>
                  <m:sub>
                    <m:r>
                      <m:rPr>
                        <m:sty m:val="bi"/>
                      </m:rPr>
                      <w:rPr>
                        <w:rFonts w:ascii="Cambria Math" w:hAnsi="Cambria Math"/>
                        <w:color w:val="000000" w:themeColor="text1"/>
                      </w:rPr>
                      <m:t>turbine</m:t>
                    </m:r>
                  </m:sub>
                </m:sSub>
                <m:r>
                  <w:rPr>
                    <w:rFonts w:ascii="Cambria Math" w:hAnsi="Cambria Math"/>
                    <w:color w:val="000000" w:themeColor="text1"/>
                  </w:rPr>
                  <m:t xml:space="preserve">, </m:t>
                </m:r>
                <m:sSub>
                  <m:sSubPr>
                    <m:ctrlPr>
                      <w:rPr>
                        <w:rFonts w:ascii="Cambria Math" w:hAnsi="Cambria Math"/>
                        <w:i/>
                        <w:color w:val="000000" w:themeColor="text1"/>
                      </w:rPr>
                    </m:ctrlPr>
                  </m:sSubPr>
                  <m:e>
                    <m:r>
                      <w:rPr>
                        <w:rFonts w:ascii="Cambria Math" w:hAnsi="Cambria Math"/>
                        <w:color w:val="000000" w:themeColor="text1"/>
                      </w:rPr>
                      <m:t>P</m:t>
                    </m:r>
                  </m:e>
                  <m:sub>
                    <m:r>
                      <w:rPr>
                        <w:rFonts w:ascii="Cambria Math" w:hAnsi="Cambria Math"/>
                        <w:color w:val="000000" w:themeColor="text1"/>
                      </w:rPr>
                      <m:t>net</m:t>
                    </m:r>
                  </m:sub>
                </m:sSub>
              </m:oMath>
            </m:oMathPara>
          </w:p>
        </w:tc>
        <w:tc>
          <w:tcPr>
            <w:tcW w:w="1052" w:type="dxa"/>
          </w:tcPr>
          <w:p w14:paraId="16A858AA" w14:textId="77777777" w:rsidR="00EB00CC" w:rsidRPr="008A7BB2" w:rsidRDefault="00EB00CC" w:rsidP="00D737A2">
            <w:pPr>
              <w:jc w:val="center"/>
              <w:rPr>
                <w:color w:val="000000" w:themeColor="text1"/>
              </w:rPr>
            </w:pPr>
            <m:oMathPara>
              <m:oMath>
                <m:sSub>
                  <m:sSubPr>
                    <m:ctrlPr>
                      <w:rPr>
                        <w:rFonts w:ascii="Cambria Math" w:hAnsi="Cambria Math"/>
                        <w:i/>
                        <w:color w:val="000000" w:themeColor="text1"/>
                      </w:rPr>
                    </m:ctrlPr>
                  </m:sSubPr>
                  <m:e>
                    <m:acc>
                      <m:accPr>
                        <m:chr m:val="̇"/>
                        <m:ctrlPr>
                          <w:rPr>
                            <w:rFonts w:ascii="Cambria Math" w:hAnsi="Cambria Math"/>
                            <w:i/>
                            <w:color w:val="000000" w:themeColor="text1"/>
                          </w:rPr>
                        </m:ctrlPr>
                      </m:accPr>
                      <m:e>
                        <m:r>
                          <w:rPr>
                            <w:rFonts w:ascii="Cambria Math" w:hAnsi="Cambria Math"/>
                            <w:color w:val="000000" w:themeColor="text1"/>
                          </w:rPr>
                          <m:t>m</m:t>
                        </m:r>
                      </m:e>
                    </m:acc>
                  </m:e>
                  <m:sub>
                    <m:r>
                      <w:rPr>
                        <w:rFonts w:ascii="Cambria Math" w:hAnsi="Cambria Math"/>
                        <w:color w:val="000000" w:themeColor="text1"/>
                      </w:rPr>
                      <m:t>w</m:t>
                    </m:r>
                  </m:sub>
                </m:sSub>
              </m:oMath>
            </m:oMathPara>
          </w:p>
        </w:tc>
        <w:tc>
          <w:tcPr>
            <w:tcW w:w="3205" w:type="dxa"/>
          </w:tcPr>
          <w:p w14:paraId="535E32CB" w14:textId="77777777" w:rsidR="00EB00CC" w:rsidRPr="008A7BB2" w:rsidRDefault="00EB00CC" w:rsidP="00D737A2">
            <w:pPr>
              <w:jc w:val="center"/>
              <w:rPr>
                <w:color w:val="000000" w:themeColor="text1"/>
              </w:rPr>
            </w:pPr>
            <w:proofErr w:type="spellStart"/>
            <w:r>
              <w:rPr>
                <w:color w:val="000000" w:themeColor="text1"/>
              </w:rPr>
              <w:t>Eqn</w:t>
            </w:r>
            <w:proofErr w:type="spellEnd"/>
            <w:r>
              <w:rPr>
                <w:color w:val="000000" w:themeColor="text1"/>
              </w:rPr>
              <w:t xml:space="preserve"> 13.87</w:t>
            </w:r>
          </w:p>
        </w:tc>
      </w:tr>
      <w:tr w:rsidR="00EB00CC" w14:paraId="7C1D470F" w14:textId="77777777" w:rsidTr="00D737A2">
        <w:trPr>
          <w:jc w:val="center"/>
        </w:trPr>
        <w:tc>
          <w:tcPr>
            <w:tcW w:w="1126" w:type="dxa"/>
          </w:tcPr>
          <w:p w14:paraId="37C9F332" w14:textId="77777777" w:rsidR="00EB00CC" w:rsidRPr="008A7BB2" w:rsidRDefault="00EB00CC" w:rsidP="00D737A2">
            <w:pPr>
              <w:jc w:val="center"/>
              <w:rPr>
                <w:color w:val="000000" w:themeColor="text1"/>
              </w:rPr>
            </w:pPr>
            <w:r>
              <w:rPr>
                <w:color w:val="000000" w:themeColor="text1"/>
              </w:rPr>
              <w:t>13.87</w:t>
            </w:r>
          </w:p>
        </w:tc>
        <w:tc>
          <w:tcPr>
            <w:tcW w:w="2516" w:type="dxa"/>
          </w:tcPr>
          <w:p w14:paraId="59838A79" w14:textId="77777777" w:rsidR="00EB00CC" w:rsidRPr="008A7BB2" w:rsidRDefault="00EB00CC" w:rsidP="00D737A2">
            <w:pPr>
              <w:jc w:val="center"/>
              <w:rPr>
                <w:color w:val="000000" w:themeColor="text1"/>
              </w:rPr>
            </w:pPr>
            <m:oMathPara>
              <m:oMath>
                <m:sSub>
                  <m:sSubPr>
                    <m:ctrlPr>
                      <w:rPr>
                        <w:rFonts w:ascii="Cambria Math" w:hAnsi="Cambria Math"/>
                        <w:b/>
                        <w:i/>
                        <w:color w:val="000000" w:themeColor="text1"/>
                      </w:rPr>
                    </m:ctrlPr>
                  </m:sSubPr>
                  <m:e>
                    <m:r>
                      <m:rPr>
                        <m:sty m:val="bi"/>
                      </m:rPr>
                      <w:rPr>
                        <w:rFonts w:ascii="Cambria Math" w:hAnsi="Cambria Math"/>
                        <w:color w:val="000000" w:themeColor="text1"/>
                      </w:rPr>
                      <m:t>H</m:t>
                    </m:r>
                  </m:e>
                  <m:sub>
                    <m:r>
                      <m:rPr>
                        <m:sty m:val="bi"/>
                      </m:rPr>
                      <w:rPr>
                        <w:rFonts w:ascii="Cambria Math" w:hAnsi="Cambria Math"/>
                        <w:color w:val="000000" w:themeColor="text1"/>
                      </w:rPr>
                      <m:t>s</m:t>
                    </m:r>
                    <m:r>
                      <m:rPr>
                        <m:sty m:val="bi"/>
                      </m:rPr>
                      <w:rPr>
                        <w:rFonts w:ascii="Cambria Math" w:hAnsi="Cambria Math"/>
                        <w:color w:val="000000" w:themeColor="text1"/>
                      </w:rPr>
                      <m:t>4</m:t>
                    </m:r>
                  </m:sub>
                </m:sSub>
                <m:r>
                  <w:rPr>
                    <w:rFonts w:ascii="Cambria Math" w:hAnsi="Cambria Math"/>
                    <w:color w:val="000000" w:themeColor="text1"/>
                  </w:rPr>
                  <m:t xml:space="preserve">, </m:t>
                </m:r>
                <m:sSub>
                  <m:sSubPr>
                    <m:ctrlPr>
                      <w:rPr>
                        <w:rFonts w:ascii="Cambria Math" w:hAnsi="Cambria Math"/>
                        <w:b/>
                        <w:i/>
                        <w:color w:val="000000" w:themeColor="text1"/>
                      </w:rPr>
                    </m:ctrlPr>
                  </m:sSubPr>
                  <m:e>
                    <m:acc>
                      <m:accPr>
                        <m:chr m:val="̇"/>
                        <m:ctrlPr>
                          <w:rPr>
                            <w:rFonts w:ascii="Cambria Math" w:hAnsi="Cambria Math"/>
                            <w:b/>
                            <w:i/>
                            <w:color w:val="000000" w:themeColor="text1"/>
                          </w:rPr>
                        </m:ctrlPr>
                      </m:accPr>
                      <m:e>
                        <m:r>
                          <m:rPr>
                            <m:sty m:val="bi"/>
                          </m:rPr>
                          <w:rPr>
                            <w:rFonts w:ascii="Cambria Math" w:hAnsi="Cambria Math"/>
                            <w:color w:val="000000" w:themeColor="text1"/>
                          </w:rPr>
                          <m:t>m</m:t>
                        </m:r>
                      </m:e>
                    </m:acc>
                  </m:e>
                  <m:sub>
                    <m:r>
                      <m:rPr>
                        <m:sty m:val="bi"/>
                      </m:rPr>
                      <w:rPr>
                        <w:rFonts w:ascii="Cambria Math" w:hAnsi="Cambria Math"/>
                        <w:color w:val="000000" w:themeColor="text1"/>
                      </w:rPr>
                      <m:t>w</m:t>
                    </m:r>
                  </m:sub>
                </m:sSub>
                <m:r>
                  <w:rPr>
                    <w:rFonts w:ascii="Cambria Math" w:hAnsi="Cambria Math"/>
                    <w:color w:val="000000" w:themeColor="text1"/>
                  </w:rPr>
                  <m:t xml:space="preserve">, </m:t>
                </m:r>
                <m:sSub>
                  <m:sSubPr>
                    <m:ctrlPr>
                      <w:rPr>
                        <w:rFonts w:ascii="Cambria Math" w:hAnsi="Cambria Math"/>
                        <w:i/>
                        <w:color w:val="000000" w:themeColor="text1"/>
                      </w:rPr>
                    </m:ctrlPr>
                  </m:sSubPr>
                  <m:e>
                    <m:r>
                      <w:rPr>
                        <w:rFonts w:ascii="Cambria Math" w:hAnsi="Cambria Math"/>
                        <w:color w:val="000000" w:themeColor="text1"/>
                      </w:rPr>
                      <m:t>H</m:t>
                    </m:r>
                  </m:e>
                  <m:sub>
                    <m:r>
                      <w:rPr>
                        <w:rFonts w:ascii="Cambria Math" w:hAnsi="Cambria Math"/>
                        <w:color w:val="000000" w:themeColor="text1"/>
                      </w:rPr>
                      <m:t>s1</m:t>
                    </m:r>
                  </m:sub>
                </m:sSub>
              </m:oMath>
            </m:oMathPara>
          </w:p>
        </w:tc>
        <w:tc>
          <w:tcPr>
            <w:tcW w:w="1052" w:type="dxa"/>
          </w:tcPr>
          <w:p w14:paraId="26641E79" w14:textId="77777777" w:rsidR="00EB00CC" w:rsidRPr="00297A26" w:rsidRDefault="00EB00CC" w:rsidP="00D737A2">
            <w:pPr>
              <w:jc w:val="center"/>
              <w:rPr>
                <w:b/>
                <w:color w:val="000000" w:themeColor="text1"/>
              </w:rPr>
            </w:pPr>
            <m:oMathPara>
              <m:oMath>
                <m:sSub>
                  <m:sSubPr>
                    <m:ctrlPr>
                      <w:rPr>
                        <w:rFonts w:ascii="Cambria Math" w:hAnsi="Cambria Math"/>
                        <w:b/>
                        <w:i/>
                        <w:color w:val="000000" w:themeColor="text1"/>
                      </w:rPr>
                    </m:ctrlPr>
                  </m:sSubPr>
                  <m:e>
                    <m:acc>
                      <m:accPr>
                        <m:chr m:val="̇"/>
                        <m:ctrlPr>
                          <w:rPr>
                            <w:rFonts w:ascii="Cambria Math" w:hAnsi="Cambria Math"/>
                            <w:b/>
                            <w:i/>
                            <w:color w:val="000000" w:themeColor="text1"/>
                          </w:rPr>
                        </m:ctrlPr>
                      </m:accPr>
                      <m:e>
                        <m:r>
                          <m:rPr>
                            <m:sty m:val="bi"/>
                          </m:rPr>
                          <w:rPr>
                            <w:rFonts w:ascii="Cambria Math" w:hAnsi="Cambria Math"/>
                            <w:color w:val="000000" w:themeColor="text1"/>
                          </w:rPr>
                          <m:t>Q</m:t>
                        </m:r>
                      </m:e>
                    </m:acc>
                  </m:e>
                  <m:sub>
                    <m:r>
                      <m:rPr>
                        <m:sty m:val="bi"/>
                      </m:rPr>
                      <w:rPr>
                        <w:rFonts w:ascii="Cambria Math" w:hAnsi="Cambria Math"/>
                        <w:color w:val="000000" w:themeColor="text1"/>
                      </w:rPr>
                      <m:t>cw</m:t>
                    </m:r>
                  </m:sub>
                </m:sSub>
              </m:oMath>
            </m:oMathPara>
          </w:p>
        </w:tc>
        <w:tc>
          <w:tcPr>
            <w:tcW w:w="3205" w:type="dxa"/>
          </w:tcPr>
          <w:p w14:paraId="69F1CB9D" w14:textId="77777777" w:rsidR="00EB00CC" w:rsidRPr="008A7BB2" w:rsidRDefault="00EB00CC" w:rsidP="00D737A2">
            <w:pPr>
              <w:jc w:val="center"/>
              <w:rPr>
                <w:color w:val="000000" w:themeColor="text1"/>
              </w:rPr>
            </w:pPr>
            <w:proofErr w:type="spellStart"/>
            <w:r>
              <w:rPr>
                <w:color w:val="000000" w:themeColor="text1"/>
              </w:rPr>
              <w:t>Eqn</w:t>
            </w:r>
            <w:proofErr w:type="spellEnd"/>
            <w:r>
              <w:rPr>
                <w:color w:val="000000" w:themeColor="text1"/>
              </w:rPr>
              <w:t xml:space="preserve"> 13.88</w:t>
            </w:r>
          </w:p>
        </w:tc>
      </w:tr>
      <w:tr w:rsidR="00EB00CC" w14:paraId="1E31F7A7" w14:textId="77777777" w:rsidTr="00D737A2">
        <w:trPr>
          <w:jc w:val="center"/>
        </w:trPr>
        <w:tc>
          <w:tcPr>
            <w:tcW w:w="1126" w:type="dxa"/>
          </w:tcPr>
          <w:p w14:paraId="0A3C026A" w14:textId="77777777" w:rsidR="00EB00CC" w:rsidRPr="008A7BB2" w:rsidRDefault="00EB00CC" w:rsidP="00D737A2">
            <w:pPr>
              <w:jc w:val="center"/>
              <w:rPr>
                <w:color w:val="000000" w:themeColor="text1"/>
              </w:rPr>
            </w:pPr>
            <w:r>
              <w:rPr>
                <w:color w:val="000000" w:themeColor="text1"/>
              </w:rPr>
              <w:t>13.88</w:t>
            </w:r>
          </w:p>
        </w:tc>
        <w:tc>
          <w:tcPr>
            <w:tcW w:w="2516" w:type="dxa"/>
          </w:tcPr>
          <w:p w14:paraId="3B3548A4" w14:textId="77777777" w:rsidR="00EB00CC" w:rsidRPr="008A7BB2" w:rsidRDefault="00EB00CC" w:rsidP="00D737A2">
            <w:pPr>
              <w:jc w:val="center"/>
              <w:rPr>
                <w:b/>
                <w:color w:val="000000" w:themeColor="text1"/>
              </w:rPr>
            </w:pPr>
            <m:oMathPara>
              <m:oMath>
                <m:sSub>
                  <m:sSubPr>
                    <m:ctrlPr>
                      <w:rPr>
                        <w:rFonts w:ascii="Cambria Math" w:hAnsi="Cambria Math"/>
                        <w:b/>
                        <w:i/>
                        <w:color w:val="000000" w:themeColor="text1"/>
                      </w:rPr>
                    </m:ctrlPr>
                  </m:sSubPr>
                  <m:e>
                    <m:acc>
                      <m:accPr>
                        <m:chr m:val="̇"/>
                        <m:ctrlPr>
                          <w:rPr>
                            <w:rFonts w:ascii="Cambria Math" w:hAnsi="Cambria Math"/>
                            <w:b/>
                            <w:i/>
                            <w:color w:val="000000" w:themeColor="text1"/>
                          </w:rPr>
                        </m:ctrlPr>
                      </m:accPr>
                      <m:e>
                        <m:r>
                          <m:rPr>
                            <m:sty m:val="bi"/>
                          </m:rPr>
                          <w:rPr>
                            <w:rFonts w:ascii="Cambria Math" w:hAnsi="Cambria Math"/>
                            <w:color w:val="000000" w:themeColor="text1"/>
                          </w:rPr>
                          <m:t>Q</m:t>
                        </m:r>
                      </m:e>
                    </m:acc>
                  </m:e>
                  <m:sub>
                    <m:r>
                      <m:rPr>
                        <m:sty m:val="bi"/>
                      </m:rPr>
                      <w:rPr>
                        <w:rFonts w:ascii="Cambria Math" w:hAnsi="Cambria Math"/>
                        <w:color w:val="000000" w:themeColor="text1"/>
                      </w:rPr>
                      <m:t>cw</m:t>
                    </m:r>
                  </m:sub>
                </m:sSub>
                <m:r>
                  <m:rPr>
                    <m:sty m:val="bi"/>
                  </m:rPr>
                  <w:rPr>
                    <w:rFonts w:ascii="Cambria Math" w:hAnsi="Cambria Math"/>
                    <w:color w:val="000000" w:themeColor="text1"/>
                  </w:rPr>
                  <m:t>,</m:t>
                </m:r>
                <m:sSub>
                  <m:sSubPr>
                    <m:ctrlPr>
                      <w:rPr>
                        <w:rFonts w:ascii="Cambria Math" w:hAnsi="Cambria Math"/>
                        <w:i/>
                        <w:color w:val="000000" w:themeColor="text1"/>
                      </w:rPr>
                    </m:ctrlPr>
                  </m:sSubPr>
                  <m:e>
                    <m:acc>
                      <m:accPr>
                        <m:chr m:val="̇"/>
                        <m:ctrlPr>
                          <w:rPr>
                            <w:rFonts w:ascii="Cambria Math" w:hAnsi="Cambria Math"/>
                            <w:i/>
                            <w:color w:val="000000" w:themeColor="text1"/>
                          </w:rPr>
                        </m:ctrlPr>
                      </m:accPr>
                      <m:e>
                        <m:r>
                          <w:rPr>
                            <w:rFonts w:ascii="Cambria Math" w:hAnsi="Cambria Math"/>
                            <w:color w:val="000000" w:themeColor="text1"/>
                          </w:rPr>
                          <m:t>m</m:t>
                        </m:r>
                      </m:e>
                    </m:acc>
                  </m:e>
                  <m:sub>
                    <m:r>
                      <w:rPr>
                        <w:rFonts w:ascii="Cambria Math" w:hAnsi="Cambria Math"/>
                        <w:color w:val="000000" w:themeColor="text1"/>
                      </w:rPr>
                      <m:t>cw</m:t>
                    </m:r>
                  </m:sub>
                </m:sSub>
                <m:r>
                  <w:rPr>
                    <w:rFonts w:ascii="Cambria Math" w:hAnsi="Cambria Math"/>
                    <w:color w:val="000000" w:themeColor="text1"/>
                  </w:rPr>
                  <m:t xml:space="preserve">, </m:t>
                </m:r>
                <m:sSub>
                  <m:sSubPr>
                    <m:ctrlPr>
                      <w:rPr>
                        <w:rFonts w:ascii="Cambria Math" w:hAnsi="Cambria Math"/>
                        <w:i/>
                        <w:color w:val="000000" w:themeColor="text1"/>
                      </w:rPr>
                    </m:ctrlPr>
                  </m:sSubPr>
                  <m:e>
                    <m:r>
                      <w:rPr>
                        <w:rFonts w:ascii="Cambria Math" w:hAnsi="Cambria Math"/>
                        <w:color w:val="000000" w:themeColor="text1"/>
                      </w:rPr>
                      <m:t>c</m:t>
                    </m:r>
                  </m:e>
                  <m:sub>
                    <m:r>
                      <w:rPr>
                        <w:rFonts w:ascii="Cambria Math" w:hAnsi="Cambria Math"/>
                        <w:color w:val="000000" w:themeColor="text1"/>
                      </w:rPr>
                      <m:t>p</m:t>
                    </m:r>
                  </m:sub>
                </m:sSub>
              </m:oMath>
            </m:oMathPara>
          </w:p>
        </w:tc>
        <w:tc>
          <w:tcPr>
            <w:tcW w:w="1052" w:type="dxa"/>
          </w:tcPr>
          <w:p w14:paraId="063094E6" w14:textId="77777777" w:rsidR="00EB00CC" w:rsidRPr="008A7BB2" w:rsidRDefault="00EB00CC" w:rsidP="00D737A2">
            <w:pPr>
              <w:jc w:val="center"/>
              <w:rPr>
                <w:color w:val="000000" w:themeColor="text1"/>
              </w:rPr>
            </w:pPr>
            <m:oMathPara>
              <m:oMath>
                <m:r>
                  <w:rPr>
                    <w:rFonts w:ascii="Cambria Math" w:hAnsi="Cambria Math"/>
                    <w:color w:val="000000" w:themeColor="text1"/>
                  </w:rPr>
                  <m:t>∆T</m:t>
                </m:r>
              </m:oMath>
            </m:oMathPara>
          </w:p>
        </w:tc>
        <w:tc>
          <w:tcPr>
            <w:tcW w:w="3205" w:type="dxa"/>
          </w:tcPr>
          <w:p w14:paraId="10CCDC74" w14:textId="77777777" w:rsidR="00EB00CC" w:rsidRPr="008A7BB2" w:rsidRDefault="00EB00CC" w:rsidP="00D737A2">
            <w:pPr>
              <w:jc w:val="center"/>
              <w:rPr>
                <w:color w:val="000000" w:themeColor="text1"/>
              </w:rPr>
            </w:pPr>
          </w:p>
        </w:tc>
      </w:tr>
    </w:tbl>
    <w:p w14:paraId="26D5A035" w14:textId="77777777" w:rsidR="00EB00CC" w:rsidRDefault="00EB00CC" w:rsidP="00EB00CC"/>
    <w:p w14:paraId="4CE76689" w14:textId="77777777" w:rsidR="00A7521D" w:rsidRDefault="00A7521D" w:rsidP="00A7521D">
      <w:pPr>
        <w:pStyle w:val="Heading2"/>
      </w:pPr>
      <w:bookmarkStart w:id="1061" w:name="_Toc525230061"/>
      <w:bookmarkStart w:id="1062" w:name="_Ref531344136"/>
      <w:bookmarkStart w:id="1063" w:name="_Toc7187609"/>
      <w:r>
        <w:t>Condenser Equations</w:t>
      </w:r>
      <w:bookmarkEnd w:id="1061"/>
      <w:bookmarkEnd w:id="1062"/>
      <w:bookmarkEnd w:id="1063"/>
    </w:p>
    <w:p w14:paraId="64558257" w14:textId="7AE77A59" w:rsidR="00A7521D" w:rsidRDefault="00A7521D" w:rsidP="00A7521D">
      <w:r>
        <w:t>The equations used in the modelling of the condensers are shown below, as calculated in section</w:t>
      </w:r>
      <w:r w:rsidR="00D82F1A">
        <w:t xml:space="preserve"> </w:t>
      </w:r>
      <w:r w:rsidR="00D82F1A">
        <w:fldChar w:fldCharType="begin"/>
      </w:r>
      <w:r w:rsidR="00D82F1A">
        <w:instrText xml:space="preserve"> REF _Ref531345485 \n \h </w:instrText>
      </w:r>
      <w:r w:rsidR="00D82F1A">
        <w:fldChar w:fldCharType="separate"/>
      </w:r>
      <w:r w:rsidR="00CB7456">
        <w:t>5.1.1.8</w:t>
      </w:r>
      <w:r w:rsidR="00D82F1A">
        <w:fldChar w:fldCharType="end"/>
      </w:r>
      <w:r>
        <w:t xml:space="preserve"> are shown below. All equations came from Coulson and Richardson's Chemical Engineering Volume 6 - Chemical Engineering Design </w:t>
      </w:r>
      <w:r>
        <w:fldChar w:fldCharType="begin" w:fldLock="1"/>
      </w:r>
      <w:r w:rsidR="002A6A73">
        <w:instrText>ADDIN CSL_CITATION {"citationItems":[{"id":"ITEM-1","itemData":{"ISBN":"978-0-7506-6538-4","author":[{"dropping-particle":"","family":"Sinnott","given":"R.K.","non-dropping-particle":"","parse-names":false,"suffix":""}],"edition":"4","id":"ITEM-1","issued":{"date-parts":[["2005"]]},"number-of-pages":"60 - 132","publisher":"Elsevier","publisher-place":"Oxford, England","title":"Coulson and Richardson's Chemical Engineering Volume 6 - Chemical Engineering Design","type":"book"},"uris":["http://www.mendeley.com/documents/?uuid=8e00b24b-1ea1-4b70-9865-3b5bcae659ed"]}],"mendeley":{"formattedCitation":"(Sinnott, 2005b)","plainTextFormattedCitation":"(Sinnott, 2005b)","previouslyFormattedCitation":"(Sinnott, 2005b)"},"properties":{"noteIndex":0},"schema":"https://github.com/citation-style-language/schema/raw/master/csl-citation.json"}</w:instrText>
      </w:r>
      <w:r>
        <w:fldChar w:fldCharType="separate"/>
      </w:r>
      <w:r w:rsidR="002A6A73" w:rsidRPr="002A6A73">
        <w:rPr>
          <w:noProof/>
        </w:rPr>
        <w:t>(Sinnott, 2005b)</w:t>
      </w:r>
      <w:r>
        <w:fldChar w:fldCharType="end"/>
      </w:r>
      <w: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82"/>
        <w:gridCol w:w="629"/>
        <w:gridCol w:w="787"/>
      </w:tblGrid>
      <w:tr w:rsidR="00A7521D" w14:paraId="448E834E" w14:textId="77777777" w:rsidTr="00A7521D">
        <w:tc>
          <w:tcPr>
            <w:tcW w:w="6782" w:type="dxa"/>
            <w:hideMark/>
          </w:tcPr>
          <w:p w14:paraId="3F762503" w14:textId="77777777" w:rsidR="00A7521D" w:rsidRDefault="00C73E04" w:rsidP="00A7521D">
            <w:pPr>
              <w:keepNext/>
              <w:rPr>
                <w:color w:val="FFFFFF"/>
              </w:rPr>
            </w:pPr>
            <m:oMathPara>
              <m:oMathParaPr>
                <m:jc m:val="left"/>
              </m:oMathParaPr>
              <m:oMath>
                <m:sSub>
                  <m:sSubPr>
                    <m:ctrlPr>
                      <w:rPr>
                        <w:rFonts w:ascii="Cambria Math" w:hAnsi="Cambria Math"/>
                        <w:i/>
                      </w:rPr>
                    </m:ctrlPr>
                  </m:sSubPr>
                  <m:e>
                    <m:r>
                      <w:rPr>
                        <w:rFonts w:ascii="Cambria Math" w:hAnsi="Cambria Math"/>
                      </w:rPr>
                      <m:t>Q</m:t>
                    </m:r>
                  </m:e>
                  <m:sub>
                    <m:r>
                      <w:rPr>
                        <w:rFonts w:ascii="Cambria Math" w:hAnsi="Cambria Math"/>
                      </w:rPr>
                      <m:t>v</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m</m:t>
                        </m:r>
                      </m:e>
                    </m:acc>
                  </m:e>
                  <m:sub>
                    <m:r>
                      <w:rPr>
                        <w:rFonts w:ascii="Cambria Math" w:hAnsi="Cambria Math"/>
                      </w:rPr>
                      <m:t>v</m:t>
                    </m:r>
                  </m:sub>
                </m:sSub>
                <m:d>
                  <m:dPr>
                    <m:ctrlPr>
                      <w:rPr>
                        <w:rFonts w:ascii="Cambria Math" w:hAnsi="Cambria Math"/>
                        <w:i/>
                      </w:rPr>
                    </m:ctrlPr>
                  </m:dPr>
                  <m:e>
                    <m:r>
                      <w:rPr>
                        <w:rFonts w:ascii="Cambria Math" w:hAnsi="Cambria Math"/>
                      </w:rPr>
                      <m:t>∆</m:t>
                    </m:r>
                    <m:sSub>
                      <m:sSubPr>
                        <m:ctrlPr>
                          <w:rPr>
                            <w:rFonts w:ascii="Cambria Math" w:hAnsi="Cambria Math"/>
                            <w:i/>
                          </w:rPr>
                        </m:ctrlPr>
                      </m:sSubPr>
                      <m:e>
                        <m:r>
                          <w:rPr>
                            <w:rFonts w:ascii="Cambria Math" w:hAnsi="Cambria Math"/>
                          </w:rPr>
                          <m:t>H</m:t>
                        </m:r>
                      </m:e>
                      <m:sub>
                        <m:r>
                          <w:rPr>
                            <w:rFonts w:ascii="Cambria Math" w:hAnsi="Cambria Math"/>
                          </w:rPr>
                          <m:t>v</m:t>
                        </m:r>
                      </m:sub>
                    </m:sSub>
                    <m:r>
                      <w:rPr>
                        <w:rFonts w:ascii="Cambria Math" w:hAnsi="Cambria Math"/>
                      </w:rPr>
                      <m:t>-∆</m:t>
                    </m:r>
                    <m:sSub>
                      <m:sSubPr>
                        <m:ctrlPr>
                          <w:rPr>
                            <w:rFonts w:ascii="Cambria Math" w:hAnsi="Cambria Math"/>
                            <w:i/>
                          </w:rPr>
                        </m:ctrlPr>
                      </m:sSubPr>
                      <m:e>
                        <m:r>
                          <w:rPr>
                            <w:rFonts w:ascii="Cambria Math" w:hAnsi="Cambria Math"/>
                          </w:rPr>
                          <m:t>H</m:t>
                        </m:r>
                      </m:e>
                      <m:sub>
                        <m:r>
                          <w:rPr>
                            <w:rFonts w:ascii="Cambria Math" w:hAnsi="Cambria Math"/>
                          </w:rPr>
                          <m:t>con</m:t>
                        </m:r>
                      </m:sub>
                    </m:sSub>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m</m:t>
                        </m:r>
                      </m:e>
                    </m:acc>
                  </m:e>
                  <m:sub>
                    <m:r>
                      <w:rPr>
                        <w:rFonts w:ascii="Cambria Math" w:hAnsi="Cambria Math"/>
                      </w:rPr>
                      <m:t>w</m:t>
                    </m:r>
                  </m:sub>
                </m:sSub>
                <m:sSub>
                  <m:sSubPr>
                    <m:ctrlPr>
                      <w:rPr>
                        <w:rFonts w:ascii="Cambria Math" w:hAnsi="Cambria Math"/>
                        <w:i/>
                      </w:rPr>
                    </m:ctrlPr>
                  </m:sSubPr>
                  <m:e>
                    <m:r>
                      <w:rPr>
                        <w:rFonts w:ascii="Cambria Math" w:hAnsi="Cambria Math"/>
                      </w:rPr>
                      <m:t>c</m:t>
                    </m:r>
                  </m:e>
                  <m:sub>
                    <m:r>
                      <w:rPr>
                        <w:rFonts w:ascii="Cambria Math" w:hAnsi="Cambria Math"/>
                      </w:rPr>
                      <m:t>p,w</m:t>
                    </m:r>
                  </m:sub>
                </m:sSub>
                <m:d>
                  <m:dPr>
                    <m:ctrlPr>
                      <w:rPr>
                        <w:rFonts w:ascii="Cambria Math" w:hAnsi="Cambria Math"/>
                        <w:i/>
                      </w:rPr>
                    </m:ctrlPr>
                  </m:dPr>
                  <m:e>
                    <m:sSub>
                      <m:sSubPr>
                        <m:ctrlPr>
                          <w:rPr>
                            <w:rFonts w:ascii="Cambria Math" w:hAnsi="Cambria Math"/>
                            <w:i/>
                          </w:rPr>
                        </m:ctrlPr>
                      </m:sSubPr>
                      <m:e>
                        <m:r>
                          <w:rPr>
                            <w:rFonts w:ascii="Cambria Math" w:hAnsi="Cambria Math"/>
                          </w:rPr>
                          <m:t>T</m:t>
                        </m:r>
                      </m:e>
                      <m:sub>
                        <m:r>
                          <w:rPr>
                            <w:rFonts w:ascii="Cambria Math" w:hAnsi="Cambria Math"/>
                          </w:rPr>
                          <m:t>h,1</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h,2</m:t>
                        </m:r>
                      </m:sub>
                    </m:sSub>
                  </m:e>
                </m:d>
                <m:r>
                  <w:rPr>
                    <w:rFonts w:ascii="Cambria Math" w:hAnsi="Cambria Math"/>
                  </w:rPr>
                  <m:t>=A</m:t>
                </m:r>
                <m:sSub>
                  <m:sSubPr>
                    <m:ctrlPr>
                      <w:rPr>
                        <w:rFonts w:ascii="Cambria Math" w:hAnsi="Cambria Math"/>
                        <w:i/>
                      </w:rPr>
                    </m:ctrlPr>
                  </m:sSubPr>
                  <m:e>
                    <m:r>
                      <w:rPr>
                        <w:rFonts w:ascii="Cambria Math" w:hAnsi="Cambria Math"/>
                      </w:rPr>
                      <m:t>U</m:t>
                    </m:r>
                  </m:e>
                  <m:sub>
                    <m:r>
                      <w:rPr>
                        <w:rFonts w:ascii="Cambria Math" w:hAnsi="Cambria Math"/>
                      </w:rPr>
                      <m:t>0</m:t>
                    </m:r>
                  </m:sub>
                </m:sSub>
                <m:sSub>
                  <m:sSubPr>
                    <m:ctrlPr>
                      <w:rPr>
                        <w:rFonts w:ascii="Cambria Math" w:hAnsi="Cambria Math"/>
                        <w:i/>
                      </w:rPr>
                    </m:ctrlPr>
                  </m:sSubPr>
                  <m:e>
                    <m:r>
                      <w:rPr>
                        <w:rFonts w:ascii="Cambria Math" w:hAnsi="Cambria Math"/>
                      </w:rPr>
                      <m:t>∆T</m:t>
                    </m:r>
                  </m:e>
                  <m:sub>
                    <m:r>
                      <w:rPr>
                        <w:rFonts w:ascii="Cambria Math" w:hAnsi="Cambria Math"/>
                      </w:rPr>
                      <m:t>m</m:t>
                    </m:r>
                  </m:sub>
                </m:sSub>
              </m:oMath>
            </m:oMathPara>
          </w:p>
        </w:tc>
        <w:tc>
          <w:tcPr>
            <w:tcW w:w="629" w:type="dxa"/>
            <w:vAlign w:val="center"/>
            <w:hideMark/>
          </w:tcPr>
          <w:p w14:paraId="3276C306" w14:textId="77777777" w:rsidR="00A7521D" w:rsidRDefault="00A7521D" w:rsidP="00A7521D">
            <w:pPr>
              <w:pStyle w:val="Caption"/>
              <w:jc w:val="right"/>
            </w:pPr>
          </w:p>
        </w:tc>
        <w:tc>
          <w:tcPr>
            <w:tcW w:w="787" w:type="dxa"/>
            <w:vAlign w:val="center"/>
            <w:hideMark/>
          </w:tcPr>
          <w:p w14:paraId="11249C58" w14:textId="7125D5DD" w:rsidR="00A7521D" w:rsidRDefault="00A7521D" w:rsidP="00A7521D">
            <w:pPr>
              <w:pStyle w:val="Caption"/>
              <w:jc w:val="right"/>
              <w:rPr>
                <w:b w:val="0"/>
              </w:rPr>
            </w:pPr>
            <w:r>
              <w:rPr>
                <w:noProof/>
              </w:rPr>
              <w:fldChar w:fldCharType="begin"/>
            </w:r>
            <w:r>
              <w:rPr>
                <w:noProof/>
              </w:rPr>
              <w:instrText xml:space="preserve"> STYLEREF 1 \s </w:instrText>
            </w:r>
            <w:r>
              <w:rPr>
                <w:noProof/>
              </w:rPr>
              <w:fldChar w:fldCharType="separate"/>
            </w:r>
            <w:r w:rsidR="00CB7456">
              <w:rPr>
                <w:noProof/>
              </w:rPr>
              <w:t>13</w:t>
            </w:r>
            <w:r>
              <w:rPr>
                <w:noProof/>
              </w:rPr>
              <w:fldChar w:fldCharType="end"/>
            </w:r>
            <w:r>
              <w:rPr>
                <w:noProof/>
              </w:rPr>
              <w:t>.</w:t>
            </w:r>
            <w:r>
              <w:rPr>
                <w:noProof/>
              </w:rPr>
              <w:fldChar w:fldCharType="begin"/>
            </w:r>
            <w:r>
              <w:rPr>
                <w:noProof/>
              </w:rPr>
              <w:instrText xml:space="preserve"> SEQ Equation \* ARABIC \s 1 </w:instrText>
            </w:r>
            <w:r>
              <w:rPr>
                <w:noProof/>
              </w:rPr>
              <w:fldChar w:fldCharType="separate"/>
            </w:r>
            <w:r w:rsidR="00CB7456">
              <w:rPr>
                <w:noProof/>
              </w:rPr>
              <w:t>89</w:t>
            </w:r>
            <w:r>
              <w:rPr>
                <w:noProof/>
              </w:rPr>
              <w:fldChar w:fldCharType="end"/>
            </w:r>
          </w:p>
        </w:tc>
      </w:tr>
    </w:tbl>
    <w:p w14:paraId="2A502F0A" w14:textId="77777777" w:rsidR="00A7521D" w:rsidRPr="00495D50" w:rsidRDefault="00A7521D" w:rsidP="00A7521D"/>
    <w:p w14:paraId="61295518" w14:textId="77777777" w:rsidR="00A7521D" w:rsidRDefault="00C73E04" w:rsidP="00A7521D">
      <w:pPr>
        <w:pStyle w:val="NoSpacing"/>
      </w:pPr>
      <m:oMath>
        <m:sSub>
          <m:sSubPr>
            <m:ctrlPr>
              <w:rPr>
                <w:rFonts w:ascii="Cambria Math" w:hAnsi="Cambria Math"/>
                <w:i/>
              </w:rPr>
            </m:ctrlPr>
          </m:sSubPr>
          <m:e>
            <m:r>
              <w:rPr>
                <w:rFonts w:ascii="Cambria Math" w:hAnsi="Cambria Math"/>
              </w:rPr>
              <m:t>Q</m:t>
            </m:r>
          </m:e>
          <m:sub>
            <m:r>
              <w:rPr>
                <w:rFonts w:ascii="Cambria Math" w:hAnsi="Cambria Math"/>
              </w:rPr>
              <m:t>v</m:t>
            </m:r>
          </m:sub>
        </m:sSub>
      </m:oMath>
      <w:r w:rsidR="00A7521D">
        <w:t xml:space="preserve"> wa</w:t>
      </w:r>
      <w:proofErr w:type="spellStart"/>
      <w:r w:rsidR="00A7521D">
        <w:t>s</w:t>
      </w:r>
      <w:proofErr w:type="spellEnd"/>
      <w:r w:rsidR="00A7521D">
        <w:t xml:space="preserve"> the heat released from the vapour in the condenser (kW),</w:t>
      </w:r>
    </w:p>
    <w:p w14:paraId="09B257FB" w14:textId="77777777" w:rsidR="00A7521D" w:rsidRDefault="00C73E04" w:rsidP="00A7521D">
      <w:pPr>
        <w:pStyle w:val="NoSpacing"/>
      </w:pPr>
      <m:oMath>
        <m:sSub>
          <m:sSubPr>
            <m:ctrlPr>
              <w:rPr>
                <w:rFonts w:ascii="Cambria Math" w:hAnsi="Cambria Math"/>
                <w:i/>
              </w:rPr>
            </m:ctrlPr>
          </m:sSubPr>
          <m:e>
            <m:acc>
              <m:accPr>
                <m:chr m:val="̇"/>
                <m:ctrlPr>
                  <w:rPr>
                    <w:rFonts w:ascii="Cambria Math" w:hAnsi="Cambria Math"/>
                    <w:i/>
                  </w:rPr>
                </m:ctrlPr>
              </m:accPr>
              <m:e>
                <m:r>
                  <w:rPr>
                    <w:rFonts w:ascii="Cambria Math" w:hAnsi="Cambria Math"/>
                  </w:rPr>
                  <m:t>m</m:t>
                </m:r>
              </m:e>
            </m:acc>
          </m:e>
          <m:sub>
            <m:r>
              <w:rPr>
                <w:rFonts w:ascii="Cambria Math" w:hAnsi="Cambria Math"/>
              </w:rPr>
              <m:t>v</m:t>
            </m:r>
          </m:sub>
        </m:sSub>
      </m:oMath>
      <w:r w:rsidR="00A7521D">
        <w:t xml:space="preserve"> was the mass flowrate of the vapour (kg/s),</w:t>
      </w:r>
    </w:p>
    <w:p w14:paraId="19E5FEFE" w14:textId="77777777" w:rsidR="00A7521D" w:rsidRDefault="00A7521D" w:rsidP="00A7521D">
      <w:pPr>
        <w:pStyle w:val="NoSpacing"/>
      </w:pPr>
      <m:oMath>
        <m:r>
          <w:rPr>
            <w:rFonts w:ascii="Cambria Math" w:hAnsi="Cambria Math"/>
          </w:rPr>
          <m:t>∆</m:t>
        </m:r>
        <m:sSub>
          <m:sSubPr>
            <m:ctrlPr>
              <w:rPr>
                <w:rFonts w:ascii="Cambria Math" w:hAnsi="Cambria Math"/>
                <w:i/>
              </w:rPr>
            </m:ctrlPr>
          </m:sSubPr>
          <m:e>
            <m:r>
              <w:rPr>
                <w:rFonts w:ascii="Cambria Math" w:hAnsi="Cambria Math"/>
              </w:rPr>
              <m:t>H</m:t>
            </m:r>
          </m:e>
          <m:sub>
            <m:r>
              <w:rPr>
                <w:rFonts w:ascii="Cambria Math" w:hAnsi="Cambria Math"/>
              </w:rPr>
              <m:t>v</m:t>
            </m:r>
          </m:sub>
        </m:sSub>
      </m:oMath>
      <w:r>
        <w:t xml:space="preserve"> was the vapour enthalpy (kJ/kg),</w:t>
      </w:r>
    </w:p>
    <w:p w14:paraId="277422B4" w14:textId="77777777" w:rsidR="00A7521D" w:rsidRDefault="00A7521D" w:rsidP="00A7521D">
      <w:pPr>
        <w:pStyle w:val="NoSpacing"/>
      </w:pPr>
      <m:oMath>
        <m:r>
          <w:rPr>
            <w:rFonts w:ascii="Cambria Math" w:hAnsi="Cambria Math"/>
          </w:rPr>
          <m:t>∆</m:t>
        </m:r>
        <m:sSub>
          <m:sSubPr>
            <m:ctrlPr>
              <w:rPr>
                <w:rFonts w:ascii="Cambria Math" w:hAnsi="Cambria Math"/>
                <w:i/>
              </w:rPr>
            </m:ctrlPr>
          </m:sSubPr>
          <m:e>
            <m:r>
              <w:rPr>
                <w:rFonts w:ascii="Cambria Math" w:hAnsi="Cambria Math"/>
              </w:rPr>
              <m:t>H</m:t>
            </m:r>
          </m:e>
          <m:sub>
            <m:r>
              <w:rPr>
                <w:rFonts w:ascii="Cambria Math" w:hAnsi="Cambria Math"/>
              </w:rPr>
              <m:t>con</m:t>
            </m:r>
          </m:sub>
        </m:sSub>
      </m:oMath>
      <w:r>
        <w:t xml:space="preserve"> was the condensate enthalpy (kJ/kg),</w:t>
      </w:r>
    </w:p>
    <w:p w14:paraId="2D64115C" w14:textId="77777777" w:rsidR="00A7521D" w:rsidRDefault="00C73E04" w:rsidP="00A7521D">
      <w:pPr>
        <w:pStyle w:val="NoSpacing"/>
      </w:pPr>
      <m:oMath>
        <m:sSub>
          <m:sSubPr>
            <m:ctrlPr>
              <w:rPr>
                <w:rFonts w:ascii="Cambria Math" w:hAnsi="Cambria Math"/>
                <w:i/>
              </w:rPr>
            </m:ctrlPr>
          </m:sSubPr>
          <m:e>
            <m:acc>
              <m:accPr>
                <m:chr m:val="̇"/>
                <m:ctrlPr>
                  <w:rPr>
                    <w:rFonts w:ascii="Cambria Math" w:hAnsi="Cambria Math"/>
                    <w:i/>
                  </w:rPr>
                </m:ctrlPr>
              </m:accPr>
              <m:e>
                <m:r>
                  <w:rPr>
                    <w:rFonts w:ascii="Cambria Math" w:hAnsi="Cambria Math"/>
                  </w:rPr>
                  <m:t>m</m:t>
                </m:r>
              </m:e>
            </m:acc>
          </m:e>
          <m:sub>
            <m:r>
              <w:rPr>
                <w:rFonts w:ascii="Cambria Math" w:hAnsi="Cambria Math"/>
              </w:rPr>
              <m:t>w</m:t>
            </m:r>
          </m:sub>
        </m:sSub>
      </m:oMath>
      <w:r w:rsidR="00A7521D">
        <w:t xml:space="preserve"> was the mass flowrate of the cooling water (kg/s),</w:t>
      </w:r>
    </w:p>
    <w:p w14:paraId="72FAB236" w14:textId="77777777" w:rsidR="00A7521D" w:rsidRDefault="00C73E04" w:rsidP="00A7521D">
      <w:pPr>
        <w:pStyle w:val="NoSpacing"/>
      </w:pPr>
      <m:oMath>
        <m:sSub>
          <m:sSubPr>
            <m:ctrlPr>
              <w:rPr>
                <w:rFonts w:ascii="Cambria Math" w:hAnsi="Cambria Math"/>
                <w:i/>
              </w:rPr>
            </m:ctrlPr>
          </m:sSubPr>
          <m:e>
            <m:r>
              <w:rPr>
                <w:rFonts w:ascii="Cambria Math" w:hAnsi="Cambria Math"/>
              </w:rPr>
              <m:t>c</m:t>
            </m:r>
          </m:e>
          <m:sub>
            <m:r>
              <w:rPr>
                <w:rFonts w:ascii="Cambria Math" w:hAnsi="Cambria Math"/>
              </w:rPr>
              <m:t>p,w</m:t>
            </m:r>
          </m:sub>
        </m:sSub>
      </m:oMath>
      <w:r w:rsidR="00A7521D">
        <w:t xml:space="preserve"> was the specific heat capacity of the cooling water (kJ/[</w:t>
      </w:r>
      <w:proofErr w:type="spellStart"/>
      <w:r w:rsidR="00A7521D">
        <w:t>kg°C</w:t>
      </w:r>
      <w:proofErr w:type="spellEnd"/>
      <w:r w:rsidR="00A7521D">
        <w:t>]),</w:t>
      </w:r>
    </w:p>
    <w:p w14:paraId="1693BFE0" w14:textId="77777777" w:rsidR="00A7521D" w:rsidRDefault="00C73E04" w:rsidP="00A7521D">
      <w:pPr>
        <w:pStyle w:val="NoSpacing"/>
      </w:pPr>
      <m:oMath>
        <m:sSub>
          <m:sSubPr>
            <m:ctrlPr>
              <w:rPr>
                <w:rFonts w:ascii="Cambria Math" w:hAnsi="Cambria Math"/>
                <w:i/>
              </w:rPr>
            </m:ctrlPr>
          </m:sSubPr>
          <m:e>
            <m:r>
              <w:rPr>
                <w:rFonts w:ascii="Cambria Math" w:hAnsi="Cambria Math"/>
              </w:rPr>
              <m:t>T</m:t>
            </m:r>
          </m:e>
          <m:sub>
            <m:r>
              <w:rPr>
                <w:rFonts w:ascii="Cambria Math" w:hAnsi="Cambria Math"/>
              </w:rPr>
              <m:t>h,1</m:t>
            </m:r>
          </m:sub>
        </m:sSub>
      </m:oMath>
      <w:r w:rsidR="00A7521D">
        <w:t xml:space="preserve"> was the input temperature of the cooling water (K),</w:t>
      </w:r>
    </w:p>
    <w:p w14:paraId="3D34AA66" w14:textId="77777777" w:rsidR="00A7521D" w:rsidRDefault="00C73E04" w:rsidP="00A7521D">
      <w:pPr>
        <w:pStyle w:val="NoSpacing"/>
      </w:pPr>
      <m:oMath>
        <m:sSub>
          <m:sSubPr>
            <m:ctrlPr>
              <w:rPr>
                <w:rFonts w:ascii="Cambria Math" w:hAnsi="Cambria Math"/>
                <w:i/>
              </w:rPr>
            </m:ctrlPr>
          </m:sSubPr>
          <m:e>
            <m:r>
              <w:rPr>
                <w:rFonts w:ascii="Cambria Math" w:hAnsi="Cambria Math"/>
              </w:rPr>
              <m:t>T</m:t>
            </m:r>
          </m:e>
          <m:sub>
            <m:r>
              <w:rPr>
                <w:rFonts w:ascii="Cambria Math" w:hAnsi="Cambria Math"/>
              </w:rPr>
              <m:t>h,2</m:t>
            </m:r>
          </m:sub>
        </m:sSub>
      </m:oMath>
      <w:r w:rsidR="00A7521D">
        <w:t xml:space="preserve"> was the outlet temperature of the cooling water (K),</w:t>
      </w:r>
    </w:p>
    <w:p w14:paraId="2879E379" w14:textId="77777777" w:rsidR="00A7521D" w:rsidRDefault="00A7521D" w:rsidP="00A7521D">
      <w:pPr>
        <w:pStyle w:val="NoSpacing"/>
      </w:pPr>
      <m:oMath>
        <m:r>
          <w:rPr>
            <w:rFonts w:ascii="Cambria Math" w:hAnsi="Cambria Math"/>
          </w:rPr>
          <m:t>A</m:t>
        </m:r>
      </m:oMath>
      <w:r>
        <w:t xml:space="preserve"> was the SA of the condenser (m</w:t>
      </w:r>
      <w:r>
        <w:rPr>
          <w:vertAlign w:val="superscript"/>
        </w:rPr>
        <w:t>2</w:t>
      </w:r>
      <w:r>
        <w:t>),</w:t>
      </w:r>
    </w:p>
    <w:p w14:paraId="67185952" w14:textId="77777777" w:rsidR="00A7521D" w:rsidRDefault="00C73E04" w:rsidP="00A7521D">
      <w:pPr>
        <w:pStyle w:val="NoSpacing"/>
      </w:pPr>
      <m:oMath>
        <m:sSub>
          <m:sSubPr>
            <m:ctrlPr>
              <w:rPr>
                <w:rFonts w:ascii="Cambria Math" w:hAnsi="Cambria Math"/>
                <w:i/>
              </w:rPr>
            </m:ctrlPr>
          </m:sSubPr>
          <m:e>
            <m:r>
              <w:rPr>
                <w:rFonts w:ascii="Cambria Math" w:hAnsi="Cambria Math"/>
              </w:rPr>
              <m:t>U</m:t>
            </m:r>
          </m:e>
          <m:sub>
            <m:r>
              <w:rPr>
                <w:rFonts w:ascii="Cambria Math" w:hAnsi="Cambria Math"/>
              </w:rPr>
              <m:t>0</m:t>
            </m:r>
          </m:sub>
        </m:sSub>
      </m:oMath>
      <w:r w:rsidR="00A7521D">
        <w:t xml:space="preserve"> was the overall HTC (W/[m</w:t>
      </w:r>
      <w:r w:rsidR="00A7521D">
        <w:rPr>
          <w:vertAlign w:val="superscript"/>
        </w:rPr>
        <w:t>2</w:t>
      </w:r>
      <w:r w:rsidR="00A7521D">
        <w:t>°C]),</w:t>
      </w:r>
    </w:p>
    <w:p w14:paraId="2C2779C1" w14:textId="4E0434AE" w:rsidR="00A7521D" w:rsidRDefault="00A7521D" w:rsidP="00A7521D">
      <m:oMath>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m</m:t>
            </m:r>
          </m:sub>
        </m:sSub>
      </m:oMath>
      <w:r>
        <w:t xml:space="preserve"> was the true temperature difference (K).</w:t>
      </w:r>
    </w:p>
    <w:p w14:paraId="1265D1F4" w14:textId="5ACC1F91" w:rsidR="00147AEE" w:rsidRDefault="00147AEE" w:rsidP="00A7521D">
      <w:r>
        <w:t xml:space="preserve">The heat release from the </w:t>
      </w:r>
      <w:r w:rsidR="00F70707">
        <w:t>vapour in the condenser was dependent on the mass flowrate of the vapour, the vapour enthalpy and the condensate enthalpy. The mass flowrate of the vapour, the vapour enthalpy and the condensate enthalpy were calculated in the modelling of the RC or ORC.</w:t>
      </w:r>
    </w:p>
    <w:p w14:paraId="0176A839" w14:textId="3FA5CDA1" w:rsidR="00A7521D" w:rsidRDefault="00A7521D" w:rsidP="00A7521D">
      <w:r>
        <w:t xml:space="preserve">Used Equation </w:t>
      </w:r>
      <w:r>
        <w:fldChar w:fldCharType="begin"/>
      </w:r>
      <w:r>
        <w:instrText xml:space="preserve"> REF _Ref531104888 \h </w:instrText>
      </w:r>
      <w:r>
        <w:fldChar w:fldCharType="separate"/>
      </w:r>
      <w:r w:rsidR="00CB7456">
        <w:rPr>
          <w:noProof/>
        </w:rPr>
        <w:t>13</w:t>
      </w:r>
      <w:r w:rsidR="00CB7456">
        <w:t>.</w:t>
      </w:r>
      <w:r w:rsidR="00CB7456">
        <w:rPr>
          <w:noProof/>
        </w:rPr>
        <w:t>1</w:t>
      </w:r>
      <w:r>
        <w:fldChar w:fldCharType="end"/>
      </w:r>
      <w:r>
        <w:t xml:space="preserve"> to Equation </w:t>
      </w:r>
      <w:r>
        <w:fldChar w:fldCharType="begin"/>
      </w:r>
      <w:r>
        <w:instrText xml:space="preserve"> REF _Ref531105153 \h </w:instrText>
      </w:r>
      <w:r>
        <w:fldChar w:fldCharType="separate"/>
      </w:r>
      <w:r w:rsidR="00CB7456">
        <w:rPr>
          <w:noProof/>
        </w:rPr>
        <w:t>13</w:t>
      </w:r>
      <w:r w:rsidR="00CB7456">
        <w:t>.</w:t>
      </w:r>
      <w:r w:rsidR="00CB7456">
        <w:rPr>
          <w:noProof/>
        </w:rPr>
        <w:t>4</w:t>
      </w:r>
      <w:r>
        <w:fldChar w:fldCharType="end"/>
      </w:r>
      <w:r>
        <w:t xml:space="preserve"> from the HEX-DP </w:t>
      </w:r>
      <w:r>
        <w:fldChar w:fldCharType="begin" w:fldLock="1"/>
      </w:r>
      <w:r w:rsidR="002A6A73">
        <w:instrText>ADDIN CSL_CITATION {"citationItems":[{"id":"ITEM-1","itemData":{"ISBN":"978-0-7506-6538-4","author":[{"dropping-particle":"","family":"Sinnott","given":"R.K.","non-dropping-particle":"","parse-names":false,"suffix":""}],"edition":"4","id":"ITEM-1","issued":{"date-parts":[["2005"]]},"number-of-pages":"60 - 132","publisher":"Elsevier","publisher-place":"Oxford, England","title":"Coulson and Richardson's Chemical Engineering Volume 6 - Chemical Engineering Design","type":"book"},"uris":["http://www.mendeley.com/documents/?uuid=8e00b24b-1ea1-4b70-9865-3b5bcae659ed"]}],"mendeley":{"formattedCitation":"(Sinnott, 2005b)","plainTextFormattedCitation":"(Sinnott, 2005b)","previouslyFormattedCitation":"(Sinnott, 2005b)"},"properties":{"noteIndex":0},"schema":"https://github.com/citation-style-language/schema/raw/master/csl-citation.json"}</w:instrText>
      </w:r>
      <w:r>
        <w:fldChar w:fldCharType="separate"/>
      </w:r>
      <w:r w:rsidR="002A6A73" w:rsidRPr="002A6A73">
        <w:rPr>
          <w:noProof/>
        </w:rPr>
        <w:t>(Sinnott, 2005b)</w:t>
      </w:r>
      <w:r>
        <w:fldChar w:fldCharType="end"/>
      </w:r>
      <w:r>
        <w:t xml:space="preserve">.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82"/>
        <w:gridCol w:w="629"/>
        <w:gridCol w:w="787"/>
      </w:tblGrid>
      <w:tr w:rsidR="00A7521D" w14:paraId="58A095DD" w14:textId="77777777" w:rsidTr="00A7521D">
        <w:tc>
          <w:tcPr>
            <w:tcW w:w="6782" w:type="dxa"/>
            <w:hideMark/>
          </w:tcPr>
          <w:p w14:paraId="402054A5" w14:textId="77777777" w:rsidR="00A7521D" w:rsidRDefault="00C73E04" w:rsidP="00A7521D">
            <w:pPr>
              <w:keepNext/>
              <w:rPr>
                <w:color w:val="FFFFFF"/>
              </w:rPr>
            </w:pPr>
            <m:oMathPara>
              <m:oMathParaPr>
                <m:jc m:val="left"/>
              </m:oMathParaPr>
              <m:oMath>
                <m:sSub>
                  <m:sSubPr>
                    <m:ctrlPr>
                      <w:rPr>
                        <w:rFonts w:ascii="Cambria Math" w:hAnsi="Cambria Math"/>
                        <w:i/>
                      </w:rPr>
                    </m:ctrlPr>
                  </m:sSubPr>
                  <m:e>
                    <m:r>
                      <w:rPr>
                        <w:rFonts w:ascii="Cambria Math" w:hAnsi="Cambria Math"/>
                      </w:rPr>
                      <m:t>A</m:t>
                    </m:r>
                  </m:e>
                  <m:sub>
                    <m:r>
                      <w:rPr>
                        <w:rFonts w:ascii="Cambria Math" w:hAnsi="Cambria Math"/>
                      </w:rPr>
                      <m:t>SA</m:t>
                    </m:r>
                  </m:sub>
                </m:sSub>
                <m:r>
                  <w:rPr>
                    <w:rFonts w:ascii="Cambria Math" w:hAnsi="Cambria Math"/>
                  </w:rPr>
                  <m:t>=</m:t>
                </m:r>
                <m:sSub>
                  <m:sSubPr>
                    <m:ctrlPr>
                      <w:rPr>
                        <w:rFonts w:ascii="Cambria Math" w:hAnsi="Cambria Math"/>
                        <w:i/>
                      </w:rPr>
                    </m:ctrlPr>
                  </m:sSubPr>
                  <m:e>
                    <m:r>
                      <w:rPr>
                        <w:rFonts w:ascii="Cambria Math" w:hAnsi="Cambria Math"/>
                      </w:rPr>
                      <m:t>D</m:t>
                    </m:r>
                  </m:e>
                  <m:sub>
                    <m:r>
                      <w:rPr>
                        <w:rFonts w:ascii="Cambria Math" w:hAnsi="Cambria Math"/>
                      </w:rPr>
                      <m:t>0</m:t>
                    </m:r>
                  </m:sub>
                </m:sSub>
                <m:r>
                  <w:rPr>
                    <w:rFonts w:ascii="Cambria Math" w:hAnsi="Cambria Math"/>
                  </w:rPr>
                  <m:t>L</m:t>
                </m:r>
              </m:oMath>
            </m:oMathPara>
          </w:p>
        </w:tc>
        <w:tc>
          <w:tcPr>
            <w:tcW w:w="629" w:type="dxa"/>
            <w:vAlign w:val="center"/>
            <w:hideMark/>
          </w:tcPr>
          <w:p w14:paraId="335C11CA" w14:textId="77777777" w:rsidR="00A7521D" w:rsidRDefault="00A7521D" w:rsidP="00A7521D">
            <w:pPr>
              <w:pStyle w:val="Caption"/>
              <w:jc w:val="right"/>
            </w:pPr>
          </w:p>
        </w:tc>
        <w:tc>
          <w:tcPr>
            <w:tcW w:w="787" w:type="dxa"/>
            <w:vAlign w:val="center"/>
            <w:hideMark/>
          </w:tcPr>
          <w:p w14:paraId="6E233B23" w14:textId="129254E7" w:rsidR="00A7521D" w:rsidRDefault="00A7521D" w:rsidP="00A7521D">
            <w:pPr>
              <w:pStyle w:val="Caption"/>
              <w:jc w:val="right"/>
              <w:rPr>
                <w:b w:val="0"/>
              </w:rPr>
            </w:pPr>
            <w:r>
              <w:rPr>
                <w:noProof/>
              </w:rPr>
              <w:fldChar w:fldCharType="begin"/>
            </w:r>
            <w:r>
              <w:rPr>
                <w:noProof/>
              </w:rPr>
              <w:instrText xml:space="preserve"> STYLEREF 1 \s </w:instrText>
            </w:r>
            <w:r>
              <w:rPr>
                <w:noProof/>
              </w:rPr>
              <w:fldChar w:fldCharType="separate"/>
            </w:r>
            <w:r w:rsidR="00CB7456">
              <w:rPr>
                <w:noProof/>
              </w:rPr>
              <w:t>13</w:t>
            </w:r>
            <w:r>
              <w:rPr>
                <w:noProof/>
              </w:rPr>
              <w:fldChar w:fldCharType="end"/>
            </w:r>
            <w:r>
              <w:t>.</w:t>
            </w:r>
            <w:r>
              <w:rPr>
                <w:noProof/>
              </w:rPr>
              <w:fldChar w:fldCharType="begin"/>
            </w:r>
            <w:r>
              <w:rPr>
                <w:noProof/>
              </w:rPr>
              <w:instrText xml:space="preserve"> SEQ Equation \* ARABIC \s 1 </w:instrText>
            </w:r>
            <w:r>
              <w:rPr>
                <w:noProof/>
              </w:rPr>
              <w:fldChar w:fldCharType="separate"/>
            </w:r>
            <w:r w:rsidR="00CB7456">
              <w:rPr>
                <w:noProof/>
              </w:rPr>
              <w:t>90</w:t>
            </w:r>
            <w:r>
              <w:rPr>
                <w:noProof/>
              </w:rPr>
              <w:fldChar w:fldCharType="end"/>
            </w:r>
          </w:p>
        </w:tc>
      </w:tr>
    </w:tbl>
    <w:p w14:paraId="23A22BB5" w14:textId="77777777" w:rsidR="00A7521D" w:rsidRPr="00383178" w:rsidRDefault="00A7521D" w:rsidP="00A7521D">
      <w:pPr>
        <w:pStyle w:val="Caption"/>
      </w:pPr>
    </w:p>
    <w:p w14:paraId="1F73923A" w14:textId="77777777" w:rsidR="00A7521D" w:rsidRDefault="00C73E04" w:rsidP="00A7521D">
      <w:pPr>
        <w:pStyle w:val="NoSpacing"/>
      </w:pPr>
      <m:oMath>
        <m:sSub>
          <m:sSubPr>
            <m:ctrlPr>
              <w:rPr>
                <w:rFonts w:ascii="Cambria Math" w:hAnsi="Cambria Math"/>
                <w:i/>
              </w:rPr>
            </m:ctrlPr>
          </m:sSubPr>
          <m:e>
            <m:r>
              <w:rPr>
                <w:rFonts w:ascii="Cambria Math" w:hAnsi="Cambria Math"/>
              </w:rPr>
              <m:t>A</m:t>
            </m:r>
          </m:e>
          <m:sub>
            <m:r>
              <w:rPr>
                <w:rFonts w:ascii="Cambria Math" w:hAnsi="Cambria Math"/>
              </w:rPr>
              <m:t>SA</m:t>
            </m:r>
          </m:sub>
        </m:sSub>
      </m:oMath>
      <w:r w:rsidR="00A7521D">
        <w:t xml:space="preserve"> was the SA of one tube (m</w:t>
      </w:r>
      <w:r w:rsidR="00A7521D">
        <w:rPr>
          <w:vertAlign w:val="superscript"/>
        </w:rPr>
        <w:t>2</w:t>
      </w:r>
      <w:r w:rsidR="00A7521D">
        <w:t>),</w:t>
      </w:r>
    </w:p>
    <w:p w14:paraId="2FBD7BE2" w14:textId="77777777" w:rsidR="00A7521D" w:rsidRDefault="00C73E04" w:rsidP="00A7521D">
      <w:pPr>
        <w:pStyle w:val="NoSpacing"/>
      </w:pPr>
      <m:oMath>
        <m:sSub>
          <m:sSubPr>
            <m:ctrlPr>
              <w:rPr>
                <w:rFonts w:ascii="Cambria Math" w:hAnsi="Cambria Math"/>
                <w:i/>
              </w:rPr>
            </m:ctrlPr>
          </m:sSubPr>
          <m:e>
            <m:r>
              <w:rPr>
                <w:rFonts w:ascii="Cambria Math" w:hAnsi="Cambria Math"/>
              </w:rPr>
              <m:t>D</m:t>
            </m:r>
          </m:e>
          <m:sub>
            <m:r>
              <w:rPr>
                <w:rFonts w:ascii="Cambria Math" w:hAnsi="Cambria Math"/>
              </w:rPr>
              <m:t>0</m:t>
            </m:r>
          </m:sub>
        </m:sSub>
      </m:oMath>
      <w:r w:rsidR="00A7521D">
        <w:t xml:space="preserve"> was the outer diameter of one tube (m),</w:t>
      </w:r>
    </w:p>
    <w:p w14:paraId="13466B84" w14:textId="63E3EAB2" w:rsidR="00A7521D" w:rsidRDefault="00A7521D" w:rsidP="00A7521D">
      <m:oMath>
        <m:r>
          <w:rPr>
            <w:rFonts w:ascii="Cambria Math" w:hAnsi="Cambria Math"/>
          </w:rPr>
          <m:t>L</m:t>
        </m:r>
      </m:oMath>
      <w:r>
        <w:t xml:space="preserve"> was the tube length (m).</w:t>
      </w:r>
    </w:p>
    <w:p w14:paraId="39AF9385" w14:textId="27A6F511" w:rsidR="00F70707" w:rsidRDefault="00F70707" w:rsidP="00A7521D">
      <w:r>
        <w:t>The SA of one tube was dependent on the outer diameter of one tube and the tube length. The outer diameter of one tube and the tube length were dependent on the physical parameters of the condenser.</w:t>
      </w:r>
    </w:p>
    <w:p w14:paraId="6374132A" w14:textId="07BFA28C" w:rsidR="00F70707" w:rsidRPr="009E1A67" w:rsidRDefault="00A7521D" w:rsidP="00A7521D">
      <w:r>
        <w:t xml:space="preserve">Used Equation </w:t>
      </w:r>
      <w:r>
        <w:fldChar w:fldCharType="begin"/>
      </w:r>
      <w:r>
        <w:instrText xml:space="preserve"> REF _Ref531166271 \h </w:instrText>
      </w:r>
      <w:r>
        <w:fldChar w:fldCharType="separate"/>
      </w:r>
      <w:r w:rsidR="00CB7456">
        <w:rPr>
          <w:noProof/>
        </w:rPr>
        <w:t>13.7</w:t>
      </w:r>
      <w:r>
        <w:fldChar w:fldCharType="end"/>
      </w:r>
      <w:r>
        <w:t xml:space="preserve"> to Equation </w:t>
      </w:r>
      <w:r>
        <w:fldChar w:fldCharType="begin"/>
      </w:r>
      <w:r>
        <w:instrText xml:space="preserve"> REF _Ref531105420 \h </w:instrText>
      </w:r>
      <w:r>
        <w:fldChar w:fldCharType="separate"/>
      </w:r>
      <w:r w:rsidR="00CB7456">
        <w:rPr>
          <w:noProof/>
        </w:rPr>
        <w:t>13</w:t>
      </w:r>
      <w:r w:rsidR="00CB7456">
        <w:t>.</w:t>
      </w:r>
      <w:r w:rsidR="00CB7456">
        <w:rPr>
          <w:noProof/>
        </w:rPr>
        <w:t>9</w:t>
      </w:r>
      <w:r>
        <w:fldChar w:fldCharType="end"/>
      </w:r>
      <w:r>
        <w:t xml:space="preserve"> from the HEX-DP </w:t>
      </w:r>
      <w:r>
        <w:fldChar w:fldCharType="begin" w:fldLock="1"/>
      </w:r>
      <w:r w:rsidR="002A6A73">
        <w:instrText>ADDIN CSL_CITATION {"citationItems":[{"id":"ITEM-1","itemData":{"ISBN":"978-0-7506-6538-4","author":[{"dropping-particle":"","family":"Sinnott","given":"R.K.","non-dropping-particle":"","parse-names":false,"suffix":""}],"edition":"4","id":"ITEM-1","issued":{"date-parts":[["2005"]]},"number-of-pages":"60 - 132","publisher":"Elsevier","publisher-place":"Oxford, England","title":"Coulson and Richardson's Chemical Engineering Volume 6 - Chemical Engineering Design","type":"book"},"uris":["http://www.mendeley.com/documents/?uuid=8e00b24b-1ea1-4b70-9865-3b5bcae659ed"]}],"mendeley":{"formattedCitation":"(Sinnott, 2005b)","plainTextFormattedCitation":"(Sinnott, 2005b)","previouslyFormattedCitation":"(Sinnott, 2005b)"},"properties":{"noteIndex":0},"schema":"https://github.com/citation-style-language/schema/raw/master/csl-citation.json"}</w:instrText>
      </w:r>
      <w:r>
        <w:fldChar w:fldCharType="separate"/>
      </w:r>
      <w:r w:rsidR="002A6A73" w:rsidRPr="002A6A73">
        <w:rPr>
          <w:noProof/>
        </w:rPr>
        <w:t>(Sinnott, 2005b)</w:t>
      </w:r>
      <w:r>
        <w:fldChar w:fldCharType="end"/>
      </w:r>
      <w:r>
        <w:t xml:space="preserve">.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42"/>
        <w:gridCol w:w="773"/>
        <w:gridCol w:w="783"/>
      </w:tblGrid>
      <w:tr w:rsidR="00A7521D" w14:paraId="2779DEB2" w14:textId="77777777" w:rsidTr="00A7521D">
        <w:tc>
          <w:tcPr>
            <w:tcW w:w="6781" w:type="dxa"/>
            <w:hideMark/>
          </w:tcPr>
          <w:p w14:paraId="558E7C0F" w14:textId="75DBBB06" w:rsidR="00A7521D" w:rsidRDefault="00C73E04" w:rsidP="00A7521D">
            <w:pPr>
              <w:keepNext/>
              <w:rPr>
                <w:color w:val="FFFFFF"/>
              </w:rPr>
            </w:pPr>
            <m:oMathPara>
              <m:oMathParaPr>
                <m:jc m:val="left"/>
              </m:oMathParaPr>
              <m:oMath>
                <m:sSub>
                  <m:sSubPr>
                    <m:ctrlPr>
                      <w:rPr>
                        <w:rFonts w:ascii="Cambria Math" w:hAnsi="Cambria Math"/>
                        <w:i/>
                      </w:rPr>
                    </m:ctrlPr>
                  </m:sSubPr>
                  <m:e>
                    <m:r>
                      <w:rPr>
                        <w:rFonts w:ascii="Cambria Math" w:hAnsi="Cambria Math"/>
                      </w:rPr>
                      <m:t>T</m:t>
                    </m:r>
                  </m:e>
                  <m:sub>
                    <m:r>
                      <w:rPr>
                        <w:rFonts w:ascii="Cambria Math" w:hAnsi="Cambria Math"/>
                      </w:rPr>
                      <m:t>s</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t</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2</m:t>
                        </m:r>
                      </m:sub>
                    </m:sSub>
                  </m:num>
                  <m:den>
                    <m:r>
                      <w:rPr>
                        <w:rFonts w:ascii="Cambria Math" w:hAnsi="Cambria Math"/>
                      </w:rPr>
                      <m:t>2</m:t>
                    </m:r>
                  </m:den>
                </m:f>
              </m:oMath>
            </m:oMathPara>
          </w:p>
        </w:tc>
        <w:tc>
          <w:tcPr>
            <w:tcW w:w="787" w:type="dxa"/>
            <w:vAlign w:val="center"/>
            <w:hideMark/>
          </w:tcPr>
          <w:p w14:paraId="563A2789" w14:textId="77777777" w:rsidR="00A7521D" w:rsidRDefault="00A7521D" w:rsidP="00A7521D">
            <w:pPr>
              <w:pStyle w:val="Caption"/>
              <w:jc w:val="right"/>
              <w:rPr>
                <w:b w:val="0"/>
              </w:rPr>
            </w:pPr>
          </w:p>
        </w:tc>
        <w:tc>
          <w:tcPr>
            <w:tcW w:w="787" w:type="dxa"/>
            <w:vAlign w:val="center"/>
          </w:tcPr>
          <w:p w14:paraId="100B95AE" w14:textId="0EAFB255" w:rsidR="00A7521D" w:rsidRDefault="00A7521D" w:rsidP="00A7521D">
            <w:pPr>
              <w:pStyle w:val="Caption"/>
              <w:jc w:val="right"/>
              <w:rPr>
                <w:b w:val="0"/>
              </w:rPr>
            </w:pPr>
            <w:r>
              <w:rPr>
                <w:noProof/>
              </w:rPr>
              <w:fldChar w:fldCharType="begin"/>
            </w:r>
            <w:r>
              <w:rPr>
                <w:noProof/>
              </w:rPr>
              <w:instrText xml:space="preserve"> STYLEREF 1 \s </w:instrText>
            </w:r>
            <w:r>
              <w:rPr>
                <w:noProof/>
              </w:rPr>
              <w:fldChar w:fldCharType="separate"/>
            </w:r>
            <w:r w:rsidR="00CB7456">
              <w:rPr>
                <w:noProof/>
              </w:rPr>
              <w:t>13</w:t>
            </w:r>
            <w:r>
              <w:rPr>
                <w:noProof/>
              </w:rPr>
              <w:fldChar w:fldCharType="end"/>
            </w:r>
            <w:r>
              <w:rPr>
                <w:noProof/>
              </w:rPr>
              <w:t>.</w:t>
            </w:r>
            <w:r>
              <w:rPr>
                <w:noProof/>
              </w:rPr>
              <w:fldChar w:fldCharType="begin"/>
            </w:r>
            <w:r>
              <w:rPr>
                <w:noProof/>
              </w:rPr>
              <w:instrText xml:space="preserve"> SEQ Equation \* ARABIC \s 1 </w:instrText>
            </w:r>
            <w:r>
              <w:rPr>
                <w:noProof/>
              </w:rPr>
              <w:fldChar w:fldCharType="separate"/>
            </w:r>
            <w:r w:rsidR="00CB7456">
              <w:rPr>
                <w:noProof/>
              </w:rPr>
              <w:t>91</w:t>
            </w:r>
            <w:r>
              <w:rPr>
                <w:noProof/>
              </w:rPr>
              <w:fldChar w:fldCharType="end"/>
            </w:r>
          </w:p>
        </w:tc>
      </w:tr>
    </w:tbl>
    <w:p w14:paraId="09612C22" w14:textId="77777777" w:rsidR="00A7521D" w:rsidRDefault="00A7521D" w:rsidP="00A7521D">
      <w:pPr>
        <w:rPr>
          <w:iCs/>
        </w:rPr>
      </w:pPr>
    </w:p>
    <w:p w14:paraId="6FE6C32E" w14:textId="77777777" w:rsidR="00A7521D" w:rsidRDefault="00C73E04" w:rsidP="00A7521D">
      <w:pPr>
        <w:pStyle w:val="NoSpacing"/>
      </w:pPr>
      <m:oMath>
        <m:sSub>
          <m:sSubPr>
            <m:ctrlPr>
              <w:rPr>
                <w:rFonts w:ascii="Cambria Math" w:hAnsi="Cambria Math"/>
                <w:i/>
              </w:rPr>
            </m:ctrlPr>
          </m:sSubPr>
          <m:e>
            <m:r>
              <w:rPr>
                <w:rFonts w:ascii="Cambria Math" w:hAnsi="Cambria Math"/>
              </w:rPr>
              <m:t>T</m:t>
            </m:r>
          </m:e>
          <m:sub>
            <m:r>
              <w:rPr>
                <w:rFonts w:ascii="Cambria Math" w:hAnsi="Cambria Math"/>
              </w:rPr>
              <m:t>s</m:t>
            </m:r>
          </m:sub>
        </m:sSub>
      </m:oMath>
      <w:r w:rsidR="00A7521D">
        <w:t xml:space="preserve"> was the average shell side temperature (K),</w:t>
      </w:r>
    </w:p>
    <w:p w14:paraId="02DAA9B6" w14:textId="0CD19F8F" w:rsidR="00A7521D" w:rsidRDefault="00C73E04" w:rsidP="00A7521D">
      <w:pPr>
        <w:pStyle w:val="NoSpacing"/>
      </w:pPr>
      <m:oMath>
        <m:sSub>
          <m:sSubPr>
            <m:ctrlPr>
              <w:rPr>
                <w:rFonts w:ascii="Cambria Math" w:hAnsi="Cambria Math"/>
                <w:i/>
              </w:rPr>
            </m:ctrlPr>
          </m:sSubPr>
          <m:e>
            <m:r>
              <w:rPr>
                <w:rFonts w:ascii="Cambria Math" w:hAnsi="Cambria Math"/>
              </w:rPr>
              <m:t>t</m:t>
            </m:r>
          </m:e>
          <m:sub>
            <m:r>
              <w:rPr>
                <w:rFonts w:ascii="Cambria Math" w:hAnsi="Cambria Math"/>
              </w:rPr>
              <m:t>1</m:t>
            </m:r>
          </m:sub>
        </m:sSub>
      </m:oMath>
      <w:r w:rsidR="00A7521D">
        <w:t xml:space="preserve"> was the input tem</w:t>
      </w:r>
      <w:proofErr w:type="spellStart"/>
      <w:r w:rsidR="00A7521D">
        <w:t>perature</w:t>
      </w:r>
      <w:proofErr w:type="spellEnd"/>
      <w:r w:rsidR="00A7521D">
        <w:t xml:space="preserve"> of the vapour (K),</w:t>
      </w:r>
    </w:p>
    <w:p w14:paraId="19AD511C" w14:textId="459A8F56" w:rsidR="00A7521D" w:rsidRDefault="00C73E04" w:rsidP="00A7521D">
      <m:oMath>
        <m:sSub>
          <m:sSubPr>
            <m:ctrlPr>
              <w:rPr>
                <w:rFonts w:ascii="Cambria Math" w:hAnsi="Cambria Math"/>
                <w:i/>
              </w:rPr>
            </m:ctrlPr>
          </m:sSubPr>
          <m:e>
            <m:r>
              <w:rPr>
                <w:rFonts w:ascii="Cambria Math" w:hAnsi="Cambria Math"/>
              </w:rPr>
              <m:t>t</m:t>
            </m:r>
          </m:e>
          <m:sub>
            <m:r>
              <w:rPr>
                <w:rFonts w:ascii="Cambria Math" w:hAnsi="Cambria Math"/>
              </w:rPr>
              <m:t>2</m:t>
            </m:r>
          </m:sub>
        </m:sSub>
      </m:oMath>
      <w:r w:rsidR="00A7521D">
        <w:t xml:space="preserve"> was the outlet temperature of the vapour (K).</w:t>
      </w:r>
    </w:p>
    <w:p w14:paraId="431A7B15" w14:textId="019E241D" w:rsidR="00F70707" w:rsidRDefault="00F70707" w:rsidP="00A7521D">
      <w:r>
        <w:t>The average shell side temperature was dependent on the input and outlet temperatures of the vapour. The input and outlet temperatures of the vapour were dependent on the operating conditions of the condenser.</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42"/>
        <w:gridCol w:w="773"/>
        <w:gridCol w:w="783"/>
      </w:tblGrid>
      <w:tr w:rsidR="00A7521D" w14:paraId="4C473EE1" w14:textId="77777777" w:rsidTr="00A7521D">
        <w:tc>
          <w:tcPr>
            <w:tcW w:w="6781" w:type="dxa"/>
            <w:hideMark/>
          </w:tcPr>
          <w:p w14:paraId="290D562C" w14:textId="6B55B86A" w:rsidR="00A7521D" w:rsidRDefault="00C73E04" w:rsidP="00A7521D">
            <w:pPr>
              <w:keepNext/>
              <w:rPr>
                <w:color w:val="FFFFFF"/>
              </w:rPr>
            </w:pPr>
            <m:oMathPara>
              <m:oMathParaPr>
                <m:jc m:val="left"/>
              </m:oMathParaPr>
              <m:oMath>
                <m:sSub>
                  <m:sSubPr>
                    <m:ctrlPr>
                      <w:rPr>
                        <w:rFonts w:ascii="Cambria Math" w:hAnsi="Cambria Math"/>
                        <w:i/>
                      </w:rPr>
                    </m:ctrlPr>
                  </m:sSubPr>
                  <m:e>
                    <m:r>
                      <w:rPr>
                        <w:rFonts w:ascii="Cambria Math" w:hAnsi="Cambria Math"/>
                      </w:rPr>
                      <m:t>T</m:t>
                    </m:r>
                  </m:e>
                  <m:sub>
                    <m:r>
                      <w:rPr>
                        <w:rFonts w:ascii="Cambria Math" w:hAnsi="Cambria Math"/>
                      </w:rPr>
                      <m:t>tu</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T</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2</m:t>
                        </m:r>
                      </m:sub>
                    </m:sSub>
                  </m:num>
                  <m:den>
                    <m:r>
                      <w:rPr>
                        <w:rFonts w:ascii="Cambria Math" w:hAnsi="Cambria Math"/>
                      </w:rPr>
                      <m:t>2</m:t>
                    </m:r>
                  </m:den>
                </m:f>
              </m:oMath>
            </m:oMathPara>
          </w:p>
        </w:tc>
        <w:tc>
          <w:tcPr>
            <w:tcW w:w="787" w:type="dxa"/>
            <w:vAlign w:val="center"/>
            <w:hideMark/>
          </w:tcPr>
          <w:p w14:paraId="7FAFACE6" w14:textId="77777777" w:rsidR="00A7521D" w:rsidRDefault="00A7521D" w:rsidP="00A7521D">
            <w:pPr>
              <w:pStyle w:val="Caption"/>
              <w:jc w:val="right"/>
              <w:rPr>
                <w:b w:val="0"/>
              </w:rPr>
            </w:pPr>
          </w:p>
        </w:tc>
        <w:tc>
          <w:tcPr>
            <w:tcW w:w="787" w:type="dxa"/>
            <w:vAlign w:val="center"/>
          </w:tcPr>
          <w:p w14:paraId="1188E85F" w14:textId="577ED82C" w:rsidR="00A7521D" w:rsidRDefault="00A7521D" w:rsidP="00A7521D">
            <w:pPr>
              <w:pStyle w:val="Caption"/>
              <w:jc w:val="right"/>
              <w:rPr>
                <w:b w:val="0"/>
              </w:rPr>
            </w:pPr>
            <w:r>
              <w:rPr>
                <w:noProof/>
              </w:rPr>
              <w:fldChar w:fldCharType="begin"/>
            </w:r>
            <w:r>
              <w:rPr>
                <w:noProof/>
              </w:rPr>
              <w:instrText xml:space="preserve"> STYLEREF 1 \s </w:instrText>
            </w:r>
            <w:r>
              <w:rPr>
                <w:noProof/>
              </w:rPr>
              <w:fldChar w:fldCharType="separate"/>
            </w:r>
            <w:r w:rsidR="00CB7456">
              <w:rPr>
                <w:noProof/>
              </w:rPr>
              <w:t>13</w:t>
            </w:r>
            <w:r>
              <w:rPr>
                <w:noProof/>
              </w:rPr>
              <w:fldChar w:fldCharType="end"/>
            </w:r>
            <w:r>
              <w:rPr>
                <w:noProof/>
              </w:rPr>
              <w:t>.</w:t>
            </w:r>
            <w:r>
              <w:rPr>
                <w:noProof/>
              </w:rPr>
              <w:fldChar w:fldCharType="begin"/>
            </w:r>
            <w:r>
              <w:rPr>
                <w:noProof/>
              </w:rPr>
              <w:instrText xml:space="preserve"> SEQ Equation \* ARABIC \s 1 </w:instrText>
            </w:r>
            <w:r>
              <w:rPr>
                <w:noProof/>
              </w:rPr>
              <w:fldChar w:fldCharType="separate"/>
            </w:r>
            <w:r w:rsidR="00CB7456">
              <w:rPr>
                <w:noProof/>
              </w:rPr>
              <w:t>92</w:t>
            </w:r>
            <w:r>
              <w:rPr>
                <w:noProof/>
              </w:rPr>
              <w:fldChar w:fldCharType="end"/>
            </w:r>
          </w:p>
        </w:tc>
      </w:tr>
    </w:tbl>
    <w:p w14:paraId="64442AAF" w14:textId="77777777" w:rsidR="00A7521D" w:rsidRDefault="00A7521D" w:rsidP="00A7521D"/>
    <w:p w14:paraId="26265976" w14:textId="3C3D124C" w:rsidR="00A7521D" w:rsidRDefault="00C73E04" w:rsidP="00A7521D">
      <m:oMath>
        <m:sSub>
          <m:sSubPr>
            <m:ctrlPr>
              <w:rPr>
                <w:rFonts w:ascii="Cambria Math" w:hAnsi="Cambria Math"/>
                <w:i/>
              </w:rPr>
            </m:ctrlPr>
          </m:sSubPr>
          <m:e>
            <m:r>
              <w:rPr>
                <w:rFonts w:ascii="Cambria Math" w:hAnsi="Cambria Math"/>
              </w:rPr>
              <m:t>T</m:t>
            </m:r>
          </m:e>
          <m:sub>
            <m:r>
              <w:rPr>
                <w:rFonts w:ascii="Cambria Math" w:hAnsi="Cambria Math"/>
              </w:rPr>
              <m:t>tu</m:t>
            </m:r>
          </m:sub>
        </m:sSub>
      </m:oMath>
      <w:r w:rsidR="00A7521D">
        <w:t xml:space="preserve"> was the average tube side temperature (K).</w:t>
      </w:r>
    </w:p>
    <w:p w14:paraId="5ABEC964" w14:textId="514220B0" w:rsidR="00F70707" w:rsidRDefault="00F70707" w:rsidP="00F70707">
      <w:r>
        <w:lastRenderedPageBreak/>
        <w:t>The average tube side temperature was dependent on the input and outlet temperatures of the hot fluid. The input and outlet temperatures of the hot fluid were dependent on the operating conditions of the condenser.</w:t>
      </w:r>
    </w:p>
    <w:tbl>
      <w:tblPr>
        <w:tblStyle w:val="TableGrid"/>
        <w:tblW w:w="5096"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81"/>
        <w:gridCol w:w="787"/>
        <w:gridCol w:w="787"/>
      </w:tblGrid>
      <w:tr w:rsidR="00A7521D" w14:paraId="6A2B1E29" w14:textId="77777777" w:rsidTr="00A7521D">
        <w:tc>
          <w:tcPr>
            <w:tcW w:w="6781" w:type="dxa"/>
            <w:hideMark/>
          </w:tcPr>
          <w:p w14:paraId="2842CE33" w14:textId="5290A295" w:rsidR="00A7521D" w:rsidRDefault="00C73E04" w:rsidP="00A7521D">
            <w:pPr>
              <w:keepNext/>
              <w:rPr>
                <w:color w:val="FFFFFF"/>
              </w:rPr>
            </w:pPr>
            <m:oMathPara>
              <m:oMathParaPr>
                <m:jc m:val="left"/>
              </m:oMathParaPr>
              <m:oMath>
                <m:d>
                  <m:dPr>
                    <m:ctrlPr>
                      <w:rPr>
                        <w:rFonts w:ascii="Cambria Math" w:hAnsi="Cambria Math"/>
                        <w:i/>
                      </w:rPr>
                    </m:ctrlPr>
                  </m:dPr>
                  <m:e>
                    <m:sSub>
                      <m:sSubPr>
                        <m:ctrlPr>
                          <w:rPr>
                            <w:rFonts w:ascii="Cambria Math" w:hAnsi="Cambria Math"/>
                            <w:i/>
                          </w:rPr>
                        </m:ctrlPr>
                      </m:sSubPr>
                      <m:e>
                        <m:r>
                          <w:rPr>
                            <w:rFonts w:ascii="Cambria Math" w:hAnsi="Cambria Math"/>
                          </w:rPr>
                          <m:t>T</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tu,w</m:t>
                        </m:r>
                      </m:sub>
                    </m:sSub>
                  </m:e>
                </m:d>
                <m:sSub>
                  <m:sSubPr>
                    <m:ctrlPr>
                      <w:rPr>
                        <w:rFonts w:ascii="Cambria Math" w:hAnsi="Cambria Math"/>
                        <w:i/>
                      </w:rPr>
                    </m:ctrlPr>
                  </m:sSubPr>
                  <m:e>
                    <m:r>
                      <w:rPr>
                        <w:rFonts w:ascii="Cambria Math" w:hAnsi="Cambria Math"/>
                      </w:rPr>
                      <m:t>U</m:t>
                    </m:r>
                  </m:e>
                  <m:sub>
                    <m:r>
                      <w:rPr>
                        <w:rFonts w:ascii="Cambria Math" w:hAnsi="Cambria Math"/>
                      </w:rPr>
                      <m:t>con</m:t>
                    </m:r>
                  </m:sub>
                </m:sSub>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T</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t</m:t>
                        </m:r>
                        <m:r>
                          <w:rPr>
                            <w:rFonts w:ascii="Cambria Math" w:hAnsi="Cambria Math"/>
                          </w:rPr>
                          <m:t>u</m:t>
                        </m:r>
                      </m:sub>
                    </m:sSub>
                  </m:e>
                </m:d>
                <m:sSub>
                  <m:sSubPr>
                    <m:ctrlPr>
                      <w:rPr>
                        <w:rFonts w:ascii="Cambria Math" w:hAnsi="Cambria Math"/>
                        <w:i/>
                      </w:rPr>
                    </m:ctrlPr>
                  </m:sSubPr>
                  <m:e>
                    <m:r>
                      <w:rPr>
                        <w:rFonts w:ascii="Cambria Math" w:hAnsi="Cambria Math"/>
                      </w:rPr>
                      <m:t>U</m:t>
                    </m:r>
                  </m:e>
                  <m:sub>
                    <m:r>
                      <w:rPr>
                        <w:rFonts w:ascii="Cambria Math" w:hAnsi="Cambria Math"/>
                      </w:rPr>
                      <m:t>0</m:t>
                    </m:r>
                  </m:sub>
                </m:sSub>
              </m:oMath>
            </m:oMathPara>
          </w:p>
        </w:tc>
        <w:tc>
          <w:tcPr>
            <w:tcW w:w="787" w:type="dxa"/>
            <w:vAlign w:val="center"/>
            <w:hideMark/>
          </w:tcPr>
          <w:p w14:paraId="25ED3533" w14:textId="77777777" w:rsidR="00A7521D" w:rsidRDefault="00A7521D" w:rsidP="00A7521D">
            <w:pPr>
              <w:pStyle w:val="Caption"/>
              <w:jc w:val="right"/>
              <w:rPr>
                <w:b w:val="0"/>
              </w:rPr>
            </w:pPr>
          </w:p>
        </w:tc>
        <w:tc>
          <w:tcPr>
            <w:tcW w:w="787" w:type="dxa"/>
            <w:vAlign w:val="center"/>
          </w:tcPr>
          <w:p w14:paraId="181EA19F" w14:textId="0DE4B21A" w:rsidR="00A7521D" w:rsidRDefault="00A7521D" w:rsidP="00A7521D">
            <w:pPr>
              <w:pStyle w:val="Caption"/>
              <w:jc w:val="right"/>
              <w:rPr>
                <w:b w:val="0"/>
              </w:rPr>
            </w:pPr>
            <w:r>
              <w:rPr>
                <w:noProof/>
              </w:rPr>
              <w:fldChar w:fldCharType="begin"/>
            </w:r>
            <w:r>
              <w:rPr>
                <w:noProof/>
              </w:rPr>
              <w:instrText xml:space="preserve"> STYLEREF 1 \s </w:instrText>
            </w:r>
            <w:r>
              <w:rPr>
                <w:noProof/>
              </w:rPr>
              <w:fldChar w:fldCharType="separate"/>
            </w:r>
            <w:r w:rsidR="00CB7456">
              <w:rPr>
                <w:noProof/>
              </w:rPr>
              <w:t>13</w:t>
            </w:r>
            <w:r>
              <w:rPr>
                <w:noProof/>
              </w:rPr>
              <w:fldChar w:fldCharType="end"/>
            </w:r>
            <w:r>
              <w:rPr>
                <w:noProof/>
              </w:rPr>
              <w:t>.</w:t>
            </w:r>
            <w:r>
              <w:rPr>
                <w:noProof/>
              </w:rPr>
              <w:fldChar w:fldCharType="begin"/>
            </w:r>
            <w:r>
              <w:rPr>
                <w:noProof/>
              </w:rPr>
              <w:instrText xml:space="preserve"> SEQ Equation \* ARABIC \s 1 </w:instrText>
            </w:r>
            <w:r>
              <w:rPr>
                <w:noProof/>
              </w:rPr>
              <w:fldChar w:fldCharType="separate"/>
            </w:r>
            <w:r w:rsidR="00CB7456">
              <w:rPr>
                <w:noProof/>
              </w:rPr>
              <w:t>93</w:t>
            </w:r>
            <w:r>
              <w:rPr>
                <w:noProof/>
              </w:rPr>
              <w:fldChar w:fldCharType="end"/>
            </w:r>
          </w:p>
        </w:tc>
      </w:tr>
    </w:tbl>
    <w:p w14:paraId="1330FD17" w14:textId="77777777" w:rsidR="00A7521D" w:rsidRDefault="00A7521D" w:rsidP="00A7521D"/>
    <w:p w14:paraId="596A07F0" w14:textId="77777777" w:rsidR="00A7521D" w:rsidRDefault="00C73E04" w:rsidP="00A7521D">
      <w:pPr>
        <w:pStyle w:val="NoSpacing"/>
      </w:pPr>
      <m:oMath>
        <m:sSub>
          <m:sSubPr>
            <m:ctrlPr>
              <w:rPr>
                <w:rFonts w:ascii="Cambria Math" w:hAnsi="Cambria Math"/>
                <w:i/>
              </w:rPr>
            </m:ctrlPr>
          </m:sSubPr>
          <m:e>
            <m:r>
              <w:rPr>
                <w:rFonts w:ascii="Cambria Math" w:hAnsi="Cambria Math"/>
              </w:rPr>
              <m:t>U</m:t>
            </m:r>
          </m:e>
          <m:sub>
            <m:r>
              <w:rPr>
                <w:rFonts w:ascii="Cambria Math" w:hAnsi="Cambria Math"/>
              </w:rPr>
              <m:t>con</m:t>
            </m:r>
          </m:sub>
        </m:sSub>
      </m:oMath>
      <w:r w:rsidR="00A7521D">
        <w:t xml:space="preserve"> was the condensing coefficient (W/[m</w:t>
      </w:r>
      <w:r w:rsidR="00A7521D">
        <w:rPr>
          <w:vertAlign w:val="superscript"/>
        </w:rPr>
        <w:t>2</w:t>
      </w:r>
      <w:r w:rsidR="00A7521D">
        <w:t>°C]),</w:t>
      </w:r>
    </w:p>
    <w:p w14:paraId="53BF5EF3" w14:textId="70ECF041" w:rsidR="00A7521D" w:rsidRDefault="00C73E04" w:rsidP="00A7521D">
      <m:oMath>
        <m:sSub>
          <m:sSubPr>
            <m:ctrlPr>
              <w:rPr>
                <w:rFonts w:ascii="Cambria Math" w:hAnsi="Cambria Math"/>
                <w:i/>
              </w:rPr>
            </m:ctrlPr>
          </m:sSubPr>
          <m:e>
            <m:r>
              <w:rPr>
                <w:rFonts w:ascii="Cambria Math" w:hAnsi="Cambria Math"/>
              </w:rPr>
              <m:t>T</m:t>
            </m:r>
          </m:e>
          <m:sub>
            <m:r>
              <w:rPr>
                <w:rFonts w:ascii="Cambria Math" w:hAnsi="Cambria Math"/>
              </w:rPr>
              <m:t>tu,w</m:t>
            </m:r>
          </m:sub>
        </m:sSub>
      </m:oMath>
      <w:r w:rsidR="00A7521D">
        <w:t xml:space="preserve"> was the tube wall temperature (K).</w:t>
      </w:r>
    </w:p>
    <w:p w14:paraId="4CC9D22B" w14:textId="3D7528C8" w:rsidR="00F70707" w:rsidRDefault="00F70707" w:rsidP="00A7521D">
      <w:r>
        <w:t>The condensing coefficient was dependent on the average shell side temperature, the tube wall temperature, the average shell side coefficient and the initial HTC. The tube wall temperature was dependent on the operating conditions of the condenser. An initial value of the HTC was assumed.</w:t>
      </w:r>
    </w:p>
    <w:tbl>
      <w:tblPr>
        <w:tblStyle w:val="TableGrid"/>
        <w:tblW w:w="5096"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81"/>
        <w:gridCol w:w="787"/>
        <w:gridCol w:w="787"/>
      </w:tblGrid>
      <w:tr w:rsidR="00A7521D" w14:paraId="48725CB5" w14:textId="77777777" w:rsidTr="00A7521D">
        <w:tc>
          <w:tcPr>
            <w:tcW w:w="6781" w:type="dxa"/>
            <w:hideMark/>
          </w:tcPr>
          <w:p w14:paraId="76F81B1A" w14:textId="77777777" w:rsidR="00A7521D" w:rsidRDefault="00C73E04" w:rsidP="00A7521D">
            <w:pPr>
              <w:keepNext/>
              <w:rPr>
                <w:color w:val="FFFFFF"/>
              </w:rPr>
            </w:pPr>
            <m:oMathPara>
              <m:oMathParaPr>
                <m:jc m:val="left"/>
              </m:oMathParaPr>
              <m:oMath>
                <m:sSub>
                  <m:sSubPr>
                    <m:ctrlPr>
                      <w:rPr>
                        <w:rFonts w:ascii="Cambria Math" w:hAnsi="Cambria Math"/>
                        <w:i/>
                        <w:iCs/>
                      </w:rPr>
                    </m:ctrlPr>
                  </m:sSubPr>
                  <m:e>
                    <m:r>
                      <w:rPr>
                        <w:rFonts w:ascii="Cambria Math" w:hAnsi="Cambria Math"/>
                      </w:rPr>
                      <m:t>ρ</m:t>
                    </m:r>
                  </m:e>
                  <m:sub>
                    <m:r>
                      <w:rPr>
                        <w:rFonts w:ascii="Cambria Math" w:hAnsi="Cambria Math"/>
                      </w:rPr>
                      <m:t>v</m:t>
                    </m:r>
                  </m:sub>
                </m:sSub>
                <m:r>
                  <w:rPr>
                    <w:rFonts w:ascii="Cambria Math" w:hAnsi="Cambria Math"/>
                  </w:rPr>
                  <m:t>=</m:t>
                </m:r>
                <m:f>
                  <m:fPr>
                    <m:ctrlPr>
                      <w:rPr>
                        <w:rFonts w:ascii="Cambria Math" w:hAnsi="Cambria Math"/>
                        <w:i/>
                        <w:iCs/>
                      </w:rPr>
                    </m:ctrlPr>
                  </m:fPr>
                  <m:num>
                    <m:sSub>
                      <m:sSubPr>
                        <m:ctrlPr>
                          <w:rPr>
                            <w:rFonts w:ascii="Cambria Math" w:hAnsi="Cambria Math"/>
                            <w:i/>
                            <w:iCs/>
                          </w:rPr>
                        </m:ctrlPr>
                      </m:sSubPr>
                      <m:e>
                        <m:r>
                          <w:rPr>
                            <w:rFonts w:ascii="Cambria Math" w:hAnsi="Cambria Math"/>
                          </w:rPr>
                          <m:t>Mr</m:t>
                        </m:r>
                      </m:e>
                      <m:sub>
                        <m:r>
                          <w:rPr>
                            <w:rFonts w:ascii="Cambria Math" w:hAnsi="Cambria Math"/>
                          </w:rPr>
                          <m:t>v</m:t>
                        </m:r>
                      </m:sub>
                    </m:sSub>
                  </m:num>
                  <m:den>
                    <m:sSub>
                      <m:sSubPr>
                        <m:ctrlPr>
                          <w:rPr>
                            <w:rFonts w:ascii="Cambria Math" w:hAnsi="Cambria Math"/>
                            <w:i/>
                            <w:iCs/>
                          </w:rPr>
                        </m:ctrlPr>
                      </m:sSubPr>
                      <m:e>
                        <m:r>
                          <w:rPr>
                            <w:rFonts w:ascii="Cambria Math" w:hAnsi="Cambria Math"/>
                          </w:rPr>
                          <m:t>V</m:t>
                        </m:r>
                      </m:e>
                      <m:sub>
                        <m:r>
                          <w:rPr>
                            <w:rFonts w:ascii="Cambria Math" w:hAnsi="Cambria Math"/>
                          </w:rPr>
                          <m:t>ideal</m:t>
                        </m:r>
                      </m:sub>
                    </m:sSub>
                  </m:den>
                </m:f>
                <m:f>
                  <m:fPr>
                    <m:ctrlPr>
                      <w:rPr>
                        <w:rFonts w:ascii="Cambria Math" w:hAnsi="Cambria Math"/>
                        <w:i/>
                        <w:iCs/>
                      </w:rPr>
                    </m:ctrlPr>
                  </m:fPr>
                  <m:num>
                    <m:r>
                      <w:rPr>
                        <w:rFonts w:ascii="Cambria Math" w:hAnsi="Cambria Math"/>
                      </w:rPr>
                      <m:t>273</m:t>
                    </m:r>
                  </m:num>
                  <m:den>
                    <m:sSub>
                      <m:sSubPr>
                        <m:ctrlPr>
                          <w:rPr>
                            <w:rFonts w:ascii="Cambria Math" w:hAnsi="Cambria Math"/>
                            <w:i/>
                            <w:iCs/>
                          </w:rPr>
                        </m:ctrlPr>
                      </m:sSubPr>
                      <m:e>
                        <m:r>
                          <w:rPr>
                            <w:rFonts w:ascii="Cambria Math" w:hAnsi="Cambria Math"/>
                          </w:rPr>
                          <m:t>T</m:t>
                        </m:r>
                      </m:e>
                      <m:sub>
                        <m:r>
                          <w:rPr>
                            <w:rFonts w:ascii="Cambria Math" w:hAnsi="Cambria Math"/>
                          </w:rPr>
                          <m:t>s</m:t>
                        </m:r>
                      </m:sub>
                    </m:sSub>
                  </m:den>
                </m:f>
                <m:f>
                  <m:fPr>
                    <m:ctrlPr>
                      <w:rPr>
                        <w:rFonts w:ascii="Cambria Math" w:hAnsi="Cambria Math"/>
                        <w:i/>
                        <w:iCs/>
                      </w:rPr>
                    </m:ctrlPr>
                  </m:fPr>
                  <m:num>
                    <m:sSub>
                      <m:sSubPr>
                        <m:ctrlPr>
                          <w:rPr>
                            <w:rFonts w:ascii="Cambria Math" w:hAnsi="Cambria Math"/>
                            <w:i/>
                            <w:iCs/>
                          </w:rPr>
                        </m:ctrlPr>
                      </m:sSubPr>
                      <m:e>
                        <m:r>
                          <w:rPr>
                            <w:rFonts w:ascii="Cambria Math" w:hAnsi="Cambria Math"/>
                          </w:rPr>
                          <m:t>P</m:t>
                        </m:r>
                      </m:e>
                      <m:sub>
                        <m:r>
                          <w:rPr>
                            <w:rFonts w:ascii="Cambria Math" w:hAnsi="Cambria Math"/>
                          </w:rPr>
                          <m:t>atm</m:t>
                        </m:r>
                      </m:sub>
                    </m:sSub>
                  </m:num>
                  <m:den>
                    <m:sSub>
                      <m:sSubPr>
                        <m:ctrlPr>
                          <w:rPr>
                            <w:rFonts w:ascii="Cambria Math" w:hAnsi="Cambria Math"/>
                            <w:i/>
                            <w:iCs/>
                          </w:rPr>
                        </m:ctrlPr>
                      </m:sSubPr>
                      <m:e>
                        <m:r>
                          <w:rPr>
                            <w:rFonts w:ascii="Cambria Math" w:hAnsi="Cambria Math"/>
                          </w:rPr>
                          <m:t>P</m:t>
                        </m:r>
                      </m:e>
                      <m:sub>
                        <m:r>
                          <w:rPr>
                            <w:rFonts w:ascii="Cambria Math" w:hAnsi="Cambria Math"/>
                          </w:rPr>
                          <m:t>v</m:t>
                        </m:r>
                      </m:sub>
                    </m:sSub>
                  </m:den>
                </m:f>
              </m:oMath>
            </m:oMathPara>
          </w:p>
        </w:tc>
        <w:tc>
          <w:tcPr>
            <w:tcW w:w="787" w:type="dxa"/>
            <w:vAlign w:val="center"/>
            <w:hideMark/>
          </w:tcPr>
          <w:p w14:paraId="2734B7A6" w14:textId="77777777" w:rsidR="00A7521D" w:rsidRDefault="00A7521D" w:rsidP="00A7521D">
            <w:pPr>
              <w:pStyle w:val="Caption"/>
              <w:jc w:val="right"/>
              <w:rPr>
                <w:b w:val="0"/>
              </w:rPr>
            </w:pPr>
          </w:p>
        </w:tc>
        <w:tc>
          <w:tcPr>
            <w:tcW w:w="787" w:type="dxa"/>
            <w:vAlign w:val="center"/>
          </w:tcPr>
          <w:p w14:paraId="2C7610E1" w14:textId="285C841F" w:rsidR="00A7521D" w:rsidRDefault="00A7521D" w:rsidP="00A7521D">
            <w:pPr>
              <w:pStyle w:val="Caption"/>
              <w:jc w:val="right"/>
              <w:rPr>
                <w:b w:val="0"/>
              </w:rPr>
            </w:pPr>
            <w:r>
              <w:rPr>
                <w:noProof/>
              </w:rPr>
              <w:fldChar w:fldCharType="begin"/>
            </w:r>
            <w:r>
              <w:rPr>
                <w:noProof/>
              </w:rPr>
              <w:instrText xml:space="preserve"> STYLEREF 1 \s </w:instrText>
            </w:r>
            <w:r>
              <w:rPr>
                <w:noProof/>
              </w:rPr>
              <w:fldChar w:fldCharType="separate"/>
            </w:r>
            <w:r w:rsidR="00CB7456">
              <w:rPr>
                <w:noProof/>
              </w:rPr>
              <w:t>13</w:t>
            </w:r>
            <w:r>
              <w:rPr>
                <w:noProof/>
              </w:rPr>
              <w:fldChar w:fldCharType="end"/>
            </w:r>
            <w:r>
              <w:rPr>
                <w:noProof/>
              </w:rPr>
              <w:t>.</w:t>
            </w:r>
            <w:r>
              <w:rPr>
                <w:noProof/>
              </w:rPr>
              <w:fldChar w:fldCharType="begin"/>
            </w:r>
            <w:r>
              <w:rPr>
                <w:noProof/>
              </w:rPr>
              <w:instrText xml:space="preserve"> SEQ Equation \* ARABIC \s 1 </w:instrText>
            </w:r>
            <w:r>
              <w:rPr>
                <w:noProof/>
              </w:rPr>
              <w:fldChar w:fldCharType="separate"/>
            </w:r>
            <w:r w:rsidR="00CB7456">
              <w:rPr>
                <w:noProof/>
              </w:rPr>
              <w:t>94</w:t>
            </w:r>
            <w:r>
              <w:rPr>
                <w:noProof/>
              </w:rPr>
              <w:fldChar w:fldCharType="end"/>
            </w:r>
          </w:p>
        </w:tc>
      </w:tr>
    </w:tbl>
    <w:p w14:paraId="665B64D7" w14:textId="77777777" w:rsidR="00A7521D" w:rsidRDefault="00A7521D" w:rsidP="00A7521D"/>
    <w:p w14:paraId="5B388B2F" w14:textId="77777777" w:rsidR="00A7521D" w:rsidRDefault="00C73E04" w:rsidP="00A7521D">
      <w:pPr>
        <w:pStyle w:val="NoSpacing"/>
      </w:pPr>
      <m:oMath>
        <m:sSub>
          <m:sSubPr>
            <m:ctrlPr>
              <w:rPr>
                <w:rFonts w:ascii="Cambria Math" w:hAnsi="Cambria Math"/>
                <w:i/>
              </w:rPr>
            </m:ctrlPr>
          </m:sSubPr>
          <m:e>
            <m:r>
              <w:rPr>
                <w:rFonts w:ascii="Cambria Math" w:hAnsi="Cambria Math"/>
              </w:rPr>
              <m:t>ρ</m:t>
            </m:r>
          </m:e>
          <m:sub>
            <m:r>
              <w:rPr>
                <w:rFonts w:ascii="Cambria Math" w:hAnsi="Cambria Math"/>
              </w:rPr>
              <m:t>v</m:t>
            </m:r>
          </m:sub>
        </m:sSub>
      </m:oMath>
      <w:r w:rsidR="00A7521D">
        <w:t xml:space="preserve"> was the vapour density (kg/m</w:t>
      </w:r>
      <w:r w:rsidR="00A7521D">
        <w:rPr>
          <w:vertAlign w:val="superscript"/>
        </w:rPr>
        <w:t>3</w:t>
      </w:r>
      <w:r w:rsidR="00A7521D">
        <w:t>),</w:t>
      </w:r>
    </w:p>
    <w:p w14:paraId="23406650" w14:textId="77777777" w:rsidR="00A7521D" w:rsidRDefault="00C73E04" w:rsidP="00A7521D">
      <w:pPr>
        <w:pStyle w:val="NoSpacing"/>
      </w:pPr>
      <m:oMath>
        <m:sSub>
          <m:sSubPr>
            <m:ctrlPr>
              <w:rPr>
                <w:rFonts w:ascii="Cambria Math" w:hAnsi="Cambria Math"/>
                <w:i/>
              </w:rPr>
            </m:ctrlPr>
          </m:sSubPr>
          <m:e>
            <m:r>
              <w:rPr>
                <w:rFonts w:ascii="Cambria Math" w:hAnsi="Cambria Math"/>
              </w:rPr>
              <m:t>Mr</m:t>
            </m:r>
          </m:e>
          <m:sub>
            <m:r>
              <w:rPr>
                <w:rFonts w:ascii="Cambria Math" w:hAnsi="Cambria Math"/>
              </w:rPr>
              <m:t>v</m:t>
            </m:r>
          </m:sub>
        </m:sSub>
      </m:oMath>
      <w:r w:rsidR="00A7521D">
        <w:t xml:space="preserve"> was the vapour molecular weight </w:t>
      </w:r>
      <w:bookmarkStart w:id="1064" w:name="_Hlk526172218"/>
      <w:r w:rsidR="00A7521D">
        <w:t>(kg/mol</w:t>
      </w:r>
      <w:bookmarkEnd w:id="1064"/>
      <w:r w:rsidR="00A7521D">
        <w:t>),</w:t>
      </w:r>
    </w:p>
    <w:p w14:paraId="78A1D58A" w14:textId="77777777" w:rsidR="00A7521D" w:rsidRDefault="00C73E04" w:rsidP="00A7521D">
      <w:pPr>
        <w:pStyle w:val="NoSpacing"/>
      </w:pPr>
      <m:oMath>
        <m:sSub>
          <m:sSubPr>
            <m:ctrlPr>
              <w:rPr>
                <w:rFonts w:ascii="Cambria Math" w:hAnsi="Cambria Math"/>
                <w:i/>
              </w:rPr>
            </m:ctrlPr>
          </m:sSubPr>
          <m:e>
            <m:r>
              <w:rPr>
                <w:rFonts w:ascii="Cambria Math" w:hAnsi="Cambria Math"/>
              </w:rPr>
              <m:t>V</m:t>
            </m:r>
          </m:e>
          <m:sub>
            <m:r>
              <w:rPr>
                <w:rFonts w:ascii="Cambria Math" w:hAnsi="Cambria Math"/>
              </w:rPr>
              <m:t>ideal</m:t>
            </m:r>
          </m:sub>
        </m:sSub>
        <m:r>
          <w:rPr>
            <w:rFonts w:ascii="Cambria Math" w:hAnsi="Cambria Math"/>
          </w:rPr>
          <m:t xml:space="preserve"> was </m:t>
        </m:r>
      </m:oMath>
      <w:r w:rsidR="00A7521D">
        <w:t>the standard volume of 1 mole of an ideal gas at standard temperature and pressure (m</w:t>
      </w:r>
      <w:r w:rsidR="00A7521D">
        <w:rPr>
          <w:vertAlign w:val="superscript"/>
        </w:rPr>
        <w:t>3</w:t>
      </w:r>
      <w:r w:rsidR="00A7521D">
        <w:t>),</w:t>
      </w:r>
    </w:p>
    <w:p w14:paraId="7389FE19" w14:textId="6E58750B" w:rsidR="00A7521D" w:rsidRDefault="00C73E04" w:rsidP="00A7521D">
      <w:pPr>
        <w:rPr>
          <w:iCs/>
        </w:rPr>
      </w:pPr>
      <m:oMath>
        <m:sSub>
          <m:sSubPr>
            <m:ctrlPr>
              <w:rPr>
                <w:rFonts w:ascii="Cambria Math" w:hAnsi="Cambria Math"/>
                <w:i/>
                <w:iCs/>
              </w:rPr>
            </m:ctrlPr>
          </m:sSubPr>
          <m:e>
            <m:r>
              <w:rPr>
                <w:rFonts w:ascii="Cambria Math" w:hAnsi="Cambria Math"/>
              </w:rPr>
              <m:t>P</m:t>
            </m:r>
          </m:e>
          <m:sub>
            <m:r>
              <w:rPr>
                <w:rFonts w:ascii="Cambria Math" w:hAnsi="Cambria Math"/>
              </w:rPr>
              <m:t>atm</m:t>
            </m:r>
          </m:sub>
        </m:sSub>
      </m:oMath>
      <w:r w:rsidR="00A7521D">
        <w:rPr>
          <w:iCs/>
        </w:rPr>
        <w:t xml:space="preserve"> was the atmospheric pressure (kPa).</w:t>
      </w:r>
    </w:p>
    <w:p w14:paraId="528F2A58" w14:textId="12D2F10C" w:rsidR="00F70707" w:rsidRDefault="00F70707" w:rsidP="00A7521D">
      <w:pPr>
        <w:rPr>
          <w:iCs/>
        </w:rPr>
      </w:pPr>
      <w:r>
        <w:rPr>
          <w:iCs/>
        </w:rPr>
        <w:t xml:space="preserve">The vapour density was dependent on the vapour molecular weight, the </w:t>
      </w:r>
      <w:r>
        <w:t>standard volume of 1 mole of an ideal gas at standard temperature and pressure, the average shell side temperature, atmospheric pressure and the vapour pressure.</w:t>
      </w:r>
      <w:r w:rsidR="007B3EC5">
        <w:t xml:space="preserve"> The vapour molecular weight was dependent on the choice of fluid. The vapour pressure was calculated in the modelling of the RC or ORC.</w:t>
      </w:r>
    </w:p>
    <w:tbl>
      <w:tblPr>
        <w:tblStyle w:val="TableGrid"/>
        <w:tblW w:w="5096"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81"/>
        <w:gridCol w:w="787"/>
        <w:gridCol w:w="787"/>
      </w:tblGrid>
      <w:tr w:rsidR="00A7521D" w14:paraId="2307A923" w14:textId="77777777" w:rsidTr="00A7521D">
        <w:tc>
          <w:tcPr>
            <w:tcW w:w="6781" w:type="dxa"/>
            <w:hideMark/>
          </w:tcPr>
          <w:bookmarkStart w:id="1065" w:name="_Hlk526172291"/>
          <w:p w14:paraId="0FE605BD" w14:textId="77777777" w:rsidR="00A7521D" w:rsidRDefault="00C73E04" w:rsidP="00A7521D">
            <w:pPr>
              <w:keepNext/>
              <w:rPr>
                <w:color w:val="FFFFFF"/>
              </w:rPr>
            </w:pPr>
            <m:oMathPara>
              <m:oMathParaPr>
                <m:jc m:val="left"/>
              </m:oMathParaPr>
              <m:oMath>
                <m:sSub>
                  <m:sSubPr>
                    <m:ctrlPr>
                      <w:rPr>
                        <w:rFonts w:ascii="Cambria Math" w:hAnsi="Cambria Math"/>
                        <w:i/>
                        <w:iCs/>
                      </w:rPr>
                    </m:ctrlPr>
                  </m:sSubPr>
                  <m:e>
                    <m:r>
                      <w:rPr>
                        <w:rFonts w:ascii="Cambria Math" w:hAnsi="Cambria Math"/>
                        <w:lang w:val="el-GR"/>
                      </w:rPr>
                      <m:t>Γ</m:t>
                    </m:r>
                  </m:e>
                  <m:sub>
                    <m:r>
                      <w:rPr>
                        <w:rFonts w:ascii="Cambria Math" w:hAnsi="Cambria Math"/>
                      </w:rPr>
                      <m:t>tu</m:t>
                    </m:r>
                  </m:sub>
                </m:sSub>
                <w:bookmarkEnd w:id="1065"/>
                <m:r>
                  <w:rPr>
                    <w:rFonts w:ascii="Cambria Math" w:hAnsi="Cambria Math"/>
                  </w:rPr>
                  <m:t>=</m:t>
                </m:r>
                <m:f>
                  <m:fPr>
                    <m:ctrlPr>
                      <w:rPr>
                        <w:rFonts w:ascii="Cambria Math" w:hAnsi="Cambria Math"/>
                        <w:i/>
                        <w:iCs/>
                      </w:rPr>
                    </m:ctrlPr>
                  </m:fPr>
                  <m:num>
                    <m:sSub>
                      <m:sSubPr>
                        <m:ctrlPr>
                          <w:rPr>
                            <w:rFonts w:ascii="Cambria Math" w:hAnsi="Cambria Math"/>
                            <w:i/>
                          </w:rPr>
                        </m:ctrlPr>
                      </m:sSubPr>
                      <m:e>
                        <m:r>
                          <w:rPr>
                            <w:rFonts w:ascii="Cambria Math" w:hAnsi="Cambria Math"/>
                          </w:rPr>
                          <m:t>Q</m:t>
                        </m:r>
                      </m:e>
                      <m:sub>
                        <m:r>
                          <w:rPr>
                            <w:rFonts w:ascii="Cambria Math" w:hAnsi="Cambria Math"/>
                          </w:rPr>
                          <m:t>v</m:t>
                        </m:r>
                      </m:sub>
                    </m:sSub>
                  </m:num>
                  <m:den>
                    <m:r>
                      <w:rPr>
                        <w:rFonts w:ascii="Cambria Math" w:hAnsi="Cambria Math"/>
                      </w:rPr>
                      <m:t>L</m:t>
                    </m:r>
                    <m:sSub>
                      <m:sSubPr>
                        <m:ctrlPr>
                          <w:rPr>
                            <w:rFonts w:ascii="Cambria Math" w:hAnsi="Cambria Math"/>
                            <w:i/>
                            <w:iCs/>
                          </w:rPr>
                        </m:ctrlPr>
                      </m:sSubPr>
                      <m:e>
                        <m:r>
                          <w:rPr>
                            <w:rFonts w:ascii="Cambria Math" w:hAnsi="Cambria Math"/>
                          </w:rPr>
                          <m:t>N</m:t>
                        </m:r>
                      </m:e>
                      <m:sub>
                        <m:r>
                          <w:rPr>
                            <w:rFonts w:ascii="Cambria Math" w:hAnsi="Cambria Math"/>
                          </w:rPr>
                          <m:t>tu</m:t>
                        </m:r>
                      </m:sub>
                    </m:sSub>
                  </m:den>
                </m:f>
              </m:oMath>
            </m:oMathPara>
          </w:p>
        </w:tc>
        <w:tc>
          <w:tcPr>
            <w:tcW w:w="787" w:type="dxa"/>
            <w:vAlign w:val="center"/>
            <w:hideMark/>
          </w:tcPr>
          <w:p w14:paraId="0676D27F" w14:textId="77777777" w:rsidR="00A7521D" w:rsidRDefault="00A7521D" w:rsidP="00A7521D">
            <w:pPr>
              <w:pStyle w:val="Caption"/>
              <w:jc w:val="right"/>
              <w:rPr>
                <w:b w:val="0"/>
              </w:rPr>
            </w:pPr>
          </w:p>
        </w:tc>
        <w:tc>
          <w:tcPr>
            <w:tcW w:w="787" w:type="dxa"/>
            <w:vAlign w:val="center"/>
          </w:tcPr>
          <w:p w14:paraId="1775F368" w14:textId="29047BFE" w:rsidR="00A7521D" w:rsidRDefault="00A7521D" w:rsidP="00A7521D">
            <w:pPr>
              <w:pStyle w:val="Caption"/>
              <w:jc w:val="right"/>
              <w:rPr>
                <w:b w:val="0"/>
              </w:rPr>
            </w:pPr>
            <w:r>
              <w:rPr>
                <w:noProof/>
              </w:rPr>
              <w:fldChar w:fldCharType="begin"/>
            </w:r>
            <w:r>
              <w:rPr>
                <w:noProof/>
              </w:rPr>
              <w:instrText xml:space="preserve"> STYLEREF 1 \s </w:instrText>
            </w:r>
            <w:r>
              <w:rPr>
                <w:noProof/>
              </w:rPr>
              <w:fldChar w:fldCharType="separate"/>
            </w:r>
            <w:r w:rsidR="00CB7456">
              <w:rPr>
                <w:noProof/>
              </w:rPr>
              <w:t>13</w:t>
            </w:r>
            <w:r>
              <w:rPr>
                <w:noProof/>
              </w:rPr>
              <w:fldChar w:fldCharType="end"/>
            </w:r>
            <w:r>
              <w:rPr>
                <w:noProof/>
              </w:rPr>
              <w:t>.</w:t>
            </w:r>
            <w:r>
              <w:rPr>
                <w:noProof/>
              </w:rPr>
              <w:fldChar w:fldCharType="begin"/>
            </w:r>
            <w:r>
              <w:rPr>
                <w:noProof/>
              </w:rPr>
              <w:instrText xml:space="preserve"> SEQ Equation \* ARABIC \s 1 </w:instrText>
            </w:r>
            <w:r>
              <w:rPr>
                <w:noProof/>
              </w:rPr>
              <w:fldChar w:fldCharType="separate"/>
            </w:r>
            <w:r w:rsidR="00CB7456">
              <w:rPr>
                <w:noProof/>
              </w:rPr>
              <w:t>95</w:t>
            </w:r>
            <w:r>
              <w:rPr>
                <w:noProof/>
              </w:rPr>
              <w:fldChar w:fldCharType="end"/>
            </w:r>
          </w:p>
        </w:tc>
      </w:tr>
    </w:tbl>
    <w:p w14:paraId="77F05AB6" w14:textId="77777777" w:rsidR="00A7521D" w:rsidRDefault="00A7521D" w:rsidP="00A7521D">
      <w:pPr>
        <w:rPr>
          <w:iCs/>
        </w:rPr>
      </w:pPr>
    </w:p>
    <w:p w14:paraId="5AD4DE65" w14:textId="01165593" w:rsidR="00A7521D" w:rsidRDefault="00C73E04" w:rsidP="00A7521D">
      <m:oMath>
        <m:sSub>
          <m:sSubPr>
            <m:ctrlPr>
              <w:rPr>
                <w:rFonts w:ascii="Cambria Math" w:hAnsi="Cambria Math"/>
                <w:i/>
                <w:iCs/>
              </w:rPr>
            </m:ctrlPr>
          </m:sSubPr>
          <m:e>
            <m:r>
              <w:rPr>
                <w:rFonts w:ascii="Cambria Math" w:hAnsi="Cambria Math"/>
                <w:lang w:val="el-GR"/>
              </w:rPr>
              <m:t>Γ</m:t>
            </m:r>
          </m:e>
          <m:sub>
            <m:r>
              <w:rPr>
                <w:rFonts w:ascii="Cambria Math" w:hAnsi="Cambria Math"/>
              </w:rPr>
              <m:t>tu</m:t>
            </m:r>
          </m:sub>
        </m:sSub>
      </m:oMath>
      <w:r w:rsidR="00A7521D">
        <w:rPr>
          <w:iCs/>
        </w:rPr>
        <w:t xml:space="preserve"> was the vertical </w:t>
      </w:r>
      <w:r w:rsidR="00A7521D">
        <w:t>tube loading, the condensate rate per unit tube perimeter (kg/[</w:t>
      </w:r>
      <w:proofErr w:type="spellStart"/>
      <w:r w:rsidR="00A7521D">
        <w:t>sm</w:t>
      </w:r>
      <w:proofErr w:type="spellEnd"/>
      <w:r w:rsidR="00A7521D">
        <w:t>]).</w:t>
      </w:r>
    </w:p>
    <w:p w14:paraId="50DDA95D" w14:textId="0A4A5CF4" w:rsidR="007B3EC5" w:rsidRDefault="007B3EC5" w:rsidP="00A7521D">
      <w:r>
        <w:t xml:space="preserve">The </w:t>
      </w:r>
      <w:r>
        <w:rPr>
          <w:iCs/>
        </w:rPr>
        <w:t xml:space="preserve">vertical </w:t>
      </w:r>
      <w:r>
        <w:t>tube loading was dependent on the heat released from the vapour in the condenser, the length of the condenser and the number of tubes in the condenser.</w:t>
      </w:r>
    </w:p>
    <w:tbl>
      <w:tblPr>
        <w:tblStyle w:val="TableGrid"/>
        <w:tblW w:w="5096"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81"/>
        <w:gridCol w:w="787"/>
        <w:gridCol w:w="787"/>
      </w:tblGrid>
      <w:tr w:rsidR="00A7521D" w14:paraId="6945422C" w14:textId="77777777" w:rsidTr="00A7521D">
        <w:tc>
          <w:tcPr>
            <w:tcW w:w="6781" w:type="dxa"/>
            <w:hideMark/>
          </w:tcPr>
          <w:p w14:paraId="3364A049" w14:textId="11BA1383" w:rsidR="00A7521D" w:rsidRDefault="00C73E04" w:rsidP="00A7521D">
            <w:pPr>
              <w:keepNext/>
              <w:rPr>
                <w:color w:val="FFFFFF"/>
              </w:rPr>
            </w:pPr>
            <m:oMathPara>
              <m:oMathParaPr>
                <m:jc m:val="left"/>
              </m:oMathParaPr>
              <m:oMath>
                <m:sSub>
                  <m:sSubPr>
                    <m:ctrlPr>
                      <w:rPr>
                        <w:rFonts w:ascii="Cambria Math" w:hAnsi="Cambria Math"/>
                        <w:i/>
                        <w:iCs/>
                      </w:rPr>
                    </m:ctrlPr>
                  </m:sSubPr>
                  <m:e>
                    <m:r>
                      <w:rPr>
                        <w:rFonts w:ascii="Cambria Math" w:hAnsi="Cambria Math"/>
                      </w:rPr>
                      <m:t>h</m:t>
                    </m:r>
                  </m:e>
                  <m:sub>
                    <m:r>
                      <w:rPr>
                        <w:rFonts w:ascii="Cambria Math" w:hAnsi="Cambria Math"/>
                      </w:rPr>
                      <m:t>con</m:t>
                    </m:r>
                  </m:sub>
                </m:sSub>
                <m:r>
                  <w:rPr>
                    <w:rFonts w:ascii="Cambria Math" w:hAnsi="Cambria Math"/>
                  </w:rPr>
                  <m:t>=</m:t>
                </m:r>
                <m:sSub>
                  <m:sSubPr>
                    <m:ctrlPr>
                      <w:rPr>
                        <w:rFonts w:ascii="Cambria Math" w:hAnsi="Cambria Math"/>
                        <w:i/>
                        <w:iCs/>
                      </w:rPr>
                    </m:ctrlPr>
                  </m:sSubPr>
                  <m:e>
                    <m:r>
                      <w:rPr>
                        <w:rFonts w:ascii="Cambria Math" w:hAnsi="Cambria Math"/>
                      </w:rPr>
                      <m:t>D</m:t>
                    </m:r>
                  </m:e>
                  <m:sub>
                    <m:r>
                      <w:rPr>
                        <w:rFonts w:ascii="Cambria Math" w:hAnsi="Cambria Math"/>
                      </w:rPr>
                      <m:t>b</m:t>
                    </m:r>
                  </m:sub>
                </m:sSub>
                <m:sSub>
                  <m:sSubPr>
                    <m:ctrlPr>
                      <w:rPr>
                        <w:rFonts w:ascii="Cambria Math" w:hAnsi="Cambria Math"/>
                        <w:i/>
                        <w:iCs/>
                      </w:rPr>
                    </m:ctrlPr>
                  </m:sSubPr>
                  <m:e>
                    <m:r>
                      <w:rPr>
                        <w:rFonts w:ascii="Cambria Math" w:hAnsi="Cambria Math"/>
                      </w:rPr>
                      <m:t>k</m:t>
                    </m:r>
                  </m:e>
                  <m:sub>
                    <m:r>
                      <w:rPr>
                        <w:rFonts w:ascii="Cambria Math" w:hAnsi="Cambria Math"/>
                      </w:rPr>
                      <m:t>L</m:t>
                    </m:r>
                  </m:sub>
                </m:sSub>
                <m:sSup>
                  <m:sSupPr>
                    <m:ctrlPr>
                      <w:rPr>
                        <w:rFonts w:ascii="Cambria Math" w:hAnsi="Cambria Math"/>
                        <w:i/>
                        <w:iCs/>
                      </w:rPr>
                    </m:ctrlPr>
                  </m:sSupPr>
                  <m:e>
                    <m:d>
                      <m:dPr>
                        <m:begChr m:val="["/>
                        <m:endChr m:val="]"/>
                        <m:ctrlPr>
                          <w:rPr>
                            <w:rFonts w:ascii="Cambria Math" w:hAnsi="Cambria Math"/>
                            <w:i/>
                            <w:iCs/>
                          </w:rPr>
                        </m:ctrlPr>
                      </m:dPr>
                      <m:e>
                        <m:f>
                          <m:fPr>
                            <m:ctrlPr>
                              <w:rPr>
                                <w:rFonts w:ascii="Cambria Math" w:hAnsi="Cambria Math"/>
                                <w:i/>
                                <w:iCs/>
                              </w:rPr>
                            </m:ctrlPr>
                          </m:fPr>
                          <m:num>
                            <m:sSub>
                              <m:sSubPr>
                                <m:ctrlPr>
                                  <w:rPr>
                                    <w:rFonts w:ascii="Cambria Math" w:hAnsi="Cambria Math"/>
                                    <w:i/>
                                    <w:iCs/>
                                  </w:rPr>
                                </m:ctrlPr>
                              </m:sSubPr>
                              <m:e>
                                <m:r>
                                  <w:rPr>
                                    <w:rFonts w:ascii="Cambria Math" w:hAnsi="Cambria Math"/>
                                  </w:rPr>
                                  <m:t>ρ</m:t>
                                </m:r>
                              </m:e>
                              <m:sub>
                                <m:r>
                                  <w:rPr>
                                    <w:rFonts w:ascii="Cambria Math" w:hAnsi="Cambria Math"/>
                                  </w:rPr>
                                  <m:t>L</m:t>
                                </m:r>
                              </m:sub>
                            </m:sSub>
                            <m:d>
                              <m:dPr>
                                <m:ctrlPr>
                                  <w:rPr>
                                    <w:rFonts w:ascii="Cambria Math" w:hAnsi="Cambria Math"/>
                                    <w:i/>
                                    <w:iCs/>
                                  </w:rPr>
                                </m:ctrlPr>
                              </m:dPr>
                              <m:e>
                                <m:sSub>
                                  <m:sSubPr>
                                    <m:ctrlPr>
                                      <w:rPr>
                                        <w:rFonts w:ascii="Cambria Math" w:hAnsi="Cambria Math"/>
                                        <w:i/>
                                        <w:iCs/>
                                      </w:rPr>
                                    </m:ctrlPr>
                                  </m:sSubPr>
                                  <m:e>
                                    <m:r>
                                      <w:rPr>
                                        <w:rFonts w:ascii="Cambria Math" w:hAnsi="Cambria Math"/>
                                      </w:rPr>
                                      <m:t>ρ</m:t>
                                    </m:r>
                                  </m:e>
                                  <m:sub>
                                    <m:r>
                                      <w:rPr>
                                        <w:rFonts w:ascii="Cambria Math" w:hAnsi="Cambria Math"/>
                                      </w:rPr>
                                      <m:t>L</m:t>
                                    </m:r>
                                  </m:sub>
                                </m:sSub>
                                <m:r>
                                  <w:rPr>
                                    <w:rFonts w:ascii="Cambria Math" w:hAnsi="Cambria Math"/>
                                  </w:rPr>
                                  <m:t>-</m:t>
                                </m:r>
                                <m:sSub>
                                  <m:sSubPr>
                                    <m:ctrlPr>
                                      <w:rPr>
                                        <w:rFonts w:ascii="Cambria Math" w:hAnsi="Cambria Math"/>
                                        <w:i/>
                                        <w:iCs/>
                                      </w:rPr>
                                    </m:ctrlPr>
                                  </m:sSubPr>
                                  <m:e>
                                    <m:r>
                                      <w:rPr>
                                        <w:rFonts w:ascii="Cambria Math" w:hAnsi="Cambria Math"/>
                                      </w:rPr>
                                      <m:t>ρ</m:t>
                                    </m:r>
                                  </m:e>
                                  <m:sub>
                                    <m:r>
                                      <w:rPr>
                                        <w:rFonts w:ascii="Cambria Math" w:hAnsi="Cambria Math"/>
                                      </w:rPr>
                                      <m:t>v</m:t>
                                    </m:r>
                                  </m:sub>
                                </m:sSub>
                              </m:e>
                            </m:d>
                            <m:r>
                              <w:rPr>
                                <w:rFonts w:ascii="Cambria Math" w:hAnsi="Cambria Math"/>
                              </w:rPr>
                              <m:t>g</m:t>
                            </m:r>
                          </m:num>
                          <m:den>
                            <m:sSub>
                              <m:sSubPr>
                                <m:ctrlPr>
                                  <w:rPr>
                                    <w:rFonts w:ascii="Cambria Math" w:hAnsi="Cambria Math"/>
                                    <w:i/>
                                    <w:iCs/>
                                  </w:rPr>
                                </m:ctrlPr>
                              </m:sSubPr>
                              <m:e>
                                <m:r>
                                  <w:rPr>
                                    <w:rFonts w:ascii="Cambria Math" w:hAnsi="Cambria Math"/>
                                  </w:rPr>
                                  <m:t>μ</m:t>
                                </m:r>
                              </m:e>
                              <m:sub>
                                <m:r>
                                  <w:rPr>
                                    <w:rFonts w:ascii="Cambria Math" w:hAnsi="Cambria Math"/>
                                  </w:rPr>
                                  <m:t>L</m:t>
                                </m:r>
                              </m:sub>
                            </m:sSub>
                            <m:sSub>
                              <m:sSubPr>
                                <m:ctrlPr>
                                  <w:rPr>
                                    <w:rFonts w:ascii="Cambria Math" w:hAnsi="Cambria Math"/>
                                    <w:i/>
                                    <w:iCs/>
                                  </w:rPr>
                                </m:ctrlPr>
                              </m:sSubPr>
                              <m:e>
                                <m:r>
                                  <w:rPr>
                                    <w:rFonts w:ascii="Cambria Math" w:hAnsi="Cambria Math"/>
                                    <w:lang w:val="el-GR"/>
                                  </w:rPr>
                                  <m:t>Γ</m:t>
                                </m:r>
                              </m:e>
                              <m:sub>
                                <m:r>
                                  <w:rPr>
                                    <w:rFonts w:ascii="Cambria Math" w:hAnsi="Cambria Math"/>
                                  </w:rPr>
                                  <m:t>tu</m:t>
                                </m:r>
                              </m:sub>
                            </m:sSub>
                          </m:den>
                        </m:f>
                      </m:e>
                    </m:d>
                  </m:e>
                  <m:sup>
                    <m:f>
                      <m:fPr>
                        <m:type m:val="lin"/>
                        <m:ctrlPr>
                          <w:rPr>
                            <w:rFonts w:ascii="Cambria Math" w:hAnsi="Cambria Math"/>
                            <w:i/>
                            <w:iCs/>
                          </w:rPr>
                        </m:ctrlPr>
                      </m:fPr>
                      <m:num>
                        <m:r>
                          <w:rPr>
                            <w:rFonts w:ascii="Cambria Math" w:hAnsi="Cambria Math"/>
                          </w:rPr>
                          <m:t>1</m:t>
                        </m:r>
                      </m:num>
                      <m:den>
                        <m:r>
                          <w:rPr>
                            <w:rFonts w:ascii="Cambria Math" w:hAnsi="Cambria Math"/>
                          </w:rPr>
                          <m:t>3</m:t>
                        </m:r>
                      </m:den>
                    </m:f>
                  </m:sup>
                </m:sSup>
                <m:sSubSup>
                  <m:sSubSupPr>
                    <m:ctrlPr>
                      <w:rPr>
                        <w:rFonts w:ascii="Cambria Math" w:hAnsi="Cambria Math"/>
                        <w:i/>
                        <w:iCs/>
                      </w:rPr>
                    </m:ctrlPr>
                  </m:sSubSupPr>
                  <m:e>
                    <m:r>
                      <w:rPr>
                        <w:rFonts w:ascii="Cambria Math" w:hAnsi="Cambria Math"/>
                      </w:rPr>
                      <m:t>N</m:t>
                    </m:r>
                  </m:e>
                  <m:sub>
                    <m:r>
                      <w:rPr>
                        <w:rFonts w:ascii="Cambria Math" w:hAnsi="Cambria Math"/>
                      </w:rPr>
                      <m:t>t</m:t>
                    </m:r>
                    <m:r>
                      <w:rPr>
                        <w:rFonts w:ascii="Cambria Math" w:hAnsi="Cambria Math"/>
                      </w:rPr>
                      <m:t>u</m:t>
                    </m:r>
                  </m:sub>
                  <m:sup>
                    <m:f>
                      <m:fPr>
                        <m:type m:val="lin"/>
                        <m:ctrlPr>
                          <w:rPr>
                            <w:rFonts w:ascii="Cambria Math" w:hAnsi="Cambria Math"/>
                            <w:i/>
                            <w:iCs/>
                          </w:rPr>
                        </m:ctrlPr>
                      </m:fPr>
                      <m:num>
                        <m:r>
                          <w:rPr>
                            <w:rFonts w:ascii="Cambria Math" w:hAnsi="Cambria Math"/>
                          </w:rPr>
                          <m:t>-1</m:t>
                        </m:r>
                      </m:num>
                      <m:den>
                        <m:r>
                          <w:rPr>
                            <w:rFonts w:ascii="Cambria Math" w:hAnsi="Cambria Math"/>
                          </w:rPr>
                          <m:t>6</m:t>
                        </m:r>
                      </m:den>
                    </m:f>
                  </m:sup>
                </m:sSubSup>
              </m:oMath>
            </m:oMathPara>
          </w:p>
        </w:tc>
        <w:tc>
          <w:tcPr>
            <w:tcW w:w="787" w:type="dxa"/>
            <w:vAlign w:val="center"/>
            <w:hideMark/>
          </w:tcPr>
          <w:p w14:paraId="3665D0F5" w14:textId="77777777" w:rsidR="00A7521D" w:rsidRDefault="00A7521D" w:rsidP="00A7521D">
            <w:pPr>
              <w:pStyle w:val="Caption"/>
              <w:jc w:val="right"/>
              <w:rPr>
                <w:b w:val="0"/>
              </w:rPr>
            </w:pPr>
          </w:p>
        </w:tc>
        <w:tc>
          <w:tcPr>
            <w:tcW w:w="787" w:type="dxa"/>
            <w:vAlign w:val="center"/>
          </w:tcPr>
          <w:p w14:paraId="7B0E28EF" w14:textId="1BEB8D88" w:rsidR="00A7521D" w:rsidRDefault="00A7521D" w:rsidP="00A7521D">
            <w:pPr>
              <w:pStyle w:val="Caption"/>
              <w:jc w:val="right"/>
              <w:rPr>
                <w:b w:val="0"/>
              </w:rPr>
            </w:pPr>
            <w:r>
              <w:rPr>
                <w:noProof/>
              </w:rPr>
              <w:fldChar w:fldCharType="begin"/>
            </w:r>
            <w:r>
              <w:rPr>
                <w:noProof/>
              </w:rPr>
              <w:instrText xml:space="preserve"> STYLEREF 1 \s </w:instrText>
            </w:r>
            <w:r>
              <w:rPr>
                <w:noProof/>
              </w:rPr>
              <w:fldChar w:fldCharType="separate"/>
            </w:r>
            <w:r w:rsidR="00CB7456">
              <w:rPr>
                <w:noProof/>
              </w:rPr>
              <w:t>13</w:t>
            </w:r>
            <w:r>
              <w:rPr>
                <w:noProof/>
              </w:rPr>
              <w:fldChar w:fldCharType="end"/>
            </w:r>
            <w:r>
              <w:rPr>
                <w:noProof/>
              </w:rPr>
              <w:t>.</w:t>
            </w:r>
            <w:r>
              <w:rPr>
                <w:noProof/>
              </w:rPr>
              <w:fldChar w:fldCharType="begin"/>
            </w:r>
            <w:r>
              <w:rPr>
                <w:noProof/>
              </w:rPr>
              <w:instrText xml:space="preserve"> SEQ Equation \* ARABIC \s 1 </w:instrText>
            </w:r>
            <w:r>
              <w:rPr>
                <w:noProof/>
              </w:rPr>
              <w:fldChar w:fldCharType="separate"/>
            </w:r>
            <w:r w:rsidR="00CB7456">
              <w:rPr>
                <w:noProof/>
              </w:rPr>
              <w:t>96</w:t>
            </w:r>
            <w:r>
              <w:rPr>
                <w:noProof/>
              </w:rPr>
              <w:fldChar w:fldCharType="end"/>
            </w:r>
          </w:p>
        </w:tc>
      </w:tr>
    </w:tbl>
    <w:p w14:paraId="21087AD0" w14:textId="77777777" w:rsidR="00A7521D" w:rsidRDefault="00A7521D" w:rsidP="00A7521D"/>
    <w:p w14:paraId="5D5C3575" w14:textId="77777777" w:rsidR="00A7521D" w:rsidRDefault="00C73E04" w:rsidP="00A7521D">
      <w:pPr>
        <w:pStyle w:val="NoSpacing"/>
      </w:pPr>
      <m:oMath>
        <m:sSub>
          <m:sSubPr>
            <m:ctrlPr>
              <w:rPr>
                <w:rFonts w:ascii="Cambria Math" w:hAnsi="Cambria Math"/>
                <w:i/>
              </w:rPr>
            </m:ctrlPr>
          </m:sSubPr>
          <m:e>
            <m:r>
              <w:rPr>
                <w:rFonts w:ascii="Cambria Math" w:hAnsi="Cambria Math"/>
              </w:rPr>
              <m:t>h</m:t>
            </m:r>
          </m:e>
          <m:sub>
            <m:r>
              <w:rPr>
                <w:rFonts w:ascii="Cambria Math" w:hAnsi="Cambria Math"/>
              </w:rPr>
              <m:t>con</m:t>
            </m:r>
          </m:sub>
        </m:sSub>
      </m:oMath>
      <w:r w:rsidR="00A7521D">
        <w:t xml:space="preserve"> was the conden</w:t>
      </w:r>
      <w:proofErr w:type="spellStart"/>
      <w:r w:rsidR="00A7521D">
        <w:t>sation</w:t>
      </w:r>
      <w:proofErr w:type="spellEnd"/>
      <w:r w:rsidR="00A7521D">
        <w:t xml:space="preserve"> coefficient (W/[m</w:t>
      </w:r>
      <w:r w:rsidR="00A7521D">
        <w:rPr>
          <w:vertAlign w:val="superscript"/>
        </w:rPr>
        <w:t>2</w:t>
      </w:r>
      <w:r w:rsidR="00A7521D">
        <w:t>°C]),</w:t>
      </w:r>
    </w:p>
    <w:p w14:paraId="357BB6AD" w14:textId="77777777" w:rsidR="00A7521D" w:rsidRDefault="00C73E04" w:rsidP="00A7521D">
      <w:pPr>
        <w:pStyle w:val="NoSpacing"/>
      </w:pPr>
      <m:oMath>
        <m:sSub>
          <m:sSubPr>
            <m:ctrlPr>
              <w:rPr>
                <w:rFonts w:ascii="Cambria Math" w:hAnsi="Cambria Math"/>
                <w:i/>
              </w:rPr>
            </m:ctrlPr>
          </m:sSubPr>
          <m:e>
            <m:r>
              <w:rPr>
                <w:rFonts w:ascii="Cambria Math" w:hAnsi="Cambria Math"/>
              </w:rPr>
              <m:t>k</m:t>
            </m:r>
          </m:e>
          <m:sub>
            <m:r>
              <w:rPr>
                <w:rFonts w:ascii="Cambria Math" w:hAnsi="Cambria Math"/>
              </w:rPr>
              <m:t>L</m:t>
            </m:r>
          </m:sub>
        </m:sSub>
      </m:oMath>
      <w:r w:rsidR="00A7521D">
        <w:t xml:space="preserve"> was the liquid heat conductivity (W/[m°C]),</w:t>
      </w:r>
    </w:p>
    <w:p w14:paraId="661BD746" w14:textId="77777777" w:rsidR="00A7521D" w:rsidRDefault="00C73E04" w:rsidP="00A7521D">
      <w:pPr>
        <w:pStyle w:val="NoSpacing"/>
      </w:pPr>
      <m:oMath>
        <m:sSub>
          <m:sSubPr>
            <m:ctrlPr>
              <w:rPr>
                <w:rFonts w:ascii="Cambria Math" w:hAnsi="Cambria Math"/>
                <w:i/>
              </w:rPr>
            </m:ctrlPr>
          </m:sSubPr>
          <m:e>
            <m:r>
              <w:rPr>
                <w:rFonts w:ascii="Cambria Math" w:hAnsi="Cambria Math"/>
              </w:rPr>
              <m:t>ρ</m:t>
            </m:r>
          </m:e>
          <m:sub>
            <m:r>
              <w:rPr>
                <w:rFonts w:ascii="Cambria Math" w:hAnsi="Cambria Math"/>
              </w:rPr>
              <m:t>L</m:t>
            </m:r>
          </m:sub>
        </m:sSub>
      </m:oMath>
      <w:r w:rsidR="00A7521D">
        <w:t xml:space="preserve"> was the liquid density (kg/m</w:t>
      </w:r>
      <w:r w:rsidR="00A7521D">
        <w:rPr>
          <w:vertAlign w:val="superscript"/>
        </w:rPr>
        <w:t>3</w:t>
      </w:r>
      <w:r w:rsidR="00A7521D">
        <w:t>),</w:t>
      </w:r>
    </w:p>
    <w:p w14:paraId="551E7CC2" w14:textId="77777777" w:rsidR="00A7521D" w:rsidRDefault="00C73E04" w:rsidP="00A7521D">
      <w:pPr>
        <w:pStyle w:val="NoSpacing"/>
      </w:pPr>
      <m:oMath>
        <m:sSub>
          <m:sSubPr>
            <m:ctrlPr>
              <w:rPr>
                <w:rFonts w:ascii="Cambria Math" w:hAnsi="Cambria Math"/>
                <w:i/>
              </w:rPr>
            </m:ctrlPr>
          </m:sSubPr>
          <m:e>
            <m:r>
              <w:rPr>
                <w:rFonts w:ascii="Cambria Math" w:hAnsi="Cambria Math"/>
              </w:rPr>
              <m:t>ρ</m:t>
            </m:r>
          </m:e>
          <m:sub>
            <m:r>
              <w:rPr>
                <w:rFonts w:ascii="Cambria Math" w:hAnsi="Cambria Math"/>
              </w:rPr>
              <m:t>v</m:t>
            </m:r>
          </m:sub>
        </m:sSub>
      </m:oMath>
      <w:r w:rsidR="00A7521D">
        <w:t xml:space="preserve"> was the vapour density (kg/m</w:t>
      </w:r>
      <w:r w:rsidR="00A7521D">
        <w:rPr>
          <w:vertAlign w:val="superscript"/>
        </w:rPr>
        <w:t>3</w:t>
      </w:r>
      <w:r w:rsidR="00A7521D">
        <w:t>),</w:t>
      </w:r>
    </w:p>
    <w:p w14:paraId="0DA500A3" w14:textId="77777777" w:rsidR="00A7521D" w:rsidRDefault="00A7521D" w:rsidP="00A7521D">
      <w:pPr>
        <w:pStyle w:val="NoSpacing"/>
      </w:pPr>
      <m:oMath>
        <m:r>
          <w:rPr>
            <w:rFonts w:ascii="Cambria Math" w:hAnsi="Cambria Math"/>
          </w:rPr>
          <m:t>g</m:t>
        </m:r>
      </m:oMath>
      <w:r>
        <w:t xml:space="preserve"> was the force due to gravity (m/s</w:t>
      </w:r>
      <w:r>
        <w:rPr>
          <w:vertAlign w:val="superscript"/>
        </w:rPr>
        <w:t>2</w:t>
      </w:r>
      <w:r>
        <w:t>),</w:t>
      </w:r>
    </w:p>
    <w:p w14:paraId="0E161EBF" w14:textId="61DCC039" w:rsidR="00A7521D" w:rsidRDefault="00C73E04" w:rsidP="00A7521D">
      <w:pPr>
        <w:rPr>
          <w:iCs/>
        </w:rPr>
      </w:pPr>
      <m:oMath>
        <m:sSub>
          <m:sSubPr>
            <m:ctrlPr>
              <w:rPr>
                <w:rFonts w:ascii="Cambria Math" w:hAnsi="Cambria Math"/>
                <w:i/>
                <w:iCs/>
              </w:rPr>
            </m:ctrlPr>
          </m:sSubPr>
          <m:e>
            <m:r>
              <w:rPr>
                <w:rFonts w:ascii="Cambria Math" w:hAnsi="Cambria Math"/>
              </w:rPr>
              <m:t>μ</m:t>
            </m:r>
          </m:e>
          <m:sub>
            <m:r>
              <w:rPr>
                <w:rFonts w:ascii="Cambria Math" w:hAnsi="Cambria Math"/>
              </w:rPr>
              <m:t>L</m:t>
            </m:r>
          </m:sub>
        </m:sSub>
      </m:oMath>
      <w:r w:rsidR="00A7521D">
        <w:rPr>
          <w:iCs/>
        </w:rPr>
        <w:t xml:space="preserve"> was the liquid viscosity (Pas).</w:t>
      </w:r>
    </w:p>
    <w:p w14:paraId="6CC744C3" w14:textId="4F54080A" w:rsidR="007B3EC5" w:rsidRDefault="007B3EC5" w:rsidP="00A7521D">
      <w:pPr>
        <w:rPr>
          <w:iCs/>
        </w:rPr>
      </w:pPr>
      <w:r>
        <w:rPr>
          <w:iCs/>
        </w:rPr>
        <w:lastRenderedPageBreak/>
        <w:t xml:space="preserve">The condensation coefficient was dependent on the bundle diameter, </w:t>
      </w:r>
      <w:r>
        <w:t xml:space="preserve">the liquid heat conductivity, the liquid and vapour densities, the force due to gravity, the liquid viscosity, </w:t>
      </w:r>
      <w:r>
        <w:rPr>
          <w:iCs/>
        </w:rPr>
        <w:t xml:space="preserve">the vertical </w:t>
      </w:r>
      <w:r>
        <w:t>tube loading and the number of tubes. The liquid head conductivity, the liquid and vapour densities and the liquid viscosity were dependent on the choice of fluids and the operating conditions.</w:t>
      </w:r>
    </w:p>
    <w:tbl>
      <w:tblPr>
        <w:tblStyle w:val="TableGrid"/>
        <w:tblW w:w="5096"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81"/>
        <w:gridCol w:w="787"/>
        <w:gridCol w:w="787"/>
      </w:tblGrid>
      <w:tr w:rsidR="00A7521D" w14:paraId="61D66212" w14:textId="77777777" w:rsidTr="00A7521D">
        <w:tc>
          <w:tcPr>
            <w:tcW w:w="6781" w:type="dxa"/>
            <w:hideMark/>
          </w:tcPr>
          <w:p w14:paraId="01A63B57" w14:textId="77777777" w:rsidR="00A7521D" w:rsidRDefault="00C73E04" w:rsidP="00A7521D">
            <w:pPr>
              <w:keepNext/>
              <w:rPr>
                <w:color w:val="FFFFFF"/>
              </w:rPr>
            </w:pPr>
            <m:oMathPara>
              <m:oMathParaPr>
                <m:jc m:val="left"/>
              </m:oMathParaPr>
              <m:oMath>
                <m:sSub>
                  <m:sSubPr>
                    <m:ctrlPr>
                      <w:rPr>
                        <w:rFonts w:ascii="Cambria Math" w:hAnsi="Cambria Math"/>
                        <w:i/>
                        <w:iCs/>
                      </w:rPr>
                    </m:ctrlPr>
                  </m:sSubPr>
                  <m:e>
                    <m:r>
                      <w:rPr>
                        <w:rFonts w:ascii="Cambria Math" w:hAnsi="Cambria Math"/>
                      </w:rPr>
                      <m:t>h</m:t>
                    </m:r>
                  </m:e>
                  <m:sub>
                    <m:r>
                      <w:rPr>
                        <w:rFonts w:ascii="Cambria Math" w:hAnsi="Cambria Math"/>
                      </w:rPr>
                      <m:t>i</m:t>
                    </m:r>
                  </m:sub>
                </m:sSub>
                <m:r>
                  <w:rPr>
                    <w:rFonts w:ascii="Cambria Math" w:hAnsi="Cambria Math"/>
                  </w:rPr>
                  <m:t>=</m:t>
                </m:r>
                <m:f>
                  <m:fPr>
                    <m:ctrlPr>
                      <w:rPr>
                        <w:rFonts w:ascii="Cambria Math" w:hAnsi="Cambria Math"/>
                        <w:i/>
                        <w:iCs/>
                      </w:rPr>
                    </m:ctrlPr>
                  </m:fPr>
                  <m:num>
                    <m:r>
                      <w:rPr>
                        <w:rFonts w:ascii="Cambria Math" w:hAnsi="Cambria Math"/>
                      </w:rPr>
                      <m:t>4200</m:t>
                    </m:r>
                    <m:d>
                      <m:dPr>
                        <m:ctrlPr>
                          <w:rPr>
                            <w:rFonts w:ascii="Cambria Math" w:hAnsi="Cambria Math"/>
                            <w:i/>
                            <w:iCs/>
                          </w:rPr>
                        </m:ctrlPr>
                      </m:dPr>
                      <m:e>
                        <m:r>
                          <w:rPr>
                            <w:rFonts w:ascii="Cambria Math" w:hAnsi="Cambria Math"/>
                          </w:rPr>
                          <m:t>1.35+0.02</m:t>
                        </m:r>
                        <m:sSub>
                          <m:sSubPr>
                            <m:ctrlPr>
                              <w:rPr>
                                <w:rFonts w:ascii="Cambria Math" w:hAnsi="Cambria Math"/>
                                <w:i/>
                                <w:iCs/>
                              </w:rPr>
                            </m:ctrlPr>
                          </m:sSubPr>
                          <m:e>
                            <m:r>
                              <w:rPr>
                                <w:rFonts w:ascii="Cambria Math" w:hAnsi="Cambria Math"/>
                              </w:rPr>
                              <m:t>T</m:t>
                            </m:r>
                          </m:e>
                          <m:sub>
                            <m:r>
                              <w:rPr>
                                <w:rFonts w:ascii="Cambria Math" w:hAnsi="Cambria Math"/>
                              </w:rPr>
                              <m:t>tu</m:t>
                            </m:r>
                          </m:sub>
                        </m:sSub>
                      </m:e>
                    </m:d>
                    <m:sSubSup>
                      <m:sSubSupPr>
                        <m:ctrlPr>
                          <w:rPr>
                            <w:rFonts w:ascii="Cambria Math" w:hAnsi="Cambria Math"/>
                            <w:i/>
                            <w:iCs/>
                          </w:rPr>
                        </m:ctrlPr>
                      </m:sSubSupPr>
                      <m:e>
                        <m:r>
                          <w:rPr>
                            <w:rFonts w:ascii="Cambria Math" w:hAnsi="Cambria Math"/>
                          </w:rPr>
                          <m:t>v</m:t>
                        </m:r>
                      </m:e>
                      <m:sub>
                        <m:r>
                          <w:rPr>
                            <w:rFonts w:ascii="Cambria Math" w:hAnsi="Cambria Math"/>
                          </w:rPr>
                          <m:t>tu</m:t>
                        </m:r>
                      </m:sub>
                      <m:sup>
                        <m:r>
                          <w:rPr>
                            <w:rFonts w:ascii="Cambria Math" w:hAnsi="Cambria Math"/>
                          </w:rPr>
                          <m:t>0.8</m:t>
                        </m:r>
                      </m:sup>
                    </m:sSubSup>
                  </m:num>
                  <m:den>
                    <m:sSubSup>
                      <m:sSubSupPr>
                        <m:ctrlPr>
                          <w:rPr>
                            <w:rFonts w:ascii="Cambria Math" w:hAnsi="Cambria Math"/>
                            <w:i/>
                            <w:iCs/>
                          </w:rPr>
                        </m:ctrlPr>
                      </m:sSubSupPr>
                      <m:e>
                        <m:r>
                          <w:rPr>
                            <w:rFonts w:ascii="Cambria Math" w:hAnsi="Cambria Math"/>
                          </w:rPr>
                          <m:t>D</m:t>
                        </m:r>
                      </m:e>
                      <m:sub>
                        <m:r>
                          <w:rPr>
                            <w:rFonts w:ascii="Cambria Math" w:hAnsi="Cambria Math"/>
                          </w:rPr>
                          <m:t>i</m:t>
                        </m:r>
                      </m:sub>
                      <m:sup>
                        <m:r>
                          <w:rPr>
                            <w:rFonts w:ascii="Cambria Math" w:hAnsi="Cambria Math"/>
                          </w:rPr>
                          <m:t>0.2</m:t>
                        </m:r>
                      </m:sup>
                    </m:sSubSup>
                  </m:den>
                </m:f>
              </m:oMath>
            </m:oMathPara>
          </w:p>
        </w:tc>
        <w:tc>
          <w:tcPr>
            <w:tcW w:w="787" w:type="dxa"/>
            <w:vAlign w:val="center"/>
            <w:hideMark/>
          </w:tcPr>
          <w:p w14:paraId="613F23B0" w14:textId="77777777" w:rsidR="00A7521D" w:rsidRDefault="00A7521D" w:rsidP="00A7521D">
            <w:pPr>
              <w:pStyle w:val="Caption"/>
              <w:jc w:val="right"/>
              <w:rPr>
                <w:b w:val="0"/>
              </w:rPr>
            </w:pPr>
          </w:p>
        </w:tc>
        <w:tc>
          <w:tcPr>
            <w:tcW w:w="787" w:type="dxa"/>
            <w:vAlign w:val="center"/>
          </w:tcPr>
          <w:p w14:paraId="4E4901C9" w14:textId="7048C73F" w:rsidR="00A7521D" w:rsidRDefault="00A7521D" w:rsidP="00A7521D">
            <w:pPr>
              <w:pStyle w:val="Caption"/>
              <w:jc w:val="right"/>
              <w:rPr>
                <w:b w:val="0"/>
              </w:rPr>
            </w:pPr>
            <w:r>
              <w:rPr>
                <w:noProof/>
              </w:rPr>
              <w:fldChar w:fldCharType="begin"/>
            </w:r>
            <w:r>
              <w:rPr>
                <w:noProof/>
              </w:rPr>
              <w:instrText xml:space="preserve"> STYLEREF 1 \s </w:instrText>
            </w:r>
            <w:r>
              <w:rPr>
                <w:noProof/>
              </w:rPr>
              <w:fldChar w:fldCharType="separate"/>
            </w:r>
            <w:r w:rsidR="00CB7456">
              <w:rPr>
                <w:noProof/>
              </w:rPr>
              <w:t>13</w:t>
            </w:r>
            <w:r>
              <w:rPr>
                <w:noProof/>
              </w:rPr>
              <w:fldChar w:fldCharType="end"/>
            </w:r>
            <w:r>
              <w:rPr>
                <w:noProof/>
              </w:rPr>
              <w:t>.</w:t>
            </w:r>
            <w:r>
              <w:rPr>
                <w:noProof/>
              </w:rPr>
              <w:fldChar w:fldCharType="begin"/>
            </w:r>
            <w:r>
              <w:rPr>
                <w:noProof/>
              </w:rPr>
              <w:instrText xml:space="preserve"> SEQ Equation \* ARABIC \s 1 </w:instrText>
            </w:r>
            <w:r>
              <w:rPr>
                <w:noProof/>
              </w:rPr>
              <w:fldChar w:fldCharType="separate"/>
            </w:r>
            <w:r w:rsidR="00CB7456">
              <w:rPr>
                <w:noProof/>
              </w:rPr>
              <w:t>97</w:t>
            </w:r>
            <w:r>
              <w:rPr>
                <w:noProof/>
              </w:rPr>
              <w:fldChar w:fldCharType="end"/>
            </w:r>
          </w:p>
        </w:tc>
      </w:tr>
    </w:tbl>
    <w:p w14:paraId="787D3583" w14:textId="77777777" w:rsidR="00A7521D" w:rsidRDefault="00A7521D" w:rsidP="00A7521D">
      <w:pPr>
        <w:rPr>
          <w:iCs/>
        </w:rPr>
      </w:pPr>
    </w:p>
    <w:p w14:paraId="767ACEC9" w14:textId="77777777" w:rsidR="00A7521D" w:rsidRDefault="00C73E04" w:rsidP="00A7521D">
      <w:pPr>
        <w:pStyle w:val="NoSpacing"/>
      </w:pPr>
      <m:oMath>
        <m:sSub>
          <m:sSubPr>
            <m:ctrlPr>
              <w:rPr>
                <w:rFonts w:ascii="Cambria Math" w:hAnsi="Cambria Math"/>
                <w:i/>
                <w:iCs/>
              </w:rPr>
            </m:ctrlPr>
          </m:sSubPr>
          <m:e>
            <m:r>
              <w:rPr>
                <w:rFonts w:ascii="Cambria Math" w:hAnsi="Cambria Math"/>
              </w:rPr>
              <m:t>h</m:t>
            </m:r>
          </m:e>
          <m:sub>
            <m:r>
              <w:rPr>
                <w:rFonts w:ascii="Cambria Math" w:hAnsi="Cambria Math"/>
              </w:rPr>
              <m:t>i</m:t>
            </m:r>
          </m:sub>
        </m:sSub>
      </m:oMath>
      <w:r w:rsidR="00A7521D">
        <w:rPr>
          <w:iCs/>
        </w:rPr>
        <w:t xml:space="preserve"> was the inside </w:t>
      </w:r>
      <w:r w:rsidR="00A7521D">
        <w:t>coefficient (W/[m</w:t>
      </w:r>
      <w:r w:rsidR="00A7521D">
        <w:rPr>
          <w:vertAlign w:val="superscript"/>
        </w:rPr>
        <w:t>2</w:t>
      </w:r>
      <w:r w:rsidR="00A7521D">
        <w:t>°C]),</w:t>
      </w:r>
    </w:p>
    <w:p w14:paraId="605BD9F2" w14:textId="0CD74709" w:rsidR="00A7521D" w:rsidRDefault="00C73E04" w:rsidP="00A7521D">
      <w:pPr>
        <w:pStyle w:val="NoSpacing"/>
      </w:pPr>
      <m:oMath>
        <m:sSub>
          <m:sSubPr>
            <m:ctrlPr>
              <w:rPr>
                <w:rFonts w:ascii="Cambria Math" w:hAnsi="Cambria Math"/>
                <w:i/>
              </w:rPr>
            </m:ctrlPr>
          </m:sSubPr>
          <m:e>
            <m:r>
              <w:rPr>
                <w:rFonts w:ascii="Cambria Math" w:hAnsi="Cambria Math"/>
              </w:rPr>
              <m:t>v</m:t>
            </m:r>
          </m:e>
          <m:sub>
            <m:r>
              <w:rPr>
                <w:rFonts w:ascii="Cambria Math" w:hAnsi="Cambria Math"/>
              </w:rPr>
              <m:t>tu</m:t>
            </m:r>
          </m:sub>
        </m:sSub>
      </m:oMath>
      <w:r w:rsidR="00A7521D">
        <w:t xml:space="preserve"> was the tube velocity (m/s),</w:t>
      </w:r>
    </w:p>
    <w:p w14:paraId="3EC50C87" w14:textId="58DFA707" w:rsidR="00A7521D" w:rsidRDefault="00C73E04" w:rsidP="00A7521D">
      <m:oMath>
        <m:sSub>
          <m:sSubPr>
            <m:ctrlPr>
              <w:rPr>
                <w:rFonts w:ascii="Cambria Math" w:hAnsi="Cambria Math"/>
                <w:i/>
              </w:rPr>
            </m:ctrlPr>
          </m:sSubPr>
          <m:e>
            <m:r>
              <w:rPr>
                <w:rFonts w:ascii="Cambria Math" w:hAnsi="Cambria Math"/>
              </w:rPr>
              <m:t>D</m:t>
            </m:r>
          </m:e>
          <m:sub>
            <m:r>
              <w:rPr>
                <w:rFonts w:ascii="Cambria Math" w:hAnsi="Cambria Math"/>
              </w:rPr>
              <m:t>i</m:t>
            </m:r>
          </m:sub>
        </m:sSub>
      </m:oMath>
      <w:r w:rsidR="00A7521D">
        <w:t xml:space="preserve"> was the inner diameter of one tube (m).</w:t>
      </w:r>
    </w:p>
    <w:p w14:paraId="17178DF0" w14:textId="0D7476CE" w:rsidR="00B43462" w:rsidRDefault="00B43462" w:rsidP="00A7521D">
      <w:r>
        <w:t>The inside coefficient was dependent on the average tube side temperature, the tube velocity and the inner diameter of one tube. The tube velocity was calculated in the modelling of the RC or ORC. The inner tube diameter depended on the physical parameters of the condenser.</w:t>
      </w:r>
    </w:p>
    <w:tbl>
      <w:tblPr>
        <w:tblStyle w:val="TableGrid"/>
        <w:tblW w:w="5096"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81"/>
        <w:gridCol w:w="787"/>
        <w:gridCol w:w="787"/>
      </w:tblGrid>
      <w:tr w:rsidR="00A7521D" w14:paraId="558B8C33" w14:textId="77777777" w:rsidTr="00A7521D">
        <w:tc>
          <w:tcPr>
            <w:tcW w:w="6781" w:type="dxa"/>
            <w:hideMark/>
          </w:tcPr>
          <w:p w14:paraId="287E7B4C" w14:textId="2A8B32DA" w:rsidR="00A7521D" w:rsidRDefault="00C73E04" w:rsidP="00A7521D">
            <w:pPr>
              <w:keepNext/>
              <w:rPr>
                <w:color w:val="FFFFFF"/>
              </w:rPr>
            </w:pPr>
            <m:oMathPara>
              <m:oMathParaPr>
                <m:jc m:val="left"/>
              </m:oMathParaPr>
              <m:oMath>
                <m:sSub>
                  <m:sSubPr>
                    <m:ctrlPr>
                      <w:rPr>
                        <w:rFonts w:ascii="Cambria Math" w:hAnsi="Cambria Math"/>
                        <w:i/>
                      </w:rPr>
                    </m:ctrlPr>
                  </m:sSubPr>
                  <m:e>
                    <m:r>
                      <w:rPr>
                        <w:rFonts w:ascii="Cambria Math" w:hAnsi="Cambria Math"/>
                      </w:rPr>
                      <m:t>u</m:t>
                    </m:r>
                  </m:e>
                  <m:sub>
                    <m:r>
                      <w:rPr>
                        <w:rFonts w:ascii="Cambria Math" w:hAnsi="Cambria Math"/>
                      </w:rPr>
                      <m:t>t</m:t>
                    </m:r>
                    <m:r>
                      <w:rPr>
                        <w:rFonts w:ascii="Cambria Math" w:hAnsi="Cambria Math"/>
                      </w:rPr>
                      <m:t>u</m:t>
                    </m:r>
                  </m:sub>
                </m:sSub>
                <m:r>
                  <w:rPr>
                    <w:rFonts w:ascii="Cambria Math" w:hAnsi="Cambria Math"/>
                  </w:rPr>
                  <m:t>=</m:t>
                </m:r>
                <m:f>
                  <m:fPr>
                    <m:ctrlPr>
                      <w:rPr>
                        <w:rFonts w:ascii="Cambria Math" w:hAnsi="Cambria Math"/>
                        <w:i/>
                      </w:rPr>
                    </m:ctrlPr>
                  </m:fPr>
                  <m:num>
                    <m:sSub>
                      <m:sSubPr>
                        <m:ctrlPr>
                          <w:rPr>
                            <w:rFonts w:ascii="Cambria Math" w:hAnsi="Cambria Math"/>
                            <w:i/>
                          </w:rPr>
                        </m:ctrlPr>
                      </m:sSubPr>
                      <m:e>
                        <m:acc>
                          <m:accPr>
                            <m:chr m:val="̇"/>
                            <m:ctrlPr>
                              <w:rPr>
                                <w:rFonts w:ascii="Cambria Math" w:hAnsi="Cambria Math"/>
                                <w:i/>
                              </w:rPr>
                            </m:ctrlPr>
                          </m:accPr>
                          <m:e>
                            <m:r>
                              <w:rPr>
                                <w:rFonts w:ascii="Cambria Math" w:hAnsi="Cambria Math"/>
                              </w:rPr>
                              <m:t>m</m:t>
                            </m:r>
                          </m:e>
                        </m:acc>
                      </m:e>
                      <m:sub>
                        <m:r>
                          <w:rPr>
                            <w:rFonts w:ascii="Cambria Math" w:hAnsi="Cambria Math"/>
                          </w:rPr>
                          <m:t>w</m:t>
                        </m:r>
                      </m:sub>
                    </m:sSub>
                  </m:num>
                  <m:den>
                    <m:sSub>
                      <m:sSubPr>
                        <m:ctrlPr>
                          <w:rPr>
                            <w:rFonts w:ascii="Cambria Math" w:hAnsi="Cambria Math"/>
                            <w:i/>
                          </w:rPr>
                        </m:ctrlPr>
                      </m:sSubPr>
                      <m:e>
                        <m:r>
                          <w:rPr>
                            <w:rFonts w:ascii="Cambria Math" w:hAnsi="Cambria Math"/>
                          </w:rPr>
                          <m:t>A</m:t>
                        </m:r>
                      </m:e>
                      <m:sub>
                        <m:r>
                          <w:rPr>
                            <w:rFonts w:ascii="Cambria Math" w:hAnsi="Cambria Math"/>
                          </w:rPr>
                          <m:t>tu</m:t>
                        </m:r>
                      </m:sub>
                    </m:sSub>
                    <m:sSub>
                      <m:sSubPr>
                        <m:ctrlPr>
                          <w:rPr>
                            <w:rFonts w:ascii="Cambria Math" w:hAnsi="Cambria Math"/>
                            <w:i/>
                          </w:rPr>
                        </m:ctrlPr>
                      </m:sSubPr>
                      <m:e>
                        <m:r>
                          <w:rPr>
                            <w:rFonts w:ascii="Cambria Math" w:hAnsi="Cambria Math"/>
                          </w:rPr>
                          <m:t>ρ</m:t>
                        </m:r>
                      </m:e>
                      <m:sub>
                        <m:r>
                          <w:rPr>
                            <w:rFonts w:ascii="Cambria Math" w:hAnsi="Cambria Math"/>
                          </w:rPr>
                          <m:t>w</m:t>
                        </m:r>
                      </m:sub>
                    </m:sSub>
                  </m:den>
                </m:f>
              </m:oMath>
            </m:oMathPara>
          </w:p>
        </w:tc>
        <w:tc>
          <w:tcPr>
            <w:tcW w:w="787" w:type="dxa"/>
            <w:vAlign w:val="center"/>
            <w:hideMark/>
          </w:tcPr>
          <w:p w14:paraId="174CEDCD" w14:textId="77777777" w:rsidR="00A7521D" w:rsidRDefault="00A7521D" w:rsidP="00A7521D">
            <w:pPr>
              <w:pStyle w:val="Caption"/>
              <w:jc w:val="right"/>
              <w:rPr>
                <w:b w:val="0"/>
              </w:rPr>
            </w:pPr>
          </w:p>
        </w:tc>
        <w:tc>
          <w:tcPr>
            <w:tcW w:w="787" w:type="dxa"/>
            <w:vAlign w:val="center"/>
          </w:tcPr>
          <w:p w14:paraId="7D4B871E" w14:textId="71FAD804" w:rsidR="00A7521D" w:rsidRDefault="00A7521D" w:rsidP="00A7521D">
            <w:pPr>
              <w:pStyle w:val="Caption"/>
              <w:jc w:val="right"/>
              <w:rPr>
                <w:b w:val="0"/>
              </w:rPr>
            </w:pPr>
            <w:r>
              <w:rPr>
                <w:noProof/>
              </w:rPr>
              <w:fldChar w:fldCharType="begin"/>
            </w:r>
            <w:r>
              <w:rPr>
                <w:noProof/>
              </w:rPr>
              <w:instrText xml:space="preserve"> STYLEREF 1 \s </w:instrText>
            </w:r>
            <w:r>
              <w:rPr>
                <w:noProof/>
              </w:rPr>
              <w:fldChar w:fldCharType="separate"/>
            </w:r>
            <w:r w:rsidR="00CB7456">
              <w:rPr>
                <w:noProof/>
              </w:rPr>
              <w:t>13</w:t>
            </w:r>
            <w:r>
              <w:rPr>
                <w:noProof/>
              </w:rPr>
              <w:fldChar w:fldCharType="end"/>
            </w:r>
            <w:r>
              <w:rPr>
                <w:noProof/>
              </w:rPr>
              <w:t>.</w:t>
            </w:r>
            <w:r>
              <w:rPr>
                <w:noProof/>
              </w:rPr>
              <w:fldChar w:fldCharType="begin"/>
            </w:r>
            <w:r>
              <w:rPr>
                <w:noProof/>
              </w:rPr>
              <w:instrText xml:space="preserve"> SEQ Equation \* ARABIC \s 1 </w:instrText>
            </w:r>
            <w:r>
              <w:rPr>
                <w:noProof/>
              </w:rPr>
              <w:fldChar w:fldCharType="separate"/>
            </w:r>
            <w:r w:rsidR="00CB7456">
              <w:rPr>
                <w:noProof/>
              </w:rPr>
              <w:t>98</w:t>
            </w:r>
            <w:r>
              <w:rPr>
                <w:noProof/>
              </w:rPr>
              <w:fldChar w:fldCharType="end"/>
            </w:r>
          </w:p>
        </w:tc>
      </w:tr>
    </w:tbl>
    <w:p w14:paraId="658E5592" w14:textId="77777777" w:rsidR="00A7521D" w:rsidRDefault="00A7521D" w:rsidP="00A7521D"/>
    <w:p w14:paraId="2075A219" w14:textId="325962AC" w:rsidR="00A7521D" w:rsidRDefault="00C73E04" w:rsidP="00A7521D">
      <w:pPr>
        <w:pStyle w:val="NoSpacing"/>
      </w:pPr>
      <m:oMath>
        <m:sSub>
          <m:sSubPr>
            <m:ctrlPr>
              <w:rPr>
                <w:rFonts w:ascii="Cambria Math" w:hAnsi="Cambria Math"/>
                <w:i/>
              </w:rPr>
            </m:ctrlPr>
          </m:sSubPr>
          <m:e>
            <m:r>
              <w:rPr>
                <w:rFonts w:ascii="Cambria Math" w:hAnsi="Cambria Math"/>
              </w:rPr>
              <m:t>A</m:t>
            </m:r>
          </m:e>
          <m:sub>
            <m:r>
              <w:rPr>
                <w:rFonts w:ascii="Cambria Math" w:hAnsi="Cambria Math"/>
              </w:rPr>
              <m:t>t</m:t>
            </m:r>
            <m:r>
              <w:rPr>
                <w:rFonts w:ascii="Cambria Math" w:hAnsi="Cambria Math"/>
              </w:rPr>
              <m:t>u</m:t>
            </m:r>
          </m:sub>
        </m:sSub>
      </m:oMath>
      <w:r w:rsidR="00A7521D">
        <w:t xml:space="preserve"> wa</w:t>
      </w:r>
      <w:proofErr w:type="spellStart"/>
      <w:r w:rsidR="00A7521D">
        <w:t>s</w:t>
      </w:r>
      <w:proofErr w:type="spellEnd"/>
      <w:r w:rsidR="00A7521D">
        <w:t xml:space="preserve"> the tube side cross-sectional area (m</w:t>
      </w:r>
      <w:r w:rsidR="00A7521D">
        <w:rPr>
          <w:vertAlign w:val="superscript"/>
        </w:rPr>
        <w:t>2</w:t>
      </w:r>
      <w:r w:rsidR="00A7521D">
        <w:t>),</w:t>
      </w:r>
    </w:p>
    <w:p w14:paraId="5BD86DAD" w14:textId="47FE6AB1" w:rsidR="00A7521D" w:rsidRDefault="00C73E04" w:rsidP="00A7521D">
      <m:oMath>
        <m:sSub>
          <m:sSubPr>
            <m:ctrlPr>
              <w:rPr>
                <w:rFonts w:ascii="Cambria Math" w:hAnsi="Cambria Math"/>
                <w:i/>
              </w:rPr>
            </m:ctrlPr>
          </m:sSubPr>
          <m:e>
            <m:r>
              <w:rPr>
                <w:rFonts w:ascii="Cambria Math" w:hAnsi="Cambria Math"/>
              </w:rPr>
              <m:t>ρ</m:t>
            </m:r>
          </m:e>
          <m:sub>
            <m:r>
              <w:rPr>
                <w:rFonts w:ascii="Cambria Math" w:hAnsi="Cambria Math"/>
              </w:rPr>
              <m:t>w</m:t>
            </m:r>
          </m:sub>
        </m:sSub>
      </m:oMath>
      <w:r w:rsidR="00A7521D">
        <w:t xml:space="preserve"> was the water density (kg/m</w:t>
      </w:r>
      <w:r w:rsidR="00A7521D">
        <w:rPr>
          <w:vertAlign w:val="superscript"/>
        </w:rPr>
        <w:t>3</w:t>
      </w:r>
      <w:r w:rsidR="00A7521D">
        <w:t>).</w:t>
      </w:r>
    </w:p>
    <w:p w14:paraId="064FE870" w14:textId="6672ACE2" w:rsidR="00B43462" w:rsidRDefault="00B43462" w:rsidP="00A7521D">
      <w:r>
        <w:t>The tube side cross-sectional area was dependent on the mass flowrate of the water, the area of the tubes and the water density. The water density was dependent on the operating conditions.</w:t>
      </w:r>
    </w:p>
    <w:p w14:paraId="18F46276" w14:textId="697E5216" w:rsidR="00A7521D" w:rsidRDefault="00A7521D" w:rsidP="00A7521D">
      <w:r>
        <w:t xml:space="preserve">The modelling </w:t>
      </w:r>
      <w:proofErr w:type="gramStart"/>
      <w:r>
        <w:t>process</w:t>
      </w:r>
      <w:proofErr w:type="gramEnd"/>
      <w:r>
        <w:t xml:space="preserve"> the used Equation </w:t>
      </w:r>
      <w:r>
        <w:fldChar w:fldCharType="begin"/>
      </w:r>
      <w:r>
        <w:instrText xml:space="preserve"> REF _Ref531183341 \h </w:instrText>
      </w:r>
      <w:r>
        <w:fldChar w:fldCharType="separate"/>
      </w:r>
      <w:r w:rsidR="00CB7456">
        <w:rPr>
          <w:noProof/>
        </w:rPr>
        <w:t>13.27</w:t>
      </w:r>
      <w:r>
        <w:fldChar w:fldCharType="end"/>
      </w:r>
      <w:r>
        <w:t xml:space="preserve"> to Equation </w:t>
      </w:r>
      <w:r>
        <w:fldChar w:fldCharType="begin"/>
      </w:r>
      <w:r>
        <w:instrText xml:space="preserve"> REF _Ref531183255 \h </w:instrText>
      </w:r>
      <w:r>
        <w:fldChar w:fldCharType="separate"/>
      </w:r>
      <w:r w:rsidR="00CB7456">
        <w:rPr>
          <w:noProof/>
        </w:rPr>
        <w:t>13.30</w:t>
      </w:r>
      <w:r>
        <w:fldChar w:fldCharType="end"/>
      </w:r>
      <w:r>
        <w:t xml:space="preserve"> from the modelling of the HEX-DP.</w:t>
      </w:r>
    </w:p>
    <w:p w14:paraId="25462C2B" w14:textId="55F9C45F" w:rsidR="009E1A67" w:rsidRDefault="009E1A67" w:rsidP="009E1A67">
      <w:pPr>
        <w:rPr>
          <w:b/>
          <w:bCs/>
          <w:sz w:val="18"/>
          <w:szCs w:val="18"/>
        </w:rPr>
      </w:pPr>
      <w:r>
        <w:rPr>
          <w:iCs/>
        </w:rPr>
        <w:fldChar w:fldCharType="begin"/>
      </w:r>
      <w:r>
        <w:rPr>
          <w:iCs/>
        </w:rPr>
        <w:instrText xml:space="preserve"> REF _Ref7186694 \h </w:instrText>
      </w:r>
      <w:r>
        <w:rPr>
          <w:iCs/>
        </w:rPr>
      </w:r>
      <w:r>
        <w:rPr>
          <w:iCs/>
        </w:rPr>
        <w:fldChar w:fldCharType="separate"/>
      </w:r>
      <w:r w:rsidR="00CB7456">
        <w:t xml:space="preserve">Table </w:t>
      </w:r>
      <w:r w:rsidR="00CB7456">
        <w:rPr>
          <w:noProof/>
        </w:rPr>
        <w:t>13</w:t>
      </w:r>
      <w:r w:rsidR="00CB7456">
        <w:t>.</w:t>
      </w:r>
      <w:r w:rsidR="00CB7456">
        <w:rPr>
          <w:noProof/>
        </w:rPr>
        <w:t>14</w:t>
      </w:r>
      <w:r>
        <w:rPr>
          <w:iCs/>
        </w:rPr>
        <w:fldChar w:fldCharType="end"/>
      </w:r>
      <w:r>
        <w:rPr>
          <w:iCs/>
        </w:rPr>
        <w:t xml:space="preserve"> shows how the complex series of equations used in the modelling of the condenser are linked to each other.</w:t>
      </w:r>
    </w:p>
    <w:p w14:paraId="43CBD963" w14:textId="77777777" w:rsidR="009E1A67" w:rsidRDefault="009E1A67">
      <w:pPr>
        <w:jc w:val="left"/>
        <w:rPr>
          <w:b/>
          <w:bCs/>
          <w:sz w:val="18"/>
          <w:szCs w:val="18"/>
        </w:rPr>
      </w:pPr>
      <w:r>
        <w:br w:type="page"/>
      </w:r>
    </w:p>
    <w:p w14:paraId="3F8B3C58" w14:textId="7E29E7E9" w:rsidR="009E1A67" w:rsidRDefault="009E1A67" w:rsidP="009E1A67">
      <w:pPr>
        <w:pStyle w:val="Caption"/>
        <w:keepNext/>
      </w:pPr>
      <w:bookmarkStart w:id="1066" w:name="_Ref7186694"/>
      <w:bookmarkStart w:id="1067" w:name="_Toc7187731"/>
      <w:r>
        <w:lastRenderedPageBreak/>
        <w:t xml:space="preserve">Table </w:t>
      </w:r>
      <w:fldSimple w:instr=" STYLEREF 1 \s ">
        <w:r w:rsidR="00CB7456">
          <w:rPr>
            <w:noProof/>
          </w:rPr>
          <w:t>13</w:t>
        </w:r>
      </w:fldSimple>
      <w:r>
        <w:t>.</w:t>
      </w:r>
      <w:fldSimple w:instr=" SEQ Table \* ARABIC \s 1 ">
        <w:r w:rsidR="00CB7456">
          <w:rPr>
            <w:noProof/>
          </w:rPr>
          <w:t>14</w:t>
        </w:r>
      </w:fldSimple>
      <w:bookmarkEnd w:id="1066"/>
      <w:r>
        <w:t>: How the equations in the modelling of the condenser are linked. Inputs in bold are outputs from other equations in the modelling of the WHR equipment, input in grey come from the modelling of the other WHR components.</w:t>
      </w:r>
      <w:bookmarkEnd w:id="1067"/>
    </w:p>
    <w:tbl>
      <w:tblPr>
        <w:tblStyle w:val="TableGrid"/>
        <w:tblW w:w="0" w:type="auto"/>
        <w:jc w:val="center"/>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26"/>
        <w:gridCol w:w="2516"/>
        <w:gridCol w:w="1052"/>
        <w:gridCol w:w="3205"/>
      </w:tblGrid>
      <w:tr w:rsidR="009E1A67" w14:paraId="5AA7483E" w14:textId="77777777" w:rsidTr="00D737A2">
        <w:trPr>
          <w:jc w:val="center"/>
        </w:trPr>
        <w:tc>
          <w:tcPr>
            <w:tcW w:w="1126" w:type="dxa"/>
            <w:tcBorders>
              <w:bottom w:val="single" w:sz="4" w:space="0" w:color="auto"/>
            </w:tcBorders>
          </w:tcPr>
          <w:p w14:paraId="300EACDD" w14:textId="77777777" w:rsidR="009E1A67" w:rsidRDefault="009E1A67" w:rsidP="00D737A2">
            <w:pPr>
              <w:jc w:val="center"/>
            </w:pPr>
            <w:r>
              <w:t>Equation</w:t>
            </w:r>
          </w:p>
        </w:tc>
        <w:tc>
          <w:tcPr>
            <w:tcW w:w="2516" w:type="dxa"/>
            <w:tcBorders>
              <w:bottom w:val="single" w:sz="4" w:space="0" w:color="auto"/>
            </w:tcBorders>
          </w:tcPr>
          <w:p w14:paraId="3E0A5986" w14:textId="77777777" w:rsidR="009E1A67" w:rsidRDefault="009E1A67" w:rsidP="00D737A2">
            <w:pPr>
              <w:jc w:val="center"/>
            </w:pPr>
            <w:r>
              <w:t>Inputs</w:t>
            </w:r>
          </w:p>
        </w:tc>
        <w:tc>
          <w:tcPr>
            <w:tcW w:w="1052" w:type="dxa"/>
            <w:tcBorders>
              <w:bottom w:val="single" w:sz="4" w:space="0" w:color="auto"/>
            </w:tcBorders>
          </w:tcPr>
          <w:p w14:paraId="2E194F35" w14:textId="77777777" w:rsidR="009E1A67" w:rsidRDefault="009E1A67" w:rsidP="00D737A2">
            <w:pPr>
              <w:jc w:val="center"/>
            </w:pPr>
            <w:r>
              <w:t>Outputs</w:t>
            </w:r>
          </w:p>
        </w:tc>
        <w:tc>
          <w:tcPr>
            <w:tcW w:w="3205" w:type="dxa"/>
            <w:tcBorders>
              <w:bottom w:val="single" w:sz="4" w:space="0" w:color="auto"/>
            </w:tcBorders>
          </w:tcPr>
          <w:p w14:paraId="1C0082D1" w14:textId="77777777" w:rsidR="009E1A67" w:rsidRDefault="009E1A67" w:rsidP="00D737A2">
            <w:pPr>
              <w:jc w:val="center"/>
            </w:pPr>
            <w:r>
              <w:t>Linked to Equation</w:t>
            </w:r>
          </w:p>
        </w:tc>
      </w:tr>
      <w:tr w:rsidR="009E1A67" w14:paraId="3AE62252" w14:textId="77777777" w:rsidTr="00D737A2">
        <w:trPr>
          <w:jc w:val="center"/>
        </w:trPr>
        <w:tc>
          <w:tcPr>
            <w:tcW w:w="1126" w:type="dxa"/>
            <w:tcBorders>
              <w:top w:val="single" w:sz="4" w:space="0" w:color="auto"/>
              <w:bottom w:val="nil"/>
            </w:tcBorders>
          </w:tcPr>
          <w:p w14:paraId="5E8B54D4" w14:textId="77777777" w:rsidR="009E1A67" w:rsidRPr="008A7BB2" w:rsidRDefault="009E1A67" w:rsidP="00D737A2">
            <w:pPr>
              <w:jc w:val="center"/>
              <w:rPr>
                <w:color w:val="000000" w:themeColor="text1"/>
              </w:rPr>
            </w:pPr>
            <w:r>
              <w:rPr>
                <w:color w:val="000000" w:themeColor="text1"/>
              </w:rPr>
              <w:t>13.89</w:t>
            </w:r>
          </w:p>
        </w:tc>
        <w:tc>
          <w:tcPr>
            <w:tcW w:w="2516" w:type="dxa"/>
            <w:tcBorders>
              <w:top w:val="single" w:sz="4" w:space="0" w:color="auto"/>
              <w:bottom w:val="nil"/>
            </w:tcBorders>
          </w:tcPr>
          <w:p w14:paraId="22422ED8" w14:textId="77777777" w:rsidR="009E1A67" w:rsidRPr="008A7BB2" w:rsidRDefault="009E1A67" w:rsidP="00D737A2">
            <w:pPr>
              <w:jc w:val="center"/>
              <w:rPr>
                <w:color w:val="000000" w:themeColor="text1"/>
              </w:rPr>
            </w:pPr>
            <m:oMathPara>
              <m:oMath>
                <m:sSub>
                  <m:sSubPr>
                    <m:ctrlPr>
                      <w:rPr>
                        <w:rFonts w:ascii="Cambria Math" w:hAnsi="Cambria Math"/>
                        <w:b/>
                        <w:i/>
                        <w:color w:val="000000" w:themeColor="text1"/>
                      </w:rPr>
                    </m:ctrlPr>
                  </m:sSubPr>
                  <m:e>
                    <m:r>
                      <m:rPr>
                        <m:sty m:val="bi"/>
                      </m:rPr>
                      <w:rPr>
                        <w:rFonts w:ascii="Cambria Math" w:hAnsi="Cambria Math"/>
                        <w:color w:val="000000" w:themeColor="text1"/>
                      </w:rPr>
                      <m:t>∆T</m:t>
                    </m:r>
                  </m:e>
                  <m:sub>
                    <m:r>
                      <m:rPr>
                        <m:sty m:val="bi"/>
                      </m:rPr>
                      <w:rPr>
                        <w:rFonts w:ascii="Cambria Math" w:hAnsi="Cambria Math"/>
                        <w:color w:val="000000" w:themeColor="text1"/>
                      </w:rPr>
                      <m:t>lm</m:t>
                    </m:r>
                  </m:sub>
                </m:sSub>
                <m:r>
                  <w:rPr>
                    <w:rFonts w:ascii="Cambria Math" w:hAnsi="Cambria Math"/>
                    <w:color w:val="000000" w:themeColor="text1"/>
                  </w:rPr>
                  <m:t>,</m:t>
                </m:r>
                <m:r>
                  <m:rPr>
                    <m:sty m:val="bi"/>
                  </m:rPr>
                  <w:rPr>
                    <w:rFonts w:ascii="Cambria Math" w:hAnsi="Cambria Math"/>
                    <w:color w:val="000000" w:themeColor="text1"/>
                  </w:rPr>
                  <m:t>U</m:t>
                </m:r>
                <m:r>
                  <w:rPr>
                    <w:rFonts w:ascii="Cambria Math" w:hAnsi="Cambria Math"/>
                    <w:color w:val="000000" w:themeColor="text1"/>
                  </w:rPr>
                  <m:t>,A</m:t>
                </m:r>
              </m:oMath>
            </m:oMathPara>
          </w:p>
        </w:tc>
        <w:tc>
          <w:tcPr>
            <w:tcW w:w="1052" w:type="dxa"/>
            <w:tcBorders>
              <w:top w:val="single" w:sz="4" w:space="0" w:color="auto"/>
              <w:bottom w:val="nil"/>
            </w:tcBorders>
          </w:tcPr>
          <w:p w14:paraId="600BE889" w14:textId="77777777" w:rsidR="009E1A67" w:rsidRPr="008A7BB2" w:rsidRDefault="009E1A67" w:rsidP="00D737A2">
            <w:pPr>
              <w:jc w:val="center"/>
              <w:rPr>
                <w:color w:val="000000" w:themeColor="text1"/>
              </w:rPr>
            </w:pPr>
            <m:oMathPara>
              <m:oMath>
                <m:sSub>
                  <m:sSubPr>
                    <m:ctrlPr>
                      <w:rPr>
                        <w:rFonts w:ascii="Cambria Math" w:hAnsi="Cambria Math"/>
                        <w:b/>
                        <w:i/>
                        <w:color w:val="000000" w:themeColor="text1"/>
                      </w:rPr>
                    </m:ctrlPr>
                  </m:sSubPr>
                  <m:e>
                    <m:r>
                      <m:rPr>
                        <m:sty m:val="bi"/>
                      </m:rPr>
                      <w:rPr>
                        <w:rFonts w:ascii="Cambria Math" w:hAnsi="Cambria Math"/>
                        <w:color w:val="000000" w:themeColor="text1"/>
                      </w:rPr>
                      <m:t>Q</m:t>
                    </m:r>
                  </m:e>
                  <m:sub>
                    <m:r>
                      <m:rPr>
                        <m:sty m:val="bi"/>
                      </m:rPr>
                      <w:rPr>
                        <w:rFonts w:ascii="Cambria Math" w:hAnsi="Cambria Math"/>
                        <w:color w:val="000000" w:themeColor="text1"/>
                      </w:rPr>
                      <m:t>v</m:t>
                    </m:r>
                  </m:sub>
                </m:sSub>
              </m:oMath>
            </m:oMathPara>
          </w:p>
        </w:tc>
        <w:tc>
          <w:tcPr>
            <w:tcW w:w="3205" w:type="dxa"/>
            <w:tcBorders>
              <w:top w:val="single" w:sz="4" w:space="0" w:color="auto"/>
              <w:bottom w:val="nil"/>
            </w:tcBorders>
          </w:tcPr>
          <w:p w14:paraId="43E4C854" w14:textId="77777777" w:rsidR="009E1A67" w:rsidRPr="008A7BB2" w:rsidRDefault="009E1A67" w:rsidP="00D737A2">
            <w:pPr>
              <w:jc w:val="center"/>
              <w:rPr>
                <w:color w:val="000000" w:themeColor="text1"/>
              </w:rPr>
            </w:pPr>
          </w:p>
        </w:tc>
      </w:tr>
      <w:tr w:rsidR="009E1A67" w14:paraId="243E17CF" w14:textId="77777777" w:rsidTr="00D737A2">
        <w:trPr>
          <w:jc w:val="center"/>
        </w:trPr>
        <w:tc>
          <w:tcPr>
            <w:tcW w:w="1126" w:type="dxa"/>
            <w:tcBorders>
              <w:top w:val="nil"/>
            </w:tcBorders>
          </w:tcPr>
          <w:p w14:paraId="29BF7B88" w14:textId="77777777" w:rsidR="009E1A67" w:rsidRPr="008A7BB2" w:rsidRDefault="009E1A67" w:rsidP="00D737A2">
            <w:pPr>
              <w:jc w:val="center"/>
              <w:rPr>
                <w:color w:val="000000" w:themeColor="text1"/>
              </w:rPr>
            </w:pPr>
            <w:r w:rsidRPr="00B44F5A">
              <w:rPr>
                <w:color w:val="404040" w:themeColor="text1" w:themeTint="BF"/>
              </w:rPr>
              <w:t>13.1</w:t>
            </w:r>
          </w:p>
        </w:tc>
        <w:tc>
          <w:tcPr>
            <w:tcW w:w="2516" w:type="dxa"/>
            <w:tcBorders>
              <w:top w:val="nil"/>
            </w:tcBorders>
          </w:tcPr>
          <w:p w14:paraId="31F2DEC8" w14:textId="77777777" w:rsidR="009E1A67" w:rsidRPr="008A7BB2" w:rsidRDefault="009E1A67" w:rsidP="00D737A2">
            <w:pPr>
              <w:jc w:val="center"/>
              <w:rPr>
                <w:color w:val="000000" w:themeColor="text1"/>
              </w:rPr>
            </w:pPr>
            <m:oMathPara>
              <m:oMath>
                <m:sSub>
                  <m:sSubPr>
                    <m:ctrlPr>
                      <w:rPr>
                        <w:rFonts w:ascii="Cambria Math" w:hAnsi="Cambria Math"/>
                        <w:i/>
                        <w:color w:val="404040" w:themeColor="text1" w:themeTint="BF"/>
                      </w:rPr>
                    </m:ctrlPr>
                  </m:sSubPr>
                  <m:e>
                    <m:r>
                      <w:rPr>
                        <w:rFonts w:ascii="Cambria Math" w:hAnsi="Cambria Math"/>
                        <w:color w:val="404040" w:themeColor="text1" w:themeTint="BF"/>
                      </w:rPr>
                      <m:t>T</m:t>
                    </m:r>
                  </m:e>
                  <m:sub>
                    <m:r>
                      <w:rPr>
                        <w:rFonts w:ascii="Cambria Math" w:hAnsi="Cambria Math"/>
                        <w:color w:val="404040" w:themeColor="text1" w:themeTint="BF"/>
                      </w:rPr>
                      <m:t>1</m:t>
                    </m:r>
                  </m:sub>
                </m:sSub>
                <m:r>
                  <w:rPr>
                    <w:rFonts w:ascii="Cambria Math" w:hAnsi="Cambria Math"/>
                    <w:color w:val="404040" w:themeColor="text1" w:themeTint="BF"/>
                  </w:rPr>
                  <m:t>,</m:t>
                </m:r>
                <m:sSub>
                  <m:sSubPr>
                    <m:ctrlPr>
                      <w:rPr>
                        <w:rFonts w:ascii="Cambria Math" w:hAnsi="Cambria Math"/>
                        <w:i/>
                        <w:color w:val="404040" w:themeColor="text1" w:themeTint="BF"/>
                      </w:rPr>
                    </m:ctrlPr>
                  </m:sSubPr>
                  <m:e>
                    <m:r>
                      <w:rPr>
                        <w:rFonts w:ascii="Cambria Math" w:hAnsi="Cambria Math"/>
                        <w:color w:val="404040" w:themeColor="text1" w:themeTint="BF"/>
                      </w:rPr>
                      <m:t>T</m:t>
                    </m:r>
                  </m:e>
                  <m:sub>
                    <m:r>
                      <w:rPr>
                        <w:rFonts w:ascii="Cambria Math" w:hAnsi="Cambria Math"/>
                        <w:color w:val="404040" w:themeColor="text1" w:themeTint="BF"/>
                      </w:rPr>
                      <m:t>2</m:t>
                    </m:r>
                  </m:sub>
                </m:sSub>
                <m:r>
                  <w:rPr>
                    <w:rFonts w:ascii="Cambria Math" w:hAnsi="Cambria Math"/>
                    <w:color w:val="404040" w:themeColor="text1" w:themeTint="BF"/>
                  </w:rPr>
                  <m:t>,</m:t>
                </m:r>
                <m:sSub>
                  <m:sSubPr>
                    <m:ctrlPr>
                      <w:rPr>
                        <w:rFonts w:ascii="Cambria Math" w:hAnsi="Cambria Math"/>
                        <w:i/>
                        <w:color w:val="404040" w:themeColor="text1" w:themeTint="BF"/>
                      </w:rPr>
                    </m:ctrlPr>
                  </m:sSubPr>
                  <m:e>
                    <m:r>
                      <w:rPr>
                        <w:rFonts w:ascii="Cambria Math" w:hAnsi="Cambria Math"/>
                        <w:color w:val="404040" w:themeColor="text1" w:themeTint="BF"/>
                      </w:rPr>
                      <m:t>t</m:t>
                    </m:r>
                  </m:e>
                  <m:sub>
                    <m:r>
                      <w:rPr>
                        <w:rFonts w:ascii="Cambria Math" w:hAnsi="Cambria Math"/>
                        <w:color w:val="404040" w:themeColor="text1" w:themeTint="BF"/>
                      </w:rPr>
                      <m:t>1</m:t>
                    </m:r>
                  </m:sub>
                </m:sSub>
                <m:r>
                  <w:rPr>
                    <w:rFonts w:ascii="Cambria Math" w:hAnsi="Cambria Math"/>
                    <w:color w:val="404040" w:themeColor="text1" w:themeTint="BF"/>
                  </w:rPr>
                  <m:t>,</m:t>
                </m:r>
                <m:sSub>
                  <m:sSubPr>
                    <m:ctrlPr>
                      <w:rPr>
                        <w:rFonts w:ascii="Cambria Math" w:hAnsi="Cambria Math"/>
                        <w:i/>
                        <w:color w:val="404040" w:themeColor="text1" w:themeTint="BF"/>
                      </w:rPr>
                    </m:ctrlPr>
                  </m:sSubPr>
                  <m:e>
                    <m:r>
                      <w:rPr>
                        <w:rFonts w:ascii="Cambria Math" w:hAnsi="Cambria Math"/>
                        <w:color w:val="404040" w:themeColor="text1" w:themeTint="BF"/>
                      </w:rPr>
                      <m:t>t</m:t>
                    </m:r>
                  </m:e>
                  <m:sub>
                    <m:r>
                      <w:rPr>
                        <w:rFonts w:ascii="Cambria Math" w:hAnsi="Cambria Math"/>
                        <w:color w:val="404040" w:themeColor="text1" w:themeTint="BF"/>
                      </w:rPr>
                      <m:t>2</m:t>
                    </m:r>
                  </m:sub>
                </m:sSub>
              </m:oMath>
            </m:oMathPara>
          </w:p>
        </w:tc>
        <w:tc>
          <w:tcPr>
            <w:tcW w:w="1052" w:type="dxa"/>
            <w:tcBorders>
              <w:top w:val="nil"/>
            </w:tcBorders>
          </w:tcPr>
          <w:p w14:paraId="4D597858" w14:textId="77777777" w:rsidR="009E1A67" w:rsidRPr="008A7BB2" w:rsidRDefault="009E1A67" w:rsidP="00D737A2">
            <w:pPr>
              <w:jc w:val="center"/>
              <w:rPr>
                <w:color w:val="000000" w:themeColor="text1"/>
              </w:rPr>
            </w:pPr>
            <m:oMathPara>
              <m:oMath>
                <m:r>
                  <w:rPr>
                    <w:rFonts w:ascii="Cambria Math" w:hAnsi="Cambria Math"/>
                    <w:color w:val="404040" w:themeColor="text1" w:themeTint="BF"/>
                  </w:rPr>
                  <m:t>R</m:t>
                </m:r>
              </m:oMath>
            </m:oMathPara>
          </w:p>
        </w:tc>
        <w:tc>
          <w:tcPr>
            <w:tcW w:w="3205" w:type="dxa"/>
            <w:tcBorders>
              <w:top w:val="nil"/>
            </w:tcBorders>
          </w:tcPr>
          <w:p w14:paraId="7C6AB210" w14:textId="77777777" w:rsidR="009E1A67" w:rsidRPr="008A7BB2" w:rsidRDefault="009E1A67" w:rsidP="00D737A2">
            <w:pPr>
              <w:jc w:val="center"/>
              <w:rPr>
                <w:color w:val="000000" w:themeColor="text1"/>
              </w:rPr>
            </w:pPr>
          </w:p>
        </w:tc>
      </w:tr>
      <w:tr w:rsidR="009E1A67" w14:paraId="32077200" w14:textId="77777777" w:rsidTr="00D737A2">
        <w:trPr>
          <w:jc w:val="center"/>
        </w:trPr>
        <w:tc>
          <w:tcPr>
            <w:tcW w:w="1126" w:type="dxa"/>
          </w:tcPr>
          <w:p w14:paraId="7D242DBF" w14:textId="77777777" w:rsidR="009E1A67" w:rsidRPr="008A7BB2" w:rsidRDefault="009E1A67" w:rsidP="00D737A2">
            <w:pPr>
              <w:jc w:val="center"/>
              <w:rPr>
                <w:color w:val="000000" w:themeColor="text1"/>
              </w:rPr>
            </w:pPr>
            <w:r w:rsidRPr="00B44F5A">
              <w:rPr>
                <w:color w:val="404040" w:themeColor="text1" w:themeTint="BF"/>
              </w:rPr>
              <w:t>13.2</w:t>
            </w:r>
          </w:p>
        </w:tc>
        <w:tc>
          <w:tcPr>
            <w:tcW w:w="2516" w:type="dxa"/>
          </w:tcPr>
          <w:p w14:paraId="6FFBF883" w14:textId="77777777" w:rsidR="009E1A67" w:rsidRPr="008A7BB2" w:rsidRDefault="009E1A67" w:rsidP="00D737A2">
            <w:pPr>
              <w:jc w:val="center"/>
              <w:rPr>
                <w:color w:val="000000" w:themeColor="text1"/>
              </w:rPr>
            </w:pPr>
            <m:oMathPara>
              <m:oMath>
                <m:sSub>
                  <m:sSubPr>
                    <m:ctrlPr>
                      <w:rPr>
                        <w:rFonts w:ascii="Cambria Math" w:hAnsi="Cambria Math"/>
                        <w:i/>
                        <w:color w:val="404040" w:themeColor="text1" w:themeTint="BF"/>
                      </w:rPr>
                    </m:ctrlPr>
                  </m:sSubPr>
                  <m:e>
                    <m:r>
                      <w:rPr>
                        <w:rFonts w:ascii="Cambria Math" w:hAnsi="Cambria Math"/>
                        <w:color w:val="404040" w:themeColor="text1" w:themeTint="BF"/>
                      </w:rPr>
                      <m:t>T</m:t>
                    </m:r>
                  </m:e>
                  <m:sub>
                    <m:r>
                      <w:rPr>
                        <w:rFonts w:ascii="Cambria Math" w:hAnsi="Cambria Math"/>
                        <w:color w:val="404040" w:themeColor="text1" w:themeTint="BF"/>
                      </w:rPr>
                      <m:t>1</m:t>
                    </m:r>
                  </m:sub>
                </m:sSub>
                <m:r>
                  <w:rPr>
                    <w:rFonts w:ascii="Cambria Math" w:hAnsi="Cambria Math"/>
                    <w:color w:val="404040" w:themeColor="text1" w:themeTint="BF"/>
                  </w:rPr>
                  <m:t>,</m:t>
                </m:r>
                <m:sSub>
                  <m:sSubPr>
                    <m:ctrlPr>
                      <w:rPr>
                        <w:rFonts w:ascii="Cambria Math" w:hAnsi="Cambria Math"/>
                        <w:i/>
                        <w:color w:val="404040" w:themeColor="text1" w:themeTint="BF"/>
                      </w:rPr>
                    </m:ctrlPr>
                  </m:sSubPr>
                  <m:e>
                    <m:r>
                      <w:rPr>
                        <w:rFonts w:ascii="Cambria Math" w:hAnsi="Cambria Math"/>
                        <w:color w:val="404040" w:themeColor="text1" w:themeTint="BF"/>
                      </w:rPr>
                      <m:t>T</m:t>
                    </m:r>
                  </m:e>
                  <m:sub>
                    <m:r>
                      <w:rPr>
                        <w:rFonts w:ascii="Cambria Math" w:hAnsi="Cambria Math"/>
                        <w:color w:val="404040" w:themeColor="text1" w:themeTint="BF"/>
                      </w:rPr>
                      <m:t>2</m:t>
                    </m:r>
                  </m:sub>
                </m:sSub>
                <m:r>
                  <w:rPr>
                    <w:rFonts w:ascii="Cambria Math" w:hAnsi="Cambria Math"/>
                    <w:color w:val="404040" w:themeColor="text1" w:themeTint="BF"/>
                  </w:rPr>
                  <m:t>,</m:t>
                </m:r>
                <m:sSub>
                  <m:sSubPr>
                    <m:ctrlPr>
                      <w:rPr>
                        <w:rFonts w:ascii="Cambria Math" w:hAnsi="Cambria Math"/>
                        <w:i/>
                        <w:color w:val="404040" w:themeColor="text1" w:themeTint="BF"/>
                      </w:rPr>
                    </m:ctrlPr>
                  </m:sSubPr>
                  <m:e>
                    <m:r>
                      <w:rPr>
                        <w:rFonts w:ascii="Cambria Math" w:hAnsi="Cambria Math"/>
                        <w:color w:val="404040" w:themeColor="text1" w:themeTint="BF"/>
                      </w:rPr>
                      <m:t>t</m:t>
                    </m:r>
                  </m:e>
                  <m:sub>
                    <m:r>
                      <w:rPr>
                        <w:rFonts w:ascii="Cambria Math" w:hAnsi="Cambria Math"/>
                        <w:color w:val="404040" w:themeColor="text1" w:themeTint="BF"/>
                      </w:rPr>
                      <m:t>1</m:t>
                    </m:r>
                  </m:sub>
                </m:sSub>
                <m:r>
                  <w:rPr>
                    <w:rFonts w:ascii="Cambria Math" w:hAnsi="Cambria Math"/>
                    <w:color w:val="404040" w:themeColor="text1" w:themeTint="BF"/>
                  </w:rPr>
                  <m:t>,</m:t>
                </m:r>
                <m:sSub>
                  <m:sSubPr>
                    <m:ctrlPr>
                      <w:rPr>
                        <w:rFonts w:ascii="Cambria Math" w:hAnsi="Cambria Math"/>
                        <w:i/>
                        <w:color w:val="404040" w:themeColor="text1" w:themeTint="BF"/>
                      </w:rPr>
                    </m:ctrlPr>
                  </m:sSubPr>
                  <m:e>
                    <m:r>
                      <w:rPr>
                        <w:rFonts w:ascii="Cambria Math" w:hAnsi="Cambria Math"/>
                        <w:color w:val="404040" w:themeColor="text1" w:themeTint="BF"/>
                      </w:rPr>
                      <m:t>t</m:t>
                    </m:r>
                  </m:e>
                  <m:sub>
                    <m:r>
                      <w:rPr>
                        <w:rFonts w:ascii="Cambria Math" w:hAnsi="Cambria Math"/>
                        <w:color w:val="404040" w:themeColor="text1" w:themeTint="BF"/>
                      </w:rPr>
                      <m:t>2</m:t>
                    </m:r>
                  </m:sub>
                </m:sSub>
              </m:oMath>
            </m:oMathPara>
          </w:p>
        </w:tc>
        <w:tc>
          <w:tcPr>
            <w:tcW w:w="1052" w:type="dxa"/>
          </w:tcPr>
          <w:p w14:paraId="3079AACF" w14:textId="77777777" w:rsidR="009E1A67" w:rsidRPr="008A7BB2" w:rsidRDefault="009E1A67" w:rsidP="00D737A2">
            <w:pPr>
              <w:jc w:val="center"/>
              <w:rPr>
                <w:color w:val="000000" w:themeColor="text1"/>
              </w:rPr>
            </w:pPr>
            <m:oMathPara>
              <m:oMath>
                <m:r>
                  <w:rPr>
                    <w:rFonts w:ascii="Cambria Math" w:hAnsi="Cambria Math"/>
                    <w:color w:val="404040" w:themeColor="text1" w:themeTint="BF"/>
                  </w:rPr>
                  <m:t>S</m:t>
                </m:r>
              </m:oMath>
            </m:oMathPara>
          </w:p>
        </w:tc>
        <w:tc>
          <w:tcPr>
            <w:tcW w:w="3205" w:type="dxa"/>
          </w:tcPr>
          <w:p w14:paraId="469A8C5C" w14:textId="77777777" w:rsidR="009E1A67" w:rsidRPr="008A7BB2" w:rsidRDefault="009E1A67" w:rsidP="00D737A2">
            <w:pPr>
              <w:jc w:val="center"/>
              <w:rPr>
                <w:color w:val="000000" w:themeColor="text1"/>
              </w:rPr>
            </w:pPr>
          </w:p>
        </w:tc>
      </w:tr>
      <w:tr w:rsidR="009E1A67" w14:paraId="2397B7BE" w14:textId="77777777" w:rsidTr="00D737A2">
        <w:trPr>
          <w:jc w:val="center"/>
        </w:trPr>
        <w:tc>
          <w:tcPr>
            <w:tcW w:w="1126" w:type="dxa"/>
          </w:tcPr>
          <w:p w14:paraId="62AD35E7" w14:textId="77777777" w:rsidR="009E1A67" w:rsidRPr="008A7BB2" w:rsidRDefault="009E1A67" w:rsidP="00D737A2">
            <w:pPr>
              <w:jc w:val="center"/>
              <w:rPr>
                <w:color w:val="000000" w:themeColor="text1"/>
              </w:rPr>
            </w:pPr>
            <w:r w:rsidRPr="00B44F5A">
              <w:rPr>
                <w:color w:val="404040" w:themeColor="text1" w:themeTint="BF"/>
              </w:rPr>
              <w:t>13.3</w:t>
            </w:r>
          </w:p>
        </w:tc>
        <w:tc>
          <w:tcPr>
            <w:tcW w:w="2516" w:type="dxa"/>
          </w:tcPr>
          <w:p w14:paraId="29F9B8D5" w14:textId="77777777" w:rsidR="009E1A67" w:rsidRPr="008A7BB2" w:rsidRDefault="009E1A67" w:rsidP="00D737A2">
            <w:pPr>
              <w:jc w:val="center"/>
              <w:rPr>
                <w:color w:val="000000" w:themeColor="text1"/>
              </w:rPr>
            </w:pPr>
            <m:oMathPara>
              <m:oMath>
                <m:sSub>
                  <m:sSubPr>
                    <m:ctrlPr>
                      <w:rPr>
                        <w:rFonts w:ascii="Cambria Math" w:hAnsi="Cambria Math"/>
                        <w:i/>
                        <w:color w:val="404040" w:themeColor="text1" w:themeTint="BF"/>
                      </w:rPr>
                    </m:ctrlPr>
                  </m:sSubPr>
                  <m:e>
                    <m:r>
                      <w:rPr>
                        <w:rFonts w:ascii="Cambria Math" w:hAnsi="Cambria Math"/>
                        <w:color w:val="404040" w:themeColor="text1" w:themeTint="BF"/>
                      </w:rPr>
                      <m:t>T</m:t>
                    </m:r>
                  </m:e>
                  <m:sub>
                    <m:r>
                      <w:rPr>
                        <w:rFonts w:ascii="Cambria Math" w:hAnsi="Cambria Math"/>
                        <w:color w:val="404040" w:themeColor="text1" w:themeTint="BF"/>
                      </w:rPr>
                      <m:t>1</m:t>
                    </m:r>
                  </m:sub>
                </m:sSub>
                <m:r>
                  <w:rPr>
                    <w:rFonts w:ascii="Cambria Math" w:hAnsi="Cambria Math"/>
                    <w:color w:val="404040" w:themeColor="text1" w:themeTint="BF"/>
                  </w:rPr>
                  <m:t>,</m:t>
                </m:r>
                <m:sSub>
                  <m:sSubPr>
                    <m:ctrlPr>
                      <w:rPr>
                        <w:rFonts w:ascii="Cambria Math" w:hAnsi="Cambria Math"/>
                        <w:i/>
                        <w:color w:val="404040" w:themeColor="text1" w:themeTint="BF"/>
                      </w:rPr>
                    </m:ctrlPr>
                  </m:sSubPr>
                  <m:e>
                    <m:r>
                      <w:rPr>
                        <w:rFonts w:ascii="Cambria Math" w:hAnsi="Cambria Math"/>
                        <w:color w:val="404040" w:themeColor="text1" w:themeTint="BF"/>
                      </w:rPr>
                      <m:t>T</m:t>
                    </m:r>
                  </m:e>
                  <m:sub>
                    <m:r>
                      <w:rPr>
                        <w:rFonts w:ascii="Cambria Math" w:hAnsi="Cambria Math"/>
                        <w:color w:val="404040" w:themeColor="text1" w:themeTint="BF"/>
                      </w:rPr>
                      <m:t>2</m:t>
                    </m:r>
                  </m:sub>
                </m:sSub>
                <m:r>
                  <w:rPr>
                    <w:rFonts w:ascii="Cambria Math" w:hAnsi="Cambria Math"/>
                    <w:color w:val="404040" w:themeColor="text1" w:themeTint="BF"/>
                  </w:rPr>
                  <m:t>,</m:t>
                </m:r>
                <m:sSub>
                  <m:sSubPr>
                    <m:ctrlPr>
                      <w:rPr>
                        <w:rFonts w:ascii="Cambria Math" w:hAnsi="Cambria Math"/>
                        <w:i/>
                        <w:color w:val="404040" w:themeColor="text1" w:themeTint="BF"/>
                      </w:rPr>
                    </m:ctrlPr>
                  </m:sSubPr>
                  <m:e>
                    <m:r>
                      <w:rPr>
                        <w:rFonts w:ascii="Cambria Math" w:hAnsi="Cambria Math"/>
                        <w:color w:val="404040" w:themeColor="text1" w:themeTint="BF"/>
                      </w:rPr>
                      <m:t>t</m:t>
                    </m:r>
                  </m:e>
                  <m:sub>
                    <m:r>
                      <w:rPr>
                        <w:rFonts w:ascii="Cambria Math" w:hAnsi="Cambria Math"/>
                        <w:color w:val="404040" w:themeColor="text1" w:themeTint="BF"/>
                      </w:rPr>
                      <m:t>1</m:t>
                    </m:r>
                  </m:sub>
                </m:sSub>
                <m:r>
                  <w:rPr>
                    <w:rFonts w:ascii="Cambria Math" w:hAnsi="Cambria Math"/>
                    <w:color w:val="404040" w:themeColor="text1" w:themeTint="BF"/>
                  </w:rPr>
                  <m:t>,</m:t>
                </m:r>
                <m:sSub>
                  <m:sSubPr>
                    <m:ctrlPr>
                      <w:rPr>
                        <w:rFonts w:ascii="Cambria Math" w:hAnsi="Cambria Math"/>
                        <w:i/>
                        <w:color w:val="404040" w:themeColor="text1" w:themeTint="BF"/>
                      </w:rPr>
                    </m:ctrlPr>
                  </m:sSubPr>
                  <m:e>
                    <m:r>
                      <w:rPr>
                        <w:rFonts w:ascii="Cambria Math" w:hAnsi="Cambria Math"/>
                        <w:color w:val="404040" w:themeColor="text1" w:themeTint="BF"/>
                      </w:rPr>
                      <m:t>t</m:t>
                    </m:r>
                  </m:e>
                  <m:sub>
                    <m:r>
                      <w:rPr>
                        <w:rFonts w:ascii="Cambria Math" w:hAnsi="Cambria Math"/>
                        <w:color w:val="404040" w:themeColor="text1" w:themeTint="BF"/>
                      </w:rPr>
                      <m:t>2</m:t>
                    </m:r>
                  </m:sub>
                </m:sSub>
              </m:oMath>
            </m:oMathPara>
          </w:p>
        </w:tc>
        <w:tc>
          <w:tcPr>
            <w:tcW w:w="1052" w:type="dxa"/>
          </w:tcPr>
          <w:p w14:paraId="6C349C04" w14:textId="77777777" w:rsidR="009E1A67" w:rsidRPr="008A7BB2" w:rsidRDefault="009E1A67" w:rsidP="00D737A2">
            <w:pPr>
              <w:jc w:val="center"/>
              <w:rPr>
                <w:color w:val="000000" w:themeColor="text1"/>
              </w:rPr>
            </w:pPr>
            <m:oMathPara>
              <m:oMath>
                <m:sSub>
                  <m:sSubPr>
                    <m:ctrlPr>
                      <w:rPr>
                        <w:rFonts w:ascii="Cambria Math" w:hAnsi="Cambria Math"/>
                        <w:i/>
                        <w:color w:val="404040" w:themeColor="text1" w:themeTint="BF"/>
                      </w:rPr>
                    </m:ctrlPr>
                  </m:sSubPr>
                  <m:e>
                    <m:r>
                      <w:rPr>
                        <w:rFonts w:ascii="Cambria Math" w:hAnsi="Cambria Math"/>
                        <w:color w:val="404040" w:themeColor="text1" w:themeTint="BF"/>
                      </w:rPr>
                      <m:t>∆T</m:t>
                    </m:r>
                  </m:e>
                  <m:sub>
                    <m:r>
                      <w:rPr>
                        <w:rFonts w:ascii="Cambria Math" w:hAnsi="Cambria Math"/>
                        <w:color w:val="404040" w:themeColor="text1" w:themeTint="BF"/>
                      </w:rPr>
                      <m:t>lm</m:t>
                    </m:r>
                  </m:sub>
                </m:sSub>
              </m:oMath>
            </m:oMathPara>
          </w:p>
        </w:tc>
        <w:tc>
          <w:tcPr>
            <w:tcW w:w="3205" w:type="dxa"/>
          </w:tcPr>
          <w:p w14:paraId="39524116" w14:textId="77777777" w:rsidR="009E1A67" w:rsidRPr="008A7BB2" w:rsidRDefault="009E1A67" w:rsidP="00D737A2">
            <w:pPr>
              <w:jc w:val="center"/>
              <w:rPr>
                <w:color w:val="000000" w:themeColor="text1"/>
              </w:rPr>
            </w:pPr>
            <w:proofErr w:type="spellStart"/>
            <w:r w:rsidRPr="00B44F5A">
              <w:rPr>
                <w:color w:val="404040" w:themeColor="text1" w:themeTint="BF"/>
              </w:rPr>
              <w:t>Eqn</w:t>
            </w:r>
            <w:proofErr w:type="spellEnd"/>
            <w:r w:rsidRPr="00B44F5A">
              <w:rPr>
                <w:color w:val="404040" w:themeColor="text1" w:themeTint="BF"/>
              </w:rPr>
              <w:t xml:space="preserve"> 13.4</w:t>
            </w:r>
          </w:p>
        </w:tc>
      </w:tr>
      <w:tr w:rsidR="009E1A67" w14:paraId="6A97120A" w14:textId="77777777" w:rsidTr="00D737A2">
        <w:trPr>
          <w:jc w:val="center"/>
        </w:trPr>
        <w:tc>
          <w:tcPr>
            <w:tcW w:w="1126" w:type="dxa"/>
          </w:tcPr>
          <w:p w14:paraId="0E70CA32" w14:textId="77777777" w:rsidR="009E1A67" w:rsidRPr="008A7BB2" w:rsidRDefault="009E1A67" w:rsidP="00D737A2">
            <w:pPr>
              <w:jc w:val="center"/>
              <w:rPr>
                <w:color w:val="000000" w:themeColor="text1"/>
              </w:rPr>
            </w:pPr>
            <w:r w:rsidRPr="00B44F5A">
              <w:rPr>
                <w:color w:val="404040" w:themeColor="text1" w:themeTint="BF"/>
              </w:rPr>
              <w:t>13.4</w:t>
            </w:r>
          </w:p>
        </w:tc>
        <w:tc>
          <w:tcPr>
            <w:tcW w:w="2516" w:type="dxa"/>
          </w:tcPr>
          <w:p w14:paraId="18098F4C" w14:textId="77777777" w:rsidR="009E1A67" w:rsidRPr="008A7BB2" w:rsidRDefault="009E1A67" w:rsidP="00D737A2">
            <w:pPr>
              <w:jc w:val="center"/>
              <w:rPr>
                <w:color w:val="000000" w:themeColor="text1"/>
              </w:rPr>
            </w:pPr>
            <m:oMathPara>
              <m:oMath>
                <m:sSub>
                  <m:sSubPr>
                    <m:ctrlPr>
                      <w:rPr>
                        <w:rFonts w:ascii="Cambria Math" w:hAnsi="Cambria Math"/>
                        <w:b/>
                        <w:i/>
                        <w:color w:val="404040" w:themeColor="text1" w:themeTint="BF"/>
                      </w:rPr>
                    </m:ctrlPr>
                  </m:sSubPr>
                  <m:e>
                    <m:r>
                      <m:rPr>
                        <m:sty m:val="bi"/>
                      </m:rPr>
                      <w:rPr>
                        <w:rFonts w:ascii="Cambria Math" w:hAnsi="Cambria Math"/>
                        <w:color w:val="404040" w:themeColor="text1" w:themeTint="BF"/>
                      </w:rPr>
                      <m:t>∆T</m:t>
                    </m:r>
                  </m:e>
                  <m:sub>
                    <m:r>
                      <m:rPr>
                        <m:sty m:val="bi"/>
                      </m:rPr>
                      <w:rPr>
                        <w:rFonts w:ascii="Cambria Math" w:hAnsi="Cambria Math"/>
                        <w:color w:val="404040" w:themeColor="text1" w:themeTint="BF"/>
                      </w:rPr>
                      <m:t>lm</m:t>
                    </m:r>
                  </m:sub>
                </m:sSub>
                <m:r>
                  <w:rPr>
                    <w:rFonts w:ascii="Cambria Math" w:hAnsi="Cambria Math"/>
                    <w:color w:val="404040" w:themeColor="text1" w:themeTint="BF"/>
                  </w:rPr>
                  <m:t>,</m:t>
                </m:r>
                <m:sSub>
                  <m:sSubPr>
                    <m:ctrlPr>
                      <w:rPr>
                        <w:rFonts w:ascii="Cambria Math" w:hAnsi="Cambria Math"/>
                        <w:i/>
                        <w:color w:val="404040" w:themeColor="text1" w:themeTint="BF"/>
                      </w:rPr>
                    </m:ctrlPr>
                  </m:sSubPr>
                  <m:e>
                    <m:r>
                      <w:rPr>
                        <w:rFonts w:ascii="Cambria Math" w:hAnsi="Cambria Math"/>
                        <w:color w:val="404040" w:themeColor="text1" w:themeTint="BF"/>
                      </w:rPr>
                      <m:t>F</m:t>
                    </m:r>
                  </m:e>
                  <m:sub>
                    <m:r>
                      <w:rPr>
                        <w:rFonts w:ascii="Cambria Math" w:hAnsi="Cambria Math"/>
                        <w:color w:val="404040" w:themeColor="text1" w:themeTint="BF"/>
                      </w:rPr>
                      <m:t>t</m:t>
                    </m:r>
                  </m:sub>
                </m:sSub>
              </m:oMath>
            </m:oMathPara>
          </w:p>
        </w:tc>
        <w:tc>
          <w:tcPr>
            <w:tcW w:w="1052" w:type="dxa"/>
          </w:tcPr>
          <w:p w14:paraId="41CB13C0" w14:textId="77777777" w:rsidR="009E1A67" w:rsidRPr="008A7BB2" w:rsidRDefault="009E1A67" w:rsidP="00D737A2">
            <w:pPr>
              <w:jc w:val="center"/>
              <w:rPr>
                <w:color w:val="000000" w:themeColor="text1"/>
              </w:rPr>
            </w:pPr>
            <m:oMathPara>
              <m:oMath>
                <m:sSub>
                  <m:sSubPr>
                    <m:ctrlPr>
                      <w:rPr>
                        <w:rFonts w:ascii="Cambria Math" w:hAnsi="Cambria Math"/>
                        <w:i/>
                        <w:color w:val="404040" w:themeColor="text1" w:themeTint="BF"/>
                      </w:rPr>
                    </m:ctrlPr>
                  </m:sSubPr>
                  <m:e>
                    <m:r>
                      <w:rPr>
                        <w:rFonts w:ascii="Cambria Math" w:hAnsi="Cambria Math"/>
                        <w:color w:val="404040" w:themeColor="text1" w:themeTint="BF"/>
                      </w:rPr>
                      <m:t>∆T</m:t>
                    </m:r>
                  </m:e>
                  <m:sub>
                    <m:r>
                      <w:rPr>
                        <w:rFonts w:ascii="Cambria Math" w:hAnsi="Cambria Math"/>
                        <w:color w:val="404040" w:themeColor="text1" w:themeTint="BF"/>
                      </w:rPr>
                      <m:t>m</m:t>
                    </m:r>
                  </m:sub>
                </m:sSub>
              </m:oMath>
            </m:oMathPara>
          </w:p>
        </w:tc>
        <w:tc>
          <w:tcPr>
            <w:tcW w:w="3205" w:type="dxa"/>
          </w:tcPr>
          <w:p w14:paraId="26C18EFC" w14:textId="77777777" w:rsidR="009E1A67" w:rsidRPr="008A7BB2" w:rsidRDefault="009E1A67" w:rsidP="00D737A2">
            <w:pPr>
              <w:jc w:val="center"/>
              <w:rPr>
                <w:color w:val="000000" w:themeColor="text1"/>
              </w:rPr>
            </w:pPr>
          </w:p>
        </w:tc>
      </w:tr>
      <w:tr w:rsidR="009E1A67" w14:paraId="4B9AEE4A" w14:textId="77777777" w:rsidTr="00D737A2">
        <w:trPr>
          <w:jc w:val="center"/>
        </w:trPr>
        <w:tc>
          <w:tcPr>
            <w:tcW w:w="1126" w:type="dxa"/>
          </w:tcPr>
          <w:p w14:paraId="409C0830" w14:textId="77777777" w:rsidR="009E1A67" w:rsidRPr="008A7BB2" w:rsidRDefault="009E1A67" w:rsidP="00D737A2">
            <w:pPr>
              <w:jc w:val="center"/>
              <w:rPr>
                <w:color w:val="000000" w:themeColor="text1"/>
              </w:rPr>
            </w:pPr>
            <w:r>
              <w:rPr>
                <w:color w:val="000000" w:themeColor="text1"/>
              </w:rPr>
              <w:t>13.90</w:t>
            </w:r>
          </w:p>
        </w:tc>
        <w:tc>
          <w:tcPr>
            <w:tcW w:w="2516" w:type="dxa"/>
          </w:tcPr>
          <w:p w14:paraId="3CF2EB42" w14:textId="77777777" w:rsidR="009E1A67" w:rsidRPr="008A7BB2" w:rsidRDefault="009E1A67" w:rsidP="00D737A2">
            <w:pPr>
              <w:jc w:val="center"/>
              <w:rPr>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D</m:t>
                    </m:r>
                  </m:e>
                  <m:sub>
                    <m:r>
                      <w:rPr>
                        <w:rFonts w:ascii="Cambria Math" w:hAnsi="Cambria Math"/>
                        <w:color w:val="000000" w:themeColor="text1"/>
                      </w:rPr>
                      <m:t>o</m:t>
                    </m:r>
                  </m:sub>
                </m:sSub>
                <m:r>
                  <w:rPr>
                    <w:rFonts w:ascii="Cambria Math" w:hAnsi="Cambria Math"/>
                    <w:color w:val="000000" w:themeColor="text1"/>
                  </w:rPr>
                  <m:t>,L</m:t>
                </m:r>
              </m:oMath>
            </m:oMathPara>
          </w:p>
        </w:tc>
        <w:tc>
          <w:tcPr>
            <w:tcW w:w="1052" w:type="dxa"/>
          </w:tcPr>
          <w:p w14:paraId="4E382A4D" w14:textId="77777777" w:rsidR="009E1A67" w:rsidRPr="00FF2B2D" w:rsidRDefault="009E1A67" w:rsidP="00D737A2">
            <w:pPr>
              <w:jc w:val="center"/>
              <w:rPr>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A</m:t>
                    </m:r>
                  </m:e>
                  <m:sub>
                    <m:r>
                      <w:rPr>
                        <w:rFonts w:ascii="Cambria Math" w:hAnsi="Cambria Math"/>
                        <w:color w:val="000000" w:themeColor="text1"/>
                      </w:rPr>
                      <m:t>SA</m:t>
                    </m:r>
                  </m:sub>
                </m:sSub>
              </m:oMath>
            </m:oMathPara>
          </w:p>
        </w:tc>
        <w:tc>
          <w:tcPr>
            <w:tcW w:w="3205" w:type="dxa"/>
          </w:tcPr>
          <w:p w14:paraId="5BBBB851" w14:textId="77777777" w:rsidR="009E1A67" w:rsidRPr="008A7BB2" w:rsidRDefault="009E1A67" w:rsidP="00D737A2">
            <w:pPr>
              <w:jc w:val="center"/>
              <w:rPr>
                <w:color w:val="000000" w:themeColor="text1"/>
              </w:rPr>
            </w:pPr>
            <w:proofErr w:type="spellStart"/>
            <w:r>
              <w:rPr>
                <w:color w:val="000000" w:themeColor="text1"/>
              </w:rPr>
              <w:t>Eqn</w:t>
            </w:r>
            <w:proofErr w:type="spellEnd"/>
            <w:r>
              <w:rPr>
                <w:color w:val="000000" w:themeColor="text1"/>
              </w:rPr>
              <w:t xml:space="preserve"> 13.7</w:t>
            </w:r>
          </w:p>
        </w:tc>
      </w:tr>
      <w:tr w:rsidR="009E1A67" w14:paraId="3DF49FB6" w14:textId="77777777" w:rsidTr="00D737A2">
        <w:trPr>
          <w:jc w:val="center"/>
        </w:trPr>
        <w:tc>
          <w:tcPr>
            <w:tcW w:w="1126" w:type="dxa"/>
          </w:tcPr>
          <w:p w14:paraId="11B4782F" w14:textId="77777777" w:rsidR="009E1A67" w:rsidRPr="008A7BB2" w:rsidRDefault="009E1A67" w:rsidP="00D737A2">
            <w:pPr>
              <w:jc w:val="center"/>
              <w:rPr>
                <w:color w:val="000000" w:themeColor="text1"/>
              </w:rPr>
            </w:pPr>
            <w:r w:rsidRPr="003A69B5">
              <w:rPr>
                <w:color w:val="404040" w:themeColor="text1" w:themeTint="BF"/>
              </w:rPr>
              <w:t>13.7</w:t>
            </w:r>
          </w:p>
        </w:tc>
        <w:tc>
          <w:tcPr>
            <w:tcW w:w="2516" w:type="dxa"/>
          </w:tcPr>
          <w:p w14:paraId="53735ABF" w14:textId="77777777" w:rsidR="009E1A67" w:rsidRPr="008A7BB2" w:rsidRDefault="009E1A67" w:rsidP="00D737A2">
            <w:pPr>
              <w:jc w:val="center"/>
              <w:rPr>
                <w:b/>
                <w:color w:val="000000" w:themeColor="text1"/>
              </w:rPr>
            </w:pPr>
            <m:oMathPara>
              <m:oMath>
                <m:sSub>
                  <m:sSubPr>
                    <m:ctrlPr>
                      <w:rPr>
                        <w:rFonts w:ascii="Cambria Math" w:hAnsi="Cambria Math"/>
                        <w:b/>
                        <w:i/>
                        <w:color w:val="000000" w:themeColor="text1"/>
                      </w:rPr>
                    </m:ctrlPr>
                  </m:sSubPr>
                  <m:e>
                    <m:r>
                      <m:rPr>
                        <m:sty m:val="bi"/>
                      </m:rPr>
                      <w:rPr>
                        <w:rFonts w:ascii="Cambria Math" w:hAnsi="Cambria Math"/>
                        <w:color w:val="000000" w:themeColor="text1"/>
                      </w:rPr>
                      <m:t>A</m:t>
                    </m:r>
                  </m:e>
                  <m:sub>
                    <m:r>
                      <m:rPr>
                        <m:sty m:val="bi"/>
                      </m:rPr>
                      <w:rPr>
                        <w:rFonts w:ascii="Cambria Math" w:hAnsi="Cambria Math"/>
                        <w:color w:val="000000" w:themeColor="text1"/>
                      </w:rPr>
                      <m:t>SA</m:t>
                    </m:r>
                  </m:sub>
                </m:sSub>
                <m:r>
                  <w:rPr>
                    <w:rFonts w:ascii="Cambria Math" w:hAnsi="Cambria Math"/>
                    <w:color w:val="404040" w:themeColor="text1" w:themeTint="BF"/>
                  </w:rPr>
                  <m:t>,A</m:t>
                </m:r>
              </m:oMath>
            </m:oMathPara>
          </w:p>
        </w:tc>
        <w:tc>
          <w:tcPr>
            <w:tcW w:w="1052" w:type="dxa"/>
          </w:tcPr>
          <w:p w14:paraId="0B6D29A8" w14:textId="77777777" w:rsidR="009E1A67" w:rsidRPr="008A7BB2" w:rsidRDefault="009E1A67" w:rsidP="00D737A2">
            <w:pPr>
              <w:jc w:val="center"/>
              <w:rPr>
                <w:color w:val="000000" w:themeColor="text1"/>
              </w:rPr>
            </w:pPr>
            <m:oMathPara>
              <m:oMath>
                <m:sSub>
                  <m:sSubPr>
                    <m:ctrlPr>
                      <w:rPr>
                        <w:rFonts w:ascii="Cambria Math" w:hAnsi="Cambria Math"/>
                        <w:i/>
                        <w:color w:val="404040" w:themeColor="text1" w:themeTint="BF"/>
                      </w:rPr>
                    </m:ctrlPr>
                  </m:sSubPr>
                  <m:e>
                    <m:r>
                      <w:rPr>
                        <w:rFonts w:ascii="Cambria Math" w:hAnsi="Cambria Math"/>
                        <w:color w:val="404040" w:themeColor="text1" w:themeTint="BF"/>
                      </w:rPr>
                      <m:t>N</m:t>
                    </m:r>
                  </m:e>
                  <m:sub>
                    <m:r>
                      <w:rPr>
                        <w:rFonts w:ascii="Cambria Math" w:hAnsi="Cambria Math"/>
                        <w:color w:val="404040" w:themeColor="text1" w:themeTint="BF"/>
                      </w:rPr>
                      <m:t>tu</m:t>
                    </m:r>
                  </m:sub>
                </m:sSub>
              </m:oMath>
            </m:oMathPara>
          </w:p>
        </w:tc>
        <w:tc>
          <w:tcPr>
            <w:tcW w:w="3205" w:type="dxa"/>
          </w:tcPr>
          <w:p w14:paraId="75E3C474" w14:textId="77777777" w:rsidR="009E1A67" w:rsidRPr="00FF2B2D" w:rsidRDefault="009E1A67" w:rsidP="00D737A2">
            <w:pPr>
              <w:jc w:val="center"/>
              <w:rPr>
                <w:color w:val="000000" w:themeColor="text1"/>
              </w:rPr>
            </w:pPr>
            <w:proofErr w:type="spellStart"/>
            <w:r w:rsidRPr="003A69B5">
              <w:rPr>
                <w:color w:val="404040" w:themeColor="text1" w:themeTint="BF"/>
              </w:rPr>
              <w:t>Eqn</w:t>
            </w:r>
            <w:proofErr w:type="spellEnd"/>
            <w:r w:rsidRPr="003A69B5">
              <w:rPr>
                <w:color w:val="404040" w:themeColor="text1" w:themeTint="BF"/>
              </w:rPr>
              <w:t xml:space="preserve"> 13.8</w:t>
            </w:r>
            <w:r>
              <w:rPr>
                <w:color w:val="000000" w:themeColor="text1"/>
              </w:rPr>
              <w:t xml:space="preserve">, </w:t>
            </w:r>
            <w:proofErr w:type="spellStart"/>
            <w:r>
              <w:rPr>
                <w:color w:val="000000" w:themeColor="text1"/>
              </w:rPr>
              <w:t>Eqn</w:t>
            </w:r>
            <w:proofErr w:type="spellEnd"/>
            <w:r>
              <w:rPr>
                <w:color w:val="000000" w:themeColor="text1"/>
              </w:rPr>
              <w:t xml:space="preserve"> 13.91, </w:t>
            </w:r>
            <w:proofErr w:type="spellStart"/>
            <w:r>
              <w:rPr>
                <w:color w:val="000000" w:themeColor="text1"/>
              </w:rPr>
              <w:t>Eqn</w:t>
            </w:r>
            <w:proofErr w:type="spellEnd"/>
            <w:r>
              <w:rPr>
                <w:color w:val="000000" w:themeColor="text1"/>
              </w:rPr>
              <w:t xml:space="preserve"> 13.95, </w:t>
            </w:r>
            <w:proofErr w:type="spellStart"/>
            <w:r>
              <w:rPr>
                <w:color w:val="000000" w:themeColor="text1"/>
              </w:rPr>
              <w:t>Eqn</w:t>
            </w:r>
            <w:proofErr w:type="spellEnd"/>
            <w:r>
              <w:rPr>
                <w:color w:val="000000" w:themeColor="text1"/>
              </w:rPr>
              <w:t xml:space="preserve"> 13.96</w:t>
            </w:r>
          </w:p>
        </w:tc>
      </w:tr>
      <w:tr w:rsidR="009E1A67" w14:paraId="157F4390" w14:textId="77777777" w:rsidTr="00D737A2">
        <w:trPr>
          <w:jc w:val="center"/>
        </w:trPr>
        <w:tc>
          <w:tcPr>
            <w:tcW w:w="1126" w:type="dxa"/>
          </w:tcPr>
          <w:p w14:paraId="6C9FCF79" w14:textId="77777777" w:rsidR="009E1A67" w:rsidRPr="008A7BB2" w:rsidRDefault="009E1A67" w:rsidP="00D737A2">
            <w:pPr>
              <w:jc w:val="center"/>
              <w:rPr>
                <w:color w:val="000000" w:themeColor="text1"/>
              </w:rPr>
            </w:pPr>
            <w:r w:rsidRPr="003A69B5">
              <w:rPr>
                <w:color w:val="404040" w:themeColor="text1" w:themeTint="BF"/>
              </w:rPr>
              <w:t>13.8</w:t>
            </w:r>
          </w:p>
        </w:tc>
        <w:tc>
          <w:tcPr>
            <w:tcW w:w="2516" w:type="dxa"/>
          </w:tcPr>
          <w:p w14:paraId="49E7444D" w14:textId="77777777" w:rsidR="009E1A67" w:rsidRPr="008A7BB2" w:rsidRDefault="009E1A67" w:rsidP="00D737A2">
            <w:pPr>
              <w:jc w:val="center"/>
              <w:rPr>
                <w:color w:val="000000" w:themeColor="text1"/>
              </w:rPr>
            </w:pPr>
            <m:oMathPara>
              <m:oMath>
                <m:sSub>
                  <m:sSubPr>
                    <m:ctrlPr>
                      <w:rPr>
                        <w:rFonts w:ascii="Cambria Math" w:hAnsi="Cambria Math"/>
                        <w:b/>
                        <w:i/>
                        <w:color w:val="404040" w:themeColor="text1" w:themeTint="BF"/>
                      </w:rPr>
                    </m:ctrlPr>
                  </m:sSubPr>
                  <m:e>
                    <m:r>
                      <m:rPr>
                        <m:sty m:val="bi"/>
                      </m:rPr>
                      <w:rPr>
                        <w:rFonts w:ascii="Cambria Math" w:hAnsi="Cambria Math"/>
                        <w:color w:val="404040" w:themeColor="text1" w:themeTint="BF"/>
                      </w:rPr>
                      <m:t>N</m:t>
                    </m:r>
                  </m:e>
                  <m:sub>
                    <m:r>
                      <m:rPr>
                        <m:sty m:val="bi"/>
                      </m:rPr>
                      <w:rPr>
                        <w:rFonts w:ascii="Cambria Math" w:hAnsi="Cambria Math"/>
                        <w:color w:val="404040" w:themeColor="text1" w:themeTint="BF"/>
                      </w:rPr>
                      <m:t>tu</m:t>
                    </m:r>
                  </m:sub>
                </m:sSub>
                <m:r>
                  <w:rPr>
                    <w:rFonts w:ascii="Cambria Math" w:hAnsi="Cambria Math"/>
                    <w:color w:val="404040" w:themeColor="text1" w:themeTint="BF"/>
                  </w:rPr>
                  <m:t>,</m:t>
                </m:r>
                <m:sSub>
                  <m:sSubPr>
                    <m:ctrlPr>
                      <w:rPr>
                        <w:rFonts w:ascii="Cambria Math" w:hAnsi="Cambria Math"/>
                        <w:i/>
                        <w:color w:val="404040" w:themeColor="text1" w:themeTint="BF"/>
                      </w:rPr>
                    </m:ctrlPr>
                  </m:sSubPr>
                  <m:e>
                    <m:r>
                      <w:rPr>
                        <w:rFonts w:ascii="Cambria Math" w:hAnsi="Cambria Math"/>
                        <w:color w:val="404040" w:themeColor="text1" w:themeTint="BF"/>
                      </w:rPr>
                      <m:t>D</m:t>
                    </m:r>
                  </m:e>
                  <m:sub>
                    <m:r>
                      <w:rPr>
                        <w:rFonts w:ascii="Cambria Math" w:hAnsi="Cambria Math"/>
                        <w:color w:val="404040" w:themeColor="text1" w:themeTint="BF"/>
                      </w:rPr>
                      <m:t>o</m:t>
                    </m:r>
                  </m:sub>
                </m:sSub>
                <m:r>
                  <w:rPr>
                    <w:rFonts w:ascii="Cambria Math" w:hAnsi="Cambria Math"/>
                    <w:color w:val="404040" w:themeColor="text1" w:themeTint="BF"/>
                  </w:rPr>
                  <m:t>,</m:t>
                </m:r>
                <m:sSub>
                  <m:sSubPr>
                    <m:ctrlPr>
                      <w:rPr>
                        <w:rFonts w:ascii="Cambria Math" w:hAnsi="Cambria Math"/>
                        <w:i/>
                        <w:color w:val="404040" w:themeColor="text1" w:themeTint="BF"/>
                      </w:rPr>
                    </m:ctrlPr>
                  </m:sSubPr>
                  <m:e>
                    <m:r>
                      <w:rPr>
                        <w:rFonts w:ascii="Cambria Math" w:hAnsi="Cambria Math"/>
                        <w:color w:val="404040" w:themeColor="text1" w:themeTint="BF"/>
                      </w:rPr>
                      <m:t>K</m:t>
                    </m:r>
                  </m:e>
                  <m:sub>
                    <m:r>
                      <w:rPr>
                        <w:rFonts w:ascii="Cambria Math" w:hAnsi="Cambria Math"/>
                        <w:color w:val="404040" w:themeColor="text1" w:themeTint="BF"/>
                      </w:rPr>
                      <m:t>1</m:t>
                    </m:r>
                  </m:sub>
                </m:sSub>
                <m:r>
                  <w:rPr>
                    <w:rFonts w:ascii="Cambria Math" w:hAnsi="Cambria Math"/>
                    <w:color w:val="404040" w:themeColor="text1" w:themeTint="BF"/>
                  </w:rPr>
                  <m:t>,</m:t>
                </m:r>
                <m:sSub>
                  <m:sSubPr>
                    <m:ctrlPr>
                      <w:rPr>
                        <w:rFonts w:ascii="Cambria Math" w:hAnsi="Cambria Math"/>
                        <w:i/>
                        <w:color w:val="404040" w:themeColor="text1" w:themeTint="BF"/>
                      </w:rPr>
                    </m:ctrlPr>
                  </m:sSubPr>
                  <m:e>
                    <m:r>
                      <w:rPr>
                        <w:rFonts w:ascii="Cambria Math" w:hAnsi="Cambria Math"/>
                        <w:color w:val="404040" w:themeColor="text1" w:themeTint="BF"/>
                      </w:rPr>
                      <m:t>n</m:t>
                    </m:r>
                  </m:e>
                  <m:sub>
                    <m:r>
                      <w:rPr>
                        <w:rFonts w:ascii="Cambria Math" w:hAnsi="Cambria Math"/>
                        <w:color w:val="404040" w:themeColor="text1" w:themeTint="BF"/>
                      </w:rPr>
                      <m:t>1</m:t>
                    </m:r>
                  </m:sub>
                </m:sSub>
              </m:oMath>
            </m:oMathPara>
          </w:p>
        </w:tc>
        <w:tc>
          <w:tcPr>
            <w:tcW w:w="1052" w:type="dxa"/>
          </w:tcPr>
          <w:p w14:paraId="483414D0" w14:textId="77777777" w:rsidR="009E1A67" w:rsidRPr="008A7BB2" w:rsidRDefault="009E1A67" w:rsidP="00D737A2">
            <w:pPr>
              <w:jc w:val="center"/>
              <w:rPr>
                <w:color w:val="000000" w:themeColor="text1"/>
              </w:rPr>
            </w:pPr>
            <m:oMathPara>
              <m:oMath>
                <m:sSub>
                  <m:sSubPr>
                    <m:ctrlPr>
                      <w:rPr>
                        <w:rFonts w:ascii="Cambria Math" w:hAnsi="Cambria Math"/>
                        <w:i/>
                        <w:color w:val="404040" w:themeColor="text1" w:themeTint="BF"/>
                      </w:rPr>
                    </m:ctrlPr>
                  </m:sSubPr>
                  <m:e>
                    <m:r>
                      <w:rPr>
                        <w:rFonts w:ascii="Cambria Math" w:hAnsi="Cambria Math"/>
                        <w:color w:val="404040" w:themeColor="text1" w:themeTint="BF"/>
                      </w:rPr>
                      <m:t>D</m:t>
                    </m:r>
                  </m:e>
                  <m:sub>
                    <m:r>
                      <w:rPr>
                        <w:rFonts w:ascii="Cambria Math" w:hAnsi="Cambria Math"/>
                        <w:color w:val="404040" w:themeColor="text1" w:themeTint="BF"/>
                      </w:rPr>
                      <m:t>bu</m:t>
                    </m:r>
                  </m:sub>
                </m:sSub>
              </m:oMath>
            </m:oMathPara>
          </w:p>
        </w:tc>
        <w:tc>
          <w:tcPr>
            <w:tcW w:w="3205" w:type="dxa"/>
          </w:tcPr>
          <w:p w14:paraId="110F5D69" w14:textId="77777777" w:rsidR="009E1A67" w:rsidRPr="008A7BB2" w:rsidRDefault="009E1A67" w:rsidP="00D737A2">
            <w:pPr>
              <w:jc w:val="center"/>
              <w:rPr>
                <w:color w:val="000000" w:themeColor="text1"/>
              </w:rPr>
            </w:pPr>
            <w:proofErr w:type="spellStart"/>
            <w:r>
              <w:rPr>
                <w:color w:val="000000" w:themeColor="text1"/>
              </w:rPr>
              <w:t>Eqn</w:t>
            </w:r>
            <w:proofErr w:type="spellEnd"/>
            <w:r>
              <w:rPr>
                <w:color w:val="000000" w:themeColor="text1"/>
              </w:rPr>
              <w:t xml:space="preserve"> 13.91, </w:t>
            </w:r>
            <w:proofErr w:type="spellStart"/>
            <w:r>
              <w:rPr>
                <w:color w:val="000000" w:themeColor="text1"/>
              </w:rPr>
              <w:t>Eqn</w:t>
            </w:r>
            <w:proofErr w:type="spellEnd"/>
            <w:r>
              <w:rPr>
                <w:color w:val="000000" w:themeColor="text1"/>
              </w:rPr>
              <w:t xml:space="preserve"> 13.96</w:t>
            </w:r>
          </w:p>
        </w:tc>
      </w:tr>
      <w:tr w:rsidR="009E1A67" w14:paraId="571C4C8B" w14:textId="77777777" w:rsidTr="00D737A2">
        <w:trPr>
          <w:jc w:val="center"/>
        </w:trPr>
        <w:tc>
          <w:tcPr>
            <w:tcW w:w="1126" w:type="dxa"/>
          </w:tcPr>
          <w:p w14:paraId="4E4FAA8D" w14:textId="77777777" w:rsidR="009E1A67" w:rsidRPr="008A7BB2" w:rsidRDefault="009E1A67" w:rsidP="00D737A2">
            <w:pPr>
              <w:jc w:val="center"/>
              <w:rPr>
                <w:color w:val="000000" w:themeColor="text1"/>
              </w:rPr>
            </w:pPr>
            <w:r w:rsidRPr="003A69B5">
              <w:rPr>
                <w:color w:val="404040" w:themeColor="text1" w:themeTint="BF"/>
              </w:rPr>
              <w:t>13.9</w:t>
            </w:r>
          </w:p>
        </w:tc>
        <w:tc>
          <w:tcPr>
            <w:tcW w:w="2516" w:type="dxa"/>
          </w:tcPr>
          <w:p w14:paraId="614EC8C0" w14:textId="77777777" w:rsidR="009E1A67" w:rsidRPr="008A7BB2" w:rsidRDefault="009E1A67" w:rsidP="00D737A2">
            <w:pPr>
              <w:jc w:val="center"/>
              <w:rPr>
                <w:color w:val="000000" w:themeColor="text1"/>
              </w:rPr>
            </w:pPr>
            <m:oMathPara>
              <m:oMath>
                <m:sSub>
                  <m:sSubPr>
                    <m:ctrlPr>
                      <w:rPr>
                        <w:rFonts w:ascii="Cambria Math" w:hAnsi="Cambria Math"/>
                        <w:i/>
                        <w:color w:val="404040" w:themeColor="text1" w:themeTint="BF"/>
                      </w:rPr>
                    </m:ctrlPr>
                  </m:sSubPr>
                  <m:e>
                    <m:r>
                      <w:rPr>
                        <w:rFonts w:ascii="Cambria Math" w:hAnsi="Cambria Math"/>
                        <w:color w:val="404040" w:themeColor="text1" w:themeTint="BF"/>
                      </w:rPr>
                      <m:t>D</m:t>
                    </m:r>
                  </m:e>
                  <m:sub>
                    <m:r>
                      <w:rPr>
                        <w:rFonts w:ascii="Cambria Math" w:hAnsi="Cambria Math"/>
                        <w:color w:val="404040" w:themeColor="text1" w:themeTint="BF"/>
                      </w:rPr>
                      <m:t>o</m:t>
                    </m:r>
                  </m:sub>
                </m:sSub>
              </m:oMath>
            </m:oMathPara>
          </w:p>
        </w:tc>
        <w:tc>
          <w:tcPr>
            <w:tcW w:w="1052" w:type="dxa"/>
          </w:tcPr>
          <w:p w14:paraId="26784C50" w14:textId="77777777" w:rsidR="009E1A67" w:rsidRPr="008A7BB2" w:rsidRDefault="009E1A67" w:rsidP="00D737A2">
            <w:pPr>
              <w:jc w:val="center"/>
              <w:rPr>
                <w:color w:val="000000" w:themeColor="text1"/>
              </w:rPr>
            </w:pPr>
            <m:oMathPara>
              <m:oMath>
                <m:sSub>
                  <m:sSubPr>
                    <m:ctrlPr>
                      <w:rPr>
                        <w:rFonts w:ascii="Cambria Math" w:hAnsi="Cambria Math"/>
                        <w:i/>
                        <w:color w:val="404040" w:themeColor="text1" w:themeTint="BF"/>
                      </w:rPr>
                    </m:ctrlPr>
                  </m:sSubPr>
                  <m:e>
                    <m:r>
                      <w:rPr>
                        <w:rFonts w:ascii="Cambria Math" w:hAnsi="Cambria Math"/>
                        <w:color w:val="404040" w:themeColor="text1" w:themeTint="BF"/>
                      </w:rPr>
                      <m:t>p</m:t>
                    </m:r>
                  </m:e>
                  <m:sub>
                    <m:r>
                      <w:rPr>
                        <w:rFonts w:ascii="Cambria Math" w:hAnsi="Cambria Math"/>
                        <w:color w:val="404040" w:themeColor="text1" w:themeTint="BF"/>
                      </w:rPr>
                      <m:t>tu</m:t>
                    </m:r>
                  </m:sub>
                </m:sSub>
              </m:oMath>
            </m:oMathPara>
          </w:p>
        </w:tc>
        <w:tc>
          <w:tcPr>
            <w:tcW w:w="3205" w:type="dxa"/>
          </w:tcPr>
          <w:p w14:paraId="70145561" w14:textId="77777777" w:rsidR="009E1A67" w:rsidRPr="008A7BB2" w:rsidRDefault="009E1A67" w:rsidP="00D737A2">
            <w:pPr>
              <w:jc w:val="center"/>
              <w:rPr>
                <w:color w:val="000000" w:themeColor="text1"/>
              </w:rPr>
            </w:pPr>
          </w:p>
        </w:tc>
      </w:tr>
      <w:tr w:rsidR="009E1A67" w14:paraId="6FD0E799" w14:textId="77777777" w:rsidTr="00D737A2">
        <w:trPr>
          <w:jc w:val="center"/>
        </w:trPr>
        <w:tc>
          <w:tcPr>
            <w:tcW w:w="1126" w:type="dxa"/>
          </w:tcPr>
          <w:p w14:paraId="73B15652" w14:textId="77777777" w:rsidR="009E1A67" w:rsidRPr="008A7BB2" w:rsidRDefault="009E1A67" w:rsidP="00D737A2">
            <w:pPr>
              <w:jc w:val="center"/>
              <w:rPr>
                <w:color w:val="000000" w:themeColor="text1"/>
              </w:rPr>
            </w:pPr>
            <w:r>
              <w:rPr>
                <w:color w:val="000000" w:themeColor="text1"/>
              </w:rPr>
              <w:t>13.91</w:t>
            </w:r>
          </w:p>
        </w:tc>
        <w:tc>
          <w:tcPr>
            <w:tcW w:w="2516" w:type="dxa"/>
          </w:tcPr>
          <w:p w14:paraId="75498238" w14:textId="77777777" w:rsidR="009E1A67" w:rsidRPr="008A7BB2" w:rsidRDefault="009E1A67" w:rsidP="00D737A2">
            <w:pPr>
              <w:jc w:val="center"/>
              <w:rPr>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T</m:t>
                    </m:r>
                  </m:e>
                  <m:sub>
                    <m:r>
                      <w:rPr>
                        <w:rFonts w:ascii="Cambria Math" w:hAnsi="Cambria Math"/>
                        <w:color w:val="000000" w:themeColor="text1"/>
                      </w:rPr>
                      <m:t>1</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T</m:t>
                    </m:r>
                  </m:e>
                  <m:sub>
                    <m:r>
                      <w:rPr>
                        <w:rFonts w:ascii="Cambria Math" w:hAnsi="Cambria Math"/>
                        <w:color w:val="000000" w:themeColor="text1"/>
                      </w:rPr>
                      <m:t>2</m:t>
                    </m:r>
                  </m:sub>
                </m:sSub>
              </m:oMath>
            </m:oMathPara>
          </w:p>
        </w:tc>
        <w:tc>
          <w:tcPr>
            <w:tcW w:w="1052" w:type="dxa"/>
          </w:tcPr>
          <w:p w14:paraId="2015970E" w14:textId="77777777" w:rsidR="009E1A67" w:rsidRPr="00297A26" w:rsidRDefault="009E1A67" w:rsidP="00D737A2">
            <w:pPr>
              <w:jc w:val="center"/>
              <w:rPr>
                <w:b/>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T</m:t>
                    </m:r>
                  </m:e>
                  <m:sub>
                    <m:r>
                      <w:rPr>
                        <w:rFonts w:ascii="Cambria Math" w:hAnsi="Cambria Math"/>
                        <w:color w:val="000000" w:themeColor="text1"/>
                      </w:rPr>
                      <m:t>s</m:t>
                    </m:r>
                  </m:sub>
                </m:sSub>
              </m:oMath>
            </m:oMathPara>
          </w:p>
        </w:tc>
        <w:tc>
          <w:tcPr>
            <w:tcW w:w="3205" w:type="dxa"/>
          </w:tcPr>
          <w:p w14:paraId="7750BF89" w14:textId="77777777" w:rsidR="009E1A67" w:rsidRPr="008A7BB2" w:rsidRDefault="009E1A67" w:rsidP="00D737A2">
            <w:pPr>
              <w:jc w:val="center"/>
              <w:rPr>
                <w:color w:val="000000" w:themeColor="text1"/>
              </w:rPr>
            </w:pPr>
            <w:proofErr w:type="spellStart"/>
            <w:r>
              <w:rPr>
                <w:color w:val="000000" w:themeColor="text1"/>
              </w:rPr>
              <w:t>Eqn</w:t>
            </w:r>
            <w:proofErr w:type="spellEnd"/>
            <w:r>
              <w:rPr>
                <w:color w:val="000000" w:themeColor="text1"/>
              </w:rPr>
              <w:t xml:space="preserve"> 13.93, </w:t>
            </w:r>
            <w:proofErr w:type="spellStart"/>
            <w:r>
              <w:rPr>
                <w:color w:val="000000" w:themeColor="text1"/>
              </w:rPr>
              <w:t>Eqn</w:t>
            </w:r>
            <w:proofErr w:type="spellEnd"/>
            <w:r>
              <w:rPr>
                <w:color w:val="000000" w:themeColor="text1"/>
              </w:rPr>
              <w:t xml:space="preserve"> 13.94</w:t>
            </w:r>
          </w:p>
        </w:tc>
      </w:tr>
      <w:tr w:rsidR="009E1A67" w14:paraId="132695AE" w14:textId="77777777" w:rsidTr="00D737A2">
        <w:trPr>
          <w:jc w:val="center"/>
        </w:trPr>
        <w:tc>
          <w:tcPr>
            <w:tcW w:w="1126" w:type="dxa"/>
          </w:tcPr>
          <w:p w14:paraId="3C51CA19" w14:textId="77777777" w:rsidR="009E1A67" w:rsidRPr="008A7BB2" w:rsidRDefault="009E1A67" w:rsidP="00D737A2">
            <w:pPr>
              <w:jc w:val="center"/>
              <w:rPr>
                <w:color w:val="000000" w:themeColor="text1"/>
              </w:rPr>
            </w:pPr>
            <w:r>
              <w:rPr>
                <w:color w:val="000000" w:themeColor="text1"/>
              </w:rPr>
              <w:t>13.92</w:t>
            </w:r>
          </w:p>
        </w:tc>
        <w:tc>
          <w:tcPr>
            <w:tcW w:w="2516" w:type="dxa"/>
          </w:tcPr>
          <w:p w14:paraId="28C3021E" w14:textId="77777777" w:rsidR="009E1A67" w:rsidRPr="008A7BB2" w:rsidRDefault="009E1A67" w:rsidP="00D737A2">
            <w:pPr>
              <w:jc w:val="center"/>
              <w:rPr>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t</m:t>
                    </m:r>
                  </m:e>
                  <m:sub>
                    <m:r>
                      <w:rPr>
                        <w:rFonts w:ascii="Cambria Math" w:hAnsi="Cambria Math"/>
                        <w:color w:val="000000" w:themeColor="text1"/>
                      </w:rPr>
                      <m:t>1</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t</m:t>
                    </m:r>
                  </m:e>
                  <m:sub>
                    <m:r>
                      <w:rPr>
                        <w:rFonts w:ascii="Cambria Math" w:hAnsi="Cambria Math"/>
                        <w:color w:val="000000" w:themeColor="text1"/>
                      </w:rPr>
                      <m:t>2</m:t>
                    </m:r>
                  </m:sub>
                </m:sSub>
              </m:oMath>
            </m:oMathPara>
          </w:p>
        </w:tc>
        <w:tc>
          <w:tcPr>
            <w:tcW w:w="1052" w:type="dxa"/>
          </w:tcPr>
          <w:p w14:paraId="5C34F4FD" w14:textId="77777777" w:rsidR="009E1A67" w:rsidRPr="00297A26" w:rsidRDefault="009E1A67" w:rsidP="00D737A2">
            <w:pPr>
              <w:jc w:val="center"/>
              <w:rPr>
                <w:b/>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T</m:t>
                    </m:r>
                  </m:e>
                  <m:sub>
                    <m:r>
                      <w:rPr>
                        <w:rFonts w:ascii="Cambria Math" w:hAnsi="Cambria Math"/>
                        <w:color w:val="000000" w:themeColor="text1"/>
                      </w:rPr>
                      <m:t>tu</m:t>
                    </m:r>
                  </m:sub>
                </m:sSub>
              </m:oMath>
            </m:oMathPara>
          </w:p>
        </w:tc>
        <w:tc>
          <w:tcPr>
            <w:tcW w:w="3205" w:type="dxa"/>
          </w:tcPr>
          <w:p w14:paraId="76A781AC" w14:textId="77777777" w:rsidR="009E1A67" w:rsidRPr="008A7BB2" w:rsidRDefault="009E1A67" w:rsidP="00D737A2">
            <w:pPr>
              <w:jc w:val="center"/>
              <w:rPr>
                <w:color w:val="000000" w:themeColor="text1"/>
              </w:rPr>
            </w:pPr>
            <w:proofErr w:type="spellStart"/>
            <w:r>
              <w:rPr>
                <w:color w:val="000000" w:themeColor="text1"/>
              </w:rPr>
              <w:t>Eqn</w:t>
            </w:r>
            <w:proofErr w:type="spellEnd"/>
            <w:r>
              <w:rPr>
                <w:color w:val="000000" w:themeColor="text1"/>
              </w:rPr>
              <w:t xml:space="preserve"> 13.93, </w:t>
            </w:r>
            <w:proofErr w:type="spellStart"/>
            <w:r>
              <w:rPr>
                <w:color w:val="000000" w:themeColor="text1"/>
              </w:rPr>
              <w:t>Eqn</w:t>
            </w:r>
            <w:proofErr w:type="spellEnd"/>
            <w:r>
              <w:rPr>
                <w:color w:val="000000" w:themeColor="text1"/>
              </w:rPr>
              <w:t xml:space="preserve"> 13.97</w:t>
            </w:r>
          </w:p>
        </w:tc>
      </w:tr>
      <w:tr w:rsidR="009E1A67" w14:paraId="0743DF71" w14:textId="77777777" w:rsidTr="00D737A2">
        <w:trPr>
          <w:jc w:val="center"/>
        </w:trPr>
        <w:tc>
          <w:tcPr>
            <w:tcW w:w="1126" w:type="dxa"/>
          </w:tcPr>
          <w:p w14:paraId="4A48E0CB" w14:textId="77777777" w:rsidR="009E1A67" w:rsidRPr="008A7BB2" w:rsidRDefault="009E1A67" w:rsidP="00D737A2">
            <w:pPr>
              <w:jc w:val="center"/>
              <w:rPr>
                <w:color w:val="000000" w:themeColor="text1"/>
              </w:rPr>
            </w:pPr>
            <w:r>
              <w:rPr>
                <w:color w:val="000000" w:themeColor="text1"/>
              </w:rPr>
              <w:t>13.93</w:t>
            </w:r>
          </w:p>
        </w:tc>
        <w:tc>
          <w:tcPr>
            <w:tcW w:w="2516" w:type="dxa"/>
          </w:tcPr>
          <w:p w14:paraId="68E4A881" w14:textId="77777777" w:rsidR="009E1A67" w:rsidRPr="008A7BB2" w:rsidRDefault="009E1A67" w:rsidP="00D737A2">
            <w:pPr>
              <w:jc w:val="center"/>
              <w:rPr>
                <w:color w:val="000000" w:themeColor="text1"/>
              </w:rPr>
            </w:pPr>
            <m:oMathPara>
              <m:oMath>
                <m:sSub>
                  <m:sSubPr>
                    <m:ctrlPr>
                      <w:rPr>
                        <w:rFonts w:ascii="Cambria Math" w:hAnsi="Cambria Math"/>
                        <w:b/>
                        <w:i/>
                        <w:color w:val="000000" w:themeColor="text1"/>
                      </w:rPr>
                    </m:ctrlPr>
                  </m:sSubPr>
                  <m:e>
                    <m:r>
                      <m:rPr>
                        <m:sty m:val="bi"/>
                      </m:rPr>
                      <w:rPr>
                        <w:rFonts w:ascii="Cambria Math" w:hAnsi="Cambria Math"/>
                        <w:color w:val="000000" w:themeColor="text1"/>
                      </w:rPr>
                      <m:t>T</m:t>
                    </m:r>
                  </m:e>
                  <m:sub>
                    <m:r>
                      <m:rPr>
                        <m:sty m:val="bi"/>
                      </m:rPr>
                      <w:rPr>
                        <w:rFonts w:ascii="Cambria Math" w:hAnsi="Cambria Math"/>
                        <w:color w:val="000000" w:themeColor="text1"/>
                      </w:rPr>
                      <m:t>s</m:t>
                    </m:r>
                  </m:sub>
                </m:sSub>
                <m:r>
                  <w:rPr>
                    <w:rFonts w:ascii="Cambria Math" w:hAnsi="Cambria Math"/>
                    <w:color w:val="000000" w:themeColor="text1"/>
                  </w:rPr>
                  <m:t xml:space="preserve">, </m:t>
                </m:r>
                <m:sSub>
                  <m:sSubPr>
                    <m:ctrlPr>
                      <w:rPr>
                        <w:rFonts w:ascii="Cambria Math" w:hAnsi="Cambria Math"/>
                        <w:b/>
                        <w:i/>
                        <w:color w:val="000000" w:themeColor="text1"/>
                      </w:rPr>
                    </m:ctrlPr>
                  </m:sSubPr>
                  <m:e>
                    <m:r>
                      <m:rPr>
                        <m:sty m:val="bi"/>
                      </m:rPr>
                      <w:rPr>
                        <w:rFonts w:ascii="Cambria Math" w:hAnsi="Cambria Math"/>
                        <w:color w:val="000000" w:themeColor="text1"/>
                      </w:rPr>
                      <m:t>T</m:t>
                    </m:r>
                  </m:e>
                  <m:sub>
                    <m:r>
                      <m:rPr>
                        <m:sty m:val="bi"/>
                      </m:rPr>
                      <w:rPr>
                        <w:rFonts w:ascii="Cambria Math" w:hAnsi="Cambria Math"/>
                        <w:color w:val="000000" w:themeColor="text1"/>
                      </w:rPr>
                      <m:t>tu</m:t>
                    </m:r>
                  </m:sub>
                </m:sSub>
                <m:r>
                  <w:rPr>
                    <w:rFonts w:ascii="Cambria Math" w:hAnsi="Cambria Math"/>
                    <w:color w:val="000000" w:themeColor="text1"/>
                  </w:rPr>
                  <m:t>,</m:t>
                </m:r>
                <m:r>
                  <m:rPr>
                    <m:sty m:val="bi"/>
                  </m:rPr>
                  <w:rPr>
                    <w:rFonts w:ascii="Cambria Math" w:hAnsi="Cambria Math"/>
                    <w:color w:val="000000" w:themeColor="text1"/>
                  </w:rPr>
                  <m:t xml:space="preserve"> U</m:t>
                </m:r>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T</m:t>
                    </m:r>
                  </m:e>
                  <m:sub>
                    <m:r>
                      <w:rPr>
                        <w:rFonts w:ascii="Cambria Math" w:hAnsi="Cambria Math"/>
                        <w:color w:val="000000" w:themeColor="text1"/>
                      </w:rPr>
                      <m:t>tu,w</m:t>
                    </m:r>
                  </m:sub>
                </m:sSub>
              </m:oMath>
            </m:oMathPara>
          </w:p>
        </w:tc>
        <w:tc>
          <w:tcPr>
            <w:tcW w:w="1052" w:type="dxa"/>
          </w:tcPr>
          <w:p w14:paraId="2721581F" w14:textId="77777777" w:rsidR="009E1A67" w:rsidRPr="005F5F29" w:rsidRDefault="009E1A67" w:rsidP="00D737A2">
            <w:pPr>
              <w:jc w:val="center"/>
              <w:rPr>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U</m:t>
                    </m:r>
                  </m:e>
                  <m:sub>
                    <m:r>
                      <w:rPr>
                        <w:rFonts w:ascii="Cambria Math" w:hAnsi="Cambria Math"/>
                        <w:color w:val="000000" w:themeColor="text1"/>
                      </w:rPr>
                      <m:t>con</m:t>
                    </m:r>
                  </m:sub>
                </m:sSub>
              </m:oMath>
            </m:oMathPara>
          </w:p>
        </w:tc>
        <w:tc>
          <w:tcPr>
            <w:tcW w:w="3205" w:type="dxa"/>
          </w:tcPr>
          <w:p w14:paraId="453E6F62" w14:textId="77777777" w:rsidR="009E1A67" w:rsidRPr="008A7BB2" w:rsidRDefault="009E1A67" w:rsidP="00D737A2">
            <w:pPr>
              <w:jc w:val="center"/>
              <w:rPr>
                <w:color w:val="000000" w:themeColor="text1"/>
              </w:rPr>
            </w:pPr>
          </w:p>
        </w:tc>
      </w:tr>
      <w:tr w:rsidR="009E1A67" w14:paraId="42DA79F3" w14:textId="77777777" w:rsidTr="00D737A2">
        <w:trPr>
          <w:jc w:val="center"/>
        </w:trPr>
        <w:tc>
          <w:tcPr>
            <w:tcW w:w="1126" w:type="dxa"/>
          </w:tcPr>
          <w:p w14:paraId="51DFA78C" w14:textId="77777777" w:rsidR="009E1A67" w:rsidRPr="008A7BB2" w:rsidRDefault="009E1A67" w:rsidP="00D737A2">
            <w:pPr>
              <w:jc w:val="center"/>
              <w:rPr>
                <w:color w:val="000000" w:themeColor="text1"/>
              </w:rPr>
            </w:pPr>
            <w:r>
              <w:rPr>
                <w:color w:val="000000" w:themeColor="text1"/>
              </w:rPr>
              <w:t>13.94</w:t>
            </w:r>
          </w:p>
        </w:tc>
        <w:tc>
          <w:tcPr>
            <w:tcW w:w="2516" w:type="dxa"/>
          </w:tcPr>
          <w:p w14:paraId="0C2B9A3A" w14:textId="77777777" w:rsidR="009E1A67" w:rsidRPr="008A7BB2" w:rsidRDefault="009E1A67" w:rsidP="00D737A2">
            <w:pPr>
              <w:jc w:val="center"/>
              <w:rPr>
                <w:color w:val="000000" w:themeColor="text1"/>
              </w:rPr>
            </w:pPr>
            <m:oMathPara>
              <m:oMath>
                <m:sSub>
                  <m:sSubPr>
                    <m:ctrlPr>
                      <w:rPr>
                        <w:rFonts w:ascii="Cambria Math" w:hAnsi="Cambria Math"/>
                        <w:b/>
                        <w:i/>
                        <w:color w:val="000000" w:themeColor="text1"/>
                      </w:rPr>
                    </m:ctrlPr>
                  </m:sSubPr>
                  <m:e>
                    <m:r>
                      <m:rPr>
                        <m:sty m:val="bi"/>
                      </m:rPr>
                      <w:rPr>
                        <w:rFonts w:ascii="Cambria Math" w:hAnsi="Cambria Math"/>
                        <w:color w:val="000000" w:themeColor="text1"/>
                      </w:rPr>
                      <m:t>T</m:t>
                    </m:r>
                  </m:e>
                  <m:sub>
                    <m:r>
                      <m:rPr>
                        <m:sty m:val="bi"/>
                      </m:rPr>
                      <w:rPr>
                        <w:rFonts w:ascii="Cambria Math" w:hAnsi="Cambria Math"/>
                        <w:color w:val="000000" w:themeColor="text1"/>
                      </w:rPr>
                      <m:t>s</m:t>
                    </m:r>
                  </m:sub>
                </m:sSub>
                <m:r>
                  <w:rPr>
                    <w:rFonts w:ascii="Cambria Math" w:hAnsi="Cambria Math"/>
                    <w:color w:val="000000" w:themeColor="text1"/>
                  </w:rPr>
                  <m:t xml:space="preserve">, </m:t>
                </m:r>
                <m:sSub>
                  <m:sSubPr>
                    <m:ctrlPr>
                      <w:rPr>
                        <w:rFonts w:ascii="Cambria Math" w:hAnsi="Cambria Math"/>
                        <w:i/>
                        <w:color w:val="000000" w:themeColor="text1"/>
                      </w:rPr>
                    </m:ctrlPr>
                  </m:sSubPr>
                  <m:e>
                    <m:r>
                      <w:rPr>
                        <w:rFonts w:ascii="Cambria Math" w:hAnsi="Cambria Math"/>
                        <w:color w:val="000000" w:themeColor="text1"/>
                      </w:rPr>
                      <m:t>Mr</m:t>
                    </m:r>
                  </m:e>
                  <m:sub>
                    <m:r>
                      <w:rPr>
                        <w:rFonts w:ascii="Cambria Math" w:hAnsi="Cambria Math"/>
                        <w:color w:val="000000" w:themeColor="text1"/>
                      </w:rPr>
                      <m:t>v</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V</m:t>
                    </m:r>
                  </m:e>
                  <m:sub>
                    <m:r>
                      <w:rPr>
                        <w:rFonts w:ascii="Cambria Math" w:hAnsi="Cambria Math"/>
                        <w:color w:val="000000" w:themeColor="text1"/>
                      </w:rPr>
                      <m:t>ideal</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P</m:t>
                    </m:r>
                  </m:e>
                  <m:sub>
                    <m:r>
                      <w:rPr>
                        <w:rFonts w:ascii="Cambria Math" w:hAnsi="Cambria Math"/>
                        <w:color w:val="000000" w:themeColor="text1"/>
                      </w:rPr>
                      <m:t>atm</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P</m:t>
                    </m:r>
                  </m:e>
                  <m:sub>
                    <m:r>
                      <w:rPr>
                        <w:rFonts w:ascii="Cambria Math" w:hAnsi="Cambria Math"/>
                        <w:color w:val="000000" w:themeColor="text1"/>
                      </w:rPr>
                      <m:t>v</m:t>
                    </m:r>
                  </m:sub>
                </m:sSub>
              </m:oMath>
            </m:oMathPara>
          </w:p>
        </w:tc>
        <w:tc>
          <w:tcPr>
            <w:tcW w:w="1052" w:type="dxa"/>
          </w:tcPr>
          <w:p w14:paraId="7FC859EA" w14:textId="77777777" w:rsidR="009E1A67" w:rsidRPr="00297A26" w:rsidRDefault="009E1A67" w:rsidP="00D737A2">
            <w:pPr>
              <w:jc w:val="center"/>
              <w:rPr>
                <w:b/>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ρ</m:t>
                    </m:r>
                  </m:e>
                  <m:sub>
                    <m:r>
                      <w:rPr>
                        <w:rFonts w:ascii="Cambria Math" w:hAnsi="Cambria Math"/>
                        <w:color w:val="000000" w:themeColor="text1"/>
                      </w:rPr>
                      <m:t>v</m:t>
                    </m:r>
                  </m:sub>
                </m:sSub>
              </m:oMath>
            </m:oMathPara>
          </w:p>
        </w:tc>
        <w:tc>
          <w:tcPr>
            <w:tcW w:w="3205" w:type="dxa"/>
          </w:tcPr>
          <w:p w14:paraId="442E64B6" w14:textId="77777777" w:rsidR="009E1A67" w:rsidRPr="008A7BB2" w:rsidRDefault="009E1A67" w:rsidP="00D737A2">
            <w:pPr>
              <w:jc w:val="center"/>
              <w:rPr>
                <w:color w:val="000000" w:themeColor="text1"/>
              </w:rPr>
            </w:pPr>
            <w:proofErr w:type="spellStart"/>
            <w:r>
              <w:rPr>
                <w:color w:val="000000" w:themeColor="text1"/>
              </w:rPr>
              <w:t>Eqn</w:t>
            </w:r>
            <w:proofErr w:type="spellEnd"/>
            <w:r>
              <w:rPr>
                <w:color w:val="000000" w:themeColor="text1"/>
              </w:rPr>
              <w:t xml:space="preserve"> 13.96</w:t>
            </w:r>
          </w:p>
        </w:tc>
      </w:tr>
      <w:tr w:rsidR="009E1A67" w14:paraId="543C2356" w14:textId="77777777" w:rsidTr="00D737A2">
        <w:trPr>
          <w:jc w:val="center"/>
        </w:trPr>
        <w:tc>
          <w:tcPr>
            <w:tcW w:w="1126" w:type="dxa"/>
          </w:tcPr>
          <w:p w14:paraId="52854554" w14:textId="77777777" w:rsidR="009E1A67" w:rsidRPr="008A7BB2" w:rsidRDefault="009E1A67" w:rsidP="00D737A2">
            <w:pPr>
              <w:jc w:val="center"/>
              <w:rPr>
                <w:color w:val="000000" w:themeColor="text1"/>
              </w:rPr>
            </w:pPr>
            <w:r>
              <w:rPr>
                <w:color w:val="000000" w:themeColor="text1"/>
              </w:rPr>
              <w:t>13.95</w:t>
            </w:r>
          </w:p>
        </w:tc>
        <w:tc>
          <w:tcPr>
            <w:tcW w:w="2516" w:type="dxa"/>
          </w:tcPr>
          <w:p w14:paraId="5DC1907D" w14:textId="77777777" w:rsidR="009E1A67" w:rsidRPr="008A7BB2" w:rsidRDefault="009E1A67" w:rsidP="00D737A2">
            <w:pPr>
              <w:jc w:val="center"/>
              <w:rPr>
                <w:color w:val="000000" w:themeColor="text1"/>
              </w:rPr>
            </w:pPr>
            <m:oMathPara>
              <m:oMath>
                <m:sSub>
                  <m:sSubPr>
                    <m:ctrlPr>
                      <w:rPr>
                        <w:rFonts w:ascii="Cambria Math" w:hAnsi="Cambria Math"/>
                        <w:b/>
                        <w:i/>
                        <w:color w:val="000000" w:themeColor="text1"/>
                      </w:rPr>
                    </m:ctrlPr>
                  </m:sSubPr>
                  <m:e>
                    <m:r>
                      <m:rPr>
                        <m:sty m:val="bi"/>
                      </m:rPr>
                      <w:rPr>
                        <w:rFonts w:ascii="Cambria Math" w:hAnsi="Cambria Math"/>
                        <w:color w:val="000000" w:themeColor="text1"/>
                      </w:rPr>
                      <m:t>N</m:t>
                    </m:r>
                  </m:e>
                  <m:sub>
                    <m:r>
                      <m:rPr>
                        <m:sty m:val="bi"/>
                      </m:rPr>
                      <w:rPr>
                        <w:rFonts w:ascii="Cambria Math" w:hAnsi="Cambria Math"/>
                        <w:color w:val="000000" w:themeColor="text1"/>
                      </w:rPr>
                      <m:t>tu</m:t>
                    </m:r>
                  </m:sub>
                </m:sSub>
                <m:r>
                  <w:rPr>
                    <w:rFonts w:ascii="Cambria Math" w:hAnsi="Cambria Math"/>
                    <w:color w:val="404040" w:themeColor="text1" w:themeTint="BF"/>
                  </w:rPr>
                  <m:t>,</m:t>
                </m:r>
                <m:sSub>
                  <m:sSubPr>
                    <m:ctrlPr>
                      <w:rPr>
                        <w:rFonts w:ascii="Cambria Math" w:hAnsi="Cambria Math"/>
                        <w:i/>
                        <w:color w:val="000000" w:themeColor="text1"/>
                      </w:rPr>
                    </m:ctrlPr>
                  </m:sSubPr>
                  <m:e>
                    <m:r>
                      <w:rPr>
                        <w:rFonts w:ascii="Cambria Math" w:hAnsi="Cambria Math"/>
                        <w:color w:val="000000" w:themeColor="text1"/>
                      </w:rPr>
                      <m:t>Q</m:t>
                    </m:r>
                  </m:e>
                  <m:sub>
                    <m:r>
                      <w:rPr>
                        <w:rFonts w:ascii="Cambria Math" w:hAnsi="Cambria Math"/>
                        <w:color w:val="000000" w:themeColor="text1"/>
                      </w:rPr>
                      <m:t>v</m:t>
                    </m:r>
                  </m:sub>
                </m:sSub>
                <m:r>
                  <w:rPr>
                    <w:rFonts w:ascii="Cambria Math" w:hAnsi="Cambria Math"/>
                    <w:color w:val="000000" w:themeColor="text1"/>
                  </w:rPr>
                  <m:t>,L</m:t>
                </m:r>
              </m:oMath>
            </m:oMathPara>
          </w:p>
        </w:tc>
        <w:tc>
          <w:tcPr>
            <w:tcW w:w="1052" w:type="dxa"/>
          </w:tcPr>
          <w:p w14:paraId="65D0F79B" w14:textId="77777777" w:rsidR="009E1A67" w:rsidRPr="00297A26" w:rsidRDefault="009E1A67" w:rsidP="00D737A2">
            <w:pPr>
              <w:jc w:val="center"/>
              <w:rPr>
                <w:b/>
                <w:color w:val="000000" w:themeColor="text1"/>
              </w:rPr>
            </w:pPr>
            <m:oMathPara>
              <m:oMath>
                <m:sSub>
                  <m:sSubPr>
                    <m:ctrlPr>
                      <w:rPr>
                        <w:rFonts w:ascii="Cambria Math" w:hAnsi="Cambria Math"/>
                        <w:i/>
                        <w:color w:val="000000" w:themeColor="text1"/>
                      </w:rPr>
                    </m:ctrlPr>
                  </m:sSubPr>
                  <m:e>
                    <m:r>
                      <m:rPr>
                        <m:sty m:val="p"/>
                      </m:rPr>
                      <w:rPr>
                        <w:rFonts w:ascii="Cambria Math" w:hAnsi="Cambria Math"/>
                        <w:color w:val="000000" w:themeColor="text1"/>
                      </w:rPr>
                      <m:t>Γ</m:t>
                    </m:r>
                  </m:e>
                  <m:sub>
                    <m:r>
                      <w:rPr>
                        <w:rFonts w:ascii="Cambria Math" w:hAnsi="Cambria Math"/>
                        <w:color w:val="000000" w:themeColor="text1"/>
                      </w:rPr>
                      <m:t>tu</m:t>
                    </m:r>
                  </m:sub>
                </m:sSub>
              </m:oMath>
            </m:oMathPara>
          </w:p>
        </w:tc>
        <w:tc>
          <w:tcPr>
            <w:tcW w:w="3205" w:type="dxa"/>
          </w:tcPr>
          <w:p w14:paraId="1CB7DA3D" w14:textId="77777777" w:rsidR="009E1A67" w:rsidRPr="008A7BB2" w:rsidRDefault="009E1A67" w:rsidP="00D737A2">
            <w:pPr>
              <w:jc w:val="center"/>
              <w:rPr>
                <w:color w:val="000000" w:themeColor="text1"/>
              </w:rPr>
            </w:pPr>
            <w:proofErr w:type="spellStart"/>
            <w:r>
              <w:rPr>
                <w:color w:val="000000" w:themeColor="text1"/>
              </w:rPr>
              <w:t>Eqn</w:t>
            </w:r>
            <w:proofErr w:type="spellEnd"/>
            <w:r>
              <w:rPr>
                <w:color w:val="000000" w:themeColor="text1"/>
              </w:rPr>
              <w:t xml:space="preserve"> 13.96</w:t>
            </w:r>
          </w:p>
        </w:tc>
      </w:tr>
      <w:tr w:rsidR="009E1A67" w14:paraId="6A474808" w14:textId="77777777" w:rsidTr="00D737A2">
        <w:trPr>
          <w:jc w:val="center"/>
        </w:trPr>
        <w:tc>
          <w:tcPr>
            <w:tcW w:w="1126" w:type="dxa"/>
          </w:tcPr>
          <w:p w14:paraId="22247788" w14:textId="77777777" w:rsidR="009E1A67" w:rsidRPr="008A7BB2" w:rsidRDefault="009E1A67" w:rsidP="00D737A2">
            <w:pPr>
              <w:jc w:val="center"/>
              <w:rPr>
                <w:color w:val="000000" w:themeColor="text1"/>
              </w:rPr>
            </w:pPr>
            <w:r>
              <w:rPr>
                <w:color w:val="000000" w:themeColor="text1"/>
              </w:rPr>
              <w:t>13.96</w:t>
            </w:r>
          </w:p>
        </w:tc>
        <w:tc>
          <w:tcPr>
            <w:tcW w:w="2516" w:type="dxa"/>
          </w:tcPr>
          <w:p w14:paraId="6C0A5559" w14:textId="77777777" w:rsidR="009E1A67" w:rsidRPr="005F5F29" w:rsidRDefault="009E1A67" w:rsidP="00D737A2">
            <w:pPr>
              <w:jc w:val="center"/>
              <w:rPr>
                <w:color w:val="000000" w:themeColor="text1"/>
              </w:rPr>
            </w:pPr>
            <m:oMathPara>
              <m:oMath>
                <m:sSub>
                  <m:sSubPr>
                    <m:ctrlPr>
                      <w:rPr>
                        <w:rFonts w:ascii="Cambria Math" w:hAnsi="Cambria Math"/>
                        <w:b/>
                        <w:i/>
                        <w:color w:val="000000" w:themeColor="text1"/>
                      </w:rPr>
                    </m:ctrlPr>
                  </m:sSubPr>
                  <m:e>
                    <m:sSub>
                      <m:sSubPr>
                        <m:ctrlPr>
                          <w:rPr>
                            <w:rFonts w:ascii="Cambria Math" w:hAnsi="Cambria Math"/>
                            <w:b/>
                            <w:i/>
                            <w:color w:val="000000" w:themeColor="text1"/>
                          </w:rPr>
                        </m:ctrlPr>
                      </m:sSubPr>
                      <m:e>
                        <m:r>
                          <m:rPr>
                            <m:sty m:val="bi"/>
                          </m:rPr>
                          <w:rPr>
                            <w:rFonts w:ascii="Cambria Math" w:hAnsi="Cambria Math"/>
                            <w:color w:val="000000" w:themeColor="text1"/>
                          </w:rPr>
                          <m:t>N</m:t>
                        </m:r>
                      </m:e>
                      <m:sub>
                        <m:r>
                          <m:rPr>
                            <m:sty m:val="bi"/>
                          </m:rPr>
                          <w:rPr>
                            <w:rFonts w:ascii="Cambria Math" w:hAnsi="Cambria Math"/>
                            <w:color w:val="000000" w:themeColor="text1"/>
                          </w:rPr>
                          <m:t>tu</m:t>
                        </m:r>
                      </m:sub>
                    </m:sSub>
                    <m:r>
                      <m:rPr>
                        <m:sty m:val="b"/>
                      </m:rPr>
                      <w:rPr>
                        <w:rFonts w:ascii="Cambria Math" w:hAnsi="Cambria Math"/>
                        <w:color w:val="000000" w:themeColor="text1"/>
                      </w:rPr>
                      <m:t>,D</m:t>
                    </m:r>
                  </m:e>
                  <m:sub>
                    <m:r>
                      <m:rPr>
                        <m:sty m:val="bi"/>
                      </m:rPr>
                      <w:rPr>
                        <w:rFonts w:ascii="Cambria Math" w:hAnsi="Cambria Math"/>
                        <w:color w:val="000000" w:themeColor="text1"/>
                      </w:rPr>
                      <m:t>bu</m:t>
                    </m:r>
                  </m:sub>
                </m:sSub>
                <m:r>
                  <w:rPr>
                    <w:rFonts w:ascii="Cambria Math" w:hAnsi="Cambria Math"/>
                    <w:color w:val="000000" w:themeColor="text1"/>
                  </w:rPr>
                  <m:t>,</m:t>
                </m:r>
                <m:sSub>
                  <m:sSubPr>
                    <m:ctrlPr>
                      <w:rPr>
                        <w:rFonts w:ascii="Cambria Math" w:hAnsi="Cambria Math"/>
                        <w:b/>
                        <w:i/>
                        <w:color w:val="000000" w:themeColor="text1"/>
                      </w:rPr>
                    </m:ctrlPr>
                  </m:sSubPr>
                  <m:e>
                    <m:r>
                      <m:rPr>
                        <m:sty m:val="bi"/>
                      </m:rPr>
                      <w:rPr>
                        <w:rFonts w:ascii="Cambria Math" w:hAnsi="Cambria Math"/>
                        <w:color w:val="000000" w:themeColor="text1"/>
                      </w:rPr>
                      <m:t>ρ</m:t>
                    </m:r>
                  </m:e>
                  <m:sub>
                    <m:r>
                      <m:rPr>
                        <m:sty m:val="bi"/>
                      </m:rPr>
                      <w:rPr>
                        <w:rFonts w:ascii="Cambria Math" w:hAnsi="Cambria Math"/>
                        <w:color w:val="000000" w:themeColor="text1"/>
                      </w:rPr>
                      <m:t>v</m:t>
                    </m:r>
                  </m:sub>
                </m:sSub>
                <m:r>
                  <w:rPr>
                    <w:rFonts w:ascii="Cambria Math" w:hAnsi="Cambria Math"/>
                    <w:color w:val="000000" w:themeColor="text1"/>
                  </w:rPr>
                  <m:t xml:space="preserve">, </m:t>
                </m:r>
                <m:sSub>
                  <m:sSubPr>
                    <m:ctrlPr>
                      <w:rPr>
                        <w:rFonts w:ascii="Cambria Math" w:hAnsi="Cambria Math"/>
                        <w:i/>
                        <w:color w:val="000000" w:themeColor="text1"/>
                      </w:rPr>
                    </m:ctrlPr>
                  </m:sSubPr>
                  <m:e>
                    <m:sSub>
                      <m:sSubPr>
                        <m:ctrlPr>
                          <w:rPr>
                            <w:rFonts w:ascii="Cambria Math" w:hAnsi="Cambria Math"/>
                            <w:b/>
                            <w:i/>
                            <w:color w:val="000000" w:themeColor="text1"/>
                          </w:rPr>
                        </m:ctrlPr>
                      </m:sSubPr>
                      <m:e>
                        <m:r>
                          <m:rPr>
                            <m:sty m:val="b"/>
                          </m:rPr>
                          <w:rPr>
                            <w:rFonts w:ascii="Cambria Math" w:hAnsi="Cambria Math"/>
                            <w:color w:val="000000" w:themeColor="text1"/>
                          </w:rPr>
                          <m:t>Γ</m:t>
                        </m:r>
                      </m:e>
                      <m:sub>
                        <m:r>
                          <m:rPr>
                            <m:sty m:val="bi"/>
                          </m:rPr>
                          <w:rPr>
                            <w:rFonts w:ascii="Cambria Math" w:hAnsi="Cambria Math"/>
                            <w:color w:val="000000" w:themeColor="text1"/>
                          </w:rPr>
                          <m:t>tu</m:t>
                        </m:r>
                      </m:sub>
                    </m:sSub>
                    <m:r>
                      <w:rPr>
                        <w:rFonts w:ascii="Cambria Math" w:hAnsi="Cambria Math"/>
                        <w:color w:val="000000" w:themeColor="text1"/>
                      </w:rPr>
                      <m:t>,</m:t>
                    </m:r>
                    <m:r>
                      <m:rPr>
                        <m:sty m:val="p"/>
                      </m:rPr>
                      <w:rPr>
                        <w:rFonts w:ascii="Cambria Math" w:hAnsi="Cambria Math"/>
                        <w:color w:val="000000" w:themeColor="text1"/>
                      </w:rPr>
                      <m:t>k</m:t>
                    </m:r>
                  </m:e>
                  <m:sub>
                    <m:r>
                      <w:rPr>
                        <w:rFonts w:ascii="Cambria Math" w:hAnsi="Cambria Math"/>
                        <w:color w:val="000000" w:themeColor="text1"/>
                      </w:rPr>
                      <m:t>L</m:t>
                    </m:r>
                  </m:sub>
                </m:sSub>
                <m:r>
                  <w:rPr>
                    <w:rFonts w:ascii="Cambria Math" w:hAnsi="Cambria Math"/>
                    <w:color w:val="000000" w:themeColor="text1"/>
                  </w:rPr>
                  <m:t>,</m:t>
                </m:r>
                <m:sSub>
                  <m:sSubPr>
                    <m:ctrlPr>
                      <w:rPr>
                        <w:rFonts w:ascii="Cambria Math" w:hAnsi="Cambria Math"/>
                        <w:i/>
                        <w:color w:val="000000" w:themeColor="text1"/>
                      </w:rPr>
                    </m:ctrlPr>
                  </m:sSubPr>
                  <m:e>
                    <m:r>
                      <m:rPr>
                        <m:sty m:val="p"/>
                      </m:rPr>
                      <w:rPr>
                        <w:rFonts w:ascii="Cambria Math" w:hAnsi="Cambria Math"/>
                        <w:color w:val="000000" w:themeColor="text1"/>
                      </w:rPr>
                      <m:t>ρ</m:t>
                    </m:r>
                  </m:e>
                  <m:sub>
                    <m:r>
                      <w:rPr>
                        <w:rFonts w:ascii="Cambria Math" w:hAnsi="Cambria Math"/>
                        <w:color w:val="000000" w:themeColor="text1"/>
                      </w:rPr>
                      <m:t>L</m:t>
                    </m:r>
                  </m:sub>
                </m:sSub>
                <m:r>
                  <w:rPr>
                    <w:rFonts w:ascii="Cambria Math" w:hAnsi="Cambria Math"/>
                    <w:color w:val="000000" w:themeColor="text1"/>
                  </w:rPr>
                  <m:t>,g</m:t>
                </m:r>
              </m:oMath>
            </m:oMathPara>
          </w:p>
          <w:p w14:paraId="63793955" w14:textId="77777777" w:rsidR="009E1A67" w:rsidRPr="008A7BB2" w:rsidRDefault="009E1A67" w:rsidP="00D737A2">
            <w:pPr>
              <w:jc w:val="center"/>
              <w:rPr>
                <w:color w:val="000000" w:themeColor="text1"/>
              </w:rPr>
            </w:pPr>
            <m:oMathPara>
              <m:oMath>
                <m:sSub>
                  <m:sSubPr>
                    <m:ctrlPr>
                      <w:rPr>
                        <w:rFonts w:ascii="Cambria Math" w:hAnsi="Cambria Math"/>
                        <w:color w:val="000000" w:themeColor="text1"/>
                      </w:rPr>
                    </m:ctrlPr>
                  </m:sSubPr>
                  <m:e>
                    <m:r>
                      <m:rPr>
                        <m:sty m:val="p"/>
                      </m:rPr>
                      <w:rPr>
                        <w:rFonts w:ascii="Cambria Math" w:hAnsi="Cambria Math"/>
                        <w:color w:val="000000" w:themeColor="text1"/>
                      </w:rPr>
                      <m:t>μ</m:t>
                    </m:r>
                  </m:e>
                  <m:sub>
                    <m:r>
                      <w:rPr>
                        <w:rFonts w:ascii="Cambria Math" w:hAnsi="Cambria Math"/>
                        <w:color w:val="000000" w:themeColor="text1"/>
                      </w:rPr>
                      <m:t>L</m:t>
                    </m:r>
                  </m:sub>
                </m:sSub>
              </m:oMath>
            </m:oMathPara>
          </w:p>
        </w:tc>
        <w:tc>
          <w:tcPr>
            <w:tcW w:w="1052" w:type="dxa"/>
          </w:tcPr>
          <w:p w14:paraId="3C99516A" w14:textId="77777777" w:rsidR="009E1A67" w:rsidRPr="00297A26" w:rsidRDefault="009E1A67" w:rsidP="00D737A2">
            <w:pPr>
              <w:jc w:val="center"/>
              <w:rPr>
                <w:b/>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h</m:t>
                    </m:r>
                  </m:e>
                  <m:sub>
                    <m:r>
                      <w:rPr>
                        <w:rFonts w:ascii="Cambria Math" w:hAnsi="Cambria Math"/>
                        <w:color w:val="000000" w:themeColor="text1"/>
                      </w:rPr>
                      <m:t>con</m:t>
                    </m:r>
                  </m:sub>
                </m:sSub>
              </m:oMath>
            </m:oMathPara>
          </w:p>
        </w:tc>
        <w:tc>
          <w:tcPr>
            <w:tcW w:w="3205" w:type="dxa"/>
          </w:tcPr>
          <w:p w14:paraId="60D519AF" w14:textId="77777777" w:rsidR="009E1A67" w:rsidRPr="008A7BB2" w:rsidRDefault="009E1A67" w:rsidP="00D737A2">
            <w:pPr>
              <w:jc w:val="center"/>
              <w:rPr>
                <w:color w:val="000000" w:themeColor="text1"/>
              </w:rPr>
            </w:pPr>
          </w:p>
        </w:tc>
      </w:tr>
      <w:tr w:rsidR="009E1A67" w14:paraId="3D8881A8" w14:textId="77777777" w:rsidTr="00D737A2">
        <w:trPr>
          <w:jc w:val="center"/>
        </w:trPr>
        <w:tc>
          <w:tcPr>
            <w:tcW w:w="1126" w:type="dxa"/>
          </w:tcPr>
          <w:p w14:paraId="4BA3459B" w14:textId="77777777" w:rsidR="009E1A67" w:rsidRPr="008A7BB2" w:rsidRDefault="009E1A67" w:rsidP="00D737A2">
            <w:pPr>
              <w:jc w:val="center"/>
              <w:rPr>
                <w:color w:val="000000" w:themeColor="text1"/>
              </w:rPr>
            </w:pPr>
            <w:r>
              <w:rPr>
                <w:color w:val="000000" w:themeColor="text1"/>
              </w:rPr>
              <w:t>13.97</w:t>
            </w:r>
          </w:p>
        </w:tc>
        <w:tc>
          <w:tcPr>
            <w:tcW w:w="2516" w:type="dxa"/>
          </w:tcPr>
          <w:p w14:paraId="51B217F6" w14:textId="77777777" w:rsidR="009E1A67" w:rsidRPr="008A7BB2" w:rsidRDefault="009E1A67" w:rsidP="00D737A2">
            <w:pPr>
              <w:jc w:val="center"/>
              <w:rPr>
                <w:color w:val="000000" w:themeColor="text1"/>
              </w:rPr>
            </w:pPr>
            <m:oMathPara>
              <m:oMath>
                <m:sSub>
                  <m:sSubPr>
                    <m:ctrlPr>
                      <w:rPr>
                        <w:rFonts w:ascii="Cambria Math" w:hAnsi="Cambria Math"/>
                        <w:b/>
                        <w:i/>
                        <w:color w:val="000000" w:themeColor="text1"/>
                      </w:rPr>
                    </m:ctrlPr>
                  </m:sSubPr>
                  <m:e>
                    <m:r>
                      <m:rPr>
                        <m:sty m:val="bi"/>
                      </m:rPr>
                      <w:rPr>
                        <w:rFonts w:ascii="Cambria Math" w:hAnsi="Cambria Math"/>
                        <w:color w:val="000000" w:themeColor="text1"/>
                      </w:rPr>
                      <m:t>T</m:t>
                    </m:r>
                  </m:e>
                  <m:sub>
                    <m:r>
                      <m:rPr>
                        <m:sty m:val="bi"/>
                      </m:rPr>
                      <w:rPr>
                        <w:rFonts w:ascii="Cambria Math" w:hAnsi="Cambria Math"/>
                        <w:color w:val="000000" w:themeColor="text1"/>
                      </w:rPr>
                      <m:t>tu</m:t>
                    </m:r>
                  </m:sub>
                </m:sSub>
                <m:r>
                  <w:rPr>
                    <w:rFonts w:ascii="Cambria Math" w:hAnsi="Cambria Math"/>
                    <w:color w:val="000000" w:themeColor="text1"/>
                  </w:rPr>
                  <m:t xml:space="preserve">, </m:t>
                </m:r>
                <m:sSub>
                  <m:sSubPr>
                    <m:ctrlPr>
                      <w:rPr>
                        <w:rFonts w:ascii="Cambria Math" w:hAnsi="Cambria Math"/>
                        <w:i/>
                        <w:color w:val="000000" w:themeColor="text1"/>
                      </w:rPr>
                    </m:ctrlPr>
                  </m:sSubPr>
                  <m:e>
                    <m:r>
                      <w:rPr>
                        <w:rFonts w:ascii="Cambria Math" w:hAnsi="Cambria Math"/>
                        <w:color w:val="000000" w:themeColor="text1"/>
                      </w:rPr>
                      <m:t>v</m:t>
                    </m:r>
                  </m:e>
                  <m:sub>
                    <m:r>
                      <w:rPr>
                        <w:rFonts w:ascii="Cambria Math" w:hAnsi="Cambria Math"/>
                        <w:color w:val="000000" w:themeColor="text1"/>
                      </w:rPr>
                      <m:t>tu</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D</m:t>
                    </m:r>
                  </m:e>
                  <m:sub>
                    <m:r>
                      <w:rPr>
                        <w:rFonts w:ascii="Cambria Math" w:hAnsi="Cambria Math"/>
                        <w:color w:val="000000" w:themeColor="text1"/>
                      </w:rPr>
                      <m:t>i</m:t>
                    </m:r>
                  </m:sub>
                </m:sSub>
              </m:oMath>
            </m:oMathPara>
          </w:p>
        </w:tc>
        <w:tc>
          <w:tcPr>
            <w:tcW w:w="1052" w:type="dxa"/>
          </w:tcPr>
          <w:p w14:paraId="384E0B3D" w14:textId="77777777" w:rsidR="009E1A67" w:rsidRPr="00297A26" w:rsidRDefault="009E1A67" w:rsidP="00D737A2">
            <w:pPr>
              <w:jc w:val="center"/>
              <w:rPr>
                <w:b/>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h</m:t>
                    </m:r>
                  </m:e>
                  <m:sub>
                    <m:r>
                      <w:rPr>
                        <w:rFonts w:ascii="Cambria Math" w:hAnsi="Cambria Math"/>
                        <w:color w:val="000000" w:themeColor="text1"/>
                      </w:rPr>
                      <m:t>i</m:t>
                    </m:r>
                  </m:sub>
                </m:sSub>
              </m:oMath>
            </m:oMathPara>
          </w:p>
        </w:tc>
        <w:tc>
          <w:tcPr>
            <w:tcW w:w="3205" w:type="dxa"/>
          </w:tcPr>
          <w:p w14:paraId="2511F8F4" w14:textId="77777777" w:rsidR="009E1A67" w:rsidRPr="008A7BB2" w:rsidRDefault="009E1A67" w:rsidP="00D737A2">
            <w:pPr>
              <w:jc w:val="center"/>
              <w:rPr>
                <w:color w:val="000000" w:themeColor="text1"/>
              </w:rPr>
            </w:pPr>
          </w:p>
        </w:tc>
      </w:tr>
      <w:tr w:rsidR="009E1A67" w14:paraId="62C714C6" w14:textId="77777777" w:rsidTr="00D737A2">
        <w:trPr>
          <w:jc w:val="center"/>
        </w:trPr>
        <w:tc>
          <w:tcPr>
            <w:tcW w:w="1126" w:type="dxa"/>
          </w:tcPr>
          <w:p w14:paraId="38E2DBC7" w14:textId="77777777" w:rsidR="009E1A67" w:rsidRPr="008A7BB2" w:rsidRDefault="009E1A67" w:rsidP="00D737A2">
            <w:pPr>
              <w:jc w:val="center"/>
              <w:rPr>
                <w:color w:val="000000" w:themeColor="text1"/>
              </w:rPr>
            </w:pPr>
            <w:r>
              <w:rPr>
                <w:color w:val="000000" w:themeColor="text1"/>
              </w:rPr>
              <w:t>13.98</w:t>
            </w:r>
          </w:p>
        </w:tc>
        <w:tc>
          <w:tcPr>
            <w:tcW w:w="2516" w:type="dxa"/>
          </w:tcPr>
          <w:p w14:paraId="721641A6" w14:textId="77777777" w:rsidR="009E1A67" w:rsidRPr="008A7BB2" w:rsidRDefault="009E1A67" w:rsidP="00D737A2">
            <w:pPr>
              <w:jc w:val="center"/>
              <w:rPr>
                <w:color w:val="000000" w:themeColor="text1"/>
              </w:rPr>
            </w:pPr>
            <m:oMathPara>
              <m:oMath>
                <m:sSub>
                  <m:sSubPr>
                    <m:ctrlPr>
                      <w:rPr>
                        <w:rFonts w:ascii="Cambria Math" w:hAnsi="Cambria Math"/>
                        <w:i/>
                        <w:color w:val="000000" w:themeColor="text1"/>
                      </w:rPr>
                    </m:ctrlPr>
                  </m:sSubPr>
                  <m:e>
                    <m:acc>
                      <m:accPr>
                        <m:chr m:val="̇"/>
                        <m:ctrlPr>
                          <w:rPr>
                            <w:rFonts w:ascii="Cambria Math" w:hAnsi="Cambria Math"/>
                            <w:i/>
                            <w:color w:val="000000" w:themeColor="text1"/>
                          </w:rPr>
                        </m:ctrlPr>
                      </m:accPr>
                      <m:e>
                        <m:r>
                          <w:rPr>
                            <w:rFonts w:ascii="Cambria Math" w:hAnsi="Cambria Math"/>
                            <w:color w:val="000000" w:themeColor="text1"/>
                          </w:rPr>
                          <m:t>m</m:t>
                        </m:r>
                      </m:e>
                    </m:acc>
                  </m:e>
                  <m:sub>
                    <m:r>
                      <w:rPr>
                        <w:rFonts w:ascii="Cambria Math" w:hAnsi="Cambria Math"/>
                        <w:color w:val="000000" w:themeColor="text1"/>
                      </w:rPr>
                      <m:t>w</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A</m:t>
                    </m:r>
                  </m:e>
                  <m:sub>
                    <m:r>
                      <w:rPr>
                        <w:rFonts w:ascii="Cambria Math" w:hAnsi="Cambria Math"/>
                        <w:color w:val="000000" w:themeColor="text1"/>
                      </w:rPr>
                      <m:t>tu</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ρ</m:t>
                    </m:r>
                  </m:e>
                  <m:sub>
                    <m:r>
                      <w:rPr>
                        <w:rFonts w:ascii="Cambria Math" w:hAnsi="Cambria Math"/>
                        <w:color w:val="000000" w:themeColor="text1"/>
                      </w:rPr>
                      <m:t>w</m:t>
                    </m:r>
                  </m:sub>
                </m:sSub>
              </m:oMath>
            </m:oMathPara>
          </w:p>
        </w:tc>
        <w:tc>
          <w:tcPr>
            <w:tcW w:w="1052" w:type="dxa"/>
          </w:tcPr>
          <w:p w14:paraId="5AE16DC5" w14:textId="77777777" w:rsidR="009E1A67" w:rsidRPr="00E21FAA" w:rsidRDefault="009E1A67" w:rsidP="00D737A2">
            <w:pPr>
              <w:jc w:val="center"/>
              <w:rPr>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u</m:t>
                    </m:r>
                  </m:e>
                  <m:sub>
                    <m:r>
                      <w:rPr>
                        <w:rFonts w:ascii="Cambria Math" w:hAnsi="Cambria Math"/>
                        <w:color w:val="000000" w:themeColor="text1"/>
                      </w:rPr>
                      <m:t>tu</m:t>
                    </m:r>
                  </m:sub>
                </m:sSub>
              </m:oMath>
            </m:oMathPara>
          </w:p>
        </w:tc>
        <w:tc>
          <w:tcPr>
            <w:tcW w:w="3205" w:type="dxa"/>
          </w:tcPr>
          <w:p w14:paraId="153D1122" w14:textId="77777777" w:rsidR="009E1A67" w:rsidRPr="008A7BB2" w:rsidRDefault="009E1A67" w:rsidP="00D737A2">
            <w:pPr>
              <w:jc w:val="center"/>
              <w:rPr>
                <w:color w:val="000000" w:themeColor="text1"/>
              </w:rPr>
            </w:pPr>
          </w:p>
        </w:tc>
      </w:tr>
      <w:tr w:rsidR="009E1A67" w14:paraId="5F637D5F" w14:textId="77777777" w:rsidTr="00D737A2">
        <w:trPr>
          <w:jc w:val="center"/>
        </w:trPr>
        <w:tc>
          <w:tcPr>
            <w:tcW w:w="1126" w:type="dxa"/>
          </w:tcPr>
          <w:p w14:paraId="0A74DE74" w14:textId="77777777" w:rsidR="009E1A67" w:rsidRPr="008A7BB2" w:rsidRDefault="009E1A67" w:rsidP="00D737A2">
            <w:pPr>
              <w:jc w:val="center"/>
              <w:rPr>
                <w:color w:val="000000" w:themeColor="text1"/>
              </w:rPr>
            </w:pPr>
            <w:r w:rsidRPr="003A69B5">
              <w:rPr>
                <w:color w:val="404040" w:themeColor="text1" w:themeTint="BF"/>
              </w:rPr>
              <w:t>13.27</w:t>
            </w:r>
          </w:p>
        </w:tc>
        <w:tc>
          <w:tcPr>
            <w:tcW w:w="2516" w:type="dxa"/>
          </w:tcPr>
          <w:p w14:paraId="4086B88B" w14:textId="77777777" w:rsidR="009E1A67" w:rsidRPr="008A7BB2" w:rsidRDefault="009E1A67" w:rsidP="00D737A2">
            <w:pPr>
              <w:jc w:val="center"/>
              <w:rPr>
                <w:color w:val="000000" w:themeColor="text1"/>
              </w:rPr>
            </w:pPr>
            <m:oMath>
              <m:sSub>
                <m:sSubPr>
                  <m:ctrlPr>
                    <w:rPr>
                      <w:rFonts w:ascii="Cambria Math" w:hAnsi="Cambria Math"/>
                      <w:i/>
                      <w:color w:val="404040" w:themeColor="text1" w:themeTint="BF"/>
                    </w:rPr>
                  </m:ctrlPr>
                </m:sSubPr>
                <m:e>
                  <m:r>
                    <w:rPr>
                      <w:rFonts w:ascii="Cambria Math" w:hAnsi="Cambria Math"/>
                      <w:color w:val="404040" w:themeColor="text1" w:themeTint="BF"/>
                    </w:rPr>
                    <m:t>h</m:t>
                  </m:r>
                </m:e>
                <m:sub>
                  <m:r>
                    <w:rPr>
                      <w:rFonts w:ascii="Cambria Math" w:hAnsi="Cambria Math"/>
                      <w:color w:val="404040" w:themeColor="text1" w:themeTint="BF"/>
                    </w:rPr>
                    <m:t>s</m:t>
                  </m:r>
                </m:sub>
              </m:sSub>
            </m:oMath>
            <w:r w:rsidRPr="003A69B5">
              <w:rPr>
                <w:color w:val="404040" w:themeColor="text1" w:themeTint="BF"/>
              </w:rPr>
              <w:t>,</w:t>
            </w:r>
            <m:oMath>
              <m:r>
                <w:rPr>
                  <w:rFonts w:ascii="Cambria Math" w:hAnsi="Cambria Math"/>
                  <w:color w:val="404040" w:themeColor="text1" w:themeTint="BF"/>
                </w:rPr>
                <m:t xml:space="preserve"> </m:t>
              </m:r>
              <m:sSub>
                <m:sSubPr>
                  <m:ctrlPr>
                    <w:rPr>
                      <w:rFonts w:ascii="Cambria Math" w:hAnsi="Cambria Math"/>
                      <w:i/>
                      <w:color w:val="404040" w:themeColor="text1" w:themeTint="BF"/>
                    </w:rPr>
                  </m:ctrlPr>
                </m:sSubPr>
                <m:e>
                  <m:r>
                    <w:rPr>
                      <w:rFonts w:ascii="Cambria Math" w:hAnsi="Cambria Math"/>
                      <w:color w:val="404040" w:themeColor="text1" w:themeTint="BF"/>
                    </w:rPr>
                    <m:t>h</m:t>
                  </m:r>
                </m:e>
                <m:sub>
                  <m:r>
                    <w:rPr>
                      <w:rFonts w:ascii="Cambria Math" w:hAnsi="Cambria Math"/>
                      <w:color w:val="404040" w:themeColor="text1" w:themeTint="BF"/>
                    </w:rPr>
                    <m:t>od</m:t>
                  </m:r>
                </m:sub>
              </m:sSub>
              <m:r>
                <w:rPr>
                  <w:rFonts w:ascii="Cambria Math" w:hAnsi="Cambria Math"/>
                  <w:color w:val="404040" w:themeColor="text1" w:themeTint="BF"/>
                </w:rPr>
                <m:t>,</m:t>
              </m:r>
              <m:sSub>
                <m:sSubPr>
                  <m:ctrlPr>
                    <w:rPr>
                      <w:rFonts w:ascii="Cambria Math" w:hAnsi="Cambria Math"/>
                      <w:i/>
                      <w:color w:val="404040" w:themeColor="text1" w:themeTint="BF"/>
                    </w:rPr>
                  </m:ctrlPr>
                </m:sSubPr>
                <m:e>
                  <m:sSub>
                    <m:sSubPr>
                      <m:ctrlPr>
                        <w:rPr>
                          <w:rFonts w:ascii="Cambria Math" w:hAnsi="Cambria Math"/>
                          <w:i/>
                          <w:color w:val="404040" w:themeColor="text1" w:themeTint="BF"/>
                        </w:rPr>
                      </m:ctrlPr>
                    </m:sSubPr>
                    <m:e>
                      <m:r>
                        <w:rPr>
                          <w:rFonts w:ascii="Cambria Math" w:hAnsi="Cambria Math"/>
                          <w:color w:val="404040" w:themeColor="text1" w:themeTint="BF"/>
                        </w:rPr>
                        <m:t>D</m:t>
                      </m:r>
                    </m:e>
                    <m:sub>
                      <m:r>
                        <w:rPr>
                          <w:rFonts w:ascii="Cambria Math" w:hAnsi="Cambria Math"/>
                          <w:color w:val="404040" w:themeColor="text1" w:themeTint="BF"/>
                        </w:rPr>
                        <m:t>o</m:t>
                      </m:r>
                    </m:sub>
                  </m:sSub>
                  <m:r>
                    <w:rPr>
                      <w:rFonts w:ascii="Cambria Math" w:hAnsi="Cambria Math"/>
                      <w:color w:val="404040" w:themeColor="text1" w:themeTint="BF"/>
                    </w:rPr>
                    <m:t>,</m:t>
                  </m:r>
                  <m:sSub>
                    <m:sSubPr>
                      <m:ctrlPr>
                        <w:rPr>
                          <w:rFonts w:ascii="Cambria Math" w:hAnsi="Cambria Math"/>
                          <w:i/>
                          <w:color w:val="404040" w:themeColor="text1" w:themeTint="BF"/>
                        </w:rPr>
                      </m:ctrlPr>
                    </m:sSubPr>
                    <m:e>
                      <m:r>
                        <w:rPr>
                          <w:rFonts w:ascii="Cambria Math" w:hAnsi="Cambria Math"/>
                          <w:color w:val="404040" w:themeColor="text1" w:themeTint="BF"/>
                        </w:rPr>
                        <m:t>D</m:t>
                      </m:r>
                    </m:e>
                    <m:sub>
                      <m:r>
                        <w:rPr>
                          <w:rFonts w:ascii="Cambria Math" w:hAnsi="Cambria Math"/>
                          <w:color w:val="404040" w:themeColor="text1" w:themeTint="BF"/>
                        </w:rPr>
                        <m:t>i</m:t>
                      </m:r>
                    </m:sub>
                  </m:sSub>
                  <m:r>
                    <w:rPr>
                      <w:rFonts w:ascii="Cambria Math" w:hAnsi="Cambria Math"/>
                      <w:color w:val="404040" w:themeColor="text1" w:themeTint="BF"/>
                    </w:rPr>
                    <m:t>,</m:t>
                  </m:r>
                  <m:sSub>
                    <m:sSubPr>
                      <m:ctrlPr>
                        <w:rPr>
                          <w:rFonts w:ascii="Cambria Math" w:hAnsi="Cambria Math"/>
                          <w:i/>
                          <w:color w:val="404040" w:themeColor="text1" w:themeTint="BF"/>
                        </w:rPr>
                      </m:ctrlPr>
                    </m:sSubPr>
                    <m:e>
                      <m:r>
                        <w:rPr>
                          <w:rFonts w:ascii="Cambria Math" w:hAnsi="Cambria Math"/>
                          <w:color w:val="404040" w:themeColor="text1" w:themeTint="BF"/>
                        </w:rPr>
                        <m:t>k</m:t>
                      </m:r>
                    </m:e>
                    <m:sub>
                      <m:r>
                        <w:rPr>
                          <w:rFonts w:ascii="Cambria Math" w:hAnsi="Cambria Math"/>
                          <w:color w:val="404040" w:themeColor="text1" w:themeTint="BF"/>
                        </w:rPr>
                        <m:t>w</m:t>
                      </m:r>
                    </m:sub>
                  </m:sSub>
                  <m:r>
                    <w:rPr>
                      <w:rFonts w:ascii="Cambria Math" w:hAnsi="Cambria Math"/>
                      <w:color w:val="404040" w:themeColor="text1" w:themeTint="BF"/>
                    </w:rPr>
                    <m:t>,h</m:t>
                  </m:r>
                </m:e>
                <m:sub>
                  <m:r>
                    <w:rPr>
                      <w:rFonts w:ascii="Cambria Math" w:hAnsi="Cambria Math"/>
                      <w:color w:val="404040" w:themeColor="text1" w:themeTint="BF"/>
                    </w:rPr>
                    <m:t>id</m:t>
                  </m:r>
                </m:sub>
              </m:sSub>
              <m:r>
                <w:rPr>
                  <w:rFonts w:ascii="Cambria Math" w:hAnsi="Cambria Math"/>
                  <w:color w:val="404040" w:themeColor="text1" w:themeTint="BF"/>
                </w:rPr>
                <m:t>,</m:t>
              </m:r>
              <m:sSub>
                <m:sSubPr>
                  <m:ctrlPr>
                    <w:rPr>
                      <w:rFonts w:ascii="Cambria Math" w:hAnsi="Cambria Math"/>
                      <w:i/>
                      <w:color w:val="404040" w:themeColor="text1" w:themeTint="BF"/>
                    </w:rPr>
                  </m:ctrlPr>
                </m:sSubPr>
                <m:e>
                  <m:r>
                    <w:rPr>
                      <w:rFonts w:ascii="Cambria Math" w:hAnsi="Cambria Math"/>
                      <w:color w:val="404040" w:themeColor="text1" w:themeTint="BF"/>
                    </w:rPr>
                    <m:t>h</m:t>
                  </m:r>
                </m:e>
                <m:sub>
                  <m:r>
                    <w:rPr>
                      <w:rFonts w:ascii="Cambria Math" w:hAnsi="Cambria Math"/>
                      <w:color w:val="404040" w:themeColor="text1" w:themeTint="BF"/>
                    </w:rPr>
                    <m:t>i</m:t>
                  </m:r>
                </m:sub>
              </m:sSub>
            </m:oMath>
          </w:p>
        </w:tc>
        <w:tc>
          <w:tcPr>
            <w:tcW w:w="1052" w:type="dxa"/>
          </w:tcPr>
          <w:p w14:paraId="0B629360" w14:textId="77777777" w:rsidR="009E1A67" w:rsidRPr="00297A26" w:rsidRDefault="009E1A67" w:rsidP="00D737A2">
            <w:pPr>
              <w:jc w:val="center"/>
              <w:rPr>
                <w:b/>
                <w:color w:val="000000" w:themeColor="text1"/>
              </w:rPr>
            </w:pPr>
            <w:r w:rsidRPr="003A69B5">
              <w:rPr>
                <w:color w:val="404040" w:themeColor="text1" w:themeTint="BF"/>
              </w:rPr>
              <w:t>U</w:t>
            </w:r>
          </w:p>
        </w:tc>
        <w:tc>
          <w:tcPr>
            <w:tcW w:w="3205" w:type="dxa"/>
          </w:tcPr>
          <w:p w14:paraId="5FBC8C69" w14:textId="77777777" w:rsidR="009E1A67" w:rsidRPr="008A7BB2" w:rsidRDefault="009E1A67" w:rsidP="00D737A2">
            <w:pPr>
              <w:jc w:val="center"/>
              <w:rPr>
                <w:color w:val="000000" w:themeColor="text1"/>
              </w:rPr>
            </w:pPr>
          </w:p>
        </w:tc>
      </w:tr>
      <w:tr w:rsidR="009E1A67" w14:paraId="26214515" w14:textId="77777777" w:rsidTr="00D737A2">
        <w:trPr>
          <w:jc w:val="center"/>
        </w:trPr>
        <w:tc>
          <w:tcPr>
            <w:tcW w:w="1126" w:type="dxa"/>
          </w:tcPr>
          <w:p w14:paraId="06CD8E91" w14:textId="77777777" w:rsidR="009E1A67" w:rsidRPr="008A7BB2" w:rsidRDefault="009E1A67" w:rsidP="00D737A2">
            <w:pPr>
              <w:jc w:val="center"/>
              <w:rPr>
                <w:color w:val="000000" w:themeColor="text1"/>
              </w:rPr>
            </w:pPr>
            <w:r w:rsidRPr="003A69B5">
              <w:rPr>
                <w:color w:val="404040" w:themeColor="text1" w:themeTint="BF"/>
              </w:rPr>
              <w:t>13.28</w:t>
            </w:r>
          </w:p>
        </w:tc>
        <w:tc>
          <w:tcPr>
            <w:tcW w:w="2516" w:type="dxa"/>
          </w:tcPr>
          <w:p w14:paraId="16E2F71E" w14:textId="77777777" w:rsidR="009E1A67" w:rsidRPr="00FF2B2D" w:rsidRDefault="009E1A67" w:rsidP="00D737A2">
            <w:pPr>
              <w:jc w:val="center"/>
              <w:rPr>
                <w:color w:val="000000" w:themeColor="text1"/>
              </w:rPr>
            </w:pPr>
            <m:oMathPara>
              <m:oMath>
                <m:sSub>
                  <m:sSubPr>
                    <m:ctrlPr>
                      <w:rPr>
                        <w:rFonts w:ascii="Cambria Math" w:hAnsi="Cambria Math"/>
                        <w:i/>
                        <w:color w:val="404040" w:themeColor="text1" w:themeTint="BF"/>
                      </w:rPr>
                    </m:ctrlPr>
                  </m:sSubPr>
                  <m:e>
                    <m:r>
                      <w:rPr>
                        <w:rFonts w:ascii="Cambria Math" w:hAnsi="Cambria Math"/>
                        <w:color w:val="404040" w:themeColor="text1" w:themeTint="BF"/>
                      </w:rPr>
                      <m:t>v</m:t>
                    </m:r>
                  </m:e>
                  <m:sub>
                    <m:r>
                      <w:rPr>
                        <w:rFonts w:ascii="Cambria Math" w:hAnsi="Cambria Math"/>
                        <w:color w:val="404040" w:themeColor="text1" w:themeTint="BF"/>
                      </w:rPr>
                      <m:t>tu</m:t>
                    </m:r>
                  </m:sub>
                </m:sSub>
                <m:r>
                  <w:rPr>
                    <w:rFonts w:ascii="Cambria Math" w:hAnsi="Cambria Math"/>
                    <w:color w:val="404040" w:themeColor="text1" w:themeTint="BF"/>
                  </w:rPr>
                  <m:t>,</m:t>
                </m:r>
                <m:sSub>
                  <m:sSubPr>
                    <m:ctrlPr>
                      <w:rPr>
                        <w:rFonts w:ascii="Cambria Math" w:hAnsi="Cambria Math"/>
                        <w:i/>
                        <w:color w:val="404040" w:themeColor="text1" w:themeTint="BF"/>
                      </w:rPr>
                    </m:ctrlPr>
                  </m:sSubPr>
                  <m:e>
                    <m:r>
                      <w:rPr>
                        <w:rFonts w:ascii="Cambria Math" w:hAnsi="Cambria Math"/>
                        <w:color w:val="404040" w:themeColor="text1" w:themeTint="BF"/>
                      </w:rPr>
                      <m:t>N</m:t>
                    </m:r>
                  </m:e>
                  <m:sub>
                    <m:r>
                      <w:rPr>
                        <w:rFonts w:ascii="Cambria Math" w:hAnsi="Cambria Math"/>
                        <w:color w:val="404040" w:themeColor="text1" w:themeTint="BF"/>
                      </w:rPr>
                      <m:t>pass</m:t>
                    </m:r>
                  </m:sub>
                </m:sSub>
                <m:r>
                  <w:rPr>
                    <w:rFonts w:ascii="Cambria Math" w:hAnsi="Cambria Math"/>
                    <w:color w:val="404040" w:themeColor="text1" w:themeTint="BF"/>
                  </w:rPr>
                  <m:t>,</m:t>
                </m:r>
                <m:sSub>
                  <m:sSubPr>
                    <m:ctrlPr>
                      <w:rPr>
                        <w:rFonts w:ascii="Cambria Math" w:hAnsi="Cambria Math"/>
                        <w:i/>
                        <w:color w:val="404040" w:themeColor="text1" w:themeTint="BF"/>
                      </w:rPr>
                    </m:ctrlPr>
                  </m:sSubPr>
                  <m:e>
                    <m:r>
                      <w:rPr>
                        <w:rFonts w:ascii="Cambria Math" w:hAnsi="Cambria Math"/>
                        <w:color w:val="404040" w:themeColor="text1" w:themeTint="BF"/>
                      </w:rPr>
                      <m:t>j</m:t>
                    </m:r>
                  </m:e>
                  <m:sub>
                    <m:r>
                      <w:rPr>
                        <w:rFonts w:ascii="Cambria Math" w:hAnsi="Cambria Math"/>
                        <w:color w:val="404040" w:themeColor="text1" w:themeTint="BF"/>
                      </w:rPr>
                      <m:t>tu</m:t>
                    </m:r>
                  </m:sub>
                </m:sSub>
                <m:r>
                  <w:rPr>
                    <w:rFonts w:ascii="Cambria Math" w:hAnsi="Cambria Math"/>
                    <w:color w:val="404040" w:themeColor="text1" w:themeTint="BF"/>
                  </w:rPr>
                  <m:t>,L,</m:t>
                </m:r>
                <m:sSub>
                  <m:sSubPr>
                    <m:ctrlPr>
                      <w:rPr>
                        <w:rFonts w:ascii="Cambria Math" w:hAnsi="Cambria Math"/>
                        <w:i/>
                        <w:color w:val="404040" w:themeColor="text1" w:themeTint="BF"/>
                      </w:rPr>
                    </m:ctrlPr>
                  </m:sSubPr>
                  <m:e>
                    <m:r>
                      <w:rPr>
                        <w:rFonts w:ascii="Cambria Math" w:hAnsi="Cambria Math"/>
                        <w:color w:val="404040" w:themeColor="text1" w:themeTint="BF"/>
                      </w:rPr>
                      <m:t>D</m:t>
                    </m:r>
                  </m:e>
                  <m:sub>
                    <m:r>
                      <w:rPr>
                        <w:rFonts w:ascii="Cambria Math" w:hAnsi="Cambria Math"/>
                        <w:color w:val="404040" w:themeColor="text1" w:themeTint="BF"/>
                      </w:rPr>
                      <m:t>i,</m:t>
                    </m:r>
                  </m:sub>
                </m:sSub>
                <m:sSub>
                  <m:sSubPr>
                    <m:ctrlPr>
                      <w:rPr>
                        <w:rFonts w:ascii="Cambria Math" w:hAnsi="Cambria Math"/>
                        <w:i/>
                        <w:color w:val="404040" w:themeColor="text1" w:themeTint="BF"/>
                      </w:rPr>
                    </m:ctrlPr>
                  </m:sSubPr>
                  <m:e>
                    <m:r>
                      <w:rPr>
                        <w:rFonts w:ascii="Cambria Math" w:hAnsi="Cambria Math"/>
                        <w:color w:val="404040" w:themeColor="text1" w:themeTint="BF"/>
                      </w:rPr>
                      <m:t>ρ</m:t>
                    </m:r>
                  </m:e>
                  <m:sub>
                    <m:r>
                      <w:rPr>
                        <w:rFonts w:ascii="Cambria Math" w:hAnsi="Cambria Math"/>
                        <w:color w:val="404040" w:themeColor="text1" w:themeTint="BF"/>
                      </w:rPr>
                      <m:t>tu</m:t>
                    </m:r>
                  </m:sub>
                </m:sSub>
              </m:oMath>
            </m:oMathPara>
          </w:p>
        </w:tc>
        <w:tc>
          <w:tcPr>
            <w:tcW w:w="1052" w:type="dxa"/>
          </w:tcPr>
          <w:p w14:paraId="1C2EF458" w14:textId="77777777" w:rsidR="009E1A67" w:rsidRPr="00297A26" w:rsidRDefault="009E1A67" w:rsidP="00D737A2">
            <w:pPr>
              <w:jc w:val="center"/>
              <w:rPr>
                <w:b/>
                <w:color w:val="000000" w:themeColor="text1"/>
              </w:rPr>
            </w:pPr>
            <m:oMathPara>
              <m:oMath>
                <m:sSub>
                  <m:sSubPr>
                    <m:ctrlPr>
                      <w:rPr>
                        <w:rFonts w:ascii="Cambria Math" w:hAnsi="Cambria Math"/>
                        <w:i/>
                        <w:color w:val="404040" w:themeColor="text1" w:themeTint="BF"/>
                      </w:rPr>
                    </m:ctrlPr>
                  </m:sSubPr>
                  <m:e>
                    <m:r>
                      <w:rPr>
                        <w:rFonts w:ascii="Cambria Math" w:hAnsi="Cambria Math"/>
                        <w:color w:val="404040" w:themeColor="text1" w:themeTint="BF"/>
                      </w:rPr>
                      <m:t>∆P</m:t>
                    </m:r>
                  </m:e>
                  <m:sub>
                    <m:r>
                      <w:rPr>
                        <w:rFonts w:ascii="Cambria Math" w:hAnsi="Cambria Math"/>
                        <w:color w:val="404040" w:themeColor="text1" w:themeTint="BF"/>
                      </w:rPr>
                      <m:t>tu</m:t>
                    </m:r>
                  </m:sub>
                </m:sSub>
              </m:oMath>
            </m:oMathPara>
          </w:p>
        </w:tc>
        <w:tc>
          <w:tcPr>
            <w:tcW w:w="3205" w:type="dxa"/>
          </w:tcPr>
          <w:p w14:paraId="5060A185" w14:textId="77777777" w:rsidR="009E1A67" w:rsidRPr="008A7BB2" w:rsidRDefault="009E1A67" w:rsidP="00D737A2">
            <w:pPr>
              <w:jc w:val="center"/>
              <w:rPr>
                <w:color w:val="000000" w:themeColor="text1"/>
              </w:rPr>
            </w:pPr>
            <w:r>
              <w:t xml:space="preserve"> </w:t>
            </w:r>
          </w:p>
        </w:tc>
      </w:tr>
      <w:tr w:rsidR="009E1A67" w14:paraId="79BC1847" w14:textId="77777777" w:rsidTr="00D737A2">
        <w:trPr>
          <w:jc w:val="center"/>
        </w:trPr>
        <w:tc>
          <w:tcPr>
            <w:tcW w:w="1126" w:type="dxa"/>
          </w:tcPr>
          <w:p w14:paraId="65640155" w14:textId="77777777" w:rsidR="009E1A67" w:rsidRPr="008A7BB2" w:rsidRDefault="009E1A67" w:rsidP="00D737A2">
            <w:pPr>
              <w:jc w:val="center"/>
              <w:rPr>
                <w:color w:val="000000" w:themeColor="text1"/>
              </w:rPr>
            </w:pPr>
            <w:r w:rsidRPr="003A69B5">
              <w:rPr>
                <w:color w:val="404040" w:themeColor="text1" w:themeTint="BF"/>
              </w:rPr>
              <w:t>13.29</w:t>
            </w:r>
          </w:p>
        </w:tc>
        <w:tc>
          <w:tcPr>
            <w:tcW w:w="2516" w:type="dxa"/>
          </w:tcPr>
          <w:p w14:paraId="4893F764" w14:textId="77777777" w:rsidR="009E1A67" w:rsidRPr="00FF2B2D" w:rsidRDefault="009E1A67" w:rsidP="00D737A2">
            <w:pPr>
              <w:jc w:val="center"/>
              <w:rPr>
                <w:color w:val="000000" w:themeColor="text1"/>
              </w:rPr>
            </w:pPr>
            <m:oMathPara>
              <m:oMath>
                <m:sSub>
                  <m:sSubPr>
                    <m:ctrlPr>
                      <w:rPr>
                        <w:rFonts w:ascii="Cambria Math" w:hAnsi="Cambria Math"/>
                        <w:i/>
                        <w:color w:val="404040" w:themeColor="text1" w:themeTint="BF"/>
                      </w:rPr>
                    </m:ctrlPr>
                  </m:sSubPr>
                  <m:e>
                    <m:r>
                      <w:rPr>
                        <w:rFonts w:ascii="Cambria Math" w:hAnsi="Cambria Math"/>
                        <w:color w:val="404040" w:themeColor="text1" w:themeTint="BF"/>
                      </w:rPr>
                      <m:t>D</m:t>
                    </m:r>
                  </m:e>
                  <m:sub>
                    <m:r>
                      <w:rPr>
                        <w:rFonts w:ascii="Cambria Math" w:hAnsi="Cambria Math"/>
                        <w:color w:val="404040" w:themeColor="text1" w:themeTint="BF"/>
                      </w:rPr>
                      <m:t>s</m:t>
                    </m:r>
                  </m:sub>
                </m:sSub>
                <m:r>
                  <w:rPr>
                    <w:rFonts w:ascii="Cambria Math" w:hAnsi="Cambria Math"/>
                    <w:color w:val="404040" w:themeColor="text1" w:themeTint="BF"/>
                  </w:rPr>
                  <m:t>,</m:t>
                </m:r>
                <m:sSub>
                  <m:sSubPr>
                    <m:ctrlPr>
                      <w:rPr>
                        <w:rFonts w:ascii="Cambria Math" w:hAnsi="Cambria Math"/>
                        <w:i/>
                        <w:color w:val="404040" w:themeColor="text1" w:themeTint="BF"/>
                      </w:rPr>
                    </m:ctrlPr>
                  </m:sSubPr>
                  <m:e>
                    <m:r>
                      <w:rPr>
                        <w:rFonts w:ascii="Cambria Math" w:hAnsi="Cambria Math"/>
                        <w:color w:val="404040" w:themeColor="text1" w:themeTint="BF"/>
                      </w:rPr>
                      <m:t>G</m:t>
                    </m:r>
                  </m:e>
                  <m:sub>
                    <m:r>
                      <w:rPr>
                        <w:rFonts w:ascii="Cambria Math" w:hAnsi="Cambria Math"/>
                        <w:color w:val="404040" w:themeColor="text1" w:themeTint="BF"/>
                      </w:rPr>
                      <m:t>s</m:t>
                    </m:r>
                  </m:sub>
                </m:sSub>
                <m:r>
                  <w:rPr>
                    <w:rFonts w:ascii="Cambria Math" w:hAnsi="Cambria Math"/>
                    <w:color w:val="404040" w:themeColor="text1" w:themeTint="BF"/>
                  </w:rPr>
                  <m:t>,</m:t>
                </m:r>
                <m:sSub>
                  <m:sSubPr>
                    <m:ctrlPr>
                      <w:rPr>
                        <w:rFonts w:ascii="Cambria Math" w:hAnsi="Cambria Math"/>
                        <w:i/>
                        <w:color w:val="404040" w:themeColor="text1" w:themeTint="BF"/>
                      </w:rPr>
                    </m:ctrlPr>
                  </m:sSubPr>
                  <m:e>
                    <m:sSub>
                      <m:sSubPr>
                        <m:ctrlPr>
                          <w:rPr>
                            <w:rFonts w:ascii="Cambria Math" w:hAnsi="Cambria Math"/>
                            <w:i/>
                            <w:color w:val="404040" w:themeColor="text1" w:themeTint="BF"/>
                          </w:rPr>
                        </m:ctrlPr>
                      </m:sSubPr>
                      <m:e>
                        <m:r>
                          <w:rPr>
                            <w:rFonts w:ascii="Cambria Math" w:hAnsi="Cambria Math"/>
                            <w:color w:val="404040" w:themeColor="text1" w:themeTint="BF"/>
                          </w:rPr>
                          <m:t>l</m:t>
                        </m:r>
                      </m:e>
                      <m:sub>
                        <m:r>
                          <w:rPr>
                            <w:rFonts w:ascii="Cambria Math" w:hAnsi="Cambria Math"/>
                            <w:color w:val="404040" w:themeColor="text1" w:themeTint="BF"/>
                          </w:rPr>
                          <m:t>Ba</m:t>
                        </m:r>
                      </m:sub>
                    </m:sSub>
                    <m:r>
                      <w:rPr>
                        <w:rFonts w:ascii="Cambria Math" w:hAnsi="Cambria Math"/>
                        <w:color w:val="404040" w:themeColor="text1" w:themeTint="BF"/>
                      </w:rPr>
                      <m:t>,D</m:t>
                    </m:r>
                  </m:e>
                  <m:sub>
                    <m:r>
                      <w:rPr>
                        <w:rFonts w:ascii="Cambria Math" w:hAnsi="Cambria Math"/>
                        <w:color w:val="404040" w:themeColor="text1" w:themeTint="BF"/>
                      </w:rPr>
                      <m:t>e</m:t>
                    </m:r>
                  </m:sub>
                </m:sSub>
                <m:r>
                  <w:rPr>
                    <w:rFonts w:ascii="Cambria Math" w:hAnsi="Cambria Math"/>
                    <w:color w:val="404040" w:themeColor="text1" w:themeTint="BF"/>
                  </w:rPr>
                  <m:t>,</m:t>
                </m:r>
                <m:sSub>
                  <m:sSubPr>
                    <m:ctrlPr>
                      <w:rPr>
                        <w:rFonts w:ascii="Cambria Math" w:hAnsi="Cambria Math"/>
                        <w:i/>
                        <w:color w:val="404040" w:themeColor="text1" w:themeTint="BF"/>
                      </w:rPr>
                    </m:ctrlPr>
                  </m:sSubPr>
                  <m:e>
                    <m:r>
                      <w:rPr>
                        <w:rFonts w:ascii="Cambria Math" w:hAnsi="Cambria Math"/>
                        <w:color w:val="404040" w:themeColor="text1" w:themeTint="BF"/>
                      </w:rPr>
                      <m:t>j</m:t>
                    </m:r>
                  </m:e>
                  <m:sub>
                    <m:r>
                      <w:rPr>
                        <w:rFonts w:ascii="Cambria Math" w:hAnsi="Cambria Math"/>
                        <w:color w:val="404040" w:themeColor="text1" w:themeTint="BF"/>
                      </w:rPr>
                      <m:t>f,s</m:t>
                    </m:r>
                  </m:sub>
                </m:sSub>
                <m:r>
                  <w:rPr>
                    <w:rFonts w:ascii="Cambria Math" w:hAnsi="Cambria Math"/>
                    <w:color w:val="404040" w:themeColor="text1" w:themeTint="BF"/>
                  </w:rPr>
                  <m:t>,L,</m:t>
                </m:r>
                <m:sSub>
                  <m:sSubPr>
                    <m:ctrlPr>
                      <w:rPr>
                        <w:rFonts w:ascii="Cambria Math" w:hAnsi="Cambria Math"/>
                        <w:i/>
                        <w:color w:val="404040" w:themeColor="text1" w:themeTint="BF"/>
                      </w:rPr>
                    </m:ctrlPr>
                  </m:sSubPr>
                  <m:e>
                    <m:r>
                      <w:rPr>
                        <w:rFonts w:ascii="Cambria Math" w:hAnsi="Cambria Math"/>
                        <w:color w:val="404040" w:themeColor="text1" w:themeTint="BF"/>
                      </w:rPr>
                      <m:t>ρ</m:t>
                    </m:r>
                  </m:e>
                  <m:sub>
                    <m:r>
                      <w:rPr>
                        <w:rFonts w:ascii="Cambria Math" w:hAnsi="Cambria Math"/>
                        <w:color w:val="404040" w:themeColor="text1" w:themeTint="BF"/>
                      </w:rPr>
                      <m:t>s</m:t>
                    </m:r>
                  </m:sub>
                </m:sSub>
              </m:oMath>
            </m:oMathPara>
          </w:p>
        </w:tc>
        <w:tc>
          <w:tcPr>
            <w:tcW w:w="1052" w:type="dxa"/>
          </w:tcPr>
          <w:p w14:paraId="6F86852D" w14:textId="77777777" w:rsidR="009E1A67" w:rsidRPr="00297A26" w:rsidRDefault="009E1A67" w:rsidP="00D737A2">
            <w:pPr>
              <w:jc w:val="center"/>
              <w:rPr>
                <w:b/>
                <w:color w:val="000000" w:themeColor="text1"/>
              </w:rPr>
            </w:pPr>
            <m:oMathPara>
              <m:oMath>
                <m:sSub>
                  <m:sSubPr>
                    <m:ctrlPr>
                      <w:rPr>
                        <w:rFonts w:ascii="Cambria Math" w:hAnsi="Cambria Math"/>
                        <w:i/>
                        <w:color w:val="404040" w:themeColor="text1" w:themeTint="BF"/>
                      </w:rPr>
                    </m:ctrlPr>
                  </m:sSubPr>
                  <m:e>
                    <m:r>
                      <w:rPr>
                        <w:rFonts w:ascii="Cambria Math" w:hAnsi="Cambria Math"/>
                        <w:color w:val="404040" w:themeColor="text1" w:themeTint="BF"/>
                      </w:rPr>
                      <m:t>∆P</m:t>
                    </m:r>
                  </m:e>
                  <m:sub>
                    <m:r>
                      <w:rPr>
                        <w:rFonts w:ascii="Cambria Math" w:hAnsi="Cambria Math"/>
                        <w:color w:val="404040" w:themeColor="text1" w:themeTint="BF"/>
                      </w:rPr>
                      <m:t>s</m:t>
                    </m:r>
                  </m:sub>
                </m:sSub>
              </m:oMath>
            </m:oMathPara>
          </w:p>
        </w:tc>
        <w:tc>
          <w:tcPr>
            <w:tcW w:w="3205" w:type="dxa"/>
          </w:tcPr>
          <w:p w14:paraId="16B004FD" w14:textId="77777777" w:rsidR="009E1A67" w:rsidRPr="008A7BB2" w:rsidRDefault="009E1A67" w:rsidP="00D737A2">
            <w:pPr>
              <w:jc w:val="center"/>
              <w:rPr>
                <w:color w:val="000000" w:themeColor="text1"/>
              </w:rPr>
            </w:pPr>
          </w:p>
        </w:tc>
      </w:tr>
    </w:tbl>
    <w:p w14:paraId="3161F35F" w14:textId="77777777" w:rsidR="009E1A67" w:rsidRDefault="009E1A67" w:rsidP="009E1A67"/>
    <w:p w14:paraId="72720FD2" w14:textId="77777777" w:rsidR="00A7521D" w:rsidRDefault="00A7521D" w:rsidP="00A7521D">
      <w:pPr>
        <w:pStyle w:val="Heading2"/>
      </w:pPr>
      <w:bookmarkStart w:id="1068" w:name="_Toc525230062"/>
      <w:bookmarkStart w:id="1069" w:name="_Ref531344189"/>
      <w:bookmarkStart w:id="1070" w:name="_Ref531344204"/>
      <w:bookmarkStart w:id="1071" w:name="_Toc7187610"/>
      <w:r>
        <w:t>Pump Equations</w:t>
      </w:r>
      <w:bookmarkEnd w:id="1068"/>
      <w:bookmarkEnd w:id="1069"/>
      <w:bookmarkEnd w:id="1070"/>
      <w:bookmarkEnd w:id="1071"/>
    </w:p>
    <w:p w14:paraId="1CD5EC05" w14:textId="1B66177C" w:rsidR="00A7521D" w:rsidRDefault="00A7521D" w:rsidP="00A7521D">
      <w:r>
        <w:t xml:space="preserve">The equations used in the modelling of the pumps are shown below, as calculated in section </w:t>
      </w:r>
      <w:r w:rsidR="00D82F1A">
        <w:fldChar w:fldCharType="begin"/>
      </w:r>
      <w:r w:rsidR="00D82F1A">
        <w:instrText xml:space="preserve"> REF _Ref531345502 \n \h </w:instrText>
      </w:r>
      <w:r w:rsidR="00D82F1A">
        <w:fldChar w:fldCharType="separate"/>
      </w:r>
      <w:r w:rsidR="00CB7456">
        <w:t>5.1.1.9</w:t>
      </w:r>
      <w:r w:rsidR="00D82F1A">
        <w:fldChar w:fldCharType="end"/>
      </w:r>
      <w:r>
        <w:t xml:space="preserve"> are shown below. All equations came from Coulson and Richardson's Chemical Engineering Volume 6 - Chemical Engineering Design </w:t>
      </w:r>
      <w:r>
        <w:fldChar w:fldCharType="begin" w:fldLock="1"/>
      </w:r>
      <w:r w:rsidR="002A6A73">
        <w:instrText>ADDIN CSL_CITATION {"citationItems":[{"id":"ITEM-1","itemData":{"ISBN":"978-0-7506-6538-4","author":[{"dropping-particle":"","family":"Sinnott","given":"R.K.","non-dropping-particle":"","parse-names":false,"suffix":""}],"edition":"4","id":"ITEM-1","issued":{"date-parts":[["2005"]]},"number-of-pages":"60 - 132","publisher":"Elsevier","publisher-place":"Oxford, England","title":"Coulson and Richardson's Chemical Engineering Volume 6 - Chemical Engineering Design","type":"book"},"uris":["http://www.mendeley.com/documents/?uuid=8e00b24b-1ea1-4b70-9865-3b5bcae659ed"]}],"mendeley":{"formattedCitation":"(Sinnott, 2005b)","plainTextFormattedCitation":"(Sinnott, 2005b)","previouslyFormattedCitation":"(Sinnott, 2005b)"},"properties":{"noteIndex":0},"schema":"https://github.com/citation-style-language/schema/raw/master/csl-citation.json"}</w:instrText>
      </w:r>
      <w:r>
        <w:fldChar w:fldCharType="separate"/>
      </w:r>
      <w:r w:rsidR="002A6A73" w:rsidRPr="002A6A73">
        <w:rPr>
          <w:noProof/>
        </w:rPr>
        <w:t>(Sinnott, 2005b)</w:t>
      </w:r>
      <w:r>
        <w:fldChar w:fldCharType="end"/>
      </w:r>
      <w: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46"/>
        <w:gridCol w:w="774"/>
        <w:gridCol w:w="778"/>
      </w:tblGrid>
      <w:tr w:rsidR="00A7521D" w14:paraId="7077C68D" w14:textId="77777777" w:rsidTr="00A7521D">
        <w:tc>
          <w:tcPr>
            <w:tcW w:w="6698" w:type="dxa"/>
            <w:hideMark/>
          </w:tcPr>
          <w:p w14:paraId="55CC31B0" w14:textId="77777777" w:rsidR="00A7521D" w:rsidRDefault="00A7521D" w:rsidP="00A7521D">
            <w:pPr>
              <w:keepNext/>
              <w:rPr>
                <w:color w:val="FFFFFF"/>
              </w:rPr>
            </w:pPr>
            <m:oMathPara>
              <m:oMathParaPr>
                <m:jc m:val="left"/>
              </m:oMathParaPr>
              <m:oMath>
                <m:r>
                  <w:rPr>
                    <w:rFonts w:ascii="Cambria Math" w:hAnsi="Cambria Math"/>
                  </w:rPr>
                  <m:t>Re=</m:t>
                </m:r>
                <m:f>
                  <m:fPr>
                    <m:ctrlPr>
                      <w:rPr>
                        <w:rFonts w:ascii="Cambria Math" w:hAnsi="Cambria Math"/>
                        <w:i/>
                        <w:iCs/>
                      </w:rPr>
                    </m:ctrlPr>
                  </m:fPr>
                  <m:num>
                    <m:r>
                      <w:rPr>
                        <w:rFonts w:ascii="Cambria Math" w:hAnsi="Cambria Math"/>
                      </w:rPr>
                      <m:t>ρv</m:t>
                    </m:r>
                    <m:sSub>
                      <m:sSubPr>
                        <m:ctrlPr>
                          <w:rPr>
                            <w:rFonts w:ascii="Cambria Math" w:hAnsi="Cambria Math"/>
                            <w:i/>
                            <w:iCs/>
                          </w:rPr>
                        </m:ctrlPr>
                      </m:sSubPr>
                      <m:e>
                        <m:r>
                          <w:rPr>
                            <w:rFonts w:ascii="Cambria Math" w:hAnsi="Cambria Math"/>
                          </w:rPr>
                          <m:t>D</m:t>
                        </m:r>
                      </m:e>
                      <m:sub>
                        <m:r>
                          <w:rPr>
                            <w:rFonts w:ascii="Cambria Math" w:hAnsi="Cambria Math"/>
                          </w:rPr>
                          <m:t>i</m:t>
                        </m:r>
                      </m:sub>
                    </m:sSub>
                  </m:num>
                  <m:den>
                    <m:r>
                      <w:rPr>
                        <w:rFonts w:ascii="Cambria Math" w:hAnsi="Cambria Math"/>
                      </w:rPr>
                      <m:t>μ</m:t>
                    </m:r>
                  </m:den>
                </m:f>
              </m:oMath>
            </m:oMathPara>
          </w:p>
        </w:tc>
        <w:tc>
          <w:tcPr>
            <w:tcW w:w="779" w:type="dxa"/>
            <w:vAlign w:val="center"/>
            <w:hideMark/>
          </w:tcPr>
          <w:p w14:paraId="159B1DC8" w14:textId="77777777" w:rsidR="00A7521D" w:rsidRDefault="00A7521D" w:rsidP="00A7521D">
            <w:pPr>
              <w:pStyle w:val="Caption"/>
              <w:jc w:val="right"/>
              <w:rPr>
                <w:b w:val="0"/>
              </w:rPr>
            </w:pPr>
          </w:p>
        </w:tc>
        <w:tc>
          <w:tcPr>
            <w:tcW w:w="779" w:type="dxa"/>
            <w:vAlign w:val="center"/>
          </w:tcPr>
          <w:p w14:paraId="7AD24A42" w14:textId="5924E62B" w:rsidR="00A7521D" w:rsidRDefault="00A7521D" w:rsidP="00A7521D">
            <w:pPr>
              <w:pStyle w:val="Caption"/>
              <w:jc w:val="right"/>
              <w:rPr>
                <w:b w:val="0"/>
              </w:rPr>
            </w:pPr>
            <w:r>
              <w:rPr>
                <w:noProof/>
              </w:rPr>
              <w:fldChar w:fldCharType="begin"/>
            </w:r>
            <w:r>
              <w:rPr>
                <w:noProof/>
              </w:rPr>
              <w:instrText xml:space="preserve"> STYLEREF 1 \s </w:instrText>
            </w:r>
            <w:r>
              <w:rPr>
                <w:noProof/>
              </w:rPr>
              <w:fldChar w:fldCharType="separate"/>
            </w:r>
            <w:r w:rsidR="00CB7456">
              <w:rPr>
                <w:noProof/>
              </w:rPr>
              <w:t>13</w:t>
            </w:r>
            <w:r>
              <w:rPr>
                <w:noProof/>
              </w:rPr>
              <w:fldChar w:fldCharType="end"/>
            </w:r>
            <w:r>
              <w:rPr>
                <w:noProof/>
              </w:rPr>
              <w:t>.</w:t>
            </w:r>
            <w:r>
              <w:rPr>
                <w:noProof/>
              </w:rPr>
              <w:fldChar w:fldCharType="begin"/>
            </w:r>
            <w:r>
              <w:rPr>
                <w:noProof/>
              </w:rPr>
              <w:instrText xml:space="preserve"> SEQ Equation \* ARABIC \s 1 </w:instrText>
            </w:r>
            <w:r>
              <w:rPr>
                <w:noProof/>
              </w:rPr>
              <w:fldChar w:fldCharType="separate"/>
            </w:r>
            <w:r w:rsidR="00CB7456">
              <w:rPr>
                <w:noProof/>
              </w:rPr>
              <w:t>99</w:t>
            </w:r>
            <w:r>
              <w:rPr>
                <w:noProof/>
              </w:rPr>
              <w:fldChar w:fldCharType="end"/>
            </w:r>
          </w:p>
        </w:tc>
      </w:tr>
    </w:tbl>
    <w:p w14:paraId="3E0903BD" w14:textId="77777777" w:rsidR="00A7521D" w:rsidRPr="00495D50" w:rsidRDefault="00A7521D" w:rsidP="00A7521D"/>
    <w:p w14:paraId="7AE12E84" w14:textId="77777777" w:rsidR="00A7521D" w:rsidRDefault="00A7521D" w:rsidP="00A7521D">
      <w:pPr>
        <w:pStyle w:val="NoSpacing"/>
      </w:pPr>
      <m:oMath>
        <m:r>
          <w:rPr>
            <w:rFonts w:ascii="Cambria Math" w:hAnsi="Cambria Math"/>
          </w:rPr>
          <m:t>Re</m:t>
        </m:r>
      </m:oMath>
      <w:r>
        <w:t xml:space="preserve"> wa</w:t>
      </w:r>
      <w:proofErr w:type="spellStart"/>
      <w:r>
        <w:t>s</w:t>
      </w:r>
      <w:proofErr w:type="spellEnd"/>
      <w:r>
        <w:t xml:space="preserve"> the Reynolds number,</w:t>
      </w:r>
    </w:p>
    <w:p w14:paraId="2BC27B62" w14:textId="77777777" w:rsidR="00A7521D" w:rsidRDefault="00A7521D" w:rsidP="00A7521D">
      <w:pPr>
        <w:pStyle w:val="NoSpacing"/>
      </w:pPr>
      <m:oMath>
        <m:r>
          <w:rPr>
            <w:rFonts w:ascii="Cambria Math" w:hAnsi="Cambria Math"/>
          </w:rPr>
          <m:t>ρ</m:t>
        </m:r>
      </m:oMath>
      <w:r>
        <w:t xml:space="preserve"> was the density (kg/m</w:t>
      </w:r>
      <w:r>
        <w:rPr>
          <w:vertAlign w:val="superscript"/>
        </w:rPr>
        <w:t>3</w:t>
      </w:r>
      <w:r>
        <w:t>),</w:t>
      </w:r>
    </w:p>
    <w:p w14:paraId="5F043B23" w14:textId="77777777" w:rsidR="00A7521D" w:rsidRDefault="00A7521D" w:rsidP="00A7521D">
      <w:pPr>
        <w:pStyle w:val="NoSpacing"/>
      </w:pPr>
      <m:oMath>
        <m:r>
          <w:rPr>
            <w:rFonts w:ascii="Cambria Math" w:hAnsi="Cambria Math"/>
          </w:rPr>
          <m:t>v</m:t>
        </m:r>
      </m:oMath>
      <w:r>
        <w:t xml:space="preserve"> was the fluid velocity (m/s),</w:t>
      </w:r>
    </w:p>
    <w:p w14:paraId="405D9411" w14:textId="77777777" w:rsidR="00A7521D" w:rsidRDefault="00C73E04" w:rsidP="00A7521D">
      <w:pPr>
        <w:pStyle w:val="NoSpacing"/>
      </w:pPr>
      <m:oMath>
        <m:sSub>
          <m:sSubPr>
            <m:ctrlPr>
              <w:rPr>
                <w:rFonts w:ascii="Cambria Math" w:hAnsi="Cambria Math"/>
                <w:i/>
              </w:rPr>
            </m:ctrlPr>
          </m:sSubPr>
          <m:e>
            <m:r>
              <w:rPr>
                <w:rFonts w:ascii="Cambria Math" w:hAnsi="Cambria Math"/>
              </w:rPr>
              <m:t>D</m:t>
            </m:r>
          </m:e>
          <m:sub>
            <m:r>
              <w:rPr>
                <w:rFonts w:ascii="Cambria Math" w:hAnsi="Cambria Math"/>
              </w:rPr>
              <m:t>i</m:t>
            </m:r>
          </m:sub>
        </m:sSub>
      </m:oMath>
      <w:r w:rsidR="00A7521D">
        <w:t xml:space="preserve"> was the inner pipe diameter (m),</w:t>
      </w:r>
    </w:p>
    <w:p w14:paraId="61062EA9" w14:textId="798E83F6" w:rsidR="00A7521D" w:rsidRDefault="00A7521D" w:rsidP="00A7521D">
      <w:pPr>
        <w:rPr>
          <w:iCs/>
        </w:rPr>
      </w:pPr>
      <m:oMath>
        <m:r>
          <w:rPr>
            <w:rFonts w:ascii="Cambria Math" w:hAnsi="Cambria Math"/>
          </w:rPr>
          <m:t>μ</m:t>
        </m:r>
      </m:oMath>
      <w:r>
        <w:rPr>
          <w:iCs/>
        </w:rPr>
        <w:t xml:space="preserve"> was the fluid viscosity (Pas).</w:t>
      </w:r>
    </w:p>
    <w:p w14:paraId="6B6976AA" w14:textId="0CB543B4" w:rsidR="00E95CFB" w:rsidRDefault="00E95CFB" w:rsidP="00A7521D">
      <w:pPr>
        <w:rPr>
          <w:iCs/>
        </w:rPr>
      </w:pPr>
      <w:r>
        <w:rPr>
          <w:iCs/>
        </w:rPr>
        <w:t>The Reynolds number was dependent on the density, fluid velocity, inner pipe diameter and fluid viscosity. The density and viscosity were dependent on the choice of fluid and the operating conditions. The inner pipe diameter was dependent on the physical parameter of the pipe. The fluid velocity was calculated in the modelling of the RC or ORC.</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46"/>
        <w:gridCol w:w="774"/>
        <w:gridCol w:w="778"/>
      </w:tblGrid>
      <w:tr w:rsidR="00A7521D" w14:paraId="0EB860D8" w14:textId="77777777" w:rsidTr="00A7521D">
        <w:tc>
          <w:tcPr>
            <w:tcW w:w="6698" w:type="dxa"/>
            <w:hideMark/>
          </w:tcPr>
          <w:p w14:paraId="4538E51B" w14:textId="567471D9" w:rsidR="00A7521D" w:rsidRDefault="00A7521D" w:rsidP="00A7521D">
            <w:pPr>
              <w:keepNext/>
              <w:rPr>
                <w:color w:val="FFFFFF"/>
              </w:rPr>
            </w:pPr>
            <m:oMathPara>
              <m:oMathParaPr>
                <m:jc m:val="left"/>
              </m:oMathParaPr>
              <m:oMath>
                <m:r>
                  <w:rPr>
                    <w:rFonts w:ascii="Cambria Math" w:hAnsi="Cambria Math"/>
                  </w:rPr>
                  <w:lastRenderedPageBreak/>
                  <m:t>he=</m:t>
                </m:r>
                <m:f>
                  <m:fPr>
                    <m:ctrlPr>
                      <w:rPr>
                        <w:rFonts w:ascii="Cambria Math" w:hAnsi="Cambria Math"/>
                        <w:i/>
                        <w:iCs/>
                      </w:rPr>
                    </m:ctrlPr>
                  </m:fPr>
                  <m:num>
                    <m:sSup>
                      <m:sSupPr>
                        <m:ctrlPr>
                          <w:rPr>
                            <w:rFonts w:ascii="Cambria Math" w:hAnsi="Cambria Math"/>
                            <w:i/>
                            <w:iCs/>
                          </w:rPr>
                        </m:ctrlPr>
                      </m:sSupPr>
                      <m:e>
                        <m:r>
                          <w:rPr>
                            <w:rFonts w:ascii="Cambria Math" w:hAnsi="Cambria Math"/>
                          </w:rPr>
                          <m:t>v</m:t>
                        </m:r>
                      </m:e>
                      <m:sup>
                        <m:r>
                          <w:rPr>
                            <w:rFonts w:ascii="Cambria Math" w:hAnsi="Cambria Math"/>
                          </w:rPr>
                          <m:t>2</m:t>
                        </m:r>
                      </m:sup>
                    </m:sSup>
                  </m:num>
                  <m:den>
                    <m:r>
                      <w:rPr>
                        <w:rFonts w:ascii="Cambria Math" w:hAnsi="Cambria Math"/>
                      </w:rPr>
                      <m:t>2g</m:t>
                    </m:r>
                  </m:den>
                </m:f>
              </m:oMath>
            </m:oMathPara>
          </w:p>
        </w:tc>
        <w:tc>
          <w:tcPr>
            <w:tcW w:w="779" w:type="dxa"/>
            <w:vAlign w:val="center"/>
            <w:hideMark/>
          </w:tcPr>
          <w:p w14:paraId="32BA233D" w14:textId="77777777" w:rsidR="00A7521D" w:rsidRDefault="00A7521D" w:rsidP="00A7521D">
            <w:pPr>
              <w:pStyle w:val="Caption"/>
              <w:jc w:val="right"/>
              <w:rPr>
                <w:b w:val="0"/>
              </w:rPr>
            </w:pPr>
          </w:p>
        </w:tc>
        <w:tc>
          <w:tcPr>
            <w:tcW w:w="779" w:type="dxa"/>
            <w:vAlign w:val="center"/>
          </w:tcPr>
          <w:p w14:paraId="29E69A40" w14:textId="1A3AC26B" w:rsidR="00A7521D" w:rsidRDefault="00A7521D" w:rsidP="00A7521D">
            <w:pPr>
              <w:pStyle w:val="Caption"/>
              <w:jc w:val="right"/>
              <w:rPr>
                <w:b w:val="0"/>
              </w:rPr>
            </w:pPr>
            <w:r>
              <w:rPr>
                <w:noProof/>
              </w:rPr>
              <w:fldChar w:fldCharType="begin"/>
            </w:r>
            <w:r>
              <w:rPr>
                <w:noProof/>
              </w:rPr>
              <w:instrText xml:space="preserve"> STYLEREF 1 \s </w:instrText>
            </w:r>
            <w:r>
              <w:rPr>
                <w:noProof/>
              </w:rPr>
              <w:fldChar w:fldCharType="separate"/>
            </w:r>
            <w:r w:rsidR="00CB7456">
              <w:rPr>
                <w:noProof/>
              </w:rPr>
              <w:t>13</w:t>
            </w:r>
            <w:r>
              <w:rPr>
                <w:noProof/>
              </w:rPr>
              <w:fldChar w:fldCharType="end"/>
            </w:r>
            <w:r>
              <w:rPr>
                <w:noProof/>
              </w:rPr>
              <w:t>.</w:t>
            </w:r>
            <w:r>
              <w:rPr>
                <w:noProof/>
              </w:rPr>
              <w:fldChar w:fldCharType="begin"/>
            </w:r>
            <w:r>
              <w:rPr>
                <w:noProof/>
              </w:rPr>
              <w:instrText xml:space="preserve"> SEQ Equation \* ARABIC \s 1 </w:instrText>
            </w:r>
            <w:r>
              <w:rPr>
                <w:noProof/>
              </w:rPr>
              <w:fldChar w:fldCharType="separate"/>
            </w:r>
            <w:r w:rsidR="00CB7456">
              <w:rPr>
                <w:noProof/>
              </w:rPr>
              <w:t>100</w:t>
            </w:r>
            <w:r>
              <w:rPr>
                <w:noProof/>
              </w:rPr>
              <w:fldChar w:fldCharType="end"/>
            </w:r>
          </w:p>
        </w:tc>
      </w:tr>
    </w:tbl>
    <w:p w14:paraId="5267FEE8" w14:textId="77777777" w:rsidR="00A7521D" w:rsidRDefault="00A7521D" w:rsidP="00A7521D">
      <w:pPr>
        <w:rPr>
          <w:iCs/>
        </w:rPr>
      </w:pPr>
    </w:p>
    <w:p w14:paraId="7AAAEC36" w14:textId="77777777" w:rsidR="00A7521D" w:rsidRDefault="00A7521D" w:rsidP="00A7521D">
      <w:pPr>
        <w:pStyle w:val="NoSpacing"/>
      </w:pPr>
      <m:oMath>
        <m:r>
          <w:rPr>
            <w:rFonts w:ascii="Cambria Math" w:hAnsi="Cambria Math"/>
          </w:rPr>
          <m:t>he</m:t>
        </m:r>
      </m:oMath>
      <w:r>
        <w:t xml:space="preserve"> was the velocity head (m),</w:t>
      </w:r>
    </w:p>
    <w:p w14:paraId="0A34BCF8" w14:textId="20F30A76" w:rsidR="00A7521D" w:rsidRDefault="00A7521D" w:rsidP="00A7521D">
      <m:oMath>
        <m:r>
          <w:rPr>
            <w:rFonts w:ascii="Cambria Math" w:hAnsi="Cambria Math"/>
          </w:rPr>
          <m:t>g</m:t>
        </m:r>
      </m:oMath>
      <w:r>
        <w:t xml:space="preserve"> was the force due to gravity (m/s</w:t>
      </w:r>
      <w:r>
        <w:rPr>
          <w:vertAlign w:val="superscript"/>
        </w:rPr>
        <w:t>2</w:t>
      </w:r>
      <w:r>
        <w:t>).</w:t>
      </w:r>
    </w:p>
    <w:p w14:paraId="26E521F1" w14:textId="35109D6F" w:rsidR="00E95CFB" w:rsidRDefault="00E95CFB" w:rsidP="00A7521D">
      <w:r>
        <w:t>The velocity head was dependent on the fluid velocity and the force due to gravity.</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46"/>
        <w:gridCol w:w="774"/>
        <w:gridCol w:w="778"/>
      </w:tblGrid>
      <w:tr w:rsidR="00A7521D" w14:paraId="6AE6C401" w14:textId="77777777" w:rsidTr="00A7521D">
        <w:tc>
          <w:tcPr>
            <w:tcW w:w="6698" w:type="dxa"/>
            <w:hideMark/>
          </w:tcPr>
          <w:p w14:paraId="2442388F" w14:textId="77777777" w:rsidR="00A7521D" w:rsidRDefault="00C73E04" w:rsidP="00A7521D">
            <w:pPr>
              <w:keepNext/>
              <w:rPr>
                <w:color w:val="FFFFFF"/>
              </w:rPr>
            </w:pPr>
            <m:oMathPara>
              <m:oMathParaPr>
                <m:jc m:val="left"/>
              </m:oMathParaPr>
              <m:oMath>
                <m:sSub>
                  <m:sSubPr>
                    <m:ctrlPr>
                      <w:rPr>
                        <w:rFonts w:ascii="Cambria Math" w:hAnsi="Cambria Math"/>
                        <w:i/>
                      </w:rPr>
                    </m:ctrlPr>
                  </m:sSubPr>
                  <m:e>
                    <m:r>
                      <w:rPr>
                        <w:rFonts w:ascii="Cambria Math" w:hAnsi="Cambria Math"/>
                      </w:rPr>
                      <m:t>he</m:t>
                    </m:r>
                  </m:e>
                  <m:sub>
                    <m:r>
                      <w:rPr>
                        <w:rFonts w:ascii="Cambria Math" w:hAnsi="Cambria Math"/>
                      </w:rPr>
                      <m:t>loss</m:t>
                    </m:r>
                  </m:sub>
                </m:sSub>
                <m:r>
                  <w:rPr>
                    <w:rFonts w:ascii="Cambria Math" w:hAnsi="Cambria Math"/>
                  </w:rPr>
                  <m:t>=he.</m:t>
                </m:r>
                <m:sSub>
                  <m:sSubPr>
                    <m:ctrlPr>
                      <w:rPr>
                        <w:rFonts w:ascii="Cambria Math" w:hAnsi="Cambria Math"/>
                        <w:i/>
                      </w:rPr>
                    </m:ctrlPr>
                  </m:sSubPr>
                  <m:e>
                    <m:r>
                      <w:rPr>
                        <w:rFonts w:ascii="Cambria Math" w:hAnsi="Cambria Math"/>
                      </w:rPr>
                      <m:t>he</m:t>
                    </m:r>
                  </m:e>
                  <m:sub>
                    <m:r>
                      <w:rPr>
                        <w:rFonts w:ascii="Cambria Math" w:hAnsi="Cambria Math"/>
                      </w:rPr>
                      <m:t>nu</m:t>
                    </m:r>
                  </m:sub>
                </m:sSub>
              </m:oMath>
            </m:oMathPara>
          </w:p>
        </w:tc>
        <w:tc>
          <w:tcPr>
            <w:tcW w:w="779" w:type="dxa"/>
            <w:vAlign w:val="center"/>
            <w:hideMark/>
          </w:tcPr>
          <w:p w14:paraId="1B807DD9" w14:textId="77777777" w:rsidR="00A7521D" w:rsidRDefault="00A7521D" w:rsidP="00A7521D">
            <w:pPr>
              <w:pStyle w:val="Caption"/>
              <w:jc w:val="right"/>
              <w:rPr>
                <w:b w:val="0"/>
              </w:rPr>
            </w:pPr>
          </w:p>
        </w:tc>
        <w:tc>
          <w:tcPr>
            <w:tcW w:w="779" w:type="dxa"/>
            <w:vAlign w:val="center"/>
          </w:tcPr>
          <w:p w14:paraId="2B68B4A4" w14:textId="51FDEE42" w:rsidR="00A7521D" w:rsidRDefault="00A7521D" w:rsidP="00A7521D">
            <w:pPr>
              <w:pStyle w:val="Caption"/>
              <w:jc w:val="right"/>
              <w:rPr>
                <w:b w:val="0"/>
              </w:rPr>
            </w:pPr>
            <w:r>
              <w:rPr>
                <w:noProof/>
              </w:rPr>
              <w:fldChar w:fldCharType="begin"/>
            </w:r>
            <w:r>
              <w:rPr>
                <w:noProof/>
              </w:rPr>
              <w:instrText xml:space="preserve"> STYLEREF 1 \s </w:instrText>
            </w:r>
            <w:r>
              <w:rPr>
                <w:noProof/>
              </w:rPr>
              <w:fldChar w:fldCharType="separate"/>
            </w:r>
            <w:r w:rsidR="00CB7456">
              <w:rPr>
                <w:noProof/>
              </w:rPr>
              <w:t>13</w:t>
            </w:r>
            <w:r>
              <w:rPr>
                <w:noProof/>
              </w:rPr>
              <w:fldChar w:fldCharType="end"/>
            </w:r>
            <w:r>
              <w:rPr>
                <w:noProof/>
              </w:rPr>
              <w:t>.</w:t>
            </w:r>
            <w:r>
              <w:rPr>
                <w:noProof/>
              </w:rPr>
              <w:fldChar w:fldCharType="begin"/>
            </w:r>
            <w:r>
              <w:rPr>
                <w:noProof/>
              </w:rPr>
              <w:instrText xml:space="preserve"> SEQ Equation \* ARABIC \s 1 </w:instrText>
            </w:r>
            <w:r>
              <w:rPr>
                <w:noProof/>
              </w:rPr>
              <w:fldChar w:fldCharType="separate"/>
            </w:r>
            <w:r w:rsidR="00CB7456">
              <w:rPr>
                <w:noProof/>
              </w:rPr>
              <w:t>101</w:t>
            </w:r>
            <w:r>
              <w:rPr>
                <w:noProof/>
              </w:rPr>
              <w:fldChar w:fldCharType="end"/>
            </w:r>
          </w:p>
        </w:tc>
      </w:tr>
    </w:tbl>
    <w:p w14:paraId="31FA3EB2" w14:textId="77777777" w:rsidR="00A7521D" w:rsidRDefault="00A7521D" w:rsidP="00A7521D">
      <w:pPr>
        <w:pStyle w:val="Caption"/>
      </w:pPr>
    </w:p>
    <w:p w14:paraId="6843EE88" w14:textId="77777777" w:rsidR="00A7521D" w:rsidRDefault="00C73E04" w:rsidP="00A7521D">
      <w:pPr>
        <w:pStyle w:val="NoSpacing"/>
      </w:pPr>
      <m:oMath>
        <m:sSub>
          <m:sSubPr>
            <m:ctrlPr>
              <w:rPr>
                <w:rFonts w:ascii="Cambria Math" w:hAnsi="Cambria Math"/>
                <w:i/>
              </w:rPr>
            </m:ctrlPr>
          </m:sSubPr>
          <m:e>
            <m:r>
              <w:rPr>
                <w:rFonts w:ascii="Cambria Math" w:hAnsi="Cambria Math"/>
              </w:rPr>
              <m:t>he</m:t>
            </m:r>
          </m:e>
          <m:sub>
            <m:r>
              <w:rPr>
                <w:rFonts w:ascii="Cambria Math" w:hAnsi="Cambria Math"/>
              </w:rPr>
              <m:t>loss</m:t>
            </m:r>
          </m:sub>
        </m:sSub>
      </m:oMath>
      <w:r w:rsidR="00A7521D">
        <w:t xml:space="preserve"> was the head losses (m),</w:t>
      </w:r>
    </w:p>
    <w:p w14:paraId="1122B645" w14:textId="5974725B" w:rsidR="00A7521D" w:rsidRDefault="00C73E04" w:rsidP="00A7521D">
      <m:oMath>
        <m:sSub>
          <m:sSubPr>
            <m:ctrlPr>
              <w:rPr>
                <w:rFonts w:ascii="Cambria Math" w:hAnsi="Cambria Math"/>
                <w:i/>
              </w:rPr>
            </m:ctrlPr>
          </m:sSubPr>
          <m:e>
            <m:r>
              <w:rPr>
                <w:rFonts w:ascii="Cambria Math" w:hAnsi="Cambria Math"/>
              </w:rPr>
              <m:t>he</m:t>
            </m:r>
          </m:e>
          <m:sub>
            <m:r>
              <w:rPr>
                <w:rFonts w:ascii="Cambria Math" w:hAnsi="Cambria Math"/>
              </w:rPr>
              <m:t>nu</m:t>
            </m:r>
          </m:sub>
        </m:sSub>
      </m:oMath>
      <w:r w:rsidR="00A7521D">
        <w:t xml:space="preserve"> was the number of velocity heads.</w:t>
      </w:r>
    </w:p>
    <w:p w14:paraId="6353EE63" w14:textId="0CA73667" w:rsidR="00E95CFB" w:rsidRDefault="00E95CFB" w:rsidP="00A7521D">
      <w:r>
        <w:t>The head loss was dependent on the velocity head and the number of velocity heads. The number of velocity heads was dependent on the physical parameters of the pump.</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82"/>
        <w:gridCol w:w="629"/>
        <w:gridCol w:w="787"/>
      </w:tblGrid>
      <w:tr w:rsidR="00A7521D" w14:paraId="7E6FB9DA" w14:textId="77777777" w:rsidTr="00A7521D">
        <w:tc>
          <w:tcPr>
            <w:tcW w:w="6782" w:type="dxa"/>
            <w:hideMark/>
          </w:tcPr>
          <w:p w14:paraId="7BB726E4" w14:textId="77777777" w:rsidR="00A7521D" w:rsidRDefault="00C73E04" w:rsidP="00A7521D">
            <w:pPr>
              <w:keepNext/>
              <w:rPr>
                <w:color w:val="FFFFFF"/>
              </w:rPr>
            </w:pPr>
            <m:oMathPara>
              <m:oMathParaPr>
                <m:jc m:val="left"/>
              </m:oMathParaPr>
              <m:oMath>
                <m:sSub>
                  <m:sSubPr>
                    <m:ctrlPr>
                      <w:rPr>
                        <w:rFonts w:ascii="Cambria Math" w:hAnsi="Cambria Math"/>
                        <w:i/>
                        <w:iCs/>
                      </w:rPr>
                    </m:ctrlPr>
                  </m:sSubPr>
                  <m:e>
                    <m:r>
                      <w:rPr>
                        <w:rFonts w:ascii="Cambria Math" w:hAnsi="Cambria Math"/>
                      </w:rPr>
                      <m:t>P</m:t>
                    </m:r>
                  </m:e>
                  <m:sub>
                    <m:r>
                      <w:rPr>
                        <w:rFonts w:ascii="Cambria Math" w:hAnsi="Cambria Math"/>
                      </w:rPr>
                      <m:t>loss</m:t>
                    </m:r>
                  </m:sub>
                </m:sSub>
                <m:r>
                  <w:rPr>
                    <w:rFonts w:ascii="Cambria Math" w:hAnsi="Cambria Math"/>
                  </w:rPr>
                  <m:t>=</m:t>
                </m:r>
                <m:sSub>
                  <m:sSubPr>
                    <m:ctrlPr>
                      <w:rPr>
                        <w:rFonts w:ascii="Cambria Math" w:hAnsi="Cambria Math"/>
                        <w:i/>
                      </w:rPr>
                    </m:ctrlPr>
                  </m:sSubPr>
                  <m:e>
                    <m:r>
                      <w:rPr>
                        <w:rFonts w:ascii="Cambria Math" w:hAnsi="Cambria Math"/>
                      </w:rPr>
                      <m:t>he</m:t>
                    </m:r>
                  </m:e>
                  <m:sub>
                    <m:r>
                      <w:rPr>
                        <w:rFonts w:ascii="Cambria Math" w:hAnsi="Cambria Math"/>
                      </w:rPr>
                      <m:t>loss</m:t>
                    </m:r>
                  </m:sub>
                </m:sSub>
                <m:r>
                  <w:rPr>
                    <w:rFonts w:ascii="Cambria Math" w:hAnsi="Cambria Math"/>
                  </w:rPr>
                  <m:t>ρg</m:t>
                </m:r>
              </m:oMath>
            </m:oMathPara>
          </w:p>
        </w:tc>
        <w:tc>
          <w:tcPr>
            <w:tcW w:w="629" w:type="dxa"/>
            <w:vAlign w:val="center"/>
          </w:tcPr>
          <w:p w14:paraId="3C5BF103" w14:textId="77777777" w:rsidR="00A7521D" w:rsidRDefault="00A7521D" w:rsidP="00A7521D">
            <w:pPr>
              <w:pStyle w:val="Caption"/>
              <w:jc w:val="right"/>
            </w:pPr>
          </w:p>
        </w:tc>
        <w:tc>
          <w:tcPr>
            <w:tcW w:w="787" w:type="dxa"/>
            <w:vAlign w:val="center"/>
            <w:hideMark/>
          </w:tcPr>
          <w:p w14:paraId="2E39E76B" w14:textId="17606C1C" w:rsidR="00A7521D" w:rsidRPr="00C55983" w:rsidRDefault="00A7521D" w:rsidP="00A7521D">
            <w:pPr>
              <w:pStyle w:val="Caption"/>
              <w:jc w:val="right"/>
            </w:pPr>
            <w:r>
              <w:rPr>
                <w:noProof/>
              </w:rPr>
              <w:fldChar w:fldCharType="begin"/>
            </w:r>
            <w:r>
              <w:rPr>
                <w:noProof/>
              </w:rPr>
              <w:instrText xml:space="preserve"> STYLEREF 1 \s </w:instrText>
            </w:r>
            <w:r>
              <w:rPr>
                <w:noProof/>
              </w:rPr>
              <w:fldChar w:fldCharType="separate"/>
            </w:r>
            <w:r w:rsidR="00CB7456">
              <w:rPr>
                <w:noProof/>
              </w:rPr>
              <w:t>13</w:t>
            </w:r>
            <w:r>
              <w:rPr>
                <w:noProof/>
              </w:rPr>
              <w:fldChar w:fldCharType="end"/>
            </w:r>
            <w:r>
              <w:rPr>
                <w:noProof/>
              </w:rPr>
              <w:t>.</w:t>
            </w:r>
            <w:r>
              <w:rPr>
                <w:noProof/>
              </w:rPr>
              <w:fldChar w:fldCharType="begin"/>
            </w:r>
            <w:r>
              <w:rPr>
                <w:noProof/>
              </w:rPr>
              <w:instrText xml:space="preserve"> SEQ Equation \* ARABIC \s 1 </w:instrText>
            </w:r>
            <w:r>
              <w:rPr>
                <w:noProof/>
              </w:rPr>
              <w:fldChar w:fldCharType="separate"/>
            </w:r>
            <w:r w:rsidR="00CB7456">
              <w:rPr>
                <w:noProof/>
              </w:rPr>
              <w:t>102</w:t>
            </w:r>
            <w:r>
              <w:rPr>
                <w:noProof/>
              </w:rPr>
              <w:fldChar w:fldCharType="end"/>
            </w:r>
          </w:p>
        </w:tc>
      </w:tr>
    </w:tbl>
    <w:p w14:paraId="1F39D310" w14:textId="77777777" w:rsidR="00A7521D" w:rsidRDefault="00A7521D" w:rsidP="00A7521D">
      <w:pPr>
        <w:rPr>
          <w:iCs/>
        </w:rPr>
      </w:pPr>
    </w:p>
    <w:p w14:paraId="0862D1D3" w14:textId="05DEC46B" w:rsidR="00A7521D" w:rsidRDefault="00C73E04" w:rsidP="00A7521D">
      <w:pPr>
        <w:rPr>
          <w:iCs/>
        </w:rPr>
      </w:pPr>
      <m:oMath>
        <m:sSub>
          <m:sSubPr>
            <m:ctrlPr>
              <w:rPr>
                <w:rFonts w:ascii="Cambria Math" w:hAnsi="Cambria Math"/>
                <w:i/>
                <w:iCs/>
              </w:rPr>
            </m:ctrlPr>
          </m:sSubPr>
          <m:e>
            <m:r>
              <w:rPr>
                <w:rFonts w:ascii="Cambria Math" w:hAnsi="Cambria Math"/>
              </w:rPr>
              <m:t>P</m:t>
            </m:r>
          </m:e>
          <m:sub>
            <m:r>
              <w:rPr>
                <w:rFonts w:ascii="Cambria Math" w:hAnsi="Cambria Math"/>
              </w:rPr>
              <m:t>loss</m:t>
            </m:r>
          </m:sub>
        </m:sSub>
      </m:oMath>
      <w:r w:rsidR="00A7521D">
        <w:rPr>
          <w:iCs/>
        </w:rPr>
        <w:t xml:space="preserve"> </w:t>
      </w:r>
      <w:proofErr w:type="gramStart"/>
      <w:r w:rsidR="00A7521D">
        <w:rPr>
          <w:iCs/>
        </w:rPr>
        <w:t>was</w:t>
      </w:r>
      <w:proofErr w:type="gramEnd"/>
      <w:r w:rsidR="00A7521D">
        <w:rPr>
          <w:iCs/>
        </w:rPr>
        <w:t xml:space="preserve"> the head losses as pressure (kPa).</w:t>
      </w:r>
    </w:p>
    <w:p w14:paraId="4E21FCC9" w14:textId="570D7AB9" w:rsidR="00E95CFB" w:rsidRDefault="00E95CFB" w:rsidP="00A7521D">
      <w:pPr>
        <w:rPr>
          <w:iCs/>
        </w:rPr>
      </w:pPr>
      <w:r>
        <w:rPr>
          <w:iCs/>
        </w:rPr>
        <w:t>The head loss as pressure was dependent on the head losses, the fluid density and the force due to gravity.</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82"/>
        <w:gridCol w:w="629"/>
        <w:gridCol w:w="787"/>
      </w:tblGrid>
      <w:tr w:rsidR="00A7521D" w14:paraId="6195ED75" w14:textId="77777777" w:rsidTr="00A7521D">
        <w:tc>
          <w:tcPr>
            <w:tcW w:w="6782" w:type="dxa"/>
            <w:hideMark/>
          </w:tcPr>
          <w:p w14:paraId="52184A4B" w14:textId="77777777" w:rsidR="00A7521D" w:rsidRDefault="00C73E04" w:rsidP="00A7521D">
            <w:pPr>
              <w:keepNext/>
              <w:rPr>
                <w:color w:val="FFFFFF"/>
              </w:rPr>
            </w:pPr>
            <m:oMathPara>
              <m:oMathParaPr>
                <m:jc m:val="left"/>
              </m:oMathParaPr>
              <m:oMath>
                <m:sSub>
                  <m:sSubPr>
                    <m:ctrlPr>
                      <w:rPr>
                        <w:rFonts w:ascii="Cambria Math" w:hAnsi="Cambria Math"/>
                        <w:i/>
                        <w:iCs/>
                      </w:rPr>
                    </m:ctrlPr>
                  </m:sSubPr>
                  <m:e>
                    <m:r>
                      <w:rPr>
                        <w:rFonts w:ascii="Cambria Math" w:hAnsi="Cambria Math"/>
                      </w:rPr>
                      <m:t>P</m:t>
                    </m:r>
                  </m:e>
                  <m:sub>
                    <m:r>
                      <w:rPr>
                        <w:rFonts w:ascii="Cambria Math" w:hAnsi="Cambria Math"/>
                      </w:rPr>
                      <m:t>ft,loss</m:t>
                    </m:r>
                  </m:sub>
                </m:sSub>
                <m:r>
                  <w:rPr>
                    <w:rFonts w:ascii="Cambria Math" w:hAnsi="Cambria Math"/>
                  </w:rPr>
                  <m:t>=8j</m:t>
                </m:r>
                <m:d>
                  <m:dPr>
                    <m:ctrlPr>
                      <w:rPr>
                        <w:rFonts w:ascii="Cambria Math" w:hAnsi="Cambria Math"/>
                        <w:i/>
                        <w:iCs/>
                      </w:rPr>
                    </m:ctrlPr>
                  </m:dPr>
                  <m:e>
                    <m:f>
                      <m:fPr>
                        <m:ctrlPr>
                          <w:rPr>
                            <w:rFonts w:ascii="Cambria Math" w:hAnsi="Cambria Math"/>
                            <w:i/>
                            <w:iCs/>
                          </w:rPr>
                        </m:ctrlPr>
                      </m:fPr>
                      <m:num>
                        <m:r>
                          <w:rPr>
                            <w:rFonts w:ascii="Cambria Math" w:hAnsi="Cambria Math"/>
                          </w:rPr>
                          <m:t>L</m:t>
                        </m:r>
                      </m:num>
                      <m:den>
                        <m:sSub>
                          <m:sSubPr>
                            <m:ctrlPr>
                              <w:rPr>
                                <w:rFonts w:ascii="Cambria Math" w:hAnsi="Cambria Math"/>
                                <w:i/>
                                <w:iCs/>
                              </w:rPr>
                            </m:ctrlPr>
                          </m:sSubPr>
                          <m:e>
                            <m:r>
                              <w:rPr>
                                <w:rFonts w:ascii="Cambria Math" w:hAnsi="Cambria Math"/>
                              </w:rPr>
                              <m:t>D</m:t>
                            </m:r>
                          </m:e>
                          <m:sub>
                            <m:r>
                              <w:rPr>
                                <w:rFonts w:ascii="Cambria Math" w:hAnsi="Cambria Math"/>
                              </w:rPr>
                              <m:t>i</m:t>
                            </m:r>
                          </m:sub>
                        </m:sSub>
                      </m:den>
                    </m:f>
                  </m:e>
                </m:d>
                <m:f>
                  <m:fPr>
                    <m:ctrlPr>
                      <w:rPr>
                        <w:rFonts w:ascii="Cambria Math" w:hAnsi="Cambria Math"/>
                        <w:i/>
                        <w:iCs/>
                      </w:rPr>
                    </m:ctrlPr>
                  </m:fPr>
                  <m:num>
                    <m:r>
                      <w:rPr>
                        <w:rFonts w:ascii="Cambria Math" w:hAnsi="Cambria Math"/>
                      </w:rPr>
                      <m:t>ρ</m:t>
                    </m:r>
                    <m:sSup>
                      <m:sSupPr>
                        <m:ctrlPr>
                          <w:rPr>
                            <w:rFonts w:ascii="Cambria Math" w:hAnsi="Cambria Math"/>
                            <w:i/>
                            <w:iCs/>
                          </w:rPr>
                        </m:ctrlPr>
                      </m:sSupPr>
                      <m:e>
                        <m:r>
                          <w:rPr>
                            <w:rFonts w:ascii="Cambria Math" w:hAnsi="Cambria Math"/>
                          </w:rPr>
                          <m:t>v</m:t>
                        </m:r>
                      </m:e>
                      <m:sup>
                        <m:r>
                          <w:rPr>
                            <w:rFonts w:ascii="Cambria Math" w:hAnsi="Cambria Math"/>
                          </w:rPr>
                          <m:t>2</m:t>
                        </m:r>
                      </m:sup>
                    </m:sSup>
                  </m:num>
                  <m:den>
                    <m:r>
                      <w:rPr>
                        <w:rFonts w:ascii="Cambria Math" w:hAnsi="Cambria Math"/>
                      </w:rPr>
                      <m:t>2</m:t>
                    </m:r>
                  </m:den>
                </m:f>
              </m:oMath>
            </m:oMathPara>
          </w:p>
        </w:tc>
        <w:tc>
          <w:tcPr>
            <w:tcW w:w="629" w:type="dxa"/>
            <w:vAlign w:val="center"/>
          </w:tcPr>
          <w:p w14:paraId="08E6F365" w14:textId="77777777" w:rsidR="00A7521D" w:rsidRPr="00F744C0" w:rsidRDefault="00A7521D" w:rsidP="00A7521D"/>
        </w:tc>
        <w:tc>
          <w:tcPr>
            <w:tcW w:w="787" w:type="dxa"/>
            <w:vAlign w:val="center"/>
            <w:hideMark/>
          </w:tcPr>
          <w:p w14:paraId="1F141C7F" w14:textId="3113C5C7" w:rsidR="00A7521D" w:rsidRPr="00C55983" w:rsidRDefault="00A7521D" w:rsidP="00A7521D">
            <w:pPr>
              <w:pStyle w:val="Caption"/>
              <w:jc w:val="right"/>
            </w:pPr>
            <w:r>
              <w:rPr>
                <w:noProof/>
              </w:rPr>
              <w:fldChar w:fldCharType="begin"/>
            </w:r>
            <w:r>
              <w:rPr>
                <w:noProof/>
              </w:rPr>
              <w:instrText xml:space="preserve"> STYLEREF 1 \s </w:instrText>
            </w:r>
            <w:r>
              <w:rPr>
                <w:noProof/>
              </w:rPr>
              <w:fldChar w:fldCharType="separate"/>
            </w:r>
            <w:r w:rsidR="00CB7456">
              <w:rPr>
                <w:noProof/>
              </w:rPr>
              <w:t>13</w:t>
            </w:r>
            <w:r>
              <w:rPr>
                <w:noProof/>
              </w:rPr>
              <w:fldChar w:fldCharType="end"/>
            </w:r>
            <w:r>
              <w:rPr>
                <w:noProof/>
              </w:rPr>
              <w:t>.</w:t>
            </w:r>
            <w:r>
              <w:rPr>
                <w:noProof/>
              </w:rPr>
              <w:fldChar w:fldCharType="begin"/>
            </w:r>
            <w:r>
              <w:rPr>
                <w:noProof/>
              </w:rPr>
              <w:instrText xml:space="preserve"> SEQ Equation \* ARABIC \s 1 </w:instrText>
            </w:r>
            <w:r>
              <w:rPr>
                <w:noProof/>
              </w:rPr>
              <w:fldChar w:fldCharType="separate"/>
            </w:r>
            <w:r w:rsidR="00CB7456">
              <w:rPr>
                <w:noProof/>
              </w:rPr>
              <w:t>103</w:t>
            </w:r>
            <w:r>
              <w:rPr>
                <w:noProof/>
              </w:rPr>
              <w:fldChar w:fldCharType="end"/>
            </w:r>
          </w:p>
        </w:tc>
      </w:tr>
    </w:tbl>
    <w:p w14:paraId="4FC3799E" w14:textId="77777777" w:rsidR="00A7521D" w:rsidRDefault="00A7521D" w:rsidP="00A7521D">
      <w:pPr>
        <w:rPr>
          <w:iCs/>
        </w:rPr>
      </w:pPr>
    </w:p>
    <w:p w14:paraId="191D939E" w14:textId="77777777" w:rsidR="00A7521D" w:rsidRDefault="00C73E04" w:rsidP="00A7521D">
      <w:pPr>
        <w:pStyle w:val="NoSpacing"/>
      </w:pPr>
      <m:oMath>
        <m:sSub>
          <m:sSubPr>
            <m:ctrlPr>
              <w:rPr>
                <w:rFonts w:ascii="Cambria Math" w:hAnsi="Cambria Math"/>
                <w:i/>
              </w:rPr>
            </m:ctrlPr>
          </m:sSubPr>
          <m:e>
            <m:r>
              <w:rPr>
                <w:rFonts w:ascii="Cambria Math" w:hAnsi="Cambria Math"/>
              </w:rPr>
              <m:t>P</m:t>
            </m:r>
          </m:e>
          <m:sub>
            <m:r>
              <w:rPr>
                <w:rFonts w:ascii="Cambria Math" w:hAnsi="Cambria Math"/>
              </w:rPr>
              <m:t>ft,loss</m:t>
            </m:r>
          </m:sub>
        </m:sSub>
      </m:oMath>
      <w:r w:rsidR="00A7521D">
        <w:t xml:space="preserve"> </w:t>
      </w:r>
      <w:proofErr w:type="gramStart"/>
      <w:r w:rsidR="00A7521D">
        <w:t>was</w:t>
      </w:r>
      <w:proofErr w:type="gramEnd"/>
      <w:r w:rsidR="00A7521D">
        <w:t xml:space="preserve"> the friction losses in the pipes (kPa),</w:t>
      </w:r>
    </w:p>
    <w:p w14:paraId="1EB4D97C" w14:textId="77777777" w:rsidR="00A7521D" w:rsidRDefault="00A7521D" w:rsidP="00A7521D">
      <w:pPr>
        <w:pStyle w:val="NoSpacing"/>
      </w:pPr>
      <m:oMath>
        <m:r>
          <w:rPr>
            <w:rFonts w:ascii="Cambria Math" w:hAnsi="Cambria Math"/>
          </w:rPr>
          <m:t>j</m:t>
        </m:r>
      </m:oMath>
      <w:r>
        <w:t xml:space="preserve"> was the friction factor,</w:t>
      </w:r>
    </w:p>
    <w:p w14:paraId="1B082FA8" w14:textId="3B29FE2F" w:rsidR="00A7521D" w:rsidRDefault="00A7521D" w:rsidP="00A7521D">
      <w:pPr>
        <w:rPr>
          <w:iCs/>
        </w:rPr>
      </w:pPr>
      <m:oMath>
        <m:r>
          <w:rPr>
            <w:rFonts w:ascii="Cambria Math" w:hAnsi="Cambria Math"/>
          </w:rPr>
          <m:t>L</m:t>
        </m:r>
      </m:oMath>
      <w:r>
        <w:rPr>
          <w:iCs/>
        </w:rPr>
        <w:t xml:space="preserve"> was the pipe length (m).</w:t>
      </w:r>
    </w:p>
    <w:p w14:paraId="550933AE" w14:textId="3B1A0E8D" w:rsidR="00E95CFB" w:rsidRDefault="00E95CFB" w:rsidP="00A7521D">
      <w:pPr>
        <w:rPr>
          <w:iCs/>
        </w:rPr>
      </w:pPr>
      <w:r>
        <w:rPr>
          <w:iCs/>
        </w:rPr>
        <w:t>The friction losses in the pipes were dependent on the friction factor, the pipe length, the fluid density and the fluid velocity. The friction factor was dependent on the physical parameters of the pipes.</w:t>
      </w:r>
    </w:p>
    <w:p w14:paraId="3A20831A" w14:textId="1FA0B20F" w:rsidR="009E1A67" w:rsidRDefault="009E1A67" w:rsidP="009E1A67">
      <w:pPr>
        <w:rPr>
          <w:b/>
          <w:bCs/>
          <w:sz w:val="18"/>
          <w:szCs w:val="18"/>
        </w:rPr>
      </w:pPr>
      <w:r>
        <w:rPr>
          <w:iCs/>
        </w:rPr>
        <w:fldChar w:fldCharType="begin"/>
      </w:r>
      <w:r>
        <w:rPr>
          <w:iCs/>
        </w:rPr>
        <w:instrText xml:space="preserve"> REF _Ref7186802 \h </w:instrText>
      </w:r>
      <w:r>
        <w:rPr>
          <w:iCs/>
        </w:rPr>
      </w:r>
      <w:r>
        <w:rPr>
          <w:iCs/>
        </w:rPr>
        <w:fldChar w:fldCharType="separate"/>
      </w:r>
      <w:r w:rsidR="00CB7456">
        <w:t xml:space="preserve">Table </w:t>
      </w:r>
      <w:r w:rsidR="00CB7456">
        <w:rPr>
          <w:noProof/>
        </w:rPr>
        <w:t>13</w:t>
      </w:r>
      <w:r w:rsidR="00CB7456">
        <w:t>.</w:t>
      </w:r>
      <w:r w:rsidR="00CB7456">
        <w:rPr>
          <w:noProof/>
        </w:rPr>
        <w:t>15</w:t>
      </w:r>
      <w:r>
        <w:rPr>
          <w:iCs/>
        </w:rPr>
        <w:fldChar w:fldCharType="end"/>
      </w:r>
      <w:r>
        <w:rPr>
          <w:iCs/>
        </w:rPr>
        <w:t xml:space="preserve"> shows how the complex series of equations used in the modelling of the pump are linked to each other.</w:t>
      </w:r>
    </w:p>
    <w:p w14:paraId="2F9C5CEE" w14:textId="7AC74C48" w:rsidR="009E1A67" w:rsidRDefault="009E1A67" w:rsidP="009E1A67">
      <w:pPr>
        <w:pStyle w:val="Caption"/>
        <w:keepNext/>
      </w:pPr>
      <w:bookmarkStart w:id="1072" w:name="_Ref7186802"/>
      <w:bookmarkStart w:id="1073" w:name="_Toc7187732"/>
      <w:r>
        <w:t xml:space="preserve">Table </w:t>
      </w:r>
      <w:fldSimple w:instr=" STYLEREF 1 \s ">
        <w:r w:rsidR="00CB7456">
          <w:rPr>
            <w:noProof/>
          </w:rPr>
          <w:t>13</w:t>
        </w:r>
      </w:fldSimple>
      <w:r>
        <w:t>.</w:t>
      </w:r>
      <w:fldSimple w:instr=" SEQ Table \* ARABIC \s 1 ">
        <w:r w:rsidR="00CB7456">
          <w:rPr>
            <w:noProof/>
          </w:rPr>
          <w:t>15</w:t>
        </w:r>
      </w:fldSimple>
      <w:bookmarkEnd w:id="1072"/>
      <w:r>
        <w:t>: How the equations in the modelling of the pump are linked. Inputs in bold are outputs from other equations in the modelling of the pump.</w:t>
      </w:r>
      <w:bookmarkEnd w:id="1073"/>
    </w:p>
    <w:tbl>
      <w:tblPr>
        <w:tblStyle w:val="TableGrid"/>
        <w:tblW w:w="0" w:type="auto"/>
        <w:jc w:val="center"/>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26"/>
        <w:gridCol w:w="2516"/>
        <w:gridCol w:w="1052"/>
        <w:gridCol w:w="3205"/>
      </w:tblGrid>
      <w:tr w:rsidR="009E1A67" w14:paraId="2315704C" w14:textId="77777777" w:rsidTr="00D737A2">
        <w:trPr>
          <w:jc w:val="center"/>
        </w:trPr>
        <w:tc>
          <w:tcPr>
            <w:tcW w:w="1126" w:type="dxa"/>
            <w:tcBorders>
              <w:bottom w:val="single" w:sz="4" w:space="0" w:color="auto"/>
            </w:tcBorders>
          </w:tcPr>
          <w:p w14:paraId="023DD5E8" w14:textId="77777777" w:rsidR="009E1A67" w:rsidRDefault="009E1A67" w:rsidP="00D737A2">
            <w:pPr>
              <w:jc w:val="center"/>
            </w:pPr>
            <w:r>
              <w:t>Equation</w:t>
            </w:r>
          </w:p>
        </w:tc>
        <w:tc>
          <w:tcPr>
            <w:tcW w:w="2516" w:type="dxa"/>
            <w:tcBorders>
              <w:bottom w:val="single" w:sz="4" w:space="0" w:color="auto"/>
            </w:tcBorders>
          </w:tcPr>
          <w:p w14:paraId="1943D8FC" w14:textId="77777777" w:rsidR="009E1A67" w:rsidRDefault="009E1A67" w:rsidP="00D737A2">
            <w:pPr>
              <w:jc w:val="center"/>
            </w:pPr>
            <w:r>
              <w:t>Inputs</w:t>
            </w:r>
          </w:p>
        </w:tc>
        <w:tc>
          <w:tcPr>
            <w:tcW w:w="1052" w:type="dxa"/>
            <w:tcBorders>
              <w:bottom w:val="single" w:sz="4" w:space="0" w:color="auto"/>
            </w:tcBorders>
          </w:tcPr>
          <w:p w14:paraId="5AE7FBC3" w14:textId="77777777" w:rsidR="009E1A67" w:rsidRDefault="009E1A67" w:rsidP="00D737A2">
            <w:pPr>
              <w:jc w:val="center"/>
            </w:pPr>
            <w:r>
              <w:t>Outputs</w:t>
            </w:r>
          </w:p>
        </w:tc>
        <w:tc>
          <w:tcPr>
            <w:tcW w:w="3205" w:type="dxa"/>
            <w:tcBorders>
              <w:bottom w:val="single" w:sz="4" w:space="0" w:color="auto"/>
            </w:tcBorders>
          </w:tcPr>
          <w:p w14:paraId="10B24BDF" w14:textId="77777777" w:rsidR="009E1A67" w:rsidRDefault="009E1A67" w:rsidP="00D737A2">
            <w:pPr>
              <w:jc w:val="center"/>
            </w:pPr>
            <w:r>
              <w:t>Linked to Equation</w:t>
            </w:r>
          </w:p>
        </w:tc>
      </w:tr>
      <w:tr w:rsidR="009E1A67" w14:paraId="4D07C71D" w14:textId="77777777" w:rsidTr="00D737A2">
        <w:trPr>
          <w:jc w:val="center"/>
        </w:trPr>
        <w:tc>
          <w:tcPr>
            <w:tcW w:w="1126" w:type="dxa"/>
            <w:tcBorders>
              <w:top w:val="single" w:sz="4" w:space="0" w:color="auto"/>
              <w:bottom w:val="nil"/>
            </w:tcBorders>
          </w:tcPr>
          <w:p w14:paraId="0881D5A0" w14:textId="77777777" w:rsidR="009E1A67" w:rsidRPr="008A7BB2" w:rsidRDefault="009E1A67" w:rsidP="00D737A2">
            <w:pPr>
              <w:jc w:val="center"/>
              <w:rPr>
                <w:color w:val="000000" w:themeColor="text1"/>
              </w:rPr>
            </w:pPr>
            <w:r>
              <w:rPr>
                <w:color w:val="000000" w:themeColor="text1"/>
              </w:rPr>
              <w:t>13.99</w:t>
            </w:r>
          </w:p>
        </w:tc>
        <w:tc>
          <w:tcPr>
            <w:tcW w:w="2516" w:type="dxa"/>
            <w:tcBorders>
              <w:top w:val="single" w:sz="4" w:space="0" w:color="auto"/>
              <w:bottom w:val="nil"/>
            </w:tcBorders>
          </w:tcPr>
          <w:p w14:paraId="77ED0F92" w14:textId="77777777" w:rsidR="009E1A67" w:rsidRPr="008A7BB2" w:rsidRDefault="009E1A67" w:rsidP="00D737A2">
            <w:pPr>
              <w:jc w:val="center"/>
              <w:rPr>
                <w:color w:val="000000" w:themeColor="text1"/>
              </w:rPr>
            </w:pPr>
            <m:oMathPara>
              <m:oMath>
                <m:r>
                  <w:rPr>
                    <w:rFonts w:ascii="Cambria Math" w:hAnsi="Cambria Math"/>
                    <w:color w:val="000000" w:themeColor="text1"/>
                  </w:rPr>
                  <m:t>ρ,v,</m:t>
                </m:r>
                <m:sSub>
                  <m:sSubPr>
                    <m:ctrlPr>
                      <w:rPr>
                        <w:rFonts w:ascii="Cambria Math" w:hAnsi="Cambria Math"/>
                        <w:i/>
                        <w:color w:val="000000" w:themeColor="text1"/>
                      </w:rPr>
                    </m:ctrlPr>
                  </m:sSubPr>
                  <m:e>
                    <m:r>
                      <w:rPr>
                        <w:rFonts w:ascii="Cambria Math" w:hAnsi="Cambria Math"/>
                        <w:color w:val="000000" w:themeColor="text1"/>
                      </w:rPr>
                      <m:t>D</m:t>
                    </m:r>
                  </m:e>
                  <m:sub>
                    <m:r>
                      <w:rPr>
                        <w:rFonts w:ascii="Cambria Math" w:hAnsi="Cambria Math"/>
                        <w:color w:val="000000" w:themeColor="text1"/>
                      </w:rPr>
                      <m:t>i</m:t>
                    </m:r>
                  </m:sub>
                </m:sSub>
                <m:r>
                  <w:rPr>
                    <w:rFonts w:ascii="Cambria Math" w:hAnsi="Cambria Math"/>
                    <w:color w:val="000000" w:themeColor="text1"/>
                  </w:rPr>
                  <m:t>,μ</m:t>
                </m:r>
              </m:oMath>
            </m:oMathPara>
          </w:p>
        </w:tc>
        <w:tc>
          <w:tcPr>
            <w:tcW w:w="1052" w:type="dxa"/>
            <w:tcBorders>
              <w:top w:val="single" w:sz="4" w:space="0" w:color="auto"/>
              <w:bottom w:val="nil"/>
            </w:tcBorders>
          </w:tcPr>
          <w:p w14:paraId="5C7B59EF" w14:textId="77777777" w:rsidR="009E1A67" w:rsidRPr="008A7BB2" w:rsidRDefault="009E1A67" w:rsidP="00D737A2">
            <w:pPr>
              <w:jc w:val="center"/>
              <w:rPr>
                <w:color w:val="000000" w:themeColor="text1"/>
              </w:rPr>
            </w:pPr>
            <m:oMathPara>
              <m:oMath>
                <m:r>
                  <w:rPr>
                    <w:rFonts w:ascii="Cambria Math" w:hAnsi="Cambria Math"/>
                    <w:color w:val="000000" w:themeColor="text1"/>
                  </w:rPr>
                  <m:t>Re</m:t>
                </m:r>
              </m:oMath>
            </m:oMathPara>
          </w:p>
        </w:tc>
        <w:tc>
          <w:tcPr>
            <w:tcW w:w="3205" w:type="dxa"/>
            <w:tcBorders>
              <w:top w:val="single" w:sz="4" w:space="0" w:color="auto"/>
              <w:bottom w:val="nil"/>
            </w:tcBorders>
          </w:tcPr>
          <w:p w14:paraId="03361672" w14:textId="77777777" w:rsidR="009E1A67" w:rsidRPr="008A7BB2" w:rsidRDefault="009E1A67" w:rsidP="00D737A2">
            <w:pPr>
              <w:jc w:val="center"/>
              <w:rPr>
                <w:color w:val="000000" w:themeColor="text1"/>
              </w:rPr>
            </w:pPr>
          </w:p>
        </w:tc>
      </w:tr>
      <w:tr w:rsidR="009E1A67" w14:paraId="444D7D0D" w14:textId="77777777" w:rsidTr="00D737A2">
        <w:trPr>
          <w:jc w:val="center"/>
        </w:trPr>
        <w:tc>
          <w:tcPr>
            <w:tcW w:w="1126" w:type="dxa"/>
            <w:tcBorders>
              <w:top w:val="nil"/>
            </w:tcBorders>
          </w:tcPr>
          <w:p w14:paraId="3E6E8A1D" w14:textId="77777777" w:rsidR="009E1A67" w:rsidRPr="008A7BB2" w:rsidRDefault="009E1A67" w:rsidP="00D737A2">
            <w:pPr>
              <w:jc w:val="center"/>
              <w:rPr>
                <w:color w:val="000000" w:themeColor="text1"/>
              </w:rPr>
            </w:pPr>
            <w:r>
              <w:rPr>
                <w:color w:val="000000" w:themeColor="text1"/>
              </w:rPr>
              <w:t>13.100</w:t>
            </w:r>
          </w:p>
        </w:tc>
        <w:tc>
          <w:tcPr>
            <w:tcW w:w="2516" w:type="dxa"/>
            <w:tcBorders>
              <w:top w:val="nil"/>
            </w:tcBorders>
          </w:tcPr>
          <w:p w14:paraId="31B55E91" w14:textId="77777777" w:rsidR="009E1A67" w:rsidRPr="008A7BB2" w:rsidRDefault="009E1A67" w:rsidP="00D737A2">
            <w:pPr>
              <w:jc w:val="center"/>
              <w:rPr>
                <w:color w:val="000000" w:themeColor="text1"/>
              </w:rPr>
            </w:pPr>
            <m:oMathPara>
              <m:oMath>
                <m:r>
                  <w:rPr>
                    <w:rFonts w:ascii="Cambria Math" w:hAnsi="Cambria Math"/>
                    <w:color w:val="000000" w:themeColor="text1"/>
                  </w:rPr>
                  <m:t>v,g</m:t>
                </m:r>
              </m:oMath>
            </m:oMathPara>
          </w:p>
        </w:tc>
        <w:tc>
          <w:tcPr>
            <w:tcW w:w="1052" w:type="dxa"/>
            <w:tcBorders>
              <w:top w:val="nil"/>
            </w:tcBorders>
          </w:tcPr>
          <w:p w14:paraId="15F9A6F6" w14:textId="77777777" w:rsidR="009E1A67" w:rsidRPr="008A7BB2" w:rsidRDefault="009E1A67" w:rsidP="00D737A2">
            <w:pPr>
              <w:jc w:val="center"/>
              <w:rPr>
                <w:color w:val="000000" w:themeColor="text1"/>
              </w:rPr>
            </w:pPr>
            <m:oMathPara>
              <m:oMath>
                <m:r>
                  <w:rPr>
                    <w:rFonts w:ascii="Cambria Math" w:hAnsi="Cambria Math"/>
                    <w:color w:val="000000" w:themeColor="text1"/>
                  </w:rPr>
                  <m:t>he</m:t>
                </m:r>
              </m:oMath>
            </m:oMathPara>
          </w:p>
        </w:tc>
        <w:tc>
          <w:tcPr>
            <w:tcW w:w="3205" w:type="dxa"/>
            <w:tcBorders>
              <w:top w:val="nil"/>
            </w:tcBorders>
          </w:tcPr>
          <w:p w14:paraId="2586ED62" w14:textId="77777777" w:rsidR="009E1A67" w:rsidRPr="008A7BB2" w:rsidRDefault="009E1A67" w:rsidP="00D737A2">
            <w:pPr>
              <w:jc w:val="center"/>
              <w:rPr>
                <w:color w:val="000000" w:themeColor="text1"/>
              </w:rPr>
            </w:pPr>
            <w:proofErr w:type="spellStart"/>
            <w:r>
              <w:rPr>
                <w:color w:val="000000" w:themeColor="text1"/>
              </w:rPr>
              <w:t>Eqn</w:t>
            </w:r>
            <w:proofErr w:type="spellEnd"/>
            <w:r>
              <w:rPr>
                <w:color w:val="000000" w:themeColor="text1"/>
              </w:rPr>
              <w:t xml:space="preserve"> 13.101</w:t>
            </w:r>
          </w:p>
        </w:tc>
      </w:tr>
      <w:tr w:rsidR="009E1A67" w14:paraId="738CBD15" w14:textId="77777777" w:rsidTr="00D737A2">
        <w:trPr>
          <w:jc w:val="center"/>
        </w:trPr>
        <w:tc>
          <w:tcPr>
            <w:tcW w:w="1126" w:type="dxa"/>
          </w:tcPr>
          <w:p w14:paraId="6BC33B41" w14:textId="77777777" w:rsidR="009E1A67" w:rsidRPr="008A7BB2" w:rsidRDefault="009E1A67" w:rsidP="00D737A2">
            <w:pPr>
              <w:jc w:val="center"/>
              <w:rPr>
                <w:color w:val="000000" w:themeColor="text1"/>
              </w:rPr>
            </w:pPr>
            <w:r>
              <w:rPr>
                <w:color w:val="000000" w:themeColor="text1"/>
              </w:rPr>
              <w:t>13.101</w:t>
            </w:r>
          </w:p>
        </w:tc>
        <w:tc>
          <w:tcPr>
            <w:tcW w:w="2516" w:type="dxa"/>
          </w:tcPr>
          <w:p w14:paraId="3BC51D28" w14:textId="77777777" w:rsidR="009E1A67" w:rsidRPr="008A7BB2" w:rsidRDefault="009E1A67" w:rsidP="00D737A2">
            <w:pPr>
              <w:jc w:val="center"/>
              <w:rPr>
                <w:color w:val="000000" w:themeColor="text1"/>
              </w:rPr>
            </w:pPr>
            <m:oMathPara>
              <m:oMath>
                <m:r>
                  <m:rPr>
                    <m:sty m:val="bi"/>
                  </m:rPr>
                  <w:rPr>
                    <w:rFonts w:ascii="Cambria Math" w:hAnsi="Cambria Math"/>
                    <w:color w:val="000000" w:themeColor="text1"/>
                  </w:rPr>
                  <m:t>he</m:t>
                </m:r>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he</m:t>
                    </m:r>
                  </m:e>
                  <m:sub>
                    <m:r>
                      <w:rPr>
                        <w:rFonts w:ascii="Cambria Math" w:hAnsi="Cambria Math"/>
                        <w:color w:val="000000" w:themeColor="text1"/>
                      </w:rPr>
                      <m:t>nu</m:t>
                    </m:r>
                  </m:sub>
                </m:sSub>
              </m:oMath>
            </m:oMathPara>
          </w:p>
        </w:tc>
        <w:tc>
          <w:tcPr>
            <w:tcW w:w="1052" w:type="dxa"/>
          </w:tcPr>
          <w:p w14:paraId="13FC5AC8" w14:textId="77777777" w:rsidR="009E1A67" w:rsidRPr="008A7BB2" w:rsidRDefault="009E1A67" w:rsidP="00D737A2">
            <w:pPr>
              <w:jc w:val="center"/>
              <w:rPr>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he</m:t>
                    </m:r>
                  </m:e>
                  <m:sub>
                    <m:r>
                      <w:rPr>
                        <w:rFonts w:ascii="Cambria Math" w:hAnsi="Cambria Math"/>
                        <w:color w:val="000000" w:themeColor="text1"/>
                      </w:rPr>
                      <m:t>loss</m:t>
                    </m:r>
                  </m:sub>
                </m:sSub>
              </m:oMath>
            </m:oMathPara>
          </w:p>
        </w:tc>
        <w:tc>
          <w:tcPr>
            <w:tcW w:w="3205" w:type="dxa"/>
          </w:tcPr>
          <w:p w14:paraId="53335690" w14:textId="77777777" w:rsidR="009E1A67" w:rsidRPr="008A7BB2" w:rsidRDefault="009E1A67" w:rsidP="00D737A2">
            <w:pPr>
              <w:jc w:val="center"/>
              <w:rPr>
                <w:color w:val="000000" w:themeColor="text1"/>
              </w:rPr>
            </w:pPr>
            <w:proofErr w:type="spellStart"/>
            <w:r>
              <w:rPr>
                <w:color w:val="000000" w:themeColor="text1"/>
              </w:rPr>
              <w:t>Eqn</w:t>
            </w:r>
            <w:proofErr w:type="spellEnd"/>
            <w:r>
              <w:rPr>
                <w:color w:val="000000" w:themeColor="text1"/>
              </w:rPr>
              <w:t xml:space="preserve"> 13.102</w:t>
            </w:r>
          </w:p>
        </w:tc>
      </w:tr>
      <w:tr w:rsidR="009E1A67" w14:paraId="671653BA" w14:textId="77777777" w:rsidTr="00D737A2">
        <w:trPr>
          <w:jc w:val="center"/>
        </w:trPr>
        <w:tc>
          <w:tcPr>
            <w:tcW w:w="1126" w:type="dxa"/>
          </w:tcPr>
          <w:p w14:paraId="793EC89C" w14:textId="77777777" w:rsidR="009E1A67" w:rsidRPr="008A7BB2" w:rsidRDefault="009E1A67" w:rsidP="00D737A2">
            <w:pPr>
              <w:jc w:val="center"/>
              <w:rPr>
                <w:color w:val="000000" w:themeColor="text1"/>
              </w:rPr>
            </w:pPr>
            <w:r>
              <w:rPr>
                <w:color w:val="000000" w:themeColor="text1"/>
              </w:rPr>
              <w:t>13.102</w:t>
            </w:r>
          </w:p>
        </w:tc>
        <w:tc>
          <w:tcPr>
            <w:tcW w:w="2516" w:type="dxa"/>
          </w:tcPr>
          <w:p w14:paraId="78A2FDC8" w14:textId="77777777" w:rsidR="009E1A67" w:rsidRPr="008A7BB2" w:rsidRDefault="009E1A67" w:rsidP="00D737A2">
            <w:pPr>
              <w:jc w:val="center"/>
              <w:rPr>
                <w:color w:val="000000" w:themeColor="text1"/>
              </w:rPr>
            </w:pPr>
            <m:oMathPara>
              <m:oMath>
                <m:sSub>
                  <m:sSubPr>
                    <m:ctrlPr>
                      <w:rPr>
                        <w:rFonts w:ascii="Cambria Math" w:hAnsi="Cambria Math"/>
                        <w:b/>
                        <w:i/>
                        <w:color w:val="000000" w:themeColor="text1"/>
                      </w:rPr>
                    </m:ctrlPr>
                  </m:sSubPr>
                  <m:e>
                    <m:r>
                      <m:rPr>
                        <m:sty m:val="bi"/>
                      </m:rPr>
                      <w:rPr>
                        <w:rFonts w:ascii="Cambria Math" w:hAnsi="Cambria Math"/>
                        <w:color w:val="000000" w:themeColor="text1"/>
                      </w:rPr>
                      <m:t>he</m:t>
                    </m:r>
                  </m:e>
                  <m:sub>
                    <m:r>
                      <m:rPr>
                        <m:sty m:val="bi"/>
                      </m:rPr>
                      <w:rPr>
                        <w:rFonts w:ascii="Cambria Math" w:hAnsi="Cambria Math"/>
                        <w:color w:val="000000" w:themeColor="text1"/>
                      </w:rPr>
                      <m:t>loss</m:t>
                    </m:r>
                  </m:sub>
                </m:sSub>
                <m:r>
                  <w:rPr>
                    <w:rFonts w:ascii="Cambria Math" w:hAnsi="Cambria Math"/>
                    <w:color w:val="000000" w:themeColor="text1"/>
                  </w:rPr>
                  <m:t>,ρ,g</m:t>
                </m:r>
              </m:oMath>
            </m:oMathPara>
          </w:p>
        </w:tc>
        <w:tc>
          <w:tcPr>
            <w:tcW w:w="1052" w:type="dxa"/>
          </w:tcPr>
          <w:p w14:paraId="1FEEDE44" w14:textId="77777777" w:rsidR="009E1A67" w:rsidRPr="008A7BB2" w:rsidRDefault="009E1A67" w:rsidP="00D737A2">
            <w:pPr>
              <w:jc w:val="center"/>
              <w:rPr>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P</m:t>
                    </m:r>
                  </m:e>
                  <m:sub>
                    <m:r>
                      <w:rPr>
                        <w:rFonts w:ascii="Cambria Math" w:hAnsi="Cambria Math"/>
                        <w:color w:val="000000" w:themeColor="text1"/>
                      </w:rPr>
                      <m:t>loss</m:t>
                    </m:r>
                  </m:sub>
                </m:sSub>
              </m:oMath>
            </m:oMathPara>
          </w:p>
        </w:tc>
        <w:tc>
          <w:tcPr>
            <w:tcW w:w="3205" w:type="dxa"/>
          </w:tcPr>
          <w:p w14:paraId="29D18CE1" w14:textId="77777777" w:rsidR="009E1A67" w:rsidRPr="008A7BB2" w:rsidRDefault="009E1A67" w:rsidP="00D737A2">
            <w:pPr>
              <w:jc w:val="center"/>
              <w:rPr>
                <w:color w:val="000000" w:themeColor="text1"/>
              </w:rPr>
            </w:pPr>
          </w:p>
        </w:tc>
      </w:tr>
      <w:tr w:rsidR="009E1A67" w14:paraId="425FEC4C" w14:textId="77777777" w:rsidTr="00D737A2">
        <w:trPr>
          <w:jc w:val="center"/>
        </w:trPr>
        <w:tc>
          <w:tcPr>
            <w:tcW w:w="1126" w:type="dxa"/>
          </w:tcPr>
          <w:p w14:paraId="5E96E50E" w14:textId="77777777" w:rsidR="009E1A67" w:rsidRPr="008A7BB2" w:rsidRDefault="009E1A67" w:rsidP="00D737A2">
            <w:pPr>
              <w:jc w:val="center"/>
              <w:rPr>
                <w:color w:val="000000" w:themeColor="text1"/>
              </w:rPr>
            </w:pPr>
            <w:r>
              <w:rPr>
                <w:color w:val="000000" w:themeColor="text1"/>
              </w:rPr>
              <w:t>13.103</w:t>
            </w:r>
          </w:p>
        </w:tc>
        <w:tc>
          <w:tcPr>
            <w:tcW w:w="2516" w:type="dxa"/>
          </w:tcPr>
          <w:p w14:paraId="5DDE25CC" w14:textId="77777777" w:rsidR="009E1A67" w:rsidRPr="008A7BB2" w:rsidRDefault="009E1A67" w:rsidP="00D737A2">
            <w:pPr>
              <w:jc w:val="center"/>
              <w:rPr>
                <w:color w:val="000000" w:themeColor="text1"/>
              </w:rPr>
            </w:pPr>
            <m:oMathPara>
              <m:oMath>
                <m:r>
                  <w:rPr>
                    <w:rFonts w:ascii="Cambria Math" w:hAnsi="Cambria Math"/>
                    <w:color w:val="000000" w:themeColor="text1"/>
                  </w:rPr>
                  <m:t xml:space="preserve">j,L, </m:t>
                </m:r>
                <m:sSub>
                  <m:sSubPr>
                    <m:ctrlPr>
                      <w:rPr>
                        <w:rFonts w:ascii="Cambria Math" w:hAnsi="Cambria Math"/>
                        <w:i/>
                        <w:color w:val="000000" w:themeColor="text1"/>
                      </w:rPr>
                    </m:ctrlPr>
                  </m:sSubPr>
                  <m:e>
                    <m:r>
                      <w:rPr>
                        <w:rFonts w:ascii="Cambria Math" w:hAnsi="Cambria Math"/>
                        <w:color w:val="000000" w:themeColor="text1"/>
                      </w:rPr>
                      <m:t>D</m:t>
                    </m:r>
                  </m:e>
                  <m:sub>
                    <m:r>
                      <w:rPr>
                        <w:rFonts w:ascii="Cambria Math" w:hAnsi="Cambria Math"/>
                        <w:color w:val="000000" w:themeColor="text1"/>
                      </w:rPr>
                      <m:t>i</m:t>
                    </m:r>
                  </m:sub>
                </m:sSub>
                <m:r>
                  <w:rPr>
                    <w:rFonts w:ascii="Cambria Math" w:hAnsi="Cambria Math"/>
                    <w:color w:val="000000" w:themeColor="text1"/>
                  </w:rPr>
                  <m:t>, ρ,v</m:t>
                </m:r>
              </m:oMath>
            </m:oMathPara>
          </w:p>
        </w:tc>
        <w:tc>
          <w:tcPr>
            <w:tcW w:w="1052" w:type="dxa"/>
          </w:tcPr>
          <w:p w14:paraId="2E5CE98A" w14:textId="77777777" w:rsidR="009E1A67" w:rsidRPr="008A7BB2" w:rsidRDefault="009E1A67" w:rsidP="00D737A2">
            <w:pPr>
              <w:jc w:val="center"/>
              <w:rPr>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P</m:t>
                    </m:r>
                  </m:e>
                  <m:sub>
                    <m:r>
                      <w:rPr>
                        <w:rFonts w:ascii="Cambria Math" w:hAnsi="Cambria Math"/>
                        <w:color w:val="000000" w:themeColor="text1"/>
                      </w:rPr>
                      <m:t>ft,loss</m:t>
                    </m:r>
                  </m:sub>
                </m:sSub>
              </m:oMath>
            </m:oMathPara>
          </w:p>
        </w:tc>
        <w:tc>
          <w:tcPr>
            <w:tcW w:w="3205" w:type="dxa"/>
          </w:tcPr>
          <w:p w14:paraId="3D781239" w14:textId="77777777" w:rsidR="009E1A67" w:rsidRPr="008A7BB2" w:rsidRDefault="009E1A67" w:rsidP="00D737A2">
            <w:pPr>
              <w:jc w:val="center"/>
              <w:rPr>
                <w:color w:val="000000" w:themeColor="text1"/>
              </w:rPr>
            </w:pPr>
          </w:p>
        </w:tc>
      </w:tr>
    </w:tbl>
    <w:p w14:paraId="4B43FD08" w14:textId="77777777" w:rsidR="009E1A67" w:rsidRDefault="009E1A67" w:rsidP="009E1A67"/>
    <w:p w14:paraId="71AD0F09" w14:textId="77777777" w:rsidR="009E1A67" w:rsidRPr="00E83DA8" w:rsidRDefault="009E1A67" w:rsidP="00A7521D"/>
    <w:p w14:paraId="2419100F" w14:textId="77777777" w:rsidR="00A7521D" w:rsidRDefault="00A7521D" w:rsidP="00A7521D">
      <w:pPr>
        <w:pStyle w:val="Heading2"/>
      </w:pPr>
      <w:bookmarkStart w:id="1074" w:name="_Toc525230063"/>
      <w:bookmarkStart w:id="1075" w:name="_Ref531343960"/>
      <w:bookmarkStart w:id="1076" w:name="_Ref531344214"/>
      <w:bookmarkStart w:id="1077" w:name="_Toc7187611"/>
      <w:r>
        <w:lastRenderedPageBreak/>
        <w:t>Turbine Equations</w:t>
      </w:r>
      <w:bookmarkEnd w:id="1074"/>
      <w:bookmarkEnd w:id="1075"/>
      <w:bookmarkEnd w:id="1076"/>
      <w:bookmarkEnd w:id="1077"/>
    </w:p>
    <w:p w14:paraId="7089C29F" w14:textId="6EAFBB4D" w:rsidR="00A7521D" w:rsidRDefault="00A7521D" w:rsidP="00A7521D">
      <w:r>
        <w:t>The equations used in the modelling of the turbines are shown below, as calculated in section</w:t>
      </w:r>
      <w:r w:rsidR="00D82F1A">
        <w:t xml:space="preserve"> </w:t>
      </w:r>
      <w:r w:rsidR="00D82F1A">
        <w:fldChar w:fldCharType="begin"/>
      </w:r>
      <w:r w:rsidR="00D82F1A">
        <w:instrText xml:space="preserve"> REF _Ref531345529 \n \h </w:instrText>
      </w:r>
      <w:r w:rsidR="00D82F1A">
        <w:fldChar w:fldCharType="separate"/>
      </w:r>
      <w:r w:rsidR="00CB7456">
        <w:t>5.1.1.10</w:t>
      </w:r>
      <w:r w:rsidR="00D82F1A">
        <w:fldChar w:fldCharType="end"/>
      </w:r>
      <w:r>
        <w:t xml:space="preserve">. All equations came from the Elliott shortcut selection method for multivalve, multistage steam turbines </w:t>
      </w:r>
      <w:r>
        <w:fldChar w:fldCharType="begin" w:fldLock="1"/>
      </w:r>
      <w:r w:rsidR="002A6A73">
        <w:instrText>ADDIN CSL_CITATION {"citationItems":[{"id":"ITEM-1","itemData":{"ISBN":"9780071641005","author":[{"dropping-particle":"","family":"Bloch","given":"Heinz P.","non-dropping-particle":"","parse-names":false,"suffix":""},{"dropping-particle":"","family":"Singh","given":"Murari P.","non-dropping-particle":"","parse-names":false,"suffix":""}],"chapter-number":"15","container-title":"Steam Turbines - Design, Applications and Re-Rating","edition":"2","id":"ITEM-1","issued":{"date-parts":[["2009"]]},"page":"309-328","publisher":"McGraw-Hill","publisher-place":"New York, America","title":"Elliott Shortcut Selection Method for Multivalve, Multistage Steam Turbines","type":"chapter"},"uris":["http://www.mendeley.com/documents/?uuid=e75e9b62-ce28-4111-950b-d748a36f7cca"]}],"mendeley":{"formattedCitation":"(Bloch and Singh, 2009)","plainTextFormattedCitation":"(Bloch and Singh, 2009)","previouslyFormattedCitation":"(Bloch and Singh, 2009)"},"properties":{"noteIndex":0},"schema":"https://github.com/citation-style-language/schema/raw/master/csl-citation.json"}</w:instrText>
      </w:r>
      <w:r>
        <w:fldChar w:fldCharType="separate"/>
      </w:r>
      <w:r w:rsidR="002A6A73" w:rsidRPr="002A6A73">
        <w:rPr>
          <w:noProof/>
        </w:rPr>
        <w:t>(Bloch and Singh, 2009)</w:t>
      </w:r>
      <w:r>
        <w:fldChar w:fldCharType="end"/>
      </w:r>
      <w: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82"/>
        <w:gridCol w:w="629"/>
        <w:gridCol w:w="787"/>
      </w:tblGrid>
      <w:tr w:rsidR="00A7521D" w14:paraId="3C66235D" w14:textId="77777777" w:rsidTr="00A7521D">
        <w:tc>
          <w:tcPr>
            <w:tcW w:w="6782" w:type="dxa"/>
            <w:hideMark/>
          </w:tcPr>
          <w:p w14:paraId="6FFC5049" w14:textId="77777777" w:rsidR="00A7521D" w:rsidRDefault="00A7521D" w:rsidP="00A7521D">
            <w:pPr>
              <w:keepNext/>
              <w:rPr>
                <w:color w:val="FFFFFF"/>
              </w:rPr>
            </w:pPr>
            <m:oMathPara>
              <m:oMathParaPr>
                <m:jc m:val="left"/>
              </m:oMathParaPr>
              <m:oMath>
                <m:r>
                  <w:rPr>
                    <w:rFonts w:ascii="Cambria Math" w:hAnsi="Cambria Math"/>
                    <w:lang w:val="el-GR"/>
                  </w:rPr>
                  <m:t>Δ</m:t>
                </m:r>
                <m:r>
                  <w:rPr>
                    <w:rFonts w:ascii="Cambria Math" w:hAnsi="Cambria Math"/>
                  </w:rPr>
                  <m:t>H=</m:t>
                </m:r>
                <m:f>
                  <m:fPr>
                    <m:ctrlPr>
                      <w:rPr>
                        <w:rFonts w:ascii="Cambria Math" w:hAnsi="Cambria Math"/>
                        <w:i/>
                        <w:iCs/>
                      </w:rPr>
                    </m:ctrlPr>
                  </m:fPr>
                  <m:num>
                    <m:r>
                      <w:rPr>
                        <w:rFonts w:ascii="Cambria Math" w:hAnsi="Cambria Math"/>
                      </w:rPr>
                      <m:t>3413</m:t>
                    </m:r>
                  </m:num>
                  <m:den>
                    <m:r>
                      <w:rPr>
                        <w:rFonts w:ascii="Cambria Math" w:hAnsi="Cambria Math"/>
                      </w:rPr>
                      <m:t>TSR</m:t>
                    </m:r>
                  </m:den>
                </m:f>
              </m:oMath>
            </m:oMathPara>
          </w:p>
        </w:tc>
        <w:tc>
          <w:tcPr>
            <w:tcW w:w="629" w:type="dxa"/>
            <w:vAlign w:val="center"/>
          </w:tcPr>
          <w:p w14:paraId="3DA0EA8B" w14:textId="77777777" w:rsidR="00A7521D" w:rsidRPr="00F744C0" w:rsidRDefault="00A7521D" w:rsidP="00A7521D"/>
        </w:tc>
        <w:tc>
          <w:tcPr>
            <w:tcW w:w="787" w:type="dxa"/>
            <w:vAlign w:val="center"/>
            <w:hideMark/>
          </w:tcPr>
          <w:p w14:paraId="6152B13C" w14:textId="2691CD60" w:rsidR="00A7521D" w:rsidRPr="00C55983" w:rsidRDefault="00A7521D" w:rsidP="00A7521D">
            <w:pPr>
              <w:pStyle w:val="Caption"/>
              <w:jc w:val="right"/>
            </w:pPr>
            <w:r>
              <w:rPr>
                <w:noProof/>
              </w:rPr>
              <w:fldChar w:fldCharType="begin"/>
            </w:r>
            <w:r>
              <w:rPr>
                <w:noProof/>
              </w:rPr>
              <w:instrText xml:space="preserve"> STYLEREF 1 \s </w:instrText>
            </w:r>
            <w:r>
              <w:rPr>
                <w:noProof/>
              </w:rPr>
              <w:fldChar w:fldCharType="separate"/>
            </w:r>
            <w:r w:rsidR="00CB7456">
              <w:rPr>
                <w:noProof/>
              </w:rPr>
              <w:t>13</w:t>
            </w:r>
            <w:r>
              <w:rPr>
                <w:noProof/>
              </w:rPr>
              <w:fldChar w:fldCharType="end"/>
            </w:r>
            <w:r>
              <w:rPr>
                <w:noProof/>
              </w:rPr>
              <w:t>.</w:t>
            </w:r>
            <w:r>
              <w:rPr>
                <w:noProof/>
              </w:rPr>
              <w:fldChar w:fldCharType="begin"/>
            </w:r>
            <w:r>
              <w:rPr>
                <w:noProof/>
              </w:rPr>
              <w:instrText xml:space="preserve"> SEQ Equation \* ARABIC \s 1 </w:instrText>
            </w:r>
            <w:r>
              <w:rPr>
                <w:noProof/>
              </w:rPr>
              <w:fldChar w:fldCharType="separate"/>
            </w:r>
            <w:r w:rsidR="00CB7456">
              <w:rPr>
                <w:noProof/>
              </w:rPr>
              <w:t>104</w:t>
            </w:r>
            <w:r>
              <w:rPr>
                <w:noProof/>
              </w:rPr>
              <w:fldChar w:fldCharType="end"/>
            </w:r>
          </w:p>
        </w:tc>
      </w:tr>
    </w:tbl>
    <w:p w14:paraId="35677516" w14:textId="77777777" w:rsidR="00A7521D" w:rsidRPr="00495D50" w:rsidRDefault="00A7521D" w:rsidP="00A7521D"/>
    <w:p w14:paraId="5D039FB6" w14:textId="77777777" w:rsidR="00A7521D" w:rsidRDefault="00A7521D" w:rsidP="00A7521D">
      <w:pPr>
        <w:pStyle w:val="NoSpacing"/>
      </w:pPr>
      <m:oMath>
        <m:r>
          <w:rPr>
            <w:rFonts w:ascii="Cambria Math" w:hAnsi="Cambria Math"/>
            <w:lang w:val="el-GR"/>
          </w:rPr>
          <m:t>Δ</m:t>
        </m:r>
        <m:r>
          <w:rPr>
            <w:rFonts w:ascii="Cambria Math" w:hAnsi="Cambria Math"/>
          </w:rPr>
          <m:t>H</m:t>
        </m:r>
      </m:oMath>
      <w:r>
        <w:t xml:space="preserve"> was the turbine enthalpy (kJ/kg),</w:t>
      </w:r>
    </w:p>
    <w:p w14:paraId="6F12F756" w14:textId="2D37DA88" w:rsidR="00A7521D" w:rsidRDefault="00A7521D" w:rsidP="00A7521D">
      <w:pPr>
        <w:rPr>
          <w:iCs/>
        </w:rPr>
      </w:pPr>
      <m:oMath>
        <m:r>
          <w:rPr>
            <w:rFonts w:ascii="Cambria Math" w:hAnsi="Cambria Math"/>
          </w:rPr>
          <m:t>TSR</m:t>
        </m:r>
      </m:oMath>
      <w:r>
        <w:rPr>
          <w:iCs/>
        </w:rPr>
        <w:t xml:space="preserve"> was the theoretical steam rate (kg/kWh).</w:t>
      </w:r>
    </w:p>
    <w:p w14:paraId="45A77F80" w14:textId="0D515FC4" w:rsidR="00A7521D" w:rsidRDefault="00E95CFB" w:rsidP="00E95CFB">
      <w:r>
        <w:rPr>
          <w:iCs/>
        </w:rPr>
        <w:t>The turbine enthalpy was dependent on the theoretical steam rate, which</w:t>
      </w:r>
      <w:r w:rsidR="00A7521D">
        <w:t xml:space="preserve"> was found using Table 14.3 </w:t>
      </w:r>
      <w:r w:rsidR="00A7521D">
        <w:fldChar w:fldCharType="begin" w:fldLock="1"/>
      </w:r>
      <w:r w:rsidR="002A6A73">
        <w:instrText>ADDIN CSL_CITATION {"citationItems":[{"id":"ITEM-1","itemData":{"ISBN":"9780071641005","author":[{"dropping-particle":"","family":"Bloch","given":"Heinz P.","non-dropping-particle":"","parse-names":false,"suffix":""},{"dropping-particle":"","family":"Singh","given":"Murari P.","non-dropping-particle":"","parse-names":false,"suffix":""}],"chapter-number":"15","container-title":"Steam Turbines - Design, Applications and Re-Rating","edition":"2","id":"ITEM-1","issued":{"date-parts":[["2009"]]},"page":"309-328","publisher":"McGraw-Hill","publisher-place":"New York, America","title":"Elliott Shortcut Selection Method for Multivalve, Multistage Steam Turbines","type":"chapter"},"uris":["http://www.mendeley.com/documents/?uuid=e75e9b62-ce28-4111-950b-d748a36f7cca"]}],"mendeley":{"formattedCitation":"(Bloch and Singh, 2009)","plainTextFormattedCitation":"(Bloch and Singh, 2009)","previouslyFormattedCitation":"(Bloch and Singh, 2009)"},"properties":{"noteIndex":0},"schema":"https://github.com/citation-style-language/schema/raw/master/csl-citation.json"}</w:instrText>
      </w:r>
      <w:r w:rsidR="00A7521D">
        <w:fldChar w:fldCharType="separate"/>
      </w:r>
      <w:r w:rsidR="002A6A73" w:rsidRPr="002A6A73">
        <w:rPr>
          <w:noProof/>
        </w:rPr>
        <w:t>(Bloch and Singh, 2009)</w:t>
      </w:r>
      <w:r w:rsidR="00A7521D">
        <w:fldChar w:fldCharType="end"/>
      </w:r>
      <w:r w:rsidR="00A7521D">
        <w:t xml:space="preserve">.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82"/>
        <w:gridCol w:w="629"/>
        <w:gridCol w:w="787"/>
      </w:tblGrid>
      <w:tr w:rsidR="00A7521D" w14:paraId="7B49B4C6" w14:textId="77777777" w:rsidTr="00A7521D">
        <w:tc>
          <w:tcPr>
            <w:tcW w:w="6782" w:type="dxa"/>
            <w:hideMark/>
          </w:tcPr>
          <w:p w14:paraId="45D322A6" w14:textId="77777777" w:rsidR="00A7521D" w:rsidRDefault="00C73E04" w:rsidP="00A7521D">
            <w:pPr>
              <w:keepNext/>
              <w:rPr>
                <w:color w:val="FFFFFF"/>
              </w:rPr>
            </w:pPr>
            <m:oMathPara>
              <m:oMathParaPr>
                <m:jc m:val="left"/>
              </m:oMathParaPr>
              <m:oMath>
                <m:sSub>
                  <m:sSubPr>
                    <m:ctrlPr>
                      <w:rPr>
                        <w:rFonts w:ascii="Cambria Math" w:hAnsi="Cambria Math"/>
                        <w:i/>
                        <w:iCs/>
                      </w:rPr>
                    </m:ctrlPr>
                  </m:sSubPr>
                  <m:e>
                    <m:r>
                      <w:rPr>
                        <w:rFonts w:ascii="Cambria Math" w:hAnsi="Cambria Math"/>
                      </w:rPr>
                      <m:t>v</m:t>
                    </m:r>
                  </m:e>
                  <m:sub>
                    <m:r>
                      <w:rPr>
                        <w:rFonts w:ascii="Cambria Math" w:hAnsi="Cambria Math"/>
                      </w:rPr>
                      <m:t>ef</m:t>
                    </m:r>
                  </m:sub>
                </m:sSub>
                <m:r>
                  <w:rPr>
                    <w:rFonts w:ascii="Cambria Math" w:hAnsi="Cambria Math"/>
                  </w:rPr>
                  <m:t>=</m:t>
                </m:r>
                <m:f>
                  <m:fPr>
                    <m:ctrlPr>
                      <w:rPr>
                        <w:rFonts w:ascii="Cambria Math" w:hAnsi="Cambria Math"/>
                        <w:i/>
                        <w:iCs/>
                      </w:rPr>
                    </m:ctrlPr>
                  </m:fPr>
                  <m:num>
                    <m:r>
                      <w:rPr>
                        <w:rFonts w:ascii="Cambria Math" w:hAnsi="Cambria Math"/>
                      </w:rPr>
                      <m:t>π</m:t>
                    </m:r>
                    <m:sSub>
                      <m:sSubPr>
                        <m:ctrlPr>
                          <w:rPr>
                            <w:rFonts w:ascii="Cambria Math" w:hAnsi="Cambria Math"/>
                            <w:i/>
                          </w:rPr>
                        </m:ctrlPr>
                      </m:sSubPr>
                      <m:e>
                        <m:r>
                          <w:rPr>
                            <w:rFonts w:ascii="Cambria Math" w:hAnsi="Cambria Math"/>
                          </w:rPr>
                          <m:t>D</m:t>
                        </m:r>
                      </m:e>
                      <m:sub>
                        <m:r>
                          <w:rPr>
                            <w:rFonts w:ascii="Cambria Math" w:hAnsi="Cambria Math"/>
                          </w:rPr>
                          <m:t>pi</m:t>
                        </m:r>
                      </m:sub>
                    </m:sSub>
                    <m:sSub>
                      <m:sSubPr>
                        <m:ctrlPr>
                          <w:rPr>
                            <w:rFonts w:ascii="Cambria Math" w:hAnsi="Cambria Math"/>
                            <w:i/>
                          </w:rPr>
                        </m:ctrlPr>
                      </m:sSubPr>
                      <m:e>
                        <m:r>
                          <w:rPr>
                            <w:rFonts w:ascii="Cambria Math" w:hAnsi="Cambria Math"/>
                          </w:rPr>
                          <m:t>N</m:t>
                        </m:r>
                      </m:e>
                      <m:sub>
                        <m:r>
                          <w:rPr>
                            <w:rFonts w:ascii="Cambria Math" w:hAnsi="Cambria Math"/>
                          </w:rPr>
                          <m:t>rpm</m:t>
                        </m:r>
                      </m:sub>
                    </m:sSub>
                  </m:num>
                  <m:den>
                    <m:r>
                      <w:rPr>
                        <w:rFonts w:ascii="Cambria Math" w:hAnsi="Cambria Math"/>
                      </w:rPr>
                      <m:t>720</m:t>
                    </m:r>
                  </m:den>
                </m:f>
              </m:oMath>
            </m:oMathPara>
          </w:p>
        </w:tc>
        <w:tc>
          <w:tcPr>
            <w:tcW w:w="629" w:type="dxa"/>
            <w:vAlign w:val="center"/>
          </w:tcPr>
          <w:p w14:paraId="4FE50947" w14:textId="77777777" w:rsidR="00A7521D" w:rsidRPr="00F744C0" w:rsidRDefault="00A7521D" w:rsidP="00A7521D"/>
        </w:tc>
        <w:tc>
          <w:tcPr>
            <w:tcW w:w="787" w:type="dxa"/>
            <w:vAlign w:val="center"/>
            <w:hideMark/>
          </w:tcPr>
          <w:p w14:paraId="20A1D3DE" w14:textId="2869D4A0" w:rsidR="00A7521D" w:rsidRPr="00C55983" w:rsidRDefault="00A7521D" w:rsidP="00A7521D">
            <w:pPr>
              <w:pStyle w:val="Caption"/>
              <w:jc w:val="right"/>
            </w:pPr>
            <w:r>
              <w:rPr>
                <w:noProof/>
              </w:rPr>
              <w:fldChar w:fldCharType="begin"/>
            </w:r>
            <w:r>
              <w:rPr>
                <w:noProof/>
              </w:rPr>
              <w:instrText xml:space="preserve"> STYLEREF 1 \s </w:instrText>
            </w:r>
            <w:r>
              <w:rPr>
                <w:noProof/>
              </w:rPr>
              <w:fldChar w:fldCharType="separate"/>
            </w:r>
            <w:r w:rsidR="00CB7456">
              <w:rPr>
                <w:noProof/>
              </w:rPr>
              <w:t>13</w:t>
            </w:r>
            <w:r>
              <w:rPr>
                <w:noProof/>
              </w:rPr>
              <w:fldChar w:fldCharType="end"/>
            </w:r>
            <w:r>
              <w:rPr>
                <w:noProof/>
              </w:rPr>
              <w:t>.</w:t>
            </w:r>
            <w:r>
              <w:rPr>
                <w:noProof/>
              </w:rPr>
              <w:fldChar w:fldCharType="begin"/>
            </w:r>
            <w:r>
              <w:rPr>
                <w:noProof/>
              </w:rPr>
              <w:instrText xml:space="preserve"> SEQ Equation \* ARABIC \s 1 </w:instrText>
            </w:r>
            <w:r>
              <w:rPr>
                <w:noProof/>
              </w:rPr>
              <w:fldChar w:fldCharType="separate"/>
            </w:r>
            <w:r w:rsidR="00CB7456">
              <w:rPr>
                <w:noProof/>
              </w:rPr>
              <w:t>105</w:t>
            </w:r>
            <w:r>
              <w:rPr>
                <w:noProof/>
              </w:rPr>
              <w:fldChar w:fldCharType="end"/>
            </w:r>
          </w:p>
        </w:tc>
      </w:tr>
    </w:tbl>
    <w:p w14:paraId="55A91AEC" w14:textId="77777777" w:rsidR="00A7521D" w:rsidRDefault="00A7521D" w:rsidP="00A7521D"/>
    <w:p w14:paraId="537AA779" w14:textId="77777777" w:rsidR="00A7521D" w:rsidRDefault="00C73E04" w:rsidP="00A7521D">
      <w:pPr>
        <w:pStyle w:val="NoSpacing"/>
      </w:pPr>
      <m:oMath>
        <m:sSub>
          <m:sSubPr>
            <m:ctrlPr>
              <w:rPr>
                <w:rFonts w:ascii="Cambria Math" w:hAnsi="Cambria Math"/>
                <w:i/>
              </w:rPr>
            </m:ctrlPr>
          </m:sSubPr>
          <m:e>
            <m:r>
              <w:rPr>
                <w:rFonts w:ascii="Cambria Math" w:hAnsi="Cambria Math"/>
              </w:rPr>
              <m:t>v</m:t>
            </m:r>
          </m:e>
          <m:sub>
            <m:r>
              <w:rPr>
                <w:rFonts w:ascii="Cambria Math" w:hAnsi="Cambria Math"/>
              </w:rPr>
              <m:t>ef</m:t>
            </m:r>
          </m:sub>
        </m:sSub>
      </m:oMath>
      <w:r w:rsidR="00A7521D">
        <w:t xml:space="preserve"> was the velocity of the extraction flow (m/s),</w:t>
      </w:r>
    </w:p>
    <w:p w14:paraId="2377C1B3" w14:textId="77777777" w:rsidR="00A7521D" w:rsidRDefault="00C73E04" w:rsidP="00A7521D">
      <w:pPr>
        <w:pStyle w:val="NoSpacing"/>
      </w:pPr>
      <m:oMath>
        <m:sSub>
          <m:sSubPr>
            <m:ctrlPr>
              <w:rPr>
                <w:rFonts w:ascii="Cambria Math" w:hAnsi="Cambria Math"/>
                <w:i/>
              </w:rPr>
            </m:ctrlPr>
          </m:sSubPr>
          <m:e>
            <m:r>
              <w:rPr>
                <w:rFonts w:ascii="Cambria Math" w:hAnsi="Cambria Math"/>
              </w:rPr>
              <m:t>D</m:t>
            </m:r>
          </m:e>
          <m:sub>
            <m:r>
              <w:rPr>
                <w:rFonts w:ascii="Cambria Math" w:hAnsi="Cambria Math"/>
              </w:rPr>
              <m:t>pi</m:t>
            </m:r>
          </m:sub>
        </m:sSub>
      </m:oMath>
      <w:r w:rsidR="00A7521D">
        <w:t xml:space="preserve"> was the pinch di</w:t>
      </w:r>
      <w:proofErr w:type="spellStart"/>
      <w:r w:rsidR="00A7521D">
        <w:t>ameter</w:t>
      </w:r>
      <w:proofErr w:type="spellEnd"/>
      <w:r w:rsidR="00A7521D">
        <w:t xml:space="preserve"> of the wheel (m),</w:t>
      </w:r>
    </w:p>
    <w:p w14:paraId="444EA35A" w14:textId="05D3A066" w:rsidR="00A7521D" w:rsidRDefault="00C73E04" w:rsidP="00A7521D">
      <w:pPr>
        <w:rPr>
          <w:iCs/>
        </w:rPr>
      </w:pPr>
      <m:oMath>
        <m:sSub>
          <m:sSubPr>
            <m:ctrlPr>
              <w:rPr>
                <w:rFonts w:ascii="Cambria Math" w:hAnsi="Cambria Math"/>
                <w:i/>
              </w:rPr>
            </m:ctrlPr>
          </m:sSubPr>
          <m:e>
            <m:r>
              <w:rPr>
                <w:rFonts w:ascii="Cambria Math" w:hAnsi="Cambria Math"/>
              </w:rPr>
              <m:t>N</m:t>
            </m:r>
          </m:e>
          <m:sub>
            <m:r>
              <w:rPr>
                <w:rFonts w:ascii="Cambria Math" w:hAnsi="Cambria Math"/>
              </w:rPr>
              <m:t>rpm</m:t>
            </m:r>
          </m:sub>
        </m:sSub>
      </m:oMath>
      <w:r w:rsidR="00A7521D">
        <w:rPr>
          <w:iCs/>
        </w:rPr>
        <w:t xml:space="preserve"> was the number of revolutions per minute (rpm).</w:t>
      </w:r>
    </w:p>
    <w:p w14:paraId="22BD1364" w14:textId="3D2F656E" w:rsidR="00E95CFB" w:rsidRDefault="00E95CFB" w:rsidP="00A7521D">
      <w:pPr>
        <w:rPr>
          <w:iCs/>
        </w:rPr>
      </w:pPr>
      <w:r>
        <w:rPr>
          <w:iCs/>
        </w:rPr>
        <w:t>The velocity of the extraction flow was dependent on the pinch diameter of the wheel and the number of revolutions per minute. The pinch diameter of the wheel and the number of revolutions per minute were dependent on the physical and operating parameters of the turbine.</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82"/>
        <w:gridCol w:w="629"/>
        <w:gridCol w:w="787"/>
      </w:tblGrid>
      <w:tr w:rsidR="00A7521D" w14:paraId="2C1D899E" w14:textId="77777777" w:rsidTr="00A7521D">
        <w:tc>
          <w:tcPr>
            <w:tcW w:w="6782" w:type="dxa"/>
            <w:hideMark/>
          </w:tcPr>
          <w:p w14:paraId="17DD9DCC" w14:textId="0FBBEB11" w:rsidR="00A7521D" w:rsidRDefault="00A7521D" w:rsidP="00A7521D">
            <w:pPr>
              <w:keepNext/>
              <w:rPr>
                <w:color w:val="FFFFFF"/>
              </w:rPr>
            </w:pPr>
            <m:oMathPara>
              <m:oMathParaPr>
                <m:jc m:val="left"/>
              </m:oMathParaPr>
              <m:oMath>
                <m:r>
                  <w:rPr>
                    <w:rFonts w:ascii="Cambria Math" w:hAnsi="Cambria Math"/>
                  </w:rPr>
                  <m:t>VR=</m:t>
                </m:r>
                <m:f>
                  <m:fPr>
                    <m:ctrlPr>
                      <w:rPr>
                        <w:rFonts w:ascii="Cambria Math" w:hAnsi="Cambria Math"/>
                        <w:i/>
                        <w:iCs/>
                      </w:rPr>
                    </m:ctrlPr>
                  </m:fPr>
                  <m:num>
                    <m:sSub>
                      <m:sSubPr>
                        <m:ctrlPr>
                          <w:rPr>
                            <w:rFonts w:ascii="Cambria Math" w:hAnsi="Cambria Math"/>
                            <w:i/>
                            <w:iCs/>
                          </w:rPr>
                        </m:ctrlPr>
                      </m:sSubPr>
                      <m:e>
                        <m:r>
                          <w:rPr>
                            <w:rFonts w:ascii="Cambria Math" w:hAnsi="Cambria Math"/>
                          </w:rPr>
                          <m:t>v</m:t>
                        </m:r>
                      </m:e>
                      <m:sub>
                        <m:r>
                          <w:rPr>
                            <w:rFonts w:ascii="Cambria Math" w:hAnsi="Cambria Math"/>
                          </w:rPr>
                          <m:t>ef</m:t>
                        </m:r>
                      </m:sub>
                    </m:sSub>
                  </m:num>
                  <m:den>
                    <m:sSub>
                      <m:sSubPr>
                        <m:ctrlPr>
                          <w:rPr>
                            <w:rFonts w:ascii="Cambria Math" w:hAnsi="Cambria Math"/>
                            <w:i/>
                            <w:iCs/>
                          </w:rPr>
                        </m:ctrlPr>
                      </m:sSubPr>
                      <m:e>
                        <m:r>
                          <w:rPr>
                            <w:rFonts w:ascii="Cambria Math" w:hAnsi="Cambria Math"/>
                          </w:rPr>
                          <m:t>v</m:t>
                        </m:r>
                      </m:e>
                      <m:sub>
                        <m:r>
                          <w:rPr>
                            <w:rFonts w:ascii="Cambria Math" w:hAnsi="Cambria Math"/>
                          </w:rPr>
                          <m:t>sj</m:t>
                        </m:r>
                      </m:sub>
                    </m:sSub>
                  </m:den>
                </m:f>
              </m:oMath>
            </m:oMathPara>
          </w:p>
        </w:tc>
        <w:tc>
          <w:tcPr>
            <w:tcW w:w="629" w:type="dxa"/>
            <w:vAlign w:val="center"/>
          </w:tcPr>
          <w:p w14:paraId="2BFB5661" w14:textId="77777777" w:rsidR="00A7521D" w:rsidRDefault="00A7521D" w:rsidP="00A7521D">
            <w:pPr>
              <w:pStyle w:val="Caption"/>
              <w:jc w:val="right"/>
            </w:pPr>
          </w:p>
          <w:p w14:paraId="642D94B6" w14:textId="77777777" w:rsidR="00A7521D" w:rsidRPr="00F744C0" w:rsidRDefault="00A7521D" w:rsidP="00A7521D"/>
        </w:tc>
        <w:tc>
          <w:tcPr>
            <w:tcW w:w="787" w:type="dxa"/>
            <w:vAlign w:val="center"/>
            <w:hideMark/>
          </w:tcPr>
          <w:p w14:paraId="43AF0347" w14:textId="03C9E3E8" w:rsidR="00A7521D" w:rsidRDefault="00A7521D" w:rsidP="00A7521D">
            <w:pPr>
              <w:pStyle w:val="Caption"/>
              <w:jc w:val="right"/>
              <w:rPr>
                <w:b w:val="0"/>
              </w:rPr>
            </w:pPr>
            <w:r>
              <w:rPr>
                <w:noProof/>
              </w:rPr>
              <w:fldChar w:fldCharType="begin"/>
            </w:r>
            <w:r>
              <w:rPr>
                <w:noProof/>
              </w:rPr>
              <w:instrText xml:space="preserve"> STYLEREF 1 \s </w:instrText>
            </w:r>
            <w:r>
              <w:rPr>
                <w:noProof/>
              </w:rPr>
              <w:fldChar w:fldCharType="separate"/>
            </w:r>
            <w:r w:rsidR="00CB7456">
              <w:rPr>
                <w:noProof/>
              </w:rPr>
              <w:t>13</w:t>
            </w:r>
            <w:r>
              <w:rPr>
                <w:noProof/>
              </w:rPr>
              <w:fldChar w:fldCharType="end"/>
            </w:r>
            <w:r>
              <w:rPr>
                <w:noProof/>
              </w:rPr>
              <w:t>.</w:t>
            </w:r>
            <w:r>
              <w:rPr>
                <w:noProof/>
              </w:rPr>
              <w:fldChar w:fldCharType="begin"/>
            </w:r>
            <w:r>
              <w:rPr>
                <w:noProof/>
              </w:rPr>
              <w:instrText xml:space="preserve"> SEQ Equation \* ARABIC \s 1 </w:instrText>
            </w:r>
            <w:r>
              <w:rPr>
                <w:noProof/>
              </w:rPr>
              <w:fldChar w:fldCharType="separate"/>
            </w:r>
            <w:r w:rsidR="00CB7456">
              <w:rPr>
                <w:noProof/>
              </w:rPr>
              <w:t>106</w:t>
            </w:r>
            <w:r>
              <w:rPr>
                <w:noProof/>
              </w:rPr>
              <w:fldChar w:fldCharType="end"/>
            </w:r>
          </w:p>
        </w:tc>
      </w:tr>
    </w:tbl>
    <w:p w14:paraId="04354F8A" w14:textId="77777777" w:rsidR="00A7521D" w:rsidRDefault="00A7521D" w:rsidP="00A7521D">
      <w:pPr>
        <w:keepNext/>
      </w:pPr>
    </w:p>
    <w:p w14:paraId="0C390C25" w14:textId="77777777" w:rsidR="00A7521D" w:rsidRDefault="00A7521D" w:rsidP="00A7521D">
      <w:pPr>
        <w:pStyle w:val="NoSpacing"/>
      </w:pPr>
      <m:oMath>
        <m:r>
          <w:rPr>
            <w:rFonts w:ascii="Cambria Math" w:hAnsi="Cambria Math"/>
          </w:rPr>
          <m:t>VR</m:t>
        </m:r>
      </m:oMath>
      <w:r>
        <w:t xml:space="preserve"> was the velocity ratio.</w:t>
      </w:r>
    </w:p>
    <w:p w14:paraId="0393A4F6" w14:textId="1F959886" w:rsidR="00A7521D" w:rsidRDefault="00C73E04" w:rsidP="00A7521D">
      <w:pPr>
        <w:rPr>
          <w:iCs/>
        </w:rPr>
      </w:pPr>
      <m:oMath>
        <m:sSub>
          <m:sSubPr>
            <m:ctrlPr>
              <w:rPr>
                <w:rFonts w:ascii="Cambria Math" w:hAnsi="Cambria Math"/>
                <w:i/>
                <w:iCs/>
              </w:rPr>
            </m:ctrlPr>
          </m:sSubPr>
          <m:e>
            <m:r>
              <w:rPr>
                <w:rFonts w:ascii="Cambria Math" w:hAnsi="Cambria Math"/>
              </w:rPr>
              <m:t>v</m:t>
            </m:r>
          </m:e>
          <m:sub>
            <m:r>
              <w:rPr>
                <w:rFonts w:ascii="Cambria Math" w:hAnsi="Cambria Math"/>
              </w:rPr>
              <m:t>sj</m:t>
            </m:r>
          </m:sub>
        </m:sSub>
      </m:oMath>
      <w:r w:rsidR="00A7521D">
        <w:rPr>
          <w:iCs/>
        </w:rPr>
        <w:t xml:space="preserve"> was the steam jet velocity (m/s).</w:t>
      </w:r>
    </w:p>
    <w:p w14:paraId="311C3BF4" w14:textId="78325243" w:rsidR="00E95CFB" w:rsidRDefault="00E95CFB" w:rsidP="00A7521D">
      <w:pPr>
        <w:rPr>
          <w:iCs/>
        </w:rPr>
      </w:pPr>
      <w:r>
        <w:rPr>
          <w:iCs/>
        </w:rPr>
        <w:t xml:space="preserve">The velocity ratio was dependent on </w:t>
      </w:r>
      <w:r>
        <w:t>the velocity of the extraction flow and</w:t>
      </w:r>
      <w:r>
        <w:rPr>
          <w:iCs/>
        </w:rPr>
        <w:t xml:space="preserve"> the steam jet velocity. The steam jet velocity was calculated in Equation </w:t>
      </w:r>
      <w:r>
        <w:rPr>
          <w:iCs/>
        </w:rPr>
        <w:fldChar w:fldCharType="begin"/>
      </w:r>
      <w:r>
        <w:rPr>
          <w:iCs/>
        </w:rPr>
        <w:instrText xml:space="preserve"> REF _Ref6482229 \h </w:instrText>
      </w:r>
      <w:r>
        <w:rPr>
          <w:iCs/>
        </w:rPr>
      </w:r>
      <w:r>
        <w:rPr>
          <w:iCs/>
        </w:rPr>
        <w:fldChar w:fldCharType="separate"/>
      </w:r>
      <w:r w:rsidR="00CB7456">
        <w:rPr>
          <w:noProof/>
        </w:rPr>
        <w:t>13.107</w:t>
      </w:r>
      <w:r>
        <w:rPr>
          <w:iCs/>
        </w:rPr>
        <w:fldChar w:fldCharType="end"/>
      </w:r>
      <w:r>
        <w:rPr>
          <w:iCs/>
        </w:rP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82"/>
        <w:gridCol w:w="629"/>
        <w:gridCol w:w="787"/>
      </w:tblGrid>
      <w:tr w:rsidR="00A7521D" w14:paraId="6F081107" w14:textId="77777777" w:rsidTr="00A7521D">
        <w:tc>
          <w:tcPr>
            <w:tcW w:w="6782" w:type="dxa"/>
            <w:hideMark/>
          </w:tcPr>
          <w:p w14:paraId="522C29B6" w14:textId="7A3AE5FC" w:rsidR="00A7521D" w:rsidRDefault="00C73E04" w:rsidP="00A7521D">
            <w:pPr>
              <w:keepNext/>
              <w:rPr>
                <w:color w:val="FFFFFF"/>
              </w:rPr>
            </w:pPr>
            <m:oMathPara>
              <m:oMathParaPr>
                <m:jc m:val="left"/>
              </m:oMathParaPr>
              <m:oMath>
                <m:sSub>
                  <m:sSubPr>
                    <m:ctrlPr>
                      <w:rPr>
                        <w:rFonts w:ascii="Cambria Math" w:hAnsi="Cambria Math"/>
                        <w:i/>
                        <w:iCs/>
                      </w:rPr>
                    </m:ctrlPr>
                  </m:sSubPr>
                  <m:e>
                    <m:r>
                      <w:rPr>
                        <w:rFonts w:ascii="Cambria Math" w:hAnsi="Cambria Math"/>
                      </w:rPr>
                      <m:t>v</m:t>
                    </m:r>
                  </m:e>
                  <m:sub>
                    <m:r>
                      <w:rPr>
                        <w:rFonts w:ascii="Cambria Math" w:hAnsi="Cambria Math"/>
                      </w:rPr>
                      <m:t>sj</m:t>
                    </m:r>
                  </m:sub>
                </m:sSub>
                <m:r>
                  <w:rPr>
                    <w:rFonts w:ascii="Cambria Math" w:hAnsi="Cambria Math"/>
                  </w:rPr>
                  <m:t>=224</m:t>
                </m:r>
                <m:rad>
                  <m:radPr>
                    <m:degHide m:val="1"/>
                    <m:ctrlPr>
                      <w:rPr>
                        <w:rFonts w:ascii="Cambria Math" w:hAnsi="Cambria Math"/>
                        <w:i/>
                        <w:iCs/>
                      </w:rPr>
                    </m:ctrlPr>
                  </m:radPr>
                  <m:deg/>
                  <m:e>
                    <m:r>
                      <w:rPr>
                        <w:rFonts w:ascii="Cambria Math" w:hAnsi="Cambria Math"/>
                        <w:lang w:val="el-GR"/>
                      </w:rPr>
                      <m:t>Δ</m:t>
                    </m:r>
                    <m:r>
                      <w:rPr>
                        <w:rFonts w:ascii="Cambria Math" w:hAnsi="Cambria Math"/>
                      </w:rPr>
                      <m:t>H</m:t>
                    </m:r>
                  </m:e>
                </m:rad>
              </m:oMath>
            </m:oMathPara>
          </w:p>
        </w:tc>
        <w:tc>
          <w:tcPr>
            <w:tcW w:w="629" w:type="dxa"/>
            <w:vAlign w:val="center"/>
          </w:tcPr>
          <w:p w14:paraId="03491BBD" w14:textId="77777777" w:rsidR="00A7521D" w:rsidRDefault="00A7521D" w:rsidP="00A7521D">
            <w:pPr>
              <w:pStyle w:val="Caption"/>
              <w:jc w:val="right"/>
            </w:pPr>
          </w:p>
          <w:p w14:paraId="26B9D55D" w14:textId="77777777" w:rsidR="00A7521D" w:rsidRPr="00F744C0" w:rsidRDefault="00A7521D" w:rsidP="00A7521D"/>
        </w:tc>
        <w:bookmarkStart w:id="1078" w:name="_Ref6482229"/>
        <w:tc>
          <w:tcPr>
            <w:tcW w:w="787" w:type="dxa"/>
            <w:vAlign w:val="center"/>
            <w:hideMark/>
          </w:tcPr>
          <w:p w14:paraId="423B1100" w14:textId="2B64D64F" w:rsidR="00A7521D" w:rsidRDefault="00A7521D" w:rsidP="00A7521D">
            <w:pPr>
              <w:pStyle w:val="Caption"/>
              <w:jc w:val="right"/>
              <w:rPr>
                <w:b w:val="0"/>
              </w:rPr>
            </w:pPr>
            <w:r>
              <w:rPr>
                <w:noProof/>
              </w:rPr>
              <w:fldChar w:fldCharType="begin"/>
            </w:r>
            <w:r>
              <w:rPr>
                <w:noProof/>
              </w:rPr>
              <w:instrText xml:space="preserve"> STYLEREF 1 \s </w:instrText>
            </w:r>
            <w:r>
              <w:rPr>
                <w:noProof/>
              </w:rPr>
              <w:fldChar w:fldCharType="separate"/>
            </w:r>
            <w:r w:rsidR="00CB7456">
              <w:rPr>
                <w:noProof/>
              </w:rPr>
              <w:t>13</w:t>
            </w:r>
            <w:r>
              <w:rPr>
                <w:noProof/>
              </w:rPr>
              <w:fldChar w:fldCharType="end"/>
            </w:r>
            <w:r>
              <w:rPr>
                <w:noProof/>
              </w:rPr>
              <w:t>.</w:t>
            </w:r>
            <w:r>
              <w:rPr>
                <w:noProof/>
              </w:rPr>
              <w:fldChar w:fldCharType="begin"/>
            </w:r>
            <w:r>
              <w:rPr>
                <w:noProof/>
              </w:rPr>
              <w:instrText xml:space="preserve"> SEQ Equation \* ARABIC \s 1 </w:instrText>
            </w:r>
            <w:r>
              <w:rPr>
                <w:noProof/>
              </w:rPr>
              <w:fldChar w:fldCharType="separate"/>
            </w:r>
            <w:r w:rsidR="00CB7456">
              <w:rPr>
                <w:noProof/>
              </w:rPr>
              <w:t>107</w:t>
            </w:r>
            <w:r>
              <w:rPr>
                <w:noProof/>
              </w:rPr>
              <w:fldChar w:fldCharType="end"/>
            </w:r>
            <w:bookmarkEnd w:id="1078"/>
          </w:p>
        </w:tc>
      </w:tr>
    </w:tbl>
    <w:p w14:paraId="0E03D85B" w14:textId="2142C7B2" w:rsidR="009E1A67" w:rsidRDefault="009E1A67" w:rsidP="009E1A67">
      <w:pPr>
        <w:rPr>
          <w:b/>
          <w:bCs/>
          <w:sz w:val="18"/>
          <w:szCs w:val="18"/>
        </w:rPr>
      </w:pPr>
      <w:r>
        <w:rPr>
          <w:iCs/>
        </w:rPr>
        <w:fldChar w:fldCharType="begin"/>
      </w:r>
      <w:r>
        <w:rPr>
          <w:iCs/>
        </w:rPr>
        <w:instrText xml:space="preserve"> REF _Ref7186903 \h </w:instrText>
      </w:r>
      <w:r>
        <w:rPr>
          <w:iCs/>
        </w:rPr>
      </w:r>
      <w:r>
        <w:rPr>
          <w:iCs/>
        </w:rPr>
        <w:fldChar w:fldCharType="separate"/>
      </w:r>
      <w:r w:rsidR="00CB7456">
        <w:t xml:space="preserve">Table </w:t>
      </w:r>
      <w:r w:rsidR="00CB7456">
        <w:rPr>
          <w:noProof/>
        </w:rPr>
        <w:t>13</w:t>
      </w:r>
      <w:r w:rsidR="00CB7456">
        <w:t>.</w:t>
      </w:r>
      <w:r w:rsidR="00CB7456">
        <w:rPr>
          <w:noProof/>
        </w:rPr>
        <w:t>16</w:t>
      </w:r>
      <w:r>
        <w:rPr>
          <w:iCs/>
        </w:rPr>
        <w:fldChar w:fldCharType="end"/>
      </w:r>
      <w:r>
        <w:rPr>
          <w:iCs/>
        </w:rPr>
        <w:t xml:space="preserve"> shows how the complex series of equations used in the modelling of the HEX-FT are linked to each other.</w:t>
      </w:r>
    </w:p>
    <w:p w14:paraId="5AFBBAED" w14:textId="61965424" w:rsidR="009E1A67" w:rsidRDefault="009E1A67" w:rsidP="009E1A67">
      <w:pPr>
        <w:pStyle w:val="Caption"/>
        <w:keepNext/>
      </w:pPr>
      <w:bookmarkStart w:id="1079" w:name="_Ref7186903"/>
      <w:bookmarkStart w:id="1080" w:name="_Toc7187733"/>
      <w:r>
        <w:t xml:space="preserve">Table </w:t>
      </w:r>
      <w:fldSimple w:instr=" STYLEREF 1 \s ">
        <w:r w:rsidR="00CB7456">
          <w:rPr>
            <w:noProof/>
          </w:rPr>
          <w:t>13</w:t>
        </w:r>
      </w:fldSimple>
      <w:r>
        <w:t>.</w:t>
      </w:r>
      <w:fldSimple w:instr=" SEQ Table \* ARABIC \s 1 ">
        <w:r w:rsidR="00CB7456">
          <w:rPr>
            <w:noProof/>
          </w:rPr>
          <w:t>16</w:t>
        </w:r>
      </w:fldSimple>
      <w:bookmarkEnd w:id="1079"/>
      <w:r>
        <w:t>: How the equations in the modelling of the turbine are linked. Inputs in bold are outputs from other equations in the modelling of the turbine.</w:t>
      </w:r>
      <w:bookmarkEnd w:id="1080"/>
    </w:p>
    <w:tbl>
      <w:tblPr>
        <w:tblStyle w:val="TableGrid"/>
        <w:tblW w:w="0" w:type="auto"/>
        <w:jc w:val="center"/>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26"/>
        <w:gridCol w:w="2516"/>
        <w:gridCol w:w="1052"/>
        <w:gridCol w:w="3205"/>
      </w:tblGrid>
      <w:tr w:rsidR="009E1A67" w14:paraId="70E5D73D" w14:textId="77777777" w:rsidTr="00D737A2">
        <w:trPr>
          <w:jc w:val="center"/>
        </w:trPr>
        <w:tc>
          <w:tcPr>
            <w:tcW w:w="1126" w:type="dxa"/>
            <w:tcBorders>
              <w:bottom w:val="single" w:sz="4" w:space="0" w:color="auto"/>
            </w:tcBorders>
          </w:tcPr>
          <w:p w14:paraId="176F6CEE" w14:textId="77777777" w:rsidR="009E1A67" w:rsidRDefault="009E1A67" w:rsidP="00D737A2">
            <w:pPr>
              <w:jc w:val="center"/>
            </w:pPr>
            <w:r>
              <w:t>Equation</w:t>
            </w:r>
          </w:p>
        </w:tc>
        <w:tc>
          <w:tcPr>
            <w:tcW w:w="2516" w:type="dxa"/>
            <w:tcBorders>
              <w:bottom w:val="single" w:sz="4" w:space="0" w:color="auto"/>
            </w:tcBorders>
          </w:tcPr>
          <w:p w14:paraId="28B2A387" w14:textId="77777777" w:rsidR="009E1A67" w:rsidRDefault="009E1A67" w:rsidP="00D737A2">
            <w:pPr>
              <w:jc w:val="center"/>
            </w:pPr>
            <w:r>
              <w:t>Inputs</w:t>
            </w:r>
          </w:p>
        </w:tc>
        <w:tc>
          <w:tcPr>
            <w:tcW w:w="1052" w:type="dxa"/>
            <w:tcBorders>
              <w:bottom w:val="single" w:sz="4" w:space="0" w:color="auto"/>
            </w:tcBorders>
          </w:tcPr>
          <w:p w14:paraId="68384D4E" w14:textId="77777777" w:rsidR="009E1A67" w:rsidRDefault="009E1A67" w:rsidP="00D737A2">
            <w:pPr>
              <w:jc w:val="center"/>
            </w:pPr>
            <w:r>
              <w:t>Outputs</w:t>
            </w:r>
          </w:p>
        </w:tc>
        <w:tc>
          <w:tcPr>
            <w:tcW w:w="3205" w:type="dxa"/>
            <w:tcBorders>
              <w:bottom w:val="single" w:sz="4" w:space="0" w:color="auto"/>
            </w:tcBorders>
          </w:tcPr>
          <w:p w14:paraId="52FA8C51" w14:textId="77777777" w:rsidR="009E1A67" w:rsidRDefault="009E1A67" w:rsidP="00D737A2">
            <w:pPr>
              <w:jc w:val="center"/>
            </w:pPr>
            <w:r>
              <w:t>Linked to Equation</w:t>
            </w:r>
          </w:p>
        </w:tc>
      </w:tr>
      <w:tr w:rsidR="009E1A67" w14:paraId="7E750A6D" w14:textId="77777777" w:rsidTr="00D737A2">
        <w:trPr>
          <w:jc w:val="center"/>
        </w:trPr>
        <w:tc>
          <w:tcPr>
            <w:tcW w:w="1126" w:type="dxa"/>
            <w:tcBorders>
              <w:top w:val="single" w:sz="4" w:space="0" w:color="auto"/>
              <w:bottom w:val="nil"/>
            </w:tcBorders>
          </w:tcPr>
          <w:p w14:paraId="3C7F3ADE" w14:textId="77777777" w:rsidR="009E1A67" w:rsidRPr="008A7BB2" w:rsidRDefault="009E1A67" w:rsidP="00D737A2">
            <w:pPr>
              <w:jc w:val="center"/>
              <w:rPr>
                <w:color w:val="000000" w:themeColor="text1"/>
              </w:rPr>
            </w:pPr>
            <w:r>
              <w:rPr>
                <w:color w:val="000000" w:themeColor="text1"/>
              </w:rPr>
              <w:t>13.104</w:t>
            </w:r>
          </w:p>
        </w:tc>
        <w:tc>
          <w:tcPr>
            <w:tcW w:w="2516" w:type="dxa"/>
            <w:tcBorders>
              <w:top w:val="single" w:sz="4" w:space="0" w:color="auto"/>
              <w:bottom w:val="nil"/>
            </w:tcBorders>
          </w:tcPr>
          <w:p w14:paraId="78022C4A" w14:textId="77777777" w:rsidR="009E1A67" w:rsidRPr="008A7BB2" w:rsidRDefault="009E1A67" w:rsidP="00D737A2">
            <w:pPr>
              <w:jc w:val="center"/>
              <w:rPr>
                <w:color w:val="000000" w:themeColor="text1"/>
              </w:rPr>
            </w:pPr>
            <m:oMathPara>
              <m:oMath>
                <m:r>
                  <w:rPr>
                    <w:rFonts w:ascii="Cambria Math" w:hAnsi="Cambria Math"/>
                    <w:color w:val="000000" w:themeColor="text1"/>
                  </w:rPr>
                  <m:t>TSR</m:t>
                </m:r>
              </m:oMath>
            </m:oMathPara>
          </w:p>
        </w:tc>
        <w:tc>
          <w:tcPr>
            <w:tcW w:w="1052" w:type="dxa"/>
            <w:tcBorders>
              <w:top w:val="single" w:sz="4" w:space="0" w:color="auto"/>
              <w:bottom w:val="nil"/>
            </w:tcBorders>
          </w:tcPr>
          <w:p w14:paraId="066A0454" w14:textId="77777777" w:rsidR="009E1A67" w:rsidRPr="008A7BB2" w:rsidRDefault="009E1A67" w:rsidP="00D737A2">
            <w:pPr>
              <w:jc w:val="center"/>
              <w:rPr>
                <w:color w:val="000000" w:themeColor="text1"/>
              </w:rPr>
            </w:pPr>
            <m:oMathPara>
              <m:oMath>
                <m:r>
                  <w:rPr>
                    <w:rFonts w:ascii="Cambria Math" w:hAnsi="Cambria Math"/>
                    <w:color w:val="000000" w:themeColor="text1"/>
                  </w:rPr>
                  <m:t>∆H</m:t>
                </m:r>
              </m:oMath>
            </m:oMathPara>
          </w:p>
        </w:tc>
        <w:tc>
          <w:tcPr>
            <w:tcW w:w="3205" w:type="dxa"/>
            <w:tcBorders>
              <w:top w:val="single" w:sz="4" w:space="0" w:color="auto"/>
              <w:bottom w:val="nil"/>
            </w:tcBorders>
          </w:tcPr>
          <w:p w14:paraId="2C34BE4B" w14:textId="77777777" w:rsidR="009E1A67" w:rsidRPr="008A7BB2" w:rsidRDefault="009E1A67" w:rsidP="00D737A2">
            <w:pPr>
              <w:jc w:val="center"/>
              <w:rPr>
                <w:color w:val="000000" w:themeColor="text1"/>
              </w:rPr>
            </w:pPr>
            <w:proofErr w:type="spellStart"/>
            <w:r>
              <w:rPr>
                <w:color w:val="000000" w:themeColor="text1"/>
              </w:rPr>
              <w:t>Eqn</w:t>
            </w:r>
            <w:proofErr w:type="spellEnd"/>
            <w:r>
              <w:rPr>
                <w:color w:val="000000" w:themeColor="text1"/>
              </w:rPr>
              <w:t xml:space="preserve"> 13.107</w:t>
            </w:r>
          </w:p>
        </w:tc>
      </w:tr>
      <w:tr w:rsidR="009E1A67" w14:paraId="523690A2" w14:textId="77777777" w:rsidTr="00D737A2">
        <w:trPr>
          <w:jc w:val="center"/>
        </w:trPr>
        <w:tc>
          <w:tcPr>
            <w:tcW w:w="1126" w:type="dxa"/>
            <w:tcBorders>
              <w:top w:val="nil"/>
            </w:tcBorders>
          </w:tcPr>
          <w:p w14:paraId="6B1DE6DD" w14:textId="77777777" w:rsidR="009E1A67" w:rsidRPr="008A7BB2" w:rsidRDefault="009E1A67" w:rsidP="00D737A2">
            <w:pPr>
              <w:jc w:val="center"/>
              <w:rPr>
                <w:color w:val="000000" w:themeColor="text1"/>
              </w:rPr>
            </w:pPr>
            <w:r>
              <w:rPr>
                <w:color w:val="000000" w:themeColor="text1"/>
              </w:rPr>
              <w:t>13.105</w:t>
            </w:r>
          </w:p>
        </w:tc>
        <w:tc>
          <w:tcPr>
            <w:tcW w:w="2516" w:type="dxa"/>
            <w:tcBorders>
              <w:top w:val="nil"/>
            </w:tcBorders>
          </w:tcPr>
          <w:p w14:paraId="752EA272" w14:textId="77777777" w:rsidR="009E1A67" w:rsidRPr="008A7BB2" w:rsidRDefault="009E1A67" w:rsidP="00D737A2">
            <w:pPr>
              <w:jc w:val="center"/>
              <w:rPr>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D</m:t>
                    </m:r>
                  </m:e>
                  <m:sub>
                    <m:r>
                      <w:rPr>
                        <w:rFonts w:ascii="Cambria Math" w:hAnsi="Cambria Math"/>
                        <w:color w:val="000000" w:themeColor="text1"/>
                      </w:rPr>
                      <m:t>pi</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N</m:t>
                    </m:r>
                  </m:e>
                  <m:sub>
                    <m:r>
                      <w:rPr>
                        <w:rFonts w:ascii="Cambria Math" w:hAnsi="Cambria Math"/>
                        <w:color w:val="000000" w:themeColor="text1"/>
                      </w:rPr>
                      <m:t>rpm</m:t>
                    </m:r>
                  </m:sub>
                </m:sSub>
              </m:oMath>
            </m:oMathPara>
          </w:p>
        </w:tc>
        <w:tc>
          <w:tcPr>
            <w:tcW w:w="1052" w:type="dxa"/>
            <w:tcBorders>
              <w:top w:val="nil"/>
            </w:tcBorders>
          </w:tcPr>
          <w:p w14:paraId="191ADA7D" w14:textId="77777777" w:rsidR="009E1A67" w:rsidRPr="008A7BB2" w:rsidRDefault="009E1A67" w:rsidP="00D737A2">
            <w:pPr>
              <w:jc w:val="center"/>
              <w:rPr>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v</m:t>
                    </m:r>
                  </m:e>
                  <m:sub>
                    <m:r>
                      <w:rPr>
                        <w:rFonts w:ascii="Cambria Math" w:hAnsi="Cambria Math"/>
                        <w:color w:val="000000" w:themeColor="text1"/>
                      </w:rPr>
                      <m:t>ef</m:t>
                    </m:r>
                  </m:sub>
                </m:sSub>
              </m:oMath>
            </m:oMathPara>
          </w:p>
        </w:tc>
        <w:tc>
          <w:tcPr>
            <w:tcW w:w="3205" w:type="dxa"/>
            <w:tcBorders>
              <w:top w:val="nil"/>
            </w:tcBorders>
          </w:tcPr>
          <w:p w14:paraId="363CB69E" w14:textId="77777777" w:rsidR="009E1A67" w:rsidRPr="008A7BB2" w:rsidRDefault="009E1A67" w:rsidP="00D737A2">
            <w:pPr>
              <w:jc w:val="center"/>
              <w:rPr>
                <w:color w:val="000000" w:themeColor="text1"/>
              </w:rPr>
            </w:pPr>
            <w:proofErr w:type="spellStart"/>
            <w:r>
              <w:rPr>
                <w:color w:val="000000" w:themeColor="text1"/>
              </w:rPr>
              <w:t>Eqn</w:t>
            </w:r>
            <w:proofErr w:type="spellEnd"/>
            <w:r>
              <w:rPr>
                <w:color w:val="000000" w:themeColor="text1"/>
              </w:rPr>
              <w:t xml:space="preserve"> 13.106</w:t>
            </w:r>
          </w:p>
        </w:tc>
      </w:tr>
      <w:tr w:rsidR="009E1A67" w14:paraId="21E7DB35" w14:textId="77777777" w:rsidTr="00D737A2">
        <w:trPr>
          <w:jc w:val="center"/>
        </w:trPr>
        <w:tc>
          <w:tcPr>
            <w:tcW w:w="1126" w:type="dxa"/>
          </w:tcPr>
          <w:p w14:paraId="12576A66" w14:textId="77777777" w:rsidR="009E1A67" w:rsidRPr="008A7BB2" w:rsidRDefault="009E1A67" w:rsidP="00D737A2">
            <w:pPr>
              <w:jc w:val="center"/>
              <w:rPr>
                <w:color w:val="000000" w:themeColor="text1"/>
              </w:rPr>
            </w:pPr>
            <w:r>
              <w:rPr>
                <w:color w:val="000000" w:themeColor="text1"/>
              </w:rPr>
              <w:t>13.106</w:t>
            </w:r>
          </w:p>
        </w:tc>
        <w:tc>
          <w:tcPr>
            <w:tcW w:w="2516" w:type="dxa"/>
          </w:tcPr>
          <w:p w14:paraId="3E9992D6" w14:textId="77777777" w:rsidR="009E1A67" w:rsidRPr="008A7BB2" w:rsidRDefault="009E1A67" w:rsidP="00D737A2">
            <w:pPr>
              <w:jc w:val="center"/>
              <w:rPr>
                <w:color w:val="000000" w:themeColor="text1"/>
              </w:rPr>
            </w:pPr>
            <m:oMathPara>
              <m:oMath>
                <m:sSub>
                  <m:sSubPr>
                    <m:ctrlPr>
                      <w:rPr>
                        <w:rFonts w:ascii="Cambria Math" w:hAnsi="Cambria Math"/>
                        <w:b/>
                        <w:i/>
                        <w:color w:val="000000" w:themeColor="text1"/>
                      </w:rPr>
                    </m:ctrlPr>
                  </m:sSubPr>
                  <m:e>
                    <m:r>
                      <m:rPr>
                        <m:sty m:val="bi"/>
                      </m:rPr>
                      <w:rPr>
                        <w:rFonts w:ascii="Cambria Math" w:hAnsi="Cambria Math"/>
                        <w:color w:val="000000" w:themeColor="text1"/>
                      </w:rPr>
                      <m:t>v</m:t>
                    </m:r>
                  </m:e>
                  <m:sub>
                    <m:r>
                      <m:rPr>
                        <m:sty m:val="bi"/>
                      </m:rPr>
                      <w:rPr>
                        <w:rFonts w:ascii="Cambria Math" w:hAnsi="Cambria Math"/>
                        <w:color w:val="000000" w:themeColor="text1"/>
                      </w:rPr>
                      <m:t>ef</m:t>
                    </m:r>
                  </m:sub>
                </m:sSub>
                <m:r>
                  <w:rPr>
                    <w:rFonts w:ascii="Cambria Math" w:hAnsi="Cambria Math"/>
                    <w:color w:val="000000" w:themeColor="text1"/>
                  </w:rPr>
                  <m:t>,</m:t>
                </m:r>
                <m:sSub>
                  <m:sSubPr>
                    <m:ctrlPr>
                      <w:rPr>
                        <w:rFonts w:ascii="Cambria Math" w:hAnsi="Cambria Math"/>
                        <w:b/>
                        <w:i/>
                        <w:color w:val="000000" w:themeColor="text1"/>
                      </w:rPr>
                    </m:ctrlPr>
                  </m:sSubPr>
                  <m:e>
                    <m:r>
                      <m:rPr>
                        <m:sty m:val="bi"/>
                      </m:rPr>
                      <w:rPr>
                        <w:rFonts w:ascii="Cambria Math" w:hAnsi="Cambria Math"/>
                        <w:color w:val="000000" w:themeColor="text1"/>
                      </w:rPr>
                      <m:t>v</m:t>
                    </m:r>
                  </m:e>
                  <m:sub>
                    <m:r>
                      <m:rPr>
                        <m:sty m:val="bi"/>
                      </m:rPr>
                      <w:rPr>
                        <w:rFonts w:ascii="Cambria Math" w:hAnsi="Cambria Math"/>
                        <w:color w:val="000000" w:themeColor="text1"/>
                      </w:rPr>
                      <m:t>sj</m:t>
                    </m:r>
                  </m:sub>
                </m:sSub>
              </m:oMath>
            </m:oMathPara>
          </w:p>
        </w:tc>
        <w:tc>
          <w:tcPr>
            <w:tcW w:w="1052" w:type="dxa"/>
          </w:tcPr>
          <w:p w14:paraId="24A2F608" w14:textId="77777777" w:rsidR="009E1A67" w:rsidRPr="008A7BB2" w:rsidRDefault="009E1A67" w:rsidP="00D737A2">
            <w:pPr>
              <w:jc w:val="center"/>
              <w:rPr>
                <w:color w:val="000000" w:themeColor="text1"/>
              </w:rPr>
            </w:pPr>
            <m:oMathPara>
              <m:oMath>
                <m:r>
                  <w:rPr>
                    <w:rFonts w:ascii="Cambria Math" w:hAnsi="Cambria Math"/>
                    <w:color w:val="000000" w:themeColor="text1"/>
                  </w:rPr>
                  <m:t>VR</m:t>
                </m:r>
              </m:oMath>
            </m:oMathPara>
          </w:p>
        </w:tc>
        <w:tc>
          <w:tcPr>
            <w:tcW w:w="3205" w:type="dxa"/>
          </w:tcPr>
          <w:p w14:paraId="1AC56607" w14:textId="77777777" w:rsidR="009E1A67" w:rsidRPr="008A7BB2" w:rsidRDefault="009E1A67" w:rsidP="00D737A2">
            <w:pPr>
              <w:jc w:val="center"/>
              <w:rPr>
                <w:color w:val="000000" w:themeColor="text1"/>
              </w:rPr>
            </w:pPr>
          </w:p>
        </w:tc>
      </w:tr>
      <w:tr w:rsidR="009E1A67" w14:paraId="0EF55B2C" w14:textId="77777777" w:rsidTr="00D737A2">
        <w:trPr>
          <w:jc w:val="center"/>
        </w:trPr>
        <w:tc>
          <w:tcPr>
            <w:tcW w:w="1126" w:type="dxa"/>
          </w:tcPr>
          <w:p w14:paraId="56D150BA" w14:textId="77777777" w:rsidR="009E1A67" w:rsidRPr="008A7BB2" w:rsidRDefault="009E1A67" w:rsidP="00D737A2">
            <w:pPr>
              <w:jc w:val="center"/>
              <w:rPr>
                <w:color w:val="000000" w:themeColor="text1"/>
              </w:rPr>
            </w:pPr>
            <w:r>
              <w:rPr>
                <w:color w:val="000000" w:themeColor="text1"/>
              </w:rPr>
              <w:t>13.107</w:t>
            </w:r>
          </w:p>
        </w:tc>
        <w:tc>
          <w:tcPr>
            <w:tcW w:w="2516" w:type="dxa"/>
          </w:tcPr>
          <w:p w14:paraId="3712CC8F" w14:textId="77777777" w:rsidR="009E1A67" w:rsidRPr="008A7BB2" w:rsidRDefault="009E1A67" w:rsidP="00D737A2">
            <w:pPr>
              <w:jc w:val="center"/>
              <w:rPr>
                <w:color w:val="000000" w:themeColor="text1"/>
              </w:rPr>
            </w:pPr>
            <m:oMathPara>
              <m:oMath>
                <m:r>
                  <m:rPr>
                    <m:sty m:val="bi"/>
                  </m:rPr>
                  <w:rPr>
                    <w:rFonts w:ascii="Cambria Math" w:hAnsi="Cambria Math"/>
                    <w:color w:val="000000" w:themeColor="text1"/>
                  </w:rPr>
                  <m:t>∆H</m:t>
                </m:r>
              </m:oMath>
            </m:oMathPara>
          </w:p>
        </w:tc>
        <w:tc>
          <w:tcPr>
            <w:tcW w:w="1052" w:type="dxa"/>
          </w:tcPr>
          <w:p w14:paraId="673E4D62" w14:textId="77777777" w:rsidR="009E1A67" w:rsidRPr="008A7BB2" w:rsidRDefault="009E1A67" w:rsidP="00D737A2">
            <w:pPr>
              <w:jc w:val="center"/>
              <w:rPr>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v</m:t>
                    </m:r>
                  </m:e>
                  <m:sub>
                    <m:r>
                      <w:rPr>
                        <w:rFonts w:ascii="Cambria Math" w:hAnsi="Cambria Math"/>
                        <w:color w:val="000000" w:themeColor="text1"/>
                      </w:rPr>
                      <m:t>sj</m:t>
                    </m:r>
                  </m:sub>
                </m:sSub>
              </m:oMath>
            </m:oMathPara>
          </w:p>
        </w:tc>
        <w:tc>
          <w:tcPr>
            <w:tcW w:w="3205" w:type="dxa"/>
          </w:tcPr>
          <w:p w14:paraId="5C2B94B9" w14:textId="77777777" w:rsidR="009E1A67" w:rsidRPr="008A7BB2" w:rsidRDefault="009E1A67" w:rsidP="00D737A2">
            <w:pPr>
              <w:jc w:val="center"/>
              <w:rPr>
                <w:color w:val="000000" w:themeColor="text1"/>
              </w:rPr>
            </w:pPr>
            <w:proofErr w:type="spellStart"/>
            <w:r>
              <w:rPr>
                <w:color w:val="000000" w:themeColor="text1"/>
              </w:rPr>
              <w:t>Eqn</w:t>
            </w:r>
            <w:proofErr w:type="spellEnd"/>
            <w:r>
              <w:rPr>
                <w:color w:val="000000" w:themeColor="text1"/>
              </w:rPr>
              <w:t xml:space="preserve"> 13.106</w:t>
            </w:r>
          </w:p>
        </w:tc>
      </w:tr>
    </w:tbl>
    <w:p w14:paraId="52FFE7F6" w14:textId="77777777" w:rsidR="00A7521D" w:rsidRDefault="00A7521D" w:rsidP="00A7521D">
      <w:pPr>
        <w:pStyle w:val="Heading2"/>
      </w:pPr>
      <w:bookmarkStart w:id="1081" w:name="_Toc525230064"/>
      <w:bookmarkStart w:id="1082" w:name="_Ref531344325"/>
      <w:bookmarkStart w:id="1083" w:name="_Toc7187612"/>
      <w:r>
        <w:lastRenderedPageBreak/>
        <w:t>Visual Basic Code Used in the Waste Heat Recovery Monte Carlo Simulation</w:t>
      </w:r>
      <w:bookmarkEnd w:id="1081"/>
      <w:bookmarkEnd w:id="1082"/>
      <w:bookmarkEnd w:id="1083"/>
    </w:p>
    <w:p w14:paraId="3E72B11E" w14:textId="527B986E" w:rsidR="00A7521D" w:rsidRDefault="00A7521D" w:rsidP="00A7521D">
      <w:r>
        <w:t xml:space="preserve">The VB code used in the MC assessment of the WHR model, as used in section </w:t>
      </w:r>
      <w:r w:rsidR="00E95CFB">
        <w:fldChar w:fldCharType="begin"/>
      </w:r>
      <w:r w:rsidR="00E95CFB">
        <w:instrText xml:space="preserve"> REF _Ref6482304 \n \h </w:instrText>
      </w:r>
      <w:r w:rsidR="00E95CFB">
        <w:fldChar w:fldCharType="separate"/>
      </w:r>
      <w:r w:rsidR="00CB7456">
        <w:t>5.1.3</w:t>
      </w:r>
      <w:r w:rsidR="00E95CFB">
        <w:fldChar w:fldCharType="end"/>
      </w:r>
      <w:r w:rsidR="00D82F1A">
        <w:fldChar w:fldCharType="begin"/>
      </w:r>
      <w:r w:rsidR="00D82F1A">
        <w:instrText xml:space="preserve"> REF _Ref531345548 \n \h </w:instrText>
      </w:r>
      <w:r w:rsidR="00D737A2">
        <w:fldChar w:fldCharType="separate"/>
      </w:r>
      <w:r w:rsidR="00CB7456">
        <w:rPr>
          <w:b/>
          <w:bCs/>
          <w:lang w:val="en-US"/>
        </w:rPr>
        <w:t>Error! Reference source not found.</w:t>
      </w:r>
      <w:r w:rsidR="00D82F1A">
        <w:fldChar w:fldCharType="end"/>
      </w:r>
      <w:r>
        <w:t>, as shown below.</w:t>
      </w:r>
    </w:p>
    <w:p w14:paraId="5101A330" w14:textId="77777777" w:rsidR="00A7521D" w:rsidRDefault="00A7521D" w:rsidP="00A7521D">
      <w:pPr>
        <w:pStyle w:val="NoSpacing"/>
      </w:pPr>
      <w:r>
        <w:t>Private Sub CommandButton1_Click()</w:t>
      </w:r>
    </w:p>
    <w:p w14:paraId="46DE59BB" w14:textId="77777777" w:rsidR="00A7521D" w:rsidRDefault="00A7521D" w:rsidP="00A7521D">
      <w:pPr>
        <w:pStyle w:val="NoSpacing"/>
      </w:pPr>
      <w:r>
        <w:t>Worksheets(1).Range("T1").Value = "test"</w:t>
      </w:r>
    </w:p>
    <w:p w14:paraId="5B2526FC" w14:textId="77777777" w:rsidR="00A7521D" w:rsidRDefault="00A7521D" w:rsidP="00A7521D">
      <w:pPr>
        <w:pStyle w:val="NoSpacing"/>
      </w:pPr>
    </w:p>
    <w:p w14:paraId="3B557966" w14:textId="77777777" w:rsidR="00A7521D" w:rsidRDefault="00A7521D" w:rsidP="00A7521D">
      <w:pPr>
        <w:pStyle w:val="NoSpacing"/>
      </w:pPr>
      <w:r>
        <w:t>End Sub</w:t>
      </w:r>
    </w:p>
    <w:p w14:paraId="591F0E74" w14:textId="77777777" w:rsidR="00A7521D" w:rsidRDefault="00A7521D" w:rsidP="00A7521D">
      <w:pPr>
        <w:pStyle w:val="NoSpacing"/>
      </w:pPr>
    </w:p>
    <w:p w14:paraId="177A4E29" w14:textId="77777777" w:rsidR="00A7521D" w:rsidRDefault="00A7521D" w:rsidP="00A7521D">
      <w:pPr>
        <w:pStyle w:val="NoSpacing"/>
      </w:pPr>
      <w:r>
        <w:t xml:space="preserve">Private Sub </w:t>
      </w:r>
      <w:proofErr w:type="spellStart"/>
      <w:r>
        <w:t>Monte_Carlo_Click</w:t>
      </w:r>
      <w:proofErr w:type="spellEnd"/>
      <w:r>
        <w:t>()</w:t>
      </w:r>
    </w:p>
    <w:p w14:paraId="4A154273" w14:textId="77777777" w:rsidR="00A7521D" w:rsidRDefault="00A7521D" w:rsidP="00A7521D">
      <w:pPr>
        <w:pStyle w:val="NoSpacing"/>
      </w:pPr>
    </w:p>
    <w:p w14:paraId="2CA32187" w14:textId="77777777" w:rsidR="00A7521D" w:rsidRDefault="00A7521D" w:rsidP="00A7521D">
      <w:pPr>
        <w:pStyle w:val="NoSpacing"/>
      </w:pPr>
      <w:r>
        <w:t>Dim output As Range</w:t>
      </w:r>
    </w:p>
    <w:p w14:paraId="0949F32A" w14:textId="77777777" w:rsidR="00A7521D" w:rsidRDefault="00A7521D" w:rsidP="00A7521D">
      <w:pPr>
        <w:pStyle w:val="NoSpacing"/>
      </w:pPr>
      <w:r>
        <w:t xml:space="preserve">Dim </w:t>
      </w:r>
      <w:proofErr w:type="spellStart"/>
      <w:r>
        <w:t>answer_HEX_ST_TOT</w:t>
      </w:r>
      <w:proofErr w:type="spellEnd"/>
      <w:r>
        <w:t xml:space="preserve"> </w:t>
      </w:r>
      <w:proofErr w:type="gramStart"/>
      <w:r>
        <w:t>As</w:t>
      </w:r>
      <w:proofErr w:type="gramEnd"/>
      <w:r>
        <w:t xml:space="preserve"> Range</w:t>
      </w:r>
    </w:p>
    <w:p w14:paraId="750251CB" w14:textId="77777777" w:rsidR="00A7521D" w:rsidRDefault="00A7521D" w:rsidP="00A7521D">
      <w:pPr>
        <w:pStyle w:val="NoSpacing"/>
      </w:pPr>
      <w:r>
        <w:t xml:space="preserve">Dim </w:t>
      </w:r>
      <w:proofErr w:type="spellStart"/>
      <w:r>
        <w:t>answer_HEX_ST_CAP</w:t>
      </w:r>
      <w:proofErr w:type="spellEnd"/>
      <w:r>
        <w:t xml:space="preserve"> </w:t>
      </w:r>
      <w:proofErr w:type="gramStart"/>
      <w:r>
        <w:t>As</w:t>
      </w:r>
      <w:proofErr w:type="gramEnd"/>
      <w:r>
        <w:t xml:space="preserve"> Range</w:t>
      </w:r>
    </w:p>
    <w:p w14:paraId="7508DA25" w14:textId="77777777" w:rsidR="00A7521D" w:rsidRDefault="00A7521D" w:rsidP="00A7521D">
      <w:pPr>
        <w:pStyle w:val="NoSpacing"/>
      </w:pPr>
      <w:r>
        <w:t xml:space="preserve">Dim </w:t>
      </w:r>
      <w:proofErr w:type="spellStart"/>
      <w:r>
        <w:t>answer_HEX_ST_OP</w:t>
      </w:r>
      <w:proofErr w:type="spellEnd"/>
      <w:r>
        <w:t xml:space="preserve"> </w:t>
      </w:r>
      <w:proofErr w:type="gramStart"/>
      <w:r>
        <w:t>As</w:t>
      </w:r>
      <w:proofErr w:type="gramEnd"/>
      <w:r>
        <w:t xml:space="preserve"> Range</w:t>
      </w:r>
    </w:p>
    <w:p w14:paraId="6FA5B1F4" w14:textId="77777777" w:rsidR="00A7521D" w:rsidRDefault="00A7521D" w:rsidP="00A7521D">
      <w:pPr>
        <w:pStyle w:val="NoSpacing"/>
      </w:pPr>
      <w:r>
        <w:t xml:space="preserve">Dim </w:t>
      </w:r>
      <w:proofErr w:type="spellStart"/>
      <w:r>
        <w:t>answer_HEX_FT_TOT</w:t>
      </w:r>
      <w:proofErr w:type="spellEnd"/>
      <w:r>
        <w:t xml:space="preserve"> </w:t>
      </w:r>
      <w:proofErr w:type="gramStart"/>
      <w:r>
        <w:t>As</w:t>
      </w:r>
      <w:proofErr w:type="gramEnd"/>
      <w:r>
        <w:t xml:space="preserve"> Range</w:t>
      </w:r>
    </w:p>
    <w:p w14:paraId="42A8C8DD" w14:textId="77777777" w:rsidR="00A7521D" w:rsidRDefault="00A7521D" w:rsidP="00A7521D">
      <w:pPr>
        <w:pStyle w:val="NoSpacing"/>
      </w:pPr>
      <w:r>
        <w:t xml:space="preserve">Dim </w:t>
      </w:r>
      <w:proofErr w:type="spellStart"/>
      <w:r>
        <w:t>answer_HEX_FT_CAP</w:t>
      </w:r>
      <w:proofErr w:type="spellEnd"/>
      <w:r>
        <w:t xml:space="preserve"> </w:t>
      </w:r>
      <w:proofErr w:type="gramStart"/>
      <w:r>
        <w:t>As</w:t>
      </w:r>
      <w:proofErr w:type="gramEnd"/>
      <w:r>
        <w:t xml:space="preserve"> Range</w:t>
      </w:r>
    </w:p>
    <w:p w14:paraId="602E9D6D" w14:textId="77777777" w:rsidR="00A7521D" w:rsidRDefault="00A7521D" w:rsidP="00A7521D">
      <w:pPr>
        <w:pStyle w:val="NoSpacing"/>
      </w:pPr>
      <w:r>
        <w:t xml:space="preserve">Dim </w:t>
      </w:r>
      <w:proofErr w:type="spellStart"/>
      <w:r>
        <w:t>answer_HEX_FT_OP</w:t>
      </w:r>
      <w:proofErr w:type="spellEnd"/>
      <w:r>
        <w:t xml:space="preserve"> </w:t>
      </w:r>
      <w:proofErr w:type="gramStart"/>
      <w:r>
        <w:t>As</w:t>
      </w:r>
      <w:proofErr w:type="gramEnd"/>
      <w:r>
        <w:t xml:space="preserve"> Range</w:t>
      </w:r>
    </w:p>
    <w:p w14:paraId="775A41F3" w14:textId="77777777" w:rsidR="00A7521D" w:rsidRDefault="00A7521D" w:rsidP="00A7521D">
      <w:pPr>
        <w:pStyle w:val="NoSpacing"/>
      </w:pPr>
      <w:r>
        <w:t xml:space="preserve">Dim </w:t>
      </w:r>
      <w:proofErr w:type="spellStart"/>
      <w:r>
        <w:t>answer_HEX_PL_TOT</w:t>
      </w:r>
      <w:proofErr w:type="spellEnd"/>
      <w:r>
        <w:t xml:space="preserve"> </w:t>
      </w:r>
      <w:proofErr w:type="gramStart"/>
      <w:r>
        <w:t>As</w:t>
      </w:r>
      <w:proofErr w:type="gramEnd"/>
      <w:r>
        <w:t xml:space="preserve"> Range</w:t>
      </w:r>
    </w:p>
    <w:p w14:paraId="5CA101EF" w14:textId="77777777" w:rsidR="00A7521D" w:rsidRDefault="00A7521D" w:rsidP="00A7521D">
      <w:pPr>
        <w:pStyle w:val="NoSpacing"/>
      </w:pPr>
      <w:r>
        <w:t xml:space="preserve">Dim </w:t>
      </w:r>
      <w:proofErr w:type="spellStart"/>
      <w:r>
        <w:t>answer_HEX_PL_CAP</w:t>
      </w:r>
      <w:proofErr w:type="spellEnd"/>
      <w:r>
        <w:t xml:space="preserve"> </w:t>
      </w:r>
      <w:proofErr w:type="gramStart"/>
      <w:r>
        <w:t>As</w:t>
      </w:r>
      <w:proofErr w:type="gramEnd"/>
      <w:r>
        <w:t xml:space="preserve"> Range</w:t>
      </w:r>
    </w:p>
    <w:p w14:paraId="27D41501" w14:textId="77777777" w:rsidR="00A7521D" w:rsidRDefault="00A7521D" w:rsidP="00A7521D">
      <w:pPr>
        <w:pStyle w:val="NoSpacing"/>
      </w:pPr>
      <w:r>
        <w:t xml:space="preserve">Dim </w:t>
      </w:r>
      <w:proofErr w:type="spellStart"/>
      <w:r>
        <w:t>answer_HEX_PL_OP</w:t>
      </w:r>
      <w:proofErr w:type="spellEnd"/>
      <w:r>
        <w:t xml:space="preserve"> </w:t>
      </w:r>
      <w:proofErr w:type="gramStart"/>
      <w:r>
        <w:t>As</w:t>
      </w:r>
      <w:proofErr w:type="gramEnd"/>
      <w:r>
        <w:t xml:space="preserve"> Range</w:t>
      </w:r>
    </w:p>
    <w:p w14:paraId="0E367F6A" w14:textId="77777777" w:rsidR="00A7521D" w:rsidRDefault="00A7521D" w:rsidP="00A7521D">
      <w:pPr>
        <w:pStyle w:val="NoSpacing"/>
      </w:pPr>
      <w:r>
        <w:t xml:space="preserve">Dim </w:t>
      </w:r>
      <w:proofErr w:type="spellStart"/>
      <w:r>
        <w:t>answer_HEX_DP_TOT</w:t>
      </w:r>
      <w:proofErr w:type="spellEnd"/>
      <w:r>
        <w:t xml:space="preserve"> </w:t>
      </w:r>
      <w:proofErr w:type="gramStart"/>
      <w:r>
        <w:t>As</w:t>
      </w:r>
      <w:proofErr w:type="gramEnd"/>
      <w:r>
        <w:t xml:space="preserve"> Range</w:t>
      </w:r>
    </w:p>
    <w:p w14:paraId="5BC2B3E3" w14:textId="77777777" w:rsidR="00A7521D" w:rsidRDefault="00A7521D" w:rsidP="00A7521D">
      <w:pPr>
        <w:pStyle w:val="NoSpacing"/>
      </w:pPr>
      <w:r>
        <w:t xml:space="preserve">Dim </w:t>
      </w:r>
      <w:proofErr w:type="spellStart"/>
      <w:r>
        <w:t>answer_HEX_DP_CAP</w:t>
      </w:r>
      <w:proofErr w:type="spellEnd"/>
      <w:r>
        <w:t xml:space="preserve"> </w:t>
      </w:r>
      <w:proofErr w:type="gramStart"/>
      <w:r>
        <w:t>As</w:t>
      </w:r>
      <w:proofErr w:type="gramEnd"/>
      <w:r>
        <w:t xml:space="preserve"> Range</w:t>
      </w:r>
    </w:p>
    <w:p w14:paraId="577BF603" w14:textId="77777777" w:rsidR="00A7521D" w:rsidRDefault="00A7521D" w:rsidP="00A7521D">
      <w:pPr>
        <w:pStyle w:val="NoSpacing"/>
      </w:pPr>
      <w:r>
        <w:t xml:space="preserve">Dim </w:t>
      </w:r>
      <w:proofErr w:type="spellStart"/>
      <w:r>
        <w:t>answer_HEX_DP_OP</w:t>
      </w:r>
      <w:proofErr w:type="spellEnd"/>
      <w:r>
        <w:t xml:space="preserve"> </w:t>
      </w:r>
      <w:proofErr w:type="gramStart"/>
      <w:r>
        <w:t>As</w:t>
      </w:r>
      <w:proofErr w:type="gramEnd"/>
      <w:r>
        <w:t xml:space="preserve"> Range</w:t>
      </w:r>
    </w:p>
    <w:p w14:paraId="4999B62B" w14:textId="77777777" w:rsidR="00A7521D" w:rsidRDefault="00A7521D" w:rsidP="00A7521D">
      <w:pPr>
        <w:pStyle w:val="NoSpacing"/>
      </w:pPr>
      <w:r>
        <w:t xml:space="preserve">Dim </w:t>
      </w:r>
      <w:proofErr w:type="spellStart"/>
      <w:r>
        <w:t>answer_FIRED_TOT</w:t>
      </w:r>
      <w:proofErr w:type="spellEnd"/>
      <w:r>
        <w:t xml:space="preserve"> </w:t>
      </w:r>
      <w:proofErr w:type="gramStart"/>
      <w:r>
        <w:t>As</w:t>
      </w:r>
      <w:proofErr w:type="gramEnd"/>
      <w:r>
        <w:t xml:space="preserve"> Range</w:t>
      </w:r>
    </w:p>
    <w:p w14:paraId="28EE6ABC" w14:textId="77777777" w:rsidR="00A7521D" w:rsidRDefault="00A7521D" w:rsidP="00A7521D">
      <w:pPr>
        <w:pStyle w:val="NoSpacing"/>
      </w:pPr>
      <w:r>
        <w:t xml:space="preserve">Dim </w:t>
      </w:r>
      <w:proofErr w:type="spellStart"/>
      <w:r>
        <w:t>answer_FIRED_CAP</w:t>
      </w:r>
      <w:proofErr w:type="spellEnd"/>
      <w:r>
        <w:t xml:space="preserve"> </w:t>
      </w:r>
      <w:proofErr w:type="gramStart"/>
      <w:r>
        <w:t>As</w:t>
      </w:r>
      <w:proofErr w:type="gramEnd"/>
      <w:r>
        <w:t xml:space="preserve"> Range</w:t>
      </w:r>
    </w:p>
    <w:p w14:paraId="5D818357" w14:textId="77777777" w:rsidR="00A7521D" w:rsidRDefault="00A7521D" w:rsidP="00A7521D">
      <w:pPr>
        <w:pStyle w:val="NoSpacing"/>
      </w:pPr>
      <w:r>
        <w:t xml:space="preserve">Dim </w:t>
      </w:r>
      <w:proofErr w:type="spellStart"/>
      <w:r>
        <w:t>answer_FIRED_OP</w:t>
      </w:r>
      <w:proofErr w:type="spellEnd"/>
      <w:r>
        <w:t xml:space="preserve"> </w:t>
      </w:r>
      <w:proofErr w:type="gramStart"/>
      <w:r>
        <w:t>As</w:t>
      </w:r>
      <w:proofErr w:type="gramEnd"/>
      <w:r>
        <w:t xml:space="preserve"> Range</w:t>
      </w:r>
    </w:p>
    <w:p w14:paraId="4C9880AA" w14:textId="77777777" w:rsidR="00A7521D" w:rsidRDefault="00A7521D" w:rsidP="00A7521D">
      <w:pPr>
        <w:pStyle w:val="NoSpacing"/>
      </w:pPr>
      <w:r>
        <w:t xml:space="preserve">Dim </w:t>
      </w:r>
      <w:proofErr w:type="spellStart"/>
      <w:r>
        <w:t>answer_ORC_TOT</w:t>
      </w:r>
      <w:proofErr w:type="spellEnd"/>
      <w:r>
        <w:t xml:space="preserve"> </w:t>
      </w:r>
      <w:proofErr w:type="gramStart"/>
      <w:r>
        <w:t>As</w:t>
      </w:r>
      <w:proofErr w:type="gramEnd"/>
      <w:r>
        <w:t xml:space="preserve"> Range</w:t>
      </w:r>
    </w:p>
    <w:p w14:paraId="118CCE5B" w14:textId="77777777" w:rsidR="00A7521D" w:rsidRDefault="00A7521D" w:rsidP="00A7521D">
      <w:pPr>
        <w:pStyle w:val="NoSpacing"/>
      </w:pPr>
      <w:r>
        <w:t xml:space="preserve">Dim </w:t>
      </w:r>
      <w:proofErr w:type="spellStart"/>
      <w:r>
        <w:t>answer_ORC_CAP</w:t>
      </w:r>
      <w:proofErr w:type="spellEnd"/>
      <w:r>
        <w:t xml:space="preserve"> </w:t>
      </w:r>
      <w:proofErr w:type="gramStart"/>
      <w:r>
        <w:t>As</w:t>
      </w:r>
      <w:proofErr w:type="gramEnd"/>
      <w:r>
        <w:t xml:space="preserve"> Range</w:t>
      </w:r>
    </w:p>
    <w:p w14:paraId="61D52F4E" w14:textId="77777777" w:rsidR="00A7521D" w:rsidRDefault="00A7521D" w:rsidP="00A7521D">
      <w:pPr>
        <w:pStyle w:val="NoSpacing"/>
      </w:pPr>
      <w:r>
        <w:t xml:space="preserve">Dim </w:t>
      </w:r>
      <w:proofErr w:type="spellStart"/>
      <w:r>
        <w:t>answer_ORC_OP</w:t>
      </w:r>
      <w:proofErr w:type="spellEnd"/>
      <w:r>
        <w:t xml:space="preserve"> </w:t>
      </w:r>
      <w:proofErr w:type="gramStart"/>
      <w:r>
        <w:t>As</w:t>
      </w:r>
      <w:proofErr w:type="gramEnd"/>
      <w:r>
        <w:t xml:space="preserve"> Range</w:t>
      </w:r>
    </w:p>
    <w:p w14:paraId="4A84B0A8" w14:textId="77777777" w:rsidR="00A7521D" w:rsidRDefault="00A7521D" w:rsidP="00A7521D">
      <w:pPr>
        <w:pStyle w:val="NoSpacing"/>
      </w:pPr>
      <w:r>
        <w:t xml:space="preserve">Dim </w:t>
      </w:r>
      <w:proofErr w:type="spellStart"/>
      <w:r>
        <w:t>answer_TURBINE_ORC_TOT</w:t>
      </w:r>
      <w:proofErr w:type="spellEnd"/>
      <w:r>
        <w:t xml:space="preserve"> </w:t>
      </w:r>
      <w:proofErr w:type="gramStart"/>
      <w:r>
        <w:t>As</w:t>
      </w:r>
      <w:proofErr w:type="gramEnd"/>
      <w:r>
        <w:t xml:space="preserve"> Range</w:t>
      </w:r>
    </w:p>
    <w:p w14:paraId="5F79F765" w14:textId="77777777" w:rsidR="00A7521D" w:rsidRDefault="00A7521D" w:rsidP="00A7521D">
      <w:pPr>
        <w:pStyle w:val="NoSpacing"/>
      </w:pPr>
      <w:r>
        <w:t xml:space="preserve">Dim </w:t>
      </w:r>
      <w:proofErr w:type="spellStart"/>
      <w:r>
        <w:t>answer_TURBINE_ORC_CAP</w:t>
      </w:r>
      <w:proofErr w:type="spellEnd"/>
      <w:r>
        <w:t xml:space="preserve"> </w:t>
      </w:r>
      <w:proofErr w:type="gramStart"/>
      <w:r>
        <w:t>As</w:t>
      </w:r>
      <w:proofErr w:type="gramEnd"/>
      <w:r>
        <w:t xml:space="preserve"> Range</w:t>
      </w:r>
    </w:p>
    <w:p w14:paraId="6514B9C7" w14:textId="77777777" w:rsidR="00A7521D" w:rsidRDefault="00A7521D" w:rsidP="00A7521D">
      <w:pPr>
        <w:pStyle w:val="NoSpacing"/>
      </w:pPr>
      <w:r>
        <w:t xml:space="preserve">Dim </w:t>
      </w:r>
      <w:proofErr w:type="spellStart"/>
      <w:r>
        <w:t>answer_TURBINE_ORC_OP</w:t>
      </w:r>
      <w:proofErr w:type="spellEnd"/>
      <w:r>
        <w:t xml:space="preserve"> </w:t>
      </w:r>
      <w:proofErr w:type="gramStart"/>
      <w:r>
        <w:t>As</w:t>
      </w:r>
      <w:proofErr w:type="gramEnd"/>
      <w:r>
        <w:t xml:space="preserve"> Range</w:t>
      </w:r>
    </w:p>
    <w:p w14:paraId="6727EA32" w14:textId="77777777" w:rsidR="00A7521D" w:rsidRDefault="00A7521D" w:rsidP="00A7521D">
      <w:pPr>
        <w:pStyle w:val="NoSpacing"/>
      </w:pPr>
      <w:r>
        <w:t xml:space="preserve">Dim </w:t>
      </w:r>
      <w:proofErr w:type="spellStart"/>
      <w:r>
        <w:t>answer_PUMP_ORC_TOT</w:t>
      </w:r>
      <w:proofErr w:type="spellEnd"/>
      <w:r>
        <w:t xml:space="preserve"> </w:t>
      </w:r>
      <w:proofErr w:type="gramStart"/>
      <w:r>
        <w:t>As</w:t>
      </w:r>
      <w:proofErr w:type="gramEnd"/>
      <w:r>
        <w:t xml:space="preserve"> Range</w:t>
      </w:r>
    </w:p>
    <w:p w14:paraId="01507761" w14:textId="77777777" w:rsidR="00A7521D" w:rsidRDefault="00A7521D" w:rsidP="00A7521D">
      <w:pPr>
        <w:pStyle w:val="NoSpacing"/>
      </w:pPr>
      <w:r>
        <w:t xml:space="preserve">Dim </w:t>
      </w:r>
      <w:proofErr w:type="spellStart"/>
      <w:r>
        <w:t>answer_PUMP_ORC_CAP</w:t>
      </w:r>
      <w:proofErr w:type="spellEnd"/>
      <w:r>
        <w:t xml:space="preserve"> </w:t>
      </w:r>
      <w:proofErr w:type="gramStart"/>
      <w:r>
        <w:t>As</w:t>
      </w:r>
      <w:proofErr w:type="gramEnd"/>
      <w:r>
        <w:t xml:space="preserve"> Range</w:t>
      </w:r>
    </w:p>
    <w:p w14:paraId="07007758" w14:textId="77777777" w:rsidR="00A7521D" w:rsidRDefault="00A7521D" w:rsidP="00A7521D">
      <w:pPr>
        <w:pStyle w:val="NoSpacing"/>
      </w:pPr>
      <w:r>
        <w:t xml:space="preserve">Dim </w:t>
      </w:r>
      <w:proofErr w:type="spellStart"/>
      <w:r>
        <w:t>answer_PUMP_ORC_OP</w:t>
      </w:r>
      <w:proofErr w:type="spellEnd"/>
      <w:r>
        <w:t xml:space="preserve"> </w:t>
      </w:r>
      <w:proofErr w:type="gramStart"/>
      <w:r>
        <w:t>As</w:t>
      </w:r>
      <w:proofErr w:type="gramEnd"/>
      <w:r>
        <w:t xml:space="preserve"> Range</w:t>
      </w:r>
    </w:p>
    <w:p w14:paraId="37EF19CD" w14:textId="77777777" w:rsidR="00A7521D" w:rsidRDefault="00A7521D" w:rsidP="00A7521D">
      <w:pPr>
        <w:pStyle w:val="NoSpacing"/>
      </w:pPr>
      <w:r>
        <w:t xml:space="preserve">Dim </w:t>
      </w:r>
      <w:proofErr w:type="spellStart"/>
      <w:r>
        <w:t>answer_BOILER_ORC_TOT</w:t>
      </w:r>
      <w:proofErr w:type="spellEnd"/>
      <w:r>
        <w:t xml:space="preserve"> </w:t>
      </w:r>
      <w:proofErr w:type="gramStart"/>
      <w:r>
        <w:t>As</w:t>
      </w:r>
      <w:proofErr w:type="gramEnd"/>
      <w:r>
        <w:t xml:space="preserve"> Range</w:t>
      </w:r>
    </w:p>
    <w:p w14:paraId="6ABDA09A" w14:textId="77777777" w:rsidR="00A7521D" w:rsidRDefault="00A7521D" w:rsidP="00A7521D">
      <w:pPr>
        <w:pStyle w:val="NoSpacing"/>
      </w:pPr>
      <w:r>
        <w:t xml:space="preserve">Dim </w:t>
      </w:r>
      <w:proofErr w:type="spellStart"/>
      <w:r>
        <w:t>answer_BOILER_ORC_CAP</w:t>
      </w:r>
      <w:proofErr w:type="spellEnd"/>
      <w:r>
        <w:t xml:space="preserve"> </w:t>
      </w:r>
      <w:proofErr w:type="gramStart"/>
      <w:r>
        <w:t>As</w:t>
      </w:r>
      <w:proofErr w:type="gramEnd"/>
      <w:r>
        <w:t xml:space="preserve"> Range</w:t>
      </w:r>
    </w:p>
    <w:p w14:paraId="07C73546" w14:textId="77777777" w:rsidR="00A7521D" w:rsidRDefault="00A7521D" w:rsidP="00A7521D">
      <w:pPr>
        <w:pStyle w:val="NoSpacing"/>
      </w:pPr>
      <w:r>
        <w:t xml:space="preserve">Dim </w:t>
      </w:r>
      <w:proofErr w:type="spellStart"/>
      <w:r>
        <w:t>answer_BOILER_ORC_OP</w:t>
      </w:r>
      <w:proofErr w:type="spellEnd"/>
      <w:r>
        <w:t xml:space="preserve"> </w:t>
      </w:r>
      <w:proofErr w:type="gramStart"/>
      <w:r>
        <w:t>As</w:t>
      </w:r>
      <w:proofErr w:type="gramEnd"/>
      <w:r>
        <w:t xml:space="preserve"> Range</w:t>
      </w:r>
    </w:p>
    <w:p w14:paraId="0053858A" w14:textId="77777777" w:rsidR="00A7521D" w:rsidRDefault="00A7521D" w:rsidP="00A7521D">
      <w:pPr>
        <w:pStyle w:val="NoSpacing"/>
      </w:pPr>
      <w:r>
        <w:t xml:space="preserve">Dim </w:t>
      </w:r>
      <w:proofErr w:type="spellStart"/>
      <w:r>
        <w:t>answer_CONDENSER_ORC_TOT</w:t>
      </w:r>
      <w:proofErr w:type="spellEnd"/>
      <w:r>
        <w:t xml:space="preserve"> </w:t>
      </w:r>
      <w:proofErr w:type="gramStart"/>
      <w:r>
        <w:t>As</w:t>
      </w:r>
      <w:proofErr w:type="gramEnd"/>
      <w:r>
        <w:t xml:space="preserve"> Range</w:t>
      </w:r>
    </w:p>
    <w:p w14:paraId="1F36C112" w14:textId="77777777" w:rsidR="00A7521D" w:rsidRDefault="00A7521D" w:rsidP="00A7521D">
      <w:pPr>
        <w:pStyle w:val="NoSpacing"/>
      </w:pPr>
      <w:r>
        <w:t xml:space="preserve">Dim </w:t>
      </w:r>
      <w:proofErr w:type="spellStart"/>
      <w:r>
        <w:t>answer_CONDENSER_ORC_CAP</w:t>
      </w:r>
      <w:proofErr w:type="spellEnd"/>
      <w:r>
        <w:t xml:space="preserve"> </w:t>
      </w:r>
      <w:proofErr w:type="gramStart"/>
      <w:r>
        <w:t>As</w:t>
      </w:r>
      <w:proofErr w:type="gramEnd"/>
      <w:r>
        <w:t xml:space="preserve"> Range</w:t>
      </w:r>
    </w:p>
    <w:p w14:paraId="1299A363" w14:textId="77777777" w:rsidR="00A7521D" w:rsidRDefault="00A7521D" w:rsidP="00A7521D">
      <w:pPr>
        <w:pStyle w:val="NoSpacing"/>
      </w:pPr>
      <w:r>
        <w:t xml:space="preserve">Dim </w:t>
      </w:r>
      <w:proofErr w:type="spellStart"/>
      <w:r>
        <w:t>answer_CONDENSER_ORC_OP</w:t>
      </w:r>
      <w:proofErr w:type="spellEnd"/>
      <w:r>
        <w:t xml:space="preserve"> </w:t>
      </w:r>
      <w:proofErr w:type="gramStart"/>
      <w:r>
        <w:t>As</w:t>
      </w:r>
      <w:proofErr w:type="gramEnd"/>
      <w:r>
        <w:t xml:space="preserve"> Range</w:t>
      </w:r>
    </w:p>
    <w:p w14:paraId="2B1DD8A5" w14:textId="77777777" w:rsidR="00A7521D" w:rsidRDefault="00A7521D" w:rsidP="00A7521D">
      <w:pPr>
        <w:pStyle w:val="NoSpacing"/>
      </w:pPr>
      <w:r>
        <w:t xml:space="preserve">Dim </w:t>
      </w:r>
      <w:proofErr w:type="spellStart"/>
      <w:r>
        <w:t>answer_RC_TOT</w:t>
      </w:r>
      <w:proofErr w:type="spellEnd"/>
      <w:r>
        <w:t xml:space="preserve"> </w:t>
      </w:r>
      <w:proofErr w:type="gramStart"/>
      <w:r>
        <w:t>As</w:t>
      </w:r>
      <w:proofErr w:type="gramEnd"/>
      <w:r>
        <w:t xml:space="preserve"> Range</w:t>
      </w:r>
    </w:p>
    <w:p w14:paraId="330CF6F4" w14:textId="77777777" w:rsidR="00A7521D" w:rsidRDefault="00A7521D" w:rsidP="00A7521D">
      <w:pPr>
        <w:pStyle w:val="NoSpacing"/>
      </w:pPr>
      <w:r>
        <w:t xml:space="preserve">Dim </w:t>
      </w:r>
      <w:proofErr w:type="spellStart"/>
      <w:r>
        <w:t>answer_RC_CAP</w:t>
      </w:r>
      <w:proofErr w:type="spellEnd"/>
      <w:r>
        <w:t xml:space="preserve"> </w:t>
      </w:r>
      <w:proofErr w:type="gramStart"/>
      <w:r>
        <w:t>As</w:t>
      </w:r>
      <w:proofErr w:type="gramEnd"/>
      <w:r>
        <w:t xml:space="preserve"> Range</w:t>
      </w:r>
    </w:p>
    <w:p w14:paraId="136AAD49" w14:textId="77777777" w:rsidR="00A7521D" w:rsidRDefault="00A7521D" w:rsidP="00A7521D">
      <w:pPr>
        <w:pStyle w:val="NoSpacing"/>
      </w:pPr>
      <w:r>
        <w:t xml:space="preserve">Dim </w:t>
      </w:r>
      <w:proofErr w:type="spellStart"/>
      <w:r>
        <w:t>answer_RC_OP</w:t>
      </w:r>
      <w:proofErr w:type="spellEnd"/>
      <w:r>
        <w:t xml:space="preserve"> </w:t>
      </w:r>
      <w:proofErr w:type="gramStart"/>
      <w:r>
        <w:t>As</w:t>
      </w:r>
      <w:proofErr w:type="gramEnd"/>
      <w:r>
        <w:t xml:space="preserve"> Range</w:t>
      </w:r>
    </w:p>
    <w:p w14:paraId="7E86774C" w14:textId="77777777" w:rsidR="00A7521D" w:rsidRDefault="00A7521D" w:rsidP="00A7521D">
      <w:pPr>
        <w:pStyle w:val="NoSpacing"/>
      </w:pPr>
      <w:r>
        <w:t xml:space="preserve">Dim </w:t>
      </w:r>
      <w:proofErr w:type="spellStart"/>
      <w:r>
        <w:t>answer_TURBINE_RC_TOT</w:t>
      </w:r>
      <w:proofErr w:type="spellEnd"/>
      <w:r>
        <w:t xml:space="preserve"> </w:t>
      </w:r>
      <w:proofErr w:type="gramStart"/>
      <w:r>
        <w:t>As</w:t>
      </w:r>
      <w:proofErr w:type="gramEnd"/>
      <w:r>
        <w:t xml:space="preserve"> Range</w:t>
      </w:r>
    </w:p>
    <w:p w14:paraId="079B9E24" w14:textId="77777777" w:rsidR="00A7521D" w:rsidRDefault="00A7521D" w:rsidP="00A7521D">
      <w:pPr>
        <w:pStyle w:val="NoSpacing"/>
      </w:pPr>
      <w:r>
        <w:t xml:space="preserve">Dim </w:t>
      </w:r>
      <w:proofErr w:type="spellStart"/>
      <w:r>
        <w:t>answer_TURBINE_RC_CAP</w:t>
      </w:r>
      <w:proofErr w:type="spellEnd"/>
      <w:r>
        <w:t xml:space="preserve"> </w:t>
      </w:r>
      <w:proofErr w:type="gramStart"/>
      <w:r>
        <w:t>As</w:t>
      </w:r>
      <w:proofErr w:type="gramEnd"/>
      <w:r>
        <w:t xml:space="preserve"> Range</w:t>
      </w:r>
    </w:p>
    <w:p w14:paraId="780E848C" w14:textId="77777777" w:rsidR="00A7521D" w:rsidRDefault="00A7521D" w:rsidP="00A7521D">
      <w:pPr>
        <w:pStyle w:val="NoSpacing"/>
      </w:pPr>
      <w:r>
        <w:t xml:space="preserve">Dim </w:t>
      </w:r>
      <w:proofErr w:type="spellStart"/>
      <w:r>
        <w:t>answer_TURBINE_RC_OP</w:t>
      </w:r>
      <w:proofErr w:type="spellEnd"/>
      <w:r>
        <w:t xml:space="preserve"> </w:t>
      </w:r>
      <w:proofErr w:type="gramStart"/>
      <w:r>
        <w:t>As</w:t>
      </w:r>
      <w:proofErr w:type="gramEnd"/>
      <w:r>
        <w:t xml:space="preserve"> Range</w:t>
      </w:r>
    </w:p>
    <w:p w14:paraId="5FFFD4E9" w14:textId="77777777" w:rsidR="00A7521D" w:rsidRDefault="00A7521D" w:rsidP="00A7521D">
      <w:pPr>
        <w:pStyle w:val="NoSpacing"/>
      </w:pPr>
      <w:r>
        <w:t xml:space="preserve">Dim </w:t>
      </w:r>
      <w:proofErr w:type="spellStart"/>
      <w:r>
        <w:t>answer_PUMP_RC_TOT</w:t>
      </w:r>
      <w:proofErr w:type="spellEnd"/>
      <w:r>
        <w:t xml:space="preserve"> </w:t>
      </w:r>
      <w:proofErr w:type="gramStart"/>
      <w:r>
        <w:t>As</w:t>
      </w:r>
      <w:proofErr w:type="gramEnd"/>
      <w:r>
        <w:t xml:space="preserve"> Range</w:t>
      </w:r>
    </w:p>
    <w:p w14:paraId="7497D7C4" w14:textId="77777777" w:rsidR="00A7521D" w:rsidRDefault="00A7521D" w:rsidP="00A7521D">
      <w:pPr>
        <w:pStyle w:val="NoSpacing"/>
      </w:pPr>
      <w:r>
        <w:lastRenderedPageBreak/>
        <w:t xml:space="preserve">Dim </w:t>
      </w:r>
      <w:proofErr w:type="spellStart"/>
      <w:r>
        <w:t>answer_PUMP_RC_CAP</w:t>
      </w:r>
      <w:proofErr w:type="spellEnd"/>
      <w:r>
        <w:t xml:space="preserve"> </w:t>
      </w:r>
      <w:proofErr w:type="gramStart"/>
      <w:r>
        <w:t>As</w:t>
      </w:r>
      <w:proofErr w:type="gramEnd"/>
      <w:r>
        <w:t xml:space="preserve"> Range</w:t>
      </w:r>
    </w:p>
    <w:p w14:paraId="003D7457" w14:textId="77777777" w:rsidR="00A7521D" w:rsidRDefault="00A7521D" w:rsidP="00A7521D">
      <w:pPr>
        <w:pStyle w:val="NoSpacing"/>
      </w:pPr>
      <w:r>
        <w:t xml:space="preserve">Dim </w:t>
      </w:r>
      <w:proofErr w:type="spellStart"/>
      <w:r>
        <w:t>answer_PUMP_RC_OP</w:t>
      </w:r>
      <w:proofErr w:type="spellEnd"/>
      <w:r>
        <w:t xml:space="preserve"> </w:t>
      </w:r>
      <w:proofErr w:type="gramStart"/>
      <w:r>
        <w:t>As</w:t>
      </w:r>
      <w:proofErr w:type="gramEnd"/>
      <w:r>
        <w:t xml:space="preserve"> Range</w:t>
      </w:r>
    </w:p>
    <w:p w14:paraId="50A4E414" w14:textId="77777777" w:rsidR="00A7521D" w:rsidRDefault="00A7521D" w:rsidP="00A7521D">
      <w:pPr>
        <w:pStyle w:val="NoSpacing"/>
      </w:pPr>
      <w:r>
        <w:t xml:space="preserve">Dim </w:t>
      </w:r>
      <w:proofErr w:type="spellStart"/>
      <w:r>
        <w:t>answer_BOILER_RC_TOT</w:t>
      </w:r>
      <w:proofErr w:type="spellEnd"/>
      <w:r>
        <w:t xml:space="preserve"> </w:t>
      </w:r>
      <w:proofErr w:type="gramStart"/>
      <w:r>
        <w:t>As</w:t>
      </w:r>
      <w:proofErr w:type="gramEnd"/>
      <w:r>
        <w:t xml:space="preserve"> Range</w:t>
      </w:r>
    </w:p>
    <w:p w14:paraId="60CEAF21" w14:textId="77777777" w:rsidR="00A7521D" w:rsidRDefault="00A7521D" w:rsidP="00A7521D">
      <w:pPr>
        <w:pStyle w:val="NoSpacing"/>
      </w:pPr>
      <w:r>
        <w:t xml:space="preserve">Dim </w:t>
      </w:r>
      <w:proofErr w:type="spellStart"/>
      <w:r>
        <w:t>answer_BOILER_RC_CAP</w:t>
      </w:r>
      <w:proofErr w:type="spellEnd"/>
      <w:r>
        <w:t xml:space="preserve"> </w:t>
      </w:r>
      <w:proofErr w:type="gramStart"/>
      <w:r>
        <w:t>As</w:t>
      </w:r>
      <w:proofErr w:type="gramEnd"/>
      <w:r>
        <w:t xml:space="preserve"> Range</w:t>
      </w:r>
    </w:p>
    <w:p w14:paraId="7421615F" w14:textId="77777777" w:rsidR="00A7521D" w:rsidRDefault="00A7521D" w:rsidP="00A7521D">
      <w:pPr>
        <w:pStyle w:val="NoSpacing"/>
      </w:pPr>
      <w:r>
        <w:t xml:space="preserve">Dim </w:t>
      </w:r>
      <w:proofErr w:type="spellStart"/>
      <w:r>
        <w:t>answer_BOILER_RC_OP</w:t>
      </w:r>
      <w:proofErr w:type="spellEnd"/>
      <w:r>
        <w:t xml:space="preserve"> </w:t>
      </w:r>
      <w:proofErr w:type="gramStart"/>
      <w:r>
        <w:t>As</w:t>
      </w:r>
      <w:proofErr w:type="gramEnd"/>
      <w:r>
        <w:t xml:space="preserve"> Range</w:t>
      </w:r>
    </w:p>
    <w:p w14:paraId="3FA1784A" w14:textId="77777777" w:rsidR="00A7521D" w:rsidRDefault="00A7521D" w:rsidP="00A7521D">
      <w:pPr>
        <w:pStyle w:val="NoSpacing"/>
      </w:pPr>
      <w:r>
        <w:t xml:space="preserve">Dim </w:t>
      </w:r>
      <w:proofErr w:type="spellStart"/>
      <w:r>
        <w:t>answer_CONDENSER_RC_TOT</w:t>
      </w:r>
      <w:proofErr w:type="spellEnd"/>
      <w:r>
        <w:t xml:space="preserve"> </w:t>
      </w:r>
      <w:proofErr w:type="gramStart"/>
      <w:r>
        <w:t>As</w:t>
      </w:r>
      <w:proofErr w:type="gramEnd"/>
      <w:r>
        <w:t xml:space="preserve"> Range</w:t>
      </w:r>
    </w:p>
    <w:p w14:paraId="3090959C" w14:textId="77777777" w:rsidR="00A7521D" w:rsidRDefault="00A7521D" w:rsidP="00A7521D">
      <w:pPr>
        <w:pStyle w:val="NoSpacing"/>
      </w:pPr>
      <w:r>
        <w:t xml:space="preserve">Dim </w:t>
      </w:r>
      <w:proofErr w:type="spellStart"/>
      <w:r>
        <w:t>answer_CONDENSER_RC_CAP</w:t>
      </w:r>
      <w:proofErr w:type="spellEnd"/>
      <w:r>
        <w:t xml:space="preserve"> </w:t>
      </w:r>
      <w:proofErr w:type="gramStart"/>
      <w:r>
        <w:t>As</w:t>
      </w:r>
      <w:proofErr w:type="gramEnd"/>
      <w:r>
        <w:t xml:space="preserve"> Range</w:t>
      </w:r>
    </w:p>
    <w:p w14:paraId="35C85CA3" w14:textId="77777777" w:rsidR="00A7521D" w:rsidRDefault="00A7521D" w:rsidP="00A7521D">
      <w:pPr>
        <w:pStyle w:val="NoSpacing"/>
      </w:pPr>
      <w:r>
        <w:t xml:space="preserve">Dim </w:t>
      </w:r>
      <w:proofErr w:type="spellStart"/>
      <w:r>
        <w:t>answer_CONDENSER_RC_OP</w:t>
      </w:r>
      <w:proofErr w:type="spellEnd"/>
      <w:r>
        <w:t xml:space="preserve"> </w:t>
      </w:r>
      <w:proofErr w:type="gramStart"/>
      <w:r>
        <w:t>As</w:t>
      </w:r>
      <w:proofErr w:type="gramEnd"/>
      <w:r>
        <w:t xml:space="preserve"> Range</w:t>
      </w:r>
    </w:p>
    <w:p w14:paraId="6296A052" w14:textId="77777777" w:rsidR="00A7521D" w:rsidRDefault="00A7521D" w:rsidP="00A7521D">
      <w:pPr>
        <w:pStyle w:val="NoSpacing"/>
      </w:pPr>
      <w:r>
        <w:t xml:space="preserve">Dim </w:t>
      </w:r>
      <w:proofErr w:type="spellStart"/>
      <w:r>
        <w:t>answer_HEX_ST_area</w:t>
      </w:r>
      <w:proofErr w:type="spellEnd"/>
      <w:r>
        <w:t xml:space="preserve"> As Range</w:t>
      </w:r>
    </w:p>
    <w:p w14:paraId="47915217" w14:textId="77777777" w:rsidR="00A7521D" w:rsidRDefault="00A7521D" w:rsidP="00A7521D">
      <w:pPr>
        <w:pStyle w:val="NoSpacing"/>
      </w:pPr>
      <w:r>
        <w:t xml:space="preserve">Dim </w:t>
      </w:r>
      <w:proofErr w:type="spellStart"/>
      <w:r>
        <w:t>answer_HEX_FT_area</w:t>
      </w:r>
      <w:proofErr w:type="spellEnd"/>
      <w:r>
        <w:t xml:space="preserve"> As Range</w:t>
      </w:r>
    </w:p>
    <w:p w14:paraId="2D071034" w14:textId="77777777" w:rsidR="00A7521D" w:rsidRDefault="00A7521D" w:rsidP="00A7521D">
      <w:pPr>
        <w:pStyle w:val="NoSpacing"/>
      </w:pPr>
      <w:r>
        <w:t xml:space="preserve">Dim </w:t>
      </w:r>
      <w:proofErr w:type="spellStart"/>
      <w:r>
        <w:t>answer_HEX_PL_area</w:t>
      </w:r>
      <w:proofErr w:type="spellEnd"/>
      <w:r>
        <w:t xml:space="preserve"> As Range</w:t>
      </w:r>
    </w:p>
    <w:p w14:paraId="03055830" w14:textId="77777777" w:rsidR="00A7521D" w:rsidRDefault="00A7521D" w:rsidP="00A7521D">
      <w:pPr>
        <w:pStyle w:val="NoSpacing"/>
      </w:pPr>
      <w:r>
        <w:t xml:space="preserve">Dim </w:t>
      </w:r>
      <w:proofErr w:type="spellStart"/>
      <w:r>
        <w:t>answer_HEX_DP_area</w:t>
      </w:r>
      <w:proofErr w:type="spellEnd"/>
      <w:r>
        <w:t xml:space="preserve"> As Range</w:t>
      </w:r>
    </w:p>
    <w:p w14:paraId="7F14CCE0" w14:textId="77777777" w:rsidR="00A7521D" w:rsidRDefault="00A7521D" w:rsidP="00A7521D">
      <w:pPr>
        <w:pStyle w:val="NoSpacing"/>
      </w:pPr>
      <w:r>
        <w:t xml:space="preserve">Dim </w:t>
      </w:r>
      <w:proofErr w:type="spellStart"/>
      <w:r>
        <w:t>answer_FIRED_area</w:t>
      </w:r>
      <w:proofErr w:type="spellEnd"/>
      <w:r>
        <w:t xml:space="preserve"> As Range</w:t>
      </w:r>
    </w:p>
    <w:p w14:paraId="5C04AA5B" w14:textId="77777777" w:rsidR="00A7521D" w:rsidRDefault="00A7521D" w:rsidP="00A7521D">
      <w:pPr>
        <w:pStyle w:val="NoSpacing"/>
      </w:pPr>
      <w:r>
        <w:t xml:space="preserve">Dim </w:t>
      </w:r>
      <w:proofErr w:type="spellStart"/>
      <w:r>
        <w:t>answer_TURBINE_ORC_work</w:t>
      </w:r>
      <w:proofErr w:type="spellEnd"/>
      <w:r>
        <w:t xml:space="preserve"> As Range</w:t>
      </w:r>
    </w:p>
    <w:p w14:paraId="3A085514" w14:textId="77777777" w:rsidR="00A7521D" w:rsidRDefault="00A7521D" w:rsidP="00A7521D">
      <w:pPr>
        <w:pStyle w:val="NoSpacing"/>
      </w:pPr>
      <w:r>
        <w:t xml:space="preserve">Dim </w:t>
      </w:r>
      <w:proofErr w:type="spellStart"/>
      <w:r>
        <w:t>answer_PUMP_ORC_losses</w:t>
      </w:r>
      <w:proofErr w:type="spellEnd"/>
      <w:r>
        <w:t xml:space="preserve"> As Range</w:t>
      </w:r>
    </w:p>
    <w:p w14:paraId="6CB4A8F2" w14:textId="77777777" w:rsidR="00A7521D" w:rsidRDefault="00A7521D" w:rsidP="00A7521D">
      <w:pPr>
        <w:pStyle w:val="NoSpacing"/>
      </w:pPr>
      <w:r>
        <w:t xml:space="preserve">Dim </w:t>
      </w:r>
      <w:proofErr w:type="spellStart"/>
      <w:r>
        <w:t>answer_BOILER_ORC_area</w:t>
      </w:r>
      <w:proofErr w:type="spellEnd"/>
      <w:r>
        <w:t xml:space="preserve"> As Range</w:t>
      </w:r>
    </w:p>
    <w:p w14:paraId="69C22D18" w14:textId="77777777" w:rsidR="00A7521D" w:rsidRDefault="00A7521D" w:rsidP="00A7521D">
      <w:pPr>
        <w:pStyle w:val="NoSpacing"/>
      </w:pPr>
      <w:r>
        <w:t xml:space="preserve">Dim </w:t>
      </w:r>
      <w:proofErr w:type="spellStart"/>
      <w:r>
        <w:t>answer_CONDENSER_ORC_area</w:t>
      </w:r>
      <w:proofErr w:type="spellEnd"/>
      <w:r>
        <w:t xml:space="preserve"> As Range</w:t>
      </w:r>
    </w:p>
    <w:p w14:paraId="5948E22F" w14:textId="77777777" w:rsidR="00A7521D" w:rsidRDefault="00A7521D" w:rsidP="00A7521D">
      <w:pPr>
        <w:pStyle w:val="NoSpacing"/>
      </w:pPr>
      <w:r>
        <w:t xml:space="preserve">Dim </w:t>
      </w:r>
      <w:proofErr w:type="spellStart"/>
      <w:r>
        <w:t>answer_TURBINE_RC_work</w:t>
      </w:r>
      <w:proofErr w:type="spellEnd"/>
      <w:r>
        <w:t xml:space="preserve"> As Range</w:t>
      </w:r>
    </w:p>
    <w:p w14:paraId="5C1A1790" w14:textId="77777777" w:rsidR="00A7521D" w:rsidRDefault="00A7521D" w:rsidP="00A7521D">
      <w:pPr>
        <w:pStyle w:val="NoSpacing"/>
      </w:pPr>
      <w:r>
        <w:t xml:space="preserve">Dim </w:t>
      </w:r>
      <w:proofErr w:type="spellStart"/>
      <w:r>
        <w:t>answer_PUMP_RC_losses</w:t>
      </w:r>
      <w:proofErr w:type="spellEnd"/>
      <w:r>
        <w:t xml:space="preserve"> As Range</w:t>
      </w:r>
    </w:p>
    <w:p w14:paraId="7006DE21" w14:textId="77777777" w:rsidR="00A7521D" w:rsidRDefault="00A7521D" w:rsidP="00A7521D">
      <w:pPr>
        <w:pStyle w:val="NoSpacing"/>
      </w:pPr>
      <w:r>
        <w:t xml:space="preserve">Dim </w:t>
      </w:r>
      <w:proofErr w:type="spellStart"/>
      <w:r>
        <w:t>answer_BOILER_RC_area</w:t>
      </w:r>
      <w:proofErr w:type="spellEnd"/>
      <w:r>
        <w:t xml:space="preserve"> As Range</w:t>
      </w:r>
    </w:p>
    <w:p w14:paraId="52848AA1" w14:textId="77777777" w:rsidR="00A7521D" w:rsidRDefault="00A7521D" w:rsidP="00A7521D">
      <w:pPr>
        <w:pStyle w:val="NoSpacing"/>
      </w:pPr>
      <w:r>
        <w:t xml:space="preserve">Dim </w:t>
      </w:r>
      <w:proofErr w:type="spellStart"/>
      <w:r>
        <w:t>answer_CONDENSER_RC_area</w:t>
      </w:r>
      <w:proofErr w:type="spellEnd"/>
      <w:r>
        <w:t xml:space="preserve"> As Range</w:t>
      </w:r>
    </w:p>
    <w:p w14:paraId="41C71908" w14:textId="77777777" w:rsidR="00A7521D" w:rsidRDefault="00A7521D" w:rsidP="00A7521D">
      <w:pPr>
        <w:pStyle w:val="NoSpacing"/>
      </w:pPr>
    </w:p>
    <w:p w14:paraId="0E1819E2" w14:textId="77777777" w:rsidR="00A7521D" w:rsidRDefault="00A7521D" w:rsidP="00A7521D">
      <w:pPr>
        <w:pStyle w:val="NoSpacing"/>
      </w:pPr>
      <w:r>
        <w:t xml:space="preserve">Dim </w:t>
      </w:r>
      <w:proofErr w:type="spellStart"/>
      <w:r>
        <w:t>i</w:t>
      </w:r>
      <w:proofErr w:type="spellEnd"/>
      <w:r>
        <w:t xml:space="preserve"> As Integer</w:t>
      </w:r>
    </w:p>
    <w:p w14:paraId="4DA59BA3" w14:textId="77777777" w:rsidR="00A7521D" w:rsidRDefault="00A7521D" w:rsidP="00A7521D">
      <w:pPr>
        <w:pStyle w:val="NoSpacing"/>
      </w:pPr>
    </w:p>
    <w:p w14:paraId="6550A051" w14:textId="77777777" w:rsidR="00A7521D" w:rsidRDefault="00A7521D" w:rsidP="00A7521D">
      <w:pPr>
        <w:pStyle w:val="NoSpacing"/>
      </w:pPr>
      <w:r>
        <w:t>Set output = Worksheets(1).Range("E4:E1004")</w:t>
      </w:r>
    </w:p>
    <w:p w14:paraId="6123370A" w14:textId="77777777" w:rsidR="00A7521D" w:rsidRDefault="00A7521D" w:rsidP="00A7521D">
      <w:pPr>
        <w:pStyle w:val="NoSpacing"/>
      </w:pPr>
      <w:r>
        <w:t xml:space="preserve">Set </w:t>
      </w:r>
      <w:proofErr w:type="spellStart"/>
      <w:r>
        <w:t>answer_HEX_ST_TOT</w:t>
      </w:r>
      <w:proofErr w:type="spellEnd"/>
      <w:r>
        <w:t xml:space="preserve"> = Worksheets(1).Range("f4:f1004")</w:t>
      </w:r>
    </w:p>
    <w:p w14:paraId="1F035EE4" w14:textId="77777777" w:rsidR="00A7521D" w:rsidRDefault="00A7521D" w:rsidP="00A7521D">
      <w:pPr>
        <w:pStyle w:val="NoSpacing"/>
      </w:pPr>
      <w:r>
        <w:t xml:space="preserve">Set </w:t>
      </w:r>
      <w:proofErr w:type="spellStart"/>
      <w:r>
        <w:t>answer_HEX_ST_CAP</w:t>
      </w:r>
      <w:proofErr w:type="spellEnd"/>
      <w:r>
        <w:t xml:space="preserve"> = Worksheets(1).Range("G4:G1004")</w:t>
      </w:r>
    </w:p>
    <w:p w14:paraId="5F5C05A7" w14:textId="77777777" w:rsidR="00A7521D" w:rsidRDefault="00A7521D" w:rsidP="00A7521D">
      <w:pPr>
        <w:pStyle w:val="NoSpacing"/>
      </w:pPr>
      <w:r>
        <w:t xml:space="preserve">Set </w:t>
      </w:r>
      <w:proofErr w:type="spellStart"/>
      <w:r>
        <w:t>answer_HEX_ST_OP</w:t>
      </w:r>
      <w:proofErr w:type="spellEnd"/>
      <w:r>
        <w:t xml:space="preserve"> = Worksheets(1).Range("H4:H1004")</w:t>
      </w:r>
    </w:p>
    <w:p w14:paraId="6851B3AE" w14:textId="77777777" w:rsidR="00A7521D" w:rsidRDefault="00A7521D" w:rsidP="00A7521D">
      <w:pPr>
        <w:pStyle w:val="NoSpacing"/>
      </w:pPr>
      <w:r>
        <w:t xml:space="preserve">Set </w:t>
      </w:r>
      <w:proofErr w:type="spellStart"/>
      <w:r>
        <w:t>answer_HEX_FT_TOT</w:t>
      </w:r>
      <w:proofErr w:type="spellEnd"/>
      <w:r>
        <w:t xml:space="preserve"> = Worksheets(1).Range("I4:I1004")</w:t>
      </w:r>
    </w:p>
    <w:p w14:paraId="2166F626" w14:textId="77777777" w:rsidR="00A7521D" w:rsidRDefault="00A7521D" w:rsidP="00A7521D">
      <w:pPr>
        <w:pStyle w:val="NoSpacing"/>
      </w:pPr>
      <w:r>
        <w:t xml:space="preserve">Set </w:t>
      </w:r>
      <w:proofErr w:type="spellStart"/>
      <w:r>
        <w:t>answer_HEX_FT_CAP</w:t>
      </w:r>
      <w:proofErr w:type="spellEnd"/>
      <w:r>
        <w:t xml:space="preserve"> = Worksheets(1).Range("J4:J1004")</w:t>
      </w:r>
    </w:p>
    <w:p w14:paraId="05FDE4C7" w14:textId="77777777" w:rsidR="00A7521D" w:rsidRDefault="00A7521D" w:rsidP="00A7521D">
      <w:pPr>
        <w:pStyle w:val="NoSpacing"/>
      </w:pPr>
      <w:r>
        <w:t xml:space="preserve">Set </w:t>
      </w:r>
      <w:proofErr w:type="spellStart"/>
      <w:r>
        <w:t>answer_HEX_FT_OP</w:t>
      </w:r>
      <w:proofErr w:type="spellEnd"/>
      <w:r>
        <w:t xml:space="preserve"> = Worksheets(1).Range("K4:K1004")</w:t>
      </w:r>
    </w:p>
    <w:p w14:paraId="783E5904" w14:textId="77777777" w:rsidR="00A7521D" w:rsidRDefault="00A7521D" w:rsidP="00A7521D">
      <w:pPr>
        <w:pStyle w:val="NoSpacing"/>
      </w:pPr>
      <w:r>
        <w:t xml:space="preserve">Set </w:t>
      </w:r>
      <w:proofErr w:type="spellStart"/>
      <w:r>
        <w:t>answer_HEX_PL_TOT</w:t>
      </w:r>
      <w:proofErr w:type="spellEnd"/>
      <w:r>
        <w:t xml:space="preserve"> = Worksheets(1).Range("L4:L1004")</w:t>
      </w:r>
    </w:p>
    <w:p w14:paraId="0AE9ED89" w14:textId="77777777" w:rsidR="00A7521D" w:rsidRDefault="00A7521D" w:rsidP="00A7521D">
      <w:pPr>
        <w:pStyle w:val="NoSpacing"/>
      </w:pPr>
      <w:r>
        <w:t xml:space="preserve">Set </w:t>
      </w:r>
      <w:proofErr w:type="spellStart"/>
      <w:r>
        <w:t>answer_HEX_PL_CAP</w:t>
      </w:r>
      <w:proofErr w:type="spellEnd"/>
      <w:r>
        <w:t xml:space="preserve"> = Worksheets(1).Range("M4:M1004")</w:t>
      </w:r>
    </w:p>
    <w:p w14:paraId="4B4A56A5" w14:textId="77777777" w:rsidR="00A7521D" w:rsidRDefault="00A7521D" w:rsidP="00A7521D">
      <w:pPr>
        <w:pStyle w:val="NoSpacing"/>
      </w:pPr>
      <w:r>
        <w:t xml:space="preserve">Set </w:t>
      </w:r>
      <w:proofErr w:type="spellStart"/>
      <w:r>
        <w:t>answer_HEX_PL_OP</w:t>
      </w:r>
      <w:proofErr w:type="spellEnd"/>
      <w:r>
        <w:t xml:space="preserve"> = Worksheets(1).Range("N4:N1004")</w:t>
      </w:r>
    </w:p>
    <w:p w14:paraId="7DEAC26B" w14:textId="77777777" w:rsidR="00A7521D" w:rsidRDefault="00A7521D" w:rsidP="00A7521D">
      <w:pPr>
        <w:pStyle w:val="NoSpacing"/>
      </w:pPr>
      <w:r>
        <w:t xml:space="preserve">Set </w:t>
      </w:r>
      <w:proofErr w:type="spellStart"/>
      <w:r>
        <w:t>answer_HEX_DP_TOT</w:t>
      </w:r>
      <w:proofErr w:type="spellEnd"/>
      <w:r>
        <w:t xml:space="preserve"> = Worksheets(1).Range("O4:O1004")</w:t>
      </w:r>
    </w:p>
    <w:p w14:paraId="323171D7" w14:textId="77777777" w:rsidR="00A7521D" w:rsidRDefault="00A7521D" w:rsidP="00A7521D">
      <w:pPr>
        <w:pStyle w:val="NoSpacing"/>
      </w:pPr>
      <w:r>
        <w:t xml:space="preserve">Set </w:t>
      </w:r>
      <w:proofErr w:type="spellStart"/>
      <w:r>
        <w:t>answer_HEX_DP_CAP</w:t>
      </w:r>
      <w:proofErr w:type="spellEnd"/>
      <w:r>
        <w:t xml:space="preserve"> = Worksheets(1).Range("P4:P1004")</w:t>
      </w:r>
    </w:p>
    <w:p w14:paraId="2DE91F65" w14:textId="77777777" w:rsidR="00A7521D" w:rsidRDefault="00A7521D" w:rsidP="00A7521D">
      <w:pPr>
        <w:pStyle w:val="NoSpacing"/>
      </w:pPr>
      <w:r>
        <w:t xml:space="preserve">Set </w:t>
      </w:r>
      <w:proofErr w:type="spellStart"/>
      <w:r>
        <w:t>answer_HEX_DP_OP</w:t>
      </w:r>
      <w:proofErr w:type="spellEnd"/>
      <w:r>
        <w:t xml:space="preserve"> = Worksheets(1).Range("Q4:Q1004")</w:t>
      </w:r>
    </w:p>
    <w:p w14:paraId="63663ACF" w14:textId="77777777" w:rsidR="00A7521D" w:rsidRDefault="00A7521D" w:rsidP="00A7521D">
      <w:pPr>
        <w:pStyle w:val="NoSpacing"/>
      </w:pPr>
      <w:r>
        <w:t xml:space="preserve">Set </w:t>
      </w:r>
      <w:proofErr w:type="spellStart"/>
      <w:r>
        <w:t>answer_FIRED_TOT</w:t>
      </w:r>
      <w:proofErr w:type="spellEnd"/>
      <w:r>
        <w:t xml:space="preserve"> = Worksheets(1).Range("R4:R1004")</w:t>
      </w:r>
    </w:p>
    <w:p w14:paraId="63EAFE39" w14:textId="77777777" w:rsidR="00A7521D" w:rsidRDefault="00A7521D" w:rsidP="00A7521D">
      <w:pPr>
        <w:pStyle w:val="NoSpacing"/>
      </w:pPr>
      <w:r>
        <w:t xml:space="preserve">Set </w:t>
      </w:r>
      <w:proofErr w:type="spellStart"/>
      <w:r>
        <w:t>answer_FIRED_CAP</w:t>
      </w:r>
      <w:proofErr w:type="spellEnd"/>
      <w:r>
        <w:t xml:space="preserve"> = Worksheets(1).Range("S4:S1004")</w:t>
      </w:r>
    </w:p>
    <w:p w14:paraId="4927C78B" w14:textId="77777777" w:rsidR="00A7521D" w:rsidRDefault="00A7521D" w:rsidP="00A7521D">
      <w:pPr>
        <w:pStyle w:val="NoSpacing"/>
      </w:pPr>
      <w:r>
        <w:t xml:space="preserve">Set </w:t>
      </w:r>
      <w:proofErr w:type="spellStart"/>
      <w:r>
        <w:t>answer_FIRED_OP</w:t>
      </w:r>
      <w:proofErr w:type="spellEnd"/>
      <w:r>
        <w:t xml:space="preserve"> = Worksheets(1).Range("T4:T1004")</w:t>
      </w:r>
    </w:p>
    <w:p w14:paraId="161EFC7C" w14:textId="77777777" w:rsidR="00A7521D" w:rsidRDefault="00A7521D" w:rsidP="00A7521D">
      <w:pPr>
        <w:pStyle w:val="NoSpacing"/>
      </w:pPr>
      <w:r>
        <w:t xml:space="preserve">Set </w:t>
      </w:r>
      <w:proofErr w:type="spellStart"/>
      <w:r>
        <w:t>answer_ORC_TOT</w:t>
      </w:r>
      <w:proofErr w:type="spellEnd"/>
      <w:r>
        <w:t xml:space="preserve"> = Worksheets(1).Range("U4:U1004")</w:t>
      </w:r>
    </w:p>
    <w:p w14:paraId="3DC8E47C" w14:textId="77777777" w:rsidR="00A7521D" w:rsidRDefault="00A7521D" w:rsidP="00A7521D">
      <w:pPr>
        <w:pStyle w:val="NoSpacing"/>
      </w:pPr>
      <w:r>
        <w:t xml:space="preserve">Set </w:t>
      </w:r>
      <w:proofErr w:type="spellStart"/>
      <w:r>
        <w:t>answer_ORC_CAP</w:t>
      </w:r>
      <w:proofErr w:type="spellEnd"/>
      <w:r>
        <w:t xml:space="preserve"> = Worksheets(1).Range("V4:V1004")</w:t>
      </w:r>
    </w:p>
    <w:p w14:paraId="5EF22ECE" w14:textId="77777777" w:rsidR="00A7521D" w:rsidRDefault="00A7521D" w:rsidP="00A7521D">
      <w:pPr>
        <w:pStyle w:val="NoSpacing"/>
      </w:pPr>
      <w:r>
        <w:t xml:space="preserve">Set </w:t>
      </w:r>
      <w:proofErr w:type="spellStart"/>
      <w:r>
        <w:t>answer_ORC_OP</w:t>
      </w:r>
      <w:proofErr w:type="spellEnd"/>
      <w:r>
        <w:t xml:space="preserve"> = Worksheets(1).Range("W4:W1004")</w:t>
      </w:r>
    </w:p>
    <w:p w14:paraId="0BFA72CD" w14:textId="77777777" w:rsidR="00A7521D" w:rsidRDefault="00A7521D" w:rsidP="00A7521D">
      <w:pPr>
        <w:pStyle w:val="NoSpacing"/>
      </w:pPr>
      <w:r>
        <w:t xml:space="preserve">Set </w:t>
      </w:r>
      <w:proofErr w:type="spellStart"/>
      <w:r>
        <w:t>answer_TURBINE_ORC_TOT</w:t>
      </w:r>
      <w:proofErr w:type="spellEnd"/>
      <w:r>
        <w:t xml:space="preserve"> = Worksheets(1).Range("X4:X1004")</w:t>
      </w:r>
    </w:p>
    <w:p w14:paraId="2212CD69" w14:textId="77777777" w:rsidR="00A7521D" w:rsidRDefault="00A7521D" w:rsidP="00A7521D">
      <w:pPr>
        <w:pStyle w:val="NoSpacing"/>
      </w:pPr>
      <w:r>
        <w:t xml:space="preserve">Set </w:t>
      </w:r>
      <w:proofErr w:type="spellStart"/>
      <w:r>
        <w:t>answer_TURBINE_ORC_CAP</w:t>
      </w:r>
      <w:proofErr w:type="spellEnd"/>
      <w:r>
        <w:t xml:space="preserve"> = Worksheets(1).Range("Y4:Y1004")</w:t>
      </w:r>
    </w:p>
    <w:p w14:paraId="465EEBB1" w14:textId="77777777" w:rsidR="00A7521D" w:rsidRDefault="00A7521D" w:rsidP="00A7521D">
      <w:pPr>
        <w:pStyle w:val="NoSpacing"/>
      </w:pPr>
      <w:r>
        <w:t xml:space="preserve">Set </w:t>
      </w:r>
      <w:proofErr w:type="spellStart"/>
      <w:r>
        <w:t>answer_TURBINE_ORC_OP</w:t>
      </w:r>
      <w:proofErr w:type="spellEnd"/>
      <w:r>
        <w:t xml:space="preserve"> = Worksheets(1).Range("Z4:Z1004")</w:t>
      </w:r>
    </w:p>
    <w:p w14:paraId="4284C822" w14:textId="77777777" w:rsidR="00A7521D" w:rsidRDefault="00A7521D" w:rsidP="00A7521D">
      <w:pPr>
        <w:pStyle w:val="NoSpacing"/>
      </w:pPr>
      <w:r>
        <w:t xml:space="preserve">Set </w:t>
      </w:r>
      <w:proofErr w:type="spellStart"/>
      <w:r>
        <w:t>answer_PUMP_ORC_TOT</w:t>
      </w:r>
      <w:proofErr w:type="spellEnd"/>
      <w:r>
        <w:t xml:space="preserve"> = Worksheets(1).Range("AA4:AA1004")</w:t>
      </w:r>
    </w:p>
    <w:p w14:paraId="7AFE8A3A" w14:textId="77777777" w:rsidR="00A7521D" w:rsidRDefault="00A7521D" w:rsidP="00A7521D">
      <w:pPr>
        <w:pStyle w:val="NoSpacing"/>
      </w:pPr>
      <w:r>
        <w:t xml:space="preserve">Set </w:t>
      </w:r>
      <w:proofErr w:type="spellStart"/>
      <w:r>
        <w:t>answer_PUMP_ORC_CAP</w:t>
      </w:r>
      <w:proofErr w:type="spellEnd"/>
      <w:r>
        <w:t xml:space="preserve"> = Worksheets(1).Range("AB4:AB1004")</w:t>
      </w:r>
    </w:p>
    <w:p w14:paraId="1209D706" w14:textId="77777777" w:rsidR="00A7521D" w:rsidRDefault="00A7521D" w:rsidP="00A7521D">
      <w:pPr>
        <w:pStyle w:val="NoSpacing"/>
      </w:pPr>
      <w:r>
        <w:t xml:space="preserve">Set </w:t>
      </w:r>
      <w:proofErr w:type="spellStart"/>
      <w:r>
        <w:t>answer_PUMP_ORC_OP</w:t>
      </w:r>
      <w:proofErr w:type="spellEnd"/>
      <w:r>
        <w:t xml:space="preserve"> = Worksheets(1).Range("AC4:AC1004")</w:t>
      </w:r>
    </w:p>
    <w:p w14:paraId="1E8AAFB6" w14:textId="77777777" w:rsidR="00A7521D" w:rsidRDefault="00A7521D" w:rsidP="00A7521D">
      <w:pPr>
        <w:pStyle w:val="NoSpacing"/>
      </w:pPr>
      <w:r>
        <w:t xml:space="preserve">Set </w:t>
      </w:r>
      <w:proofErr w:type="spellStart"/>
      <w:r>
        <w:t>answer_BOILER_ORC_TOT</w:t>
      </w:r>
      <w:proofErr w:type="spellEnd"/>
      <w:r>
        <w:t xml:space="preserve"> = Worksheets(1).Range("AD4:AD1004")</w:t>
      </w:r>
    </w:p>
    <w:p w14:paraId="4983AB3D" w14:textId="77777777" w:rsidR="00A7521D" w:rsidRDefault="00A7521D" w:rsidP="00A7521D">
      <w:pPr>
        <w:pStyle w:val="NoSpacing"/>
      </w:pPr>
      <w:r>
        <w:t xml:space="preserve">Set </w:t>
      </w:r>
      <w:proofErr w:type="spellStart"/>
      <w:r>
        <w:t>answer_BOILER_ORC_CAP</w:t>
      </w:r>
      <w:proofErr w:type="spellEnd"/>
      <w:r>
        <w:t xml:space="preserve"> = Worksheets(1).Range("AE4:AE1004")</w:t>
      </w:r>
    </w:p>
    <w:p w14:paraId="5B4D1FFF" w14:textId="77777777" w:rsidR="00A7521D" w:rsidRDefault="00A7521D" w:rsidP="00A7521D">
      <w:pPr>
        <w:pStyle w:val="NoSpacing"/>
      </w:pPr>
      <w:r>
        <w:lastRenderedPageBreak/>
        <w:t xml:space="preserve">Set </w:t>
      </w:r>
      <w:proofErr w:type="spellStart"/>
      <w:r>
        <w:t>answer_BOILER_ORC_OP</w:t>
      </w:r>
      <w:proofErr w:type="spellEnd"/>
      <w:r>
        <w:t xml:space="preserve"> = Worksheets(1).Range("AF4:AF1004")</w:t>
      </w:r>
    </w:p>
    <w:p w14:paraId="38D15580" w14:textId="77777777" w:rsidR="00A7521D" w:rsidRDefault="00A7521D" w:rsidP="00A7521D">
      <w:pPr>
        <w:pStyle w:val="NoSpacing"/>
      </w:pPr>
      <w:r>
        <w:t xml:space="preserve">Set </w:t>
      </w:r>
      <w:proofErr w:type="spellStart"/>
      <w:r>
        <w:t>answer_CONDENSER_ORC_TOT</w:t>
      </w:r>
      <w:proofErr w:type="spellEnd"/>
      <w:r>
        <w:t xml:space="preserve"> = Worksheets(1).Range("AG4:AG1004")</w:t>
      </w:r>
    </w:p>
    <w:p w14:paraId="51C9DD80" w14:textId="77777777" w:rsidR="00A7521D" w:rsidRDefault="00A7521D" w:rsidP="00A7521D">
      <w:pPr>
        <w:pStyle w:val="NoSpacing"/>
      </w:pPr>
      <w:r>
        <w:t xml:space="preserve">Set </w:t>
      </w:r>
      <w:proofErr w:type="spellStart"/>
      <w:r>
        <w:t>answer_CONDENSER_ORC_CAP</w:t>
      </w:r>
      <w:proofErr w:type="spellEnd"/>
      <w:r>
        <w:t xml:space="preserve"> = Worksheets(1).Range("AH4:AH1004")</w:t>
      </w:r>
    </w:p>
    <w:p w14:paraId="484354B6" w14:textId="77777777" w:rsidR="00A7521D" w:rsidRDefault="00A7521D" w:rsidP="00A7521D">
      <w:pPr>
        <w:pStyle w:val="NoSpacing"/>
      </w:pPr>
      <w:r>
        <w:t xml:space="preserve">Set </w:t>
      </w:r>
      <w:proofErr w:type="spellStart"/>
      <w:r>
        <w:t>answer_CONDENSER_ORC_OP</w:t>
      </w:r>
      <w:proofErr w:type="spellEnd"/>
      <w:r>
        <w:t xml:space="preserve"> = Worksheets(1).Range("AI4:AI1004")</w:t>
      </w:r>
    </w:p>
    <w:p w14:paraId="5A15A275" w14:textId="77777777" w:rsidR="00A7521D" w:rsidRDefault="00A7521D" w:rsidP="00A7521D">
      <w:pPr>
        <w:pStyle w:val="NoSpacing"/>
      </w:pPr>
      <w:r>
        <w:t xml:space="preserve">Set </w:t>
      </w:r>
      <w:proofErr w:type="spellStart"/>
      <w:r>
        <w:t>answer_RC_TOT</w:t>
      </w:r>
      <w:proofErr w:type="spellEnd"/>
      <w:r>
        <w:t xml:space="preserve"> = Worksheets(1).Range("AJ4:AJ1004")</w:t>
      </w:r>
    </w:p>
    <w:p w14:paraId="0B064244" w14:textId="77777777" w:rsidR="00A7521D" w:rsidRDefault="00A7521D" w:rsidP="00A7521D">
      <w:pPr>
        <w:pStyle w:val="NoSpacing"/>
      </w:pPr>
      <w:r>
        <w:t xml:space="preserve">Set </w:t>
      </w:r>
      <w:proofErr w:type="spellStart"/>
      <w:r>
        <w:t>answer_RC_CAP</w:t>
      </w:r>
      <w:proofErr w:type="spellEnd"/>
      <w:r>
        <w:t xml:space="preserve"> = Worksheets(1).Range("AK4:AK1004")</w:t>
      </w:r>
    </w:p>
    <w:p w14:paraId="0A28E36D" w14:textId="77777777" w:rsidR="00A7521D" w:rsidRDefault="00A7521D" w:rsidP="00A7521D">
      <w:pPr>
        <w:pStyle w:val="NoSpacing"/>
      </w:pPr>
      <w:r>
        <w:t xml:space="preserve">Set </w:t>
      </w:r>
      <w:proofErr w:type="spellStart"/>
      <w:r>
        <w:t>answer_RC_OP</w:t>
      </w:r>
      <w:proofErr w:type="spellEnd"/>
      <w:r>
        <w:t xml:space="preserve"> = Worksheets(1).Range("AL4:AL1004")</w:t>
      </w:r>
    </w:p>
    <w:p w14:paraId="5DA99354" w14:textId="77777777" w:rsidR="00A7521D" w:rsidRDefault="00A7521D" w:rsidP="00A7521D">
      <w:pPr>
        <w:pStyle w:val="NoSpacing"/>
      </w:pPr>
      <w:r>
        <w:t xml:space="preserve">Set </w:t>
      </w:r>
      <w:proofErr w:type="spellStart"/>
      <w:r>
        <w:t>answer_TURBINE_RC_TOT</w:t>
      </w:r>
      <w:proofErr w:type="spellEnd"/>
      <w:r>
        <w:t xml:space="preserve"> = Worksheets(1).Range("AM4:AM1004")</w:t>
      </w:r>
    </w:p>
    <w:p w14:paraId="4D85E956" w14:textId="77777777" w:rsidR="00A7521D" w:rsidRDefault="00A7521D" w:rsidP="00A7521D">
      <w:pPr>
        <w:pStyle w:val="NoSpacing"/>
      </w:pPr>
      <w:r>
        <w:t xml:space="preserve">Set </w:t>
      </w:r>
      <w:proofErr w:type="spellStart"/>
      <w:r>
        <w:t>answer_TURBINE_RC_CAP</w:t>
      </w:r>
      <w:proofErr w:type="spellEnd"/>
      <w:r>
        <w:t xml:space="preserve"> = Worksheets(1).Range("AN4:AN1004")</w:t>
      </w:r>
    </w:p>
    <w:p w14:paraId="255570B2" w14:textId="77777777" w:rsidR="00A7521D" w:rsidRDefault="00A7521D" w:rsidP="00A7521D">
      <w:pPr>
        <w:pStyle w:val="NoSpacing"/>
      </w:pPr>
      <w:r>
        <w:t xml:space="preserve">Set </w:t>
      </w:r>
      <w:proofErr w:type="spellStart"/>
      <w:r>
        <w:t>answer_TURBINE_RC_OP</w:t>
      </w:r>
      <w:proofErr w:type="spellEnd"/>
      <w:r>
        <w:t xml:space="preserve"> = Worksheets(1).Range("AO4:AO1004")</w:t>
      </w:r>
    </w:p>
    <w:p w14:paraId="59D11815" w14:textId="77777777" w:rsidR="00A7521D" w:rsidRDefault="00A7521D" w:rsidP="00A7521D">
      <w:pPr>
        <w:pStyle w:val="NoSpacing"/>
      </w:pPr>
      <w:r>
        <w:t xml:space="preserve">Set </w:t>
      </w:r>
      <w:proofErr w:type="spellStart"/>
      <w:r>
        <w:t>answer_PUMP_RC_TOT</w:t>
      </w:r>
      <w:proofErr w:type="spellEnd"/>
      <w:r>
        <w:t xml:space="preserve"> = Worksheets(1).Range("AP4:AP1004")</w:t>
      </w:r>
    </w:p>
    <w:p w14:paraId="4595B90B" w14:textId="77777777" w:rsidR="00A7521D" w:rsidRDefault="00A7521D" w:rsidP="00A7521D">
      <w:pPr>
        <w:pStyle w:val="NoSpacing"/>
      </w:pPr>
      <w:r>
        <w:t xml:space="preserve">Set </w:t>
      </w:r>
      <w:proofErr w:type="spellStart"/>
      <w:r>
        <w:t>answer_PUMP_RC_CAP</w:t>
      </w:r>
      <w:proofErr w:type="spellEnd"/>
      <w:r>
        <w:t xml:space="preserve"> = Worksheets(1).Range("AQ4:AQ1004")</w:t>
      </w:r>
    </w:p>
    <w:p w14:paraId="1BE8A58D" w14:textId="77777777" w:rsidR="00A7521D" w:rsidRDefault="00A7521D" w:rsidP="00A7521D">
      <w:pPr>
        <w:pStyle w:val="NoSpacing"/>
      </w:pPr>
      <w:r>
        <w:t xml:space="preserve">Set </w:t>
      </w:r>
      <w:proofErr w:type="spellStart"/>
      <w:r>
        <w:t>answer_PUMP_RC_OP</w:t>
      </w:r>
      <w:proofErr w:type="spellEnd"/>
      <w:r>
        <w:t xml:space="preserve"> = Worksheets(1).Range("AR4:AR1004")</w:t>
      </w:r>
    </w:p>
    <w:p w14:paraId="4723E1CC" w14:textId="77777777" w:rsidR="00A7521D" w:rsidRDefault="00A7521D" w:rsidP="00A7521D">
      <w:pPr>
        <w:pStyle w:val="NoSpacing"/>
      </w:pPr>
      <w:r>
        <w:t xml:space="preserve">Set </w:t>
      </w:r>
      <w:proofErr w:type="spellStart"/>
      <w:r>
        <w:t>answer_BOILER_RC_TOT</w:t>
      </w:r>
      <w:proofErr w:type="spellEnd"/>
      <w:r>
        <w:t xml:space="preserve"> = Worksheets(1).Range("AS4:AS1004")</w:t>
      </w:r>
    </w:p>
    <w:p w14:paraId="469A2534" w14:textId="77777777" w:rsidR="00A7521D" w:rsidRDefault="00A7521D" w:rsidP="00A7521D">
      <w:pPr>
        <w:pStyle w:val="NoSpacing"/>
      </w:pPr>
      <w:r>
        <w:t xml:space="preserve">Set </w:t>
      </w:r>
      <w:proofErr w:type="spellStart"/>
      <w:r>
        <w:t>answer_BOILER_RC_CAP</w:t>
      </w:r>
      <w:proofErr w:type="spellEnd"/>
      <w:r>
        <w:t xml:space="preserve"> = Worksheets(1).Range("AT4:AT1004")</w:t>
      </w:r>
    </w:p>
    <w:p w14:paraId="22920A6B" w14:textId="77777777" w:rsidR="00A7521D" w:rsidRDefault="00A7521D" w:rsidP="00A7521D">
      <w:pPr>
        <w:pStyle w:val="NoSpacing"/>
      </w:pPr>
      <w:r>
        <w:t xml:space="preserve">Set </w:t>
      </w:r>
      <w:proofErr w:type="spellStart"/>
      <w:r>
        <w:t>answer_BOILER_RC_OP</w:t>
      </w:r>
      <w:proofErr w:type="spellEnd"/>
      <w:r>
        <w:t xml:space="preserve"> = Worksheets(1).Range("AU4:AU1004")</w:t>
      </w:r>
    </w:p>
    <w:p w14:paraId="57A66C22" w14:textId="77777777" w:rsidR="00A7521D" w:rsidRDefault="00A7521D" w:rsidP="00A7521D">
      <w:pPr>
        <w:pStyle w:val="NoSpacing"/>
      </w:pPr>
      <w:r>
        <w:t xml:space="preserve">Set </w:t>
      </w:r>
      <w:proofErr w:type="spellStart"/>
      <w:r>
        <w:t>answer_CONDENSER_RC_TOT</w:t>
      </w:r>
      <w:proofErr w:type="spellEnd"/>
      <w:r>
        <w:t xml:space="preserve"> = Worksheets(1).Range("AV4:AV1004")</w:t>
      </w:r>
    </w:p>
    <w:p w14:paraId="268F3636" w14:textId="77777777" w:rsidR="00A7521D" w:rsidRDefault="00A7521D" w:rsidP="00A7521D">
      <w:pPr>
        <w:pStyle w:val="NoSpacing"/>
      </w:pPr>
      <w:r>
        <w:t xml:space="preserve">Set </w:t>
      </w:r>
      <w:proofErr w:type="spellStart"/>
      <w:r>
        <w:t>answer_CONDENSER_RC_CAP</w:t>
      </w:r>
      <w:proofErr w:type="spellEnd"/>
      <w:r>
        <w:t xml:space="preserve"> = Worksheets(1).Range("AW4:AW1004")</w:t>
      </w:r>
    </w:p>
    <w:p w14:paraId="5F1F71A2" w14:textId="77777777" w:rsidR="00A7521D" w:rsidRDefault="00A7521D" w:rsidP="00A7521D">
      <w:pPr>
        <w:pStyle w:val="NoSpacing"/>
      </w:pPr>
      <w:r>
        <w:t xml:space="preserve">Set </w:t>
      </w:r>
      <w:proofErr w:type="spellStart"/>
      <w:r>
        <w:t>answer_CONDENSER_RC_OP</w:t>
      </w:r>
      <w:proofErr w:type="spellEnd"/>
      <w:r>
        <w:t xml:space="preserve"> = Worksheets(1).Range("AX4:AX1004")</w:t>
      </w:r>
    </w:p>
    <w:p w14:paraId="545740A6" w14:textId="77777777" w:rsidR="00A7521D" w:rsidRDefault="00A7521D" w:rsidP="00A7521D">
      <w:pPr>
        <w:pStyle w:val="NoSpacing"/>
      </w:pPr>
      <w:r>
        <w:t xml:space="preserve">Set </w:t>
      </w:r>
      <w:proofErr w:type="spellStart"/>
      <w:r>
        <w:t>answer_HEX_ST_area</w:t>
      </w:r>
      <w:proofErr w:type="spellEnd"/>
      <w:r>
        <w:t xml:space="preserve"> = Worksheets(1).Range("AY4:AY1004")</w:t>
      </w:r>
    </w:p>
    <w:p w14:paraId="3257F041" w14:textId="77777777" w:rsidR="00A7521D" w:rsidRDefault="00A7521D" w:rsidP="00A7521D">
      <w:pPr>
        <w:pStyle w:val="NoSpacing"/>
      </w:pPr>
      <w:r>
        <w:t xml:space="preserve">Set </w:t>
      </w:r>
      <w:proofErr w:type="spellStart"/>
      <w:r>
        <w:t>answer_HEX_FT_area</w:t>
      </w:r>
      <w:proofErr w:type="spellEnd"/>
      <w:r>
        <w:t xml:space="preserve"> = Worksheets(1).Range("AZ4:AZ1004")</w:t>
      </w:r>
    </w:p>
    <w:p w14:paraId="72A8C02E" w14:textId="77777777" w:rsidR="00A7521D" w:rsidRDefault="00A7521D" w:rsidP="00A7521D">
      <w:pPr>
        <w:pStyle w:val="NoSpacing"/>
      </w:pPr>
      <w:r>
        <w:t xml:space="preserve">Set </w:t>
      </w:r>
      <w:proofErr w:type="spellStart"/>
      <w:r>
        <w:t>answer_HEX_PL_area</w:t>
      </w:r>
      <w:proofErr w:type="spellEnd"/>
      <w:r>
        <w:t xml:space="preserve"> = Worksheets(1).Range("BA4:BA1004")</w:t>
      </w:r>
    </w:p>
    <w:p w14:paraId="4EE1AB5B" w14:textId="77777777" w:rsidR="00A7521D" w:rsidRDefault="00A7521D" w:rsidP="00A7521D">
      <w:pPr>
        <w:pStyle w:val="NoSpacing"/>
      </w:pPr>
      <w:r>
        <w:t xml:space="preserve">Set </w:t>
      </w:r>
      <w:proofErr w:type="spellStart"/>
      <w:r>
        <w:t>answer_HEX_DP_area</w:t>
      </w:r>
      <w:proofErr w:type="spellEnd"/>
      <w:r>
        <w:t xml:space="preserve"> = Worksheets(1).Range("BB4:BB1004")</w:t>
      </w:r>
    </w:p>
    <w:p w14:paraId="4277ABA2" w14:textId="77777777" w:rsidR="00A7521D" w:rsidRDefault="00A7521D" w:rsidP="00A7521D">
      <w:pPr>
        <w:pStyle w:val="NoSpacing"/>
      </w:pPr>
      <w:r>
        <w:t xml:space="preserve">Set </w:t>
      </w:r>
      <w:proofErr w:type="spellStart"/>
      <w:r>
        <w:t>answer_FIRED_area</w:t>
      </w:r>
      <w:proofErr w:type="spellEnd"/>
      <w:r>
        <w:t xml:space="preserve"> = Worksheets(1).Range("BC4:BC1004")</w:t>
      </w:r>
    </w:p>
    <w:p w14:paraId="04003D12" w14:textId="77777777" w:rsidR="00A7521D" w:rsidRDefault="00A7521D" w:rsidP="00A7521D">
      <w:pPr>
        <w:pStyle w:val="NoSpacing"/>
      </w:pPr>
      <w:r>
        <w:t xml:space="preserve">Set </w:t>
      </w:r>
      <w:proofErr w:type="spellStart"/>
      <w:r>
        <w:t>answer_TURBINE_ORC_work</w:t>
      </w:r>
      <w:proofErr w:type="spellEnd"/>
      <w:r>
        <w:t xml:space="preserve"> = Worksheets(1).Range("BD4:BD1004")</w:t>
      </w:r>
    </w:p>
    <w:p w14:paraId="18339F80" w14:textId="77777777" w:rsidR="00A7521D" w:rsidRDefault="00A7521D" w:rsidP="00A7521D">
      <w:pPr>
        <w:pStyle w:val="NoSpacing"/>
      </w:pPr>
      <w:r>
        <w:t xml:space="preserve">Set </w:t>
      </w:r>
      <w:proofErr w:type="spellStart"/>
      <w:r>
        <w:t>answer_PUMP_ORC_losses</w:t>
      </w:r>
      <w:proofErr w:type="spellEnd"/>
      <w:r>
        <w:t xml:space="preserve"> = Worksheets(1).Range("BE4:BE1004")</w:t>
      </w:r>
    </w:p>
    <w:p w14:paraId="0F7AC1AD" w14:textId="77777777" w:rsidR="00A7521D" w:rsidRDefault="00A7521D" w:rsidP="00A7521D">
      <w:pPr>
        <w:pStyle w:val="NoSpacing"/>
      </w:pPr>
      <w:r>
        <w:t xml:space="preserve">Set </w:t>
      </w:r>
      <w:proofErr w:type="spellStart"/>
      <w:r>
        <w:t>answer_BOILER_ORC_area</w:t>
      </w:r>
      <w:proofErr w:type="spellEnd"/>
      <w:r>
        <w:t xml:space="preserve"> = Worksheets(1).Range("BF4:BF1004")</w:t>
      </w:r>
    </w:p>
    <w:p w14:paraId="7364CAF5" w14:textId="77777777" w:rsidR="00A7521D" w:rsidRDefault="00A7521D" w:rsidP="00A7521D">
      <w:pPr>
        <w:pStyle w:val="NoSpacing"/>
      </w:pPr>
      <w:r>
        <w:t xml:space="preserve">Set </w:t>
      </w:r>
      <w:proofErr w:type="spellStart"/>
      <w:r>
        <w:t>answer_CONDENSER_ORC_area</w:t>
      </w:r>
      <w:proofErr w:type="spellEnd"/>
      <w:r>
        <w:t xml:space="preserve"> = Worksheets(1).Range("BG4:BG1004")</w:t>
      </w:r>
    </w:p>
    <w:p w14:paraId="7CCB1349" w14:textId="77777777" w:rsidR="00A7521D" w:rsidRDefault="00A7521D" w:rsidP="00A7521D">
      <w:pPr>
        <w:pStyle w:val="NoSpacing"/>
      </w:pPr>
      <w:r>
        <w:t xml:space="preserve">Set </w:t>
      </w:r>
      <w:proofErr w:type="spellStart"/>
      <w:r>
        <w:t>answer_TURBINE_RC_work</w:t>
      </w:r>
      <w:proofErr w:type="spellEnd"/>
      <w:r>
        <w:t xml:space="preserve"> = Worksheets(1).Range("BH4:BH1004")</w:t>
      </w:r>
    </w:p>
    <w:p w14:paraId="15AFC225" w14:textId="77777777" w:rsidR="00A7521D" w:rsidRDefault="00A7521D" w:rsidP="00A7521D">
      <w:pPr>
        <w:pStyle w:val="NoSpacing"/>
      </w:pPr>
      <w:r>
        <w:t xml:space="preserve">Set </w:t>
      </w:r>
      <w:proofErr w:type="spellStart"/>
      <w:r>
        <w:t>answer_PUMP_RC_losses</w:t>
      </w:r>
      <w:proofErr w:type="spellEnd"/>
      <w:r>
        <w:t xml:space="preserve"> = Worksheets(1).Range("BI4:BI1004")</w:t>
      </w:r>
    </w:p>
    <w:p w14:paraId="12B7CB34" w14:textId="77777777" w:rsidR="00A7521D" w:rsidRDefault="00A7521D" w:rsidP="00A7521D">
      <w:pPr>
        <w:pStyle w:val="NoSpacing"/>
      </w:pPr>
      <w:r>
        <w:t xml:space="preserve">Set </w:t>
      </w:r>
      <w:proofErr w:type="spellStart"/>
      <w:r>
        <w:t>answer_BOILER_RC_area</w:t>
      </w:r>
      <w:proofErr w:type="spellEnd"/>
      <w:r>
        <w:t xml:space="preserve"> = Worksheets(1).Range("BJ4:BJ1004")</w:t>
      </w:r>
    </w:p>
    <w:p w14:paraId="2FFB417D" w14:textId="77777777" w:rsidR="00A7521D" w:rsidRDefault="00A7521D" w:rsidP="00A7521D">
      <w:pPr>
        <w:pStyle w:val="NoSpacing"/>
      </w:pPr>
      <w:r>
        <w:t xml:space="preserve">Set </w:t>
      </w:r>
      <w:proofErr w:type="spellStart"/>
      <w:r>
        <w:t>answer_CONDENSER_RC_area</w:t>
      </w:r>
      <w:proofErr w:type="spellEnd"/>
      <w:r>
        <w:t xml:space="preserve"> = Worksheets(1).Range("BK4:BK1004")</w:t>
      </w:r>
    </w:p>
    <w:p w14:paraId="550C29B5" w14:textId="77777777" w:rsidR="00A7521D" w:rsidRDefault="00A7521D" w:rsidP="00A7521D">
      <w:pPr>
        <w:pStyle w:val="NoSpacing"/>
      </w:pPr>
    </w:p>
    <w:p w14:paraId="4EA8E1AA" w14:textId="77777777" w:rsidR="00A7521D" w:rsidRDefault="00A7521D" w:rsidP="00A7521D">
      <w:pPr>
        <w:pStyle w:val="NoSpacing"/>
      </w:pPr>
      <w:r>
        <w:t xml:space="preserve">For </w:t>
      </w:r>
      <w:proofErr w:type="spellStart"/>
      <w:r>
        <w:t>i</w:t>
      </w:r>
      <w:proofErr w:type="spellEnd"/>
      <w:r>
        <w:t xml:space="preserve"> = 4 To 1004</w:t>
      </w:r>
    </w:p>
    <w:p w14:paraId="3FE61997" w14:textId="77777777" w:rsidR="00A7521D" w:rsidRDefault="00A7521D" w:rsidP="00A7521D">
      <w:pPr>
        <w:pStyle w:val="NoSpacing"/>
      </w:pPr>
    </w:p>
    <w:p w14:paraId="79707FBB" w14:textId="77777777" w:rsidR="00A7521D" w:rsidRDefault="00A7521D" w:rsidP="00A7521D">
      <w:pPr>
        <w:pStyle w:val="NoSpacing"/>
      </w:pPr>
      <w:r>
        <w:t>Worksheets(2).Range("c2").Value = Worksheets(1).Cells(</w:t>
      </w:r>
      <w:proofErr w:type="spellStart"/>
      <w:r>
        <w:t>i</w:t>
      </w:r>
      <w:proofErr w:type="spellEnd"/>
      <w:r>
        <w:t>, 5).Value</w:t>
      </w:r>
    </w:p>
    <w:p w14:paraId="6BE12CE1" w14:textId="77777777" w:rsidR="00A7521D" w:rsidRDefault="00A7521D" w:rsidP="00A7521D">
      <w:pPr>
        <w:pStyle w:val="NoSpacing"/>
      </w:pPr>
      <w:r>
        <w:t xml:space="preserve">Worksheets(1).Range("b2").Value = </w:t>
      </w:r>
      <w:proofErr w:type="spellStart"/>
      <w:r>
        <w:t>i</w:t>
      </w:r>
      <w:proofErr w:type="spellEnd"/>
    </w:p>
    <w:p w14:paraId="3883AEFF" w14:textId="77777777" w:rsidR="00A7521D" w:rsidRDefault="00A7521D" w:rsidP="00A7521D">
      <w:pPr>
        <w:pStyle w:val="NoSpacing"/>
      </w:pPr>
    </w:p>
    <w:p w14:paraId="2EDD3ED6" w14:textId="77777777" w:rsidR="00A7521D" w:rsidRDefault="00A7521D" w:rsidP="00A7521D">
      <w:pPr>
        <w:pStyle w:val="NoSpacing"/>
      </w:pPr>
      <w:r>
        <w:t>If Worksheets(1).Range("b19").Value = "Y" Then</w:t>
      </w:r>
    </w:p>
    <w:p w14:paraId="78C0552E" w14:textId="77777777" w:rsidR="00A7521D" w:rsidRDefault="00A7521D" w:rsidP="00A7521D">
      <w:pPr>
        <w:pStyle w:val="NoSpacing"/>
      </w:pPr>
      <w:r>
        <w:t xml:space="preserve"> Worksheets(1).Cells(</w:t>
      </w:r>
      <w:proofErr w:type="spellStart"/>
      <w:r>
        <w:t>i</w:t>
      </w:r>
      <w:proofErr w:type="spellEnd"/>
      <w:r>
        <w:t>, 6).Value = "Error"</w:t>
      </w:r>
    </w:p>
    <w:p w14:paraId="0590C3D2" w14:textId="77777777" w:rsidR="00A7521D" w:rsidRDefault="00A7521D" w:rsidP="00A7521D">
      <w:pPr>
        <w:pStyle w:val="NoSpacing"/>
      </w:pPr>
      <w:r>
        <w:t xml:space="preserve"> Worksheets(1).Cells(</w:t>
      </w:r>
      <w:proofErr w:type="spellStart"/>
      <w:r>
        <w:t>i</w:t>
      </w:r>
      <w:proofErr w:type="spellEnd"/>
      <w:r>
        <w:t>, 7).Value = "Error"</w:t>
      </w:r>
    </w:p>
    <w:p w14:paraId="1DB4F761" w14:textId="77777777" w:rsidR="00A7521D" w:rsidRDefault="00A7521D" w:rsidP="00A7521D">
      <w:pPr>
        <w:pStyle w:val="NoSpacing"/>
      </w:pPr>
      <w:r>
        <w:t xml:space="preserve"> Worksheets(1).Cells(</w:t>
      </w:r>
      <w:proofErr w:type="spellStart"/>
      <w:r>
        <w:t>i</w:t>
      </w:r>
      <w:proofErr w:type="spellEnd"/>
      <w:r>
        <w:t>, 8).Value = "Error"</w:t>
      </w:r>
    </w:p>
    <w:p w14:paraId="4282FE88" w14:textId="77777777" w:rsidR="00A7521D" w:rsidRDefault="00A7521D" w:rsidP="00A7521D">
      <w:pPr>
        <w:pStyle w:val="NoSpacing"/>
      </w:pPr>
      <w:r>
        <w:t xml:space="preserve"> Worksheets(1).Cells(</w:t>
      </w:r>
      <w:proofErr w:type="spellStart"/>
      <w:r>
        <w:t>i</w:t>
      </w:r>
      <w:proofErr w:type="spellEnd"/>
      <w:r>
        <w:t>, 9).Value = "Error"</w:t>
      </w:r>
    </w:p>
    <w:p w14:paraId="366B8D62" w14:textId="77777777" w:rsidR="00A7521D" w:rsidRDefault="00A7521D" w:rsidP="00A7521D">
      <w:pPr>
        <w:pStyle w:val="NoSpacing"/>
      </w:pPr>
      <w:r>
        <w:t xml:space="preserve"> Worksheets(1).Cells(</w:t>
      </w:r>
      <w:proofErr w:type="spellStart"/>
      <w:r>
        <w:t>i</w:t>
      </w:r>
      <w:proofErr w:type="spellEnd"/>
      <w:r>
        <w:t>, 10).Value = "Error"</w:t>
      </w:r>
    </w:p>
    <w:p w14:paraId="571BCA9B" w14:textId="77777777" w:rsidR="00A7521D" w:rsidRDefault="00A7521D" w:rsidP="00A7521D">
      <w:pPr>
        <w:pStyle w:val="NoSpacing"/>
      </w:pPr>
      <w:r>
        <w:t xml:space="preserve"> Worksheets(1).Cells(</w:t>
      </w:r>
      <w:proofErr w:type="spellStart"/>
      <w:r>
        <w:t>i</w:t>
      </w:r>
      <w:proofErr w:type="spellEnd"/>
      <w:r>
        <w:t>, 11).Value = "Error"</w:t>
      </w:r>
    </w:p>
    <w:p w14:paraId="60388CA0" w14:textId="77777777" w:rsidR="00A7521D" w:rsidRDefault="00A7521D" w:rsidP="00A7521D">
      <w:pPr>
        <w:pStyle w:val="NoSpacing"/>
      </w:pPr>
      <w:r>
        <w:t xml:space="preserve"> Worksheets(1).Cells(</w:t>
      </w:r>
      <w:proofErr w:type="spellStart"/>
      <w:r>
        <w:t>i</w:t>
      </w:r>
      <w:proofErr w:type="spellEnd"/>
      <w:r>
        <w:t>, 12).Value = "Error"</w:t>
      </w:r>
    </w:p>
    <w:p w14:paraId="7477BAAD" w14:textId="77777777" w:rsidR="00A7521D" w:rsidRDefault="00A7521D" w:rsidP="00A7521D">
      <w:pPr>
        <w:pStyle w:val="NoSpacing"/>
      </w:pPr>
      <w:r>
        <w:t xml:space="preserve"> Worksheets(1).Cells(</w:t>
      </w:r>
      <w:proofErr w:type="spellStart"/>
      <w:r>
        <w:t>i</w:t>
      </w:r>
      <w:proofErr w:type="spellEnd"/>
      <w:r>
        <w:t>, 13).Value = "Error"</w:t>
      </w:r>
    </w:p>
    <w:p w14:paraId="304175E9" w14:textId="77777777" w:rsidR="00A7521D" w:rsidRDefault="00A7521D" w:rsidP="00A7521D">
      <w:pPr>
        <w:pStyle w:val="NoSpacing"/>
      </w:pPr>
      <w:r>
        <w:t xml:space="preserve"> Worksheets(1).Cells(</w:t>
      </w:r>
      <w:proofErr w:type="spellStart"/>
      <w:r>
        <w:t>i</w:t>
      </w:r>
      <w:proofErr w:type="spellEnd"/>
      <w:r>
        <w:t>, 14).Value = "Error"</w:t>
      </w:r>
    </w:p>
    <w:p w14:paraId="5A55373F" w14:textId="77777777" w:rsidR="00A7521D" w:rsidRDefault="00A7521D" w:rsidP="00A7521D">
      <w:pPr>
        <w:pStyle w:val="NoSpacing"/>
      </w:pPr>
      <w:r>
        <w:t xml:space="preserve"> Worksheets(1).Cells(</w:t>
      </w:r>
      <w:proofErr w:type="spellStart"/>
      <w:r>
        <w:t>i</w:t>
      </w:r>
      <w:proofErr w:type="spellEnd"/>
      <w:r>
        <w:t>, 15).Value = "Error"</w:t>
      </w:r>
    </w:p>
    <w:p w14:paraId="1235504B" w14:textId="77777777" w:rsidR="00A7521D" w:rsidRDefault="00A7521D" w:rsidP="00A7521D">
      <w:pPr>
        <w:pStyle w:val="NoSpacing"/>
      </w:pPr>
      <w:r>
        <w:t xml:space="preserve"> Worksheets(1).Cells(</w:t>
      </w:r>
      <w:proofErr w:type="spellStart"/>
      <w:r>
        <w:t>i</w:t>
      </w:r>
      <w:proofErr w:type="spellEnd"/>
      <w:r>
        <w:t>, 16).Value = "Error"</w:t>
      </w:r>
    </w:p>
    <w:p w14:paraId="22561002" w14:textId="77777777" w:rsidR="00A7521D" w:rsidRDefault="00A7521D" w:rsidP="00A7521D">
      <w:pPr>
        <w:pStyle w:val="NoSpacing"/>
      </w:pPr>
      <w:r>
        <w:t xml:space="preserve"> Worksheets(1).Cells(</w:t>
      </w:r>
      <w:proofErr w:type="spellStart"/>
      <w:r>
        <w:t>i</w:t>
      </w:r>
      <w:proofErr w:type="spellEnd"/>
      <w:r>
        <w:t>, 17).Value = "Error"</w:t>
      </w:r>
    </w:p>
    <w:p w14:paraId="5AB0F07F" w14:textId="77777777" w:rsidR="00A7521D" w:rsidRDefault="00A7521D" w:rsidP="00A7521D">
      <w:pPr>
        <w:pStyle w:val="NoSpacing"/>
      </w:pPr>
      <w:r>
        <w:lastRenderedPageBreak/>
        <w:t xml:space="preserve"> Worksheets(1).Cells(</w:t>
      </w:r>
      <w:proofErr w:type="spellStart"/>
      <w:r>
        <w:t>i</w:t>
      </w:r>
      <w:proofErr w:type="spellEnd"/>
      <w:r>
        <w:t>, 18).Value = "Error"</w:t>
      </w:r>
    </w:p>
    <w:p w14:paraId="510714D3" w14:textId="77777777" w:rsidR="00A7521D" w:rsidRDefault="00A7521D" w:rsidP="00A7521D">
      <w:pPr>
        <w:pStyle w:val="NoSpacing"/>
      </w:pPr>
      <w:r>
        <w:t xml:space="preserve"> Worksheets(1).Cells(</w:t>
      </w:r>
      <w:proofErr w:type="spellStart"/>
      <w:r>
        <w:t>i</w:t>
      </w:r>
      <w:proofErr w:type="spellEnd"/>
      <w:r>
        <w:t>, 19).Value = "Error"</w:t>
      </w:r>
    </w:p>
    <w:p w14:paraId="17B6B095" w14:textId="77777777" w:rsidR="00A7521D" w:rsidRDefault="00A7521D" w:rsidP="00A7521D">
      <w:pPr>
        <w:pStyle w:val="NoSpacing"/>
      </w:pPr>
      <w:r>
        <w:t xml:space="preserve"> Worksheets(1).Cells(</w:t>
      </w:r>
      <w:proofErr w:type="spellStart"/>
      <w:r>
        <w:t>i</w:t>
      </w:r>
      <w:proofErr w:type="spellEnd"/>
      <w:r>
        <w:t>, 20).Value = "Error"</w:t>
      </w:r>
    </w:p>
    <w:p w14:paraId="56A0F402" w14:textId="77777777" w:rsidR="00A7521D" w:rsidRDefault="00A7521D" w:rsidP="00A7521D">
      <w:pPr>
        <w:pStyle w:val="NoSpacing"/>
      </w:pPr>
      <w:r>
        <w:t xml:space="preserve"> Worksheets(1).Cells(</w:t>
      </w:r>
      <w:proofErr w:type="spellStart"/>
      <w:r>
        <w:t>i</w:t>
      </w:r>
      <w:proofErr w:type="spellEnd"/>
      <w:r>
        <w:t>, 21).Value = "Error"</w:t>
      </w:r>
    </w:p>
    <w:p w14:paraId="77BDCD2F" w14:textId="77777777" w:rsidR="00A7521D" w:rsidRDefault="00A7521D" w:rsidP="00A7521D">
      <w:pPr>
        <w:pStyle w:val="NoSpacing"/>
      </w:pPr>
      <w:r>
        <w:t xml:space="preserve"> Worksheets(1).Cells(</w:t>
      </w:r>
      <w:proofErr w:type="spellStart"/>
      <w:r>
        <w:t>i</w:t>
      </w:r>
      <w:proofErr w:type="spellEnd"/>
      <w:r>
        <w:t>, 22).Value = "Error"</w:t>
      </w:r>
    </w:p>
    <w:p w14:paraId="477589D2" w14:textId="77777777" w:rsidR="00A7521D" w:rsidRDefault="00A7521D" w:rsidP="00A7521D">
      <w:pPr>
        <w:pStyle w:val="NoSpacing"/>
      </w:pPr>
      <w:r>
        <w:t xml:space="preserve"> Worksheets(1).Cells(</w:t>
      </w:r>
      <w:proofErr w:type="spellStart"/>
      <w:r>
        <w:t>i</w:t>
      </w:r>
      <w:proofErr w:type="spellEnd"/>
      <w:r>
        <w:t>, 23).Value = "Error"</w:t>
      </w:r>
    </w:p>
    <w:p w14:paraId="03351FF9" w14:textId="77777777" w:rsidR="00A7521D" w:rsidRDefault="00A7521D" w:rsidP="00A7521D">
      <w:pPr>
        <w:pStyle w:val="NoSpacing"/>
      </w:pPr>
      <w:r>
        <w:t xml:space="preserve"> Worksheets(1).Cells(</w:t>
      </w:r>
      <w:proofErr w:type="spellStart"/>
      <w:r>
        <w:t>i</w:t>
      </w:r>
      <w:proofErr w:type="spellEnd"/>
      <w:r>
        <w:t>, 24).Value = "Error"</w:t>
      </w:r>
    </w:p>
    <w:p w14:paraId="28184F67" w14:textId="77777777" w:rsidR="00A7521D" w:rsidRDefault="00A7521D" w:rsidP="00A7521D">
      <w:pPr>
        <w:pStyle w:val="NoSpacing"/>
      </w:pPr>
      <w:r>
        <w:t xml:space="preserve"> Worksheets(1).Cells(</w:t>
      </w:r>
      <w:proofErr w:type="spellStart"/>
      <w:r>
        <w:t>i</w:t>
      </w:r>
      <w:proofErr w:type="spellEnd"/>
      <w:r>
        <w:t>, 25).Value = "Error"</w:t>
      </w:r>
    </w:p>
    <w:p w14:paraId="47AAE1E2" w14:textId="77777777" w:rsidR="00A7521D" w:rsidRDefault="00A7521D" w:rsidP="00A7521D">
      <w:pPr>
        <w:pStyle w:val="NoSpacing"/>
      </w:pPr>
      <w:r>
        <w:t xml:space="preserve"> Worksheets(1).Cells(</w:t>
      </w:r>
      <w:proofErr w:type="spellStart"/>
      <w:r>
        <w:t>i</w:t>
      </w:r>
      <w:proofErr w:type="spellEnd"/>
      <w:r>
        <w:t>, 26).Value = "Error"</w:t>
      </w:r>
    </w:p>
    <w:p w14:paraId="01A8862E" w14:textId="77777777" w:rsidR="00A7521D" w:rsidRDefault="00A7521D" w:rsidP="00A7521D">
      <w:pPr>
        <w:pStyle w:val="NoSpacing"/>
      </w:pPr>
      <w:r>
        <w:t xml:space="preserve"> Worksheets(1).Cells(</w:t>
      </w:r>
      <w:proofErr w:type="spellStart"/>
      <w:r>
        <w:t>i</w:t>
      </w:r>
      <w:proofErr w:type="spellEnd"/>
      <w:r>
        <w:t>, 27).Value = "Error"</w:t>
      </w:r>
    </w:p>
    <w:p w14:paraId="3930357A" w14:textId="77777777" w:rsidR="00A7521D" w:rsidRDefault="00A7521D" w:rsidP="00A7521D">
      <w:pPr>
        <w:pStyle w:val="NoSpacing"/>
      </w:pPr>
      <w:r>
        <w:t xml:space="preserve"> Worksheets(1).Cells(</w:t>
      </w:r>
      <w:proofErr w:type="spellStart"/>
      <w:r>
        <w:t>i</w:t>
      </w:r>
      <w:proofErr w:type="spellEnd"/>
      <w:r>
        <w:t>, 28).Value = "Error"</w:t>
      </w:r>
    </w:p>
    <w:p w14:paraId="09806DF4" w14:textId="77777777" w:rsidR="00A7521D" w:rsidRDefault="00A7521D" w:rsidP="00A7521D">
      <w:pPr>
        <w:pStyle w:val="NoSpacing"/>
      </w:pPr>
      <w:r>
        <w:t xml:space="preserve"> Worksheets(1).Cells(</w:t>
      </w:r>
      <w:proofErr w:type="spellStart"/>
      <w:r>
        <w:t>i</w:t>
      </w:r>
      <w:proofErr w:type="spellEnd"/>
      <w:r>
        <w:t>, 29).Value = "Error"</w:t>
      </w:r>
    </w:p>
    <w:p w14:paraId="1F06E669" w14:textId="77777777" w:rsidR="00A7521D" w:rsidRDefault="00A7521D" w:rsidP="00A7521D">
      <w:pPr>
        <w:pStyle w:val="NoSpacing"/>
      </w:pPr>
      <w:r>
        <w:t xml:space="preserve"> Worksheets(1).Cells(</w:t>
      </w:r>
      <w:proofErr w:type="spellStart"/>
      <w:r>
        <w:t>i</w:t>
      </w:r>
      <w:proofErr w:type="spellEnd"/>
      <w:r>
        <w:t>, 30).Value = "Error"</w:t>
      </w:r>
    </w:p>
    <w:p w14:paraId="66C20988" w14:textId="77777777" w:rsidR="00A7521D" w:rsidRDefault="00A7521D" w:rsidP="00A7521D">
      <w:pPr>
        <w:pStyle w:val="NoSpacing"/>
      </w:pPr>
      <w:r>
        <w:t xml:space="preserve"> Worksheets(1).Cells(</w:t>
      </w:r>
      <w:proofErr w:type="spellStart"/>
      <w:r>
        <w:t>i</w:t>
      </w:r>
      <w:proofErr w:type="spellEnd"/>
      <w:r>
        <w:t>, 31).Value = "Error"</w:t>
      </w:r>
    </w:p>
    <w:p w14:paraId="3CF499DF" w14:textId="77777777" w:rsidR="00A7521D" w:rsidRDefault="00A7521D" w:rsidP="00A7521D">
      <w:pPr>
        <w:pStyle w:val="NoSpacing"/>
      </w:pPr>
      <w:r>
        <w:t xml:space="preserve"> Worksheets(1).Cells(</w:t>
      </w:r>
      <w:proofErr w:type="spellStart"/>
      <w:r>
        <w:t>i</w:t>
      </w:r>
      <w:proofErr w:type="spellEnd"/>
      <w:r>
        <w:t>, 32).Value = "Error"</w:t>
      </w:r>
    </w:p>
    <w:p w14:paraId="0EBFD655" w14:textId="77777777" w:rsidR="00A7521D" w:rsidRDefault="00A7521D" w:rsidP="00A7521D">
      <w:pPr>
        <w:pStyle w:val="NoSpacing"/>
      </w:pPr>
      <w:r>
        <w:t xml:space="preserve"> Worksheets(1).Cells(</w:t>
      </w:r>
      <w:proofErr w:type="spellStart"/>
      <w:r>
        <w:t>i</w:t>
      </w:r>
      <w:proofErr w:type="spellEnd"/>
      <w:r>
        <w:t>, 33).Value = "Error"</w:t>
      </w:r>
    </w:p>
    <w:p w14:paraId="708E37F1" w14:textId="77777777" w:rsidR="00A7521D" w:rsidRDefault="00A7521D" w:rsidP="00A7521D">
      <w:pPr>
        <w:pStyle w:val="NoSpacing"/>
      </w:pPr>
      <w:r>
        <w:t xml:space="preserve"> Worksheets(1).Cells(</w:t>
      </w:r>
      <w:proofErr w:type="spellStart"/>
      <w:r>
        <w:t>i</w:t>
      </w:r>
      <w:proofErr w:type="spellEnd"/>
      <w:r>
        <w:t>, 34).Value = "Error"</w:t>
      </w:r>
    </w:p>
    <w:p w14:paraId="1B051A2E" w14:textId="77777777" w:rsidR="00A7521D" w:rsidRDefault="00A7521D" w:rsidP="00A7521D">
      <w:pPr>
        <w:pStyle w:val="NoSpacing"/>
      </w:pPr>
      <w:r>
        <w:t xml:space="preserve"> Worksheets(1).Cells(</w:t>
      </w:r>
      <w:proofErr w:type="spellStart"/>
      <w:r>
        <w:t>i</w:t>
      </w:r>
      <w:proofErr w:type="spellEnd"/>
      <w:r>
        <w:t>, 35).Value = "Error"</w:t>
      </w:r>
    </w:p>
    <w:p w14:paraId="2DCA137B" w14:textId="77777777" w:rsidR="00A7521D" w:rsidRDefault="00A7521D" w:rsidP="00A7521D">
      <w:pPr>
        <w:pStyle w:val="NoSpacing"/>
      </w:pPr>
      <w:r>
        <w:t xml:space="preserve"> Worksheets(1).Cells(</w:t>
      </w:r>
      <w:proofErr w:type="spellStart"/>
      <w:r>
        <w:t>i</w:t>
      </w:r>
      <w:proofErr w:type="spellEnd"/>
      <w:r>
        <w:t>, 36).Value = "Error"</w:t>
      </w:r>
    </w:p>
    <w:p w14:paraId="3C5A1513" w14:textId="77777777" w:rsidR="00A7521D" w:rsidRDefault="00A7521D" w:rsidP="00A7521D">
      <w:pPr>
        <w:pStyle w:val="NoSpacing"/>
      </w:pPr>
      <w:r>
        <w:t xml:space="preserve"> Worksheets(1).Cells(</w:t>
      </w:r>
      <w:proofErr w:type="spellStart"/>
      <w:r>
        <w:t>i</w:t>
      </w:r>
      <w:proofErr w:type="spellEnd"/>
      <w:r>
        <w:t>, 37).Value = "Error"</w:t>
      </w:r>
    </w:p>
    <w:p w14:paraId="66E74700" w14:textId="77777777" w:rsidR="00A7521D" w:rsidRDefault="00A7521D" w:rsidP="00A7521D">
      <w:pPr>
        <w:pStyle w:val="NoSpacing"/>
      </w:pPr>
      <w:r>
        <w:t xml:space="preserve"> Worksheets(1).Cells(</w:t>
      </w:r>
      <w:proofErr w:type="spellStart"/>
      <w:r>
        <w:t>i</w:t>
      </w:r>
      <w:proofErr w:type="spellEnd"/>
      <w:r>
        <w:t>, 38).Value = "Error"</w:t>
      </w:r>
    </w:p>
    <w:p w14:paraId="519BC7AE" w14:textId="77777777" w:rsidR="00A7521D" w:rsidRDefault="00A7521D" w:rsidP="00A7521D">
      <w:pPr>
        <w:pStyle w:val="NoSpacing"/>
      </w:pPr>
      <w:r>
        <w:t xml:space="preserve"> Worksheets(1).Cells(</w:t>
      </w:r>
      <w:proofErr w:type="spellStart"/>
      <w:r>
        <w:t>i</w:t>
      </w:r>
      <w:proofErr w:type="spellEnd"/>
      <w:r>
        <w:t>, 39).Value = "Error"</w:t>
      </w:r>
    </w:p>
    <w:p w14:paraId="604841A4" w14:textId="77777777" w:rsidR="00A7521D" w:rsidRDefault="00A7521D" w:rsidP="00A7521D">
      <w:pPr>
        <w:pStyle w:val="NoSpacing"/>
      </w:pPr>
      <w:r>
        <w:t xml:space="preserve"> Worksheets(1).Cells(</w:t>
      </w:r>
      <w:proofErr w:type="spellStart"/>
      <w:r>
        <w:t>i</w:t>
      </w:r>
      <w:proofErr w:type="spellEnd"/>
      <w:r>
        <w:t>, 40).Value = "Error"</w:t>
      </w:r>
    </w:p>
    <w:p w14:paraId="4F0B0BD7" w14:textId="77777777" w:rsidR="00A7521D" w:rsidRDefault="00A7521D" w:rsidP="00A7521D">
      <w:pPr>
        <w:pStyle w:val="NoSpacing"/>
      </w:pPr>
      <w:r>
        <w:t xml:space="preserve"> Worksheets(1).Cells(</w:t>
      </w:r>
      <w:proofErr w:type="spellStart"/>
      <w:r>
        <w:t>i</w:t>
      </w:r>
      <w:proofErr w:type="spellEnd"/>
      <w:r>
        <w:t>, 41).Value = "Error"</w:t>
      </w:r>
    </w:p>
    <w:p w14:paraId="75D21A15" w14:textId="77777777" w:rsidR="00A7521D" w:rsidRDefault="00A7521D" w:rsidP="00A7521D">
      <w:pPr>
        <w:pStyle w:val="NoSpacing"/>
      </w:pPr>
      <w:r>
        <w:t xml:space="preserve"> Worksheets(1).Cells(</w:t>
      </w:r>
      <w:proofErr w:type="spellStart"/>
      <w:r>
        <w:t>i</w:t>
      </w:r>
      <w:proofErr w:type="spellEnd"/>
      <w:r>
        <w:t>, 42).Value = "Error"</w:t>
      </w:r>
    </w:p>
    <w:p w14:paraId="183F95D0" w14:textId="77777777" w:rsidR="00A7521D" w:rsidRDefault="00A7521D" w:rsidP="00A7521D">
      <w:pPr>
        <w:pStyle w:val="NoSpacing"/>
      </w:pPr>
      <w:r>
        <w:t xml:space="preserve"> Worksheets(1).Cells(</w:t>
      </w:r>
      <w:proofErr w:type="spellStart"/>
      <w:r>
        <w:t>i</w:t>
      </w:r>
      <w:proofErr w:type="spellEnd"/>
      <w:r>
        <w:t>, 43).Value = "Error"</w:t>
      </w:r>
    </w:p>
    <w:p w14:paraId="5A62FB8B" w14:textId="77777777" w:rsidR="00A7521D" w:rsidRDefault="00A7521D" w:rsidP="00A7521D">
      <w:pPr>
        <w:pStyle w:val="NoSpacing"/>
      </w:pPr>
      <w:r>
        <w:t xml:space="preserve"> Worksheets(1).Cells(</w:t>
      </w:r>
      <w:proofErr w:type="spellStart"/>
      <w:r>
        <w:t>i</w:t>
      </w:r>
      <w:proofErr w:type="spellEnd"/>
      <w:r>
        <w:t>, 44).Value = "Error"</w:t>
      </w:r>
    </w:p>
    <w:p w14:paraId="2258D911" w14:textId="77777777" w:rsidR="00A7521D" w:rsidRDefault="00A7521D" w:rsidP="00A7521D">
      <w:pPr>
        <w:pStyle w:val="NoSpacing"/>
      </w:pPr>
      <w:r>
        <w:t xml:space="preserve"> Worksheets(1).Cells(</w:t>
      </w:r>
      <w:proofErr w:type="spellStart"/>
      <w:r>
        <w:t>i</w:t>
      </w:r>
      <w:proofErr w:type="spellEnd"/>
      <w:r>
        <w:t>, 45).Value = "Error"</w:t>
      </w:r>
    </w:p>
    <w:p w14:paraId="458C2549" w14:textId="77777777" w:rsidR="00A7521D" w:rsidRDefault="00A7521D" w:rsidP="00A7521D">
      <w:pPr>
        <w:pStyle w:val="NoSpacing"/>
      </w:pPr>
      <w:r>
        <w:t xml:space="preserve"> Worksheets(1).Cells(</w:t>
      </w:r>
      <w:proofErr w:type="spellStart"/>
      <w:r>
        <w:t>i</w:t>
      </w:r>
      <w:proofErr w:type="spellEnd"/>
      <w:r>
        <w:t>, 46).Value = "Error"</w:t>
      </w:r>
    </w:p>
    <w:p w14:paraId="2C7F3FA2" w14:textId="77777777" w:rsidR="00A7521D" w:rsidRDefault="00A7521D" w:rsidP="00A7521D">
      <w:pPr>
        <w:pStyle w:val="NoSpacing"/>
      </w:pPr>
      <w:r>
        <w:t xml:space="preserve"> Worksheets(1).Cells(</w:t>
      </w:r>
      <w:proofErr w:type="spellStart"/>
      <w:r>
        <w:t>i</w:t>
      </w:r>
      <w:proofErr w:type="spellEnd"/>
      <w:r>
        <w:t>, 47).Value = "Error"</w:t>
      </w:r>
    </w:p>
    <w:p w14:paraId="28B8E2B9" w14:textId="77777777" w:rsidR="00A7521D" w:rsidRDefault="00A7521D" w:rsidP="00A7521D">
      <w:pPr>
        <w:pStyle w:val="NoSpacing"/>
      </w:pPr>
      <w:r>
        <w:t xml:space="preserve"> Worksheets(1).Cells(</w:t>
      </w:r>
      <w:proofErr w:type="spellStart"/>
      <w:r>
        <w:t>i</w:t>
      </w:r>
      <w:proofErr w:type="spellEnd"/>
      <w:r>
        <w:t>, 48).Value = "Error"</w:t>
      </w:r>
    </w:p>
    <w:p w14:paraId="57DEA7E0" w14:textId="77777777" w:rsidR="00A7521D" w:rsidRDefault="00A7521D" w:rsidP="00A7521D">
      <w:pPr>
        <w:pStyle w:val="NoSpacing"/>
      </w:pPr>
      <w:r>
        <w:t xml:space="preserve"> Worksheets(1).Cells(</w:t>
      </w:r>
      <w:proofErr w:type="spellStart"/>
      <w:r>
        <w:t>i</w:t>
      </w:r>
      <w:proofErr w:type="spellEnd"/>
      <w:r>
        <w:t>, 49).Value = "Error"</w:t>
      </w:r>
    </w:p>
    <w:p w14:paraId="13DB1FF5" w14:textId="77777777" w:rsidR="00A7521D" w:rsidRDefault="00A7521D" w:rsidP="00A7521D">
      <w:pPr>
        <w:pStyle w:val="NoSpacing"/>
      </w:pPr>
      <w:r>
        <w:t xml:space="preserve"> Worksheets(1).Cells(</w:t>
      </w:r>
      <w:proofErr w:type="spellStart"/>
      <w:r>
        <w:t>i</w:t>
      </w:r>
      <w:proofErr w:type="spellEnd"/>
      <w:r>
        <w:t>, 50).Value = "Error"</w:t>
      </w:r>
    </w:p>
    <w:p w14:paraId="5865BCD7" w14:textId="77777777" w:rsidR="00A7521D" w:rsidRDefault="00A7521D" w:rsidP="00A7521D">
      <w:pPr>
        <w:pStyle w:val="NoSpacing"/>
      </w:pPr>
      <w:r>
        <w:t xml:space="preserve"> Worksheets(1).Cells(</w:t>
      </w:r>
      <w:proofErr w:type="spellStart"/>
      <w:r>
        <w:t>i</w:t>
      </w:r>
      <w:proofErr w:type="spellEnd"/>
      <w:r>
        <w:t>, 51).Value = "Error"</w:t>
      </w:r>
    </w:p>
    <w:p w14:paraId="520A5ED8" w14:textId="77777777" w:rsidR="00A7521D" w:rsidRDefault="00A7521D" w:rsidP="00A7521D">
      <w:pPr>
        <w:pStyle w:val="NoSpacing"/>
      </w:pPr>
      <w:r>
        <w:t xml:space="preserve"> Worksheets(1).Cells(</w:t>
      </w:r>
      <w:proofErr w:type="spellStart"/>
      <w:r>
        <w:t>i</w:t>
      </w:r>
      <w:proofErr w:type="spellEnd"/>
      <w:r>
        <w:t>, 52).Value = "Error"</w:t>
      </w:r>
    </w:p>
    <w:p w14:paraId="72E55D08" w14:textId="77777777" w:rsidR="00A7521D" w:rsidRDefault="00A7521D" w:rsidP="00A7521D">
      <w:pPr>
        <w:pStyle w:val="NoSpacing"/>
      </w:pPr>
      <w:r>
        <w:t xml:space="preserve"> Worksheets(1).Cells(</w:t>
      </w:r>
      <w:proofErr w:type="spellStart"/>
      <w:r>
        <w:t>i</w:t>
      </w:r>
      <w:proofErr w:type="spellEnd"/>
      <w:r>
        <w:t>, 53).Value = "Error"</w:t>
      </w:r>
    </w:p>
    <w:p w14:paraId="642EF091" w14:textId="77777777" w:rsidR="00A7521D" w:rsidRDefault="00A7521D" w:rsidP="00A7521D">
      <w:pPr>
        <w:pStyle w:val="NoSpacing"/>
      </w:pPr>
      <w:r>
        <w:t xml:space="preserve"> Worksheets(1).Cells(</w:t>
      </w:r>
      <w:proofErr w:type="spellStart"/>
      <w:r>
        <w:t>i</w:t>
      </w:r>
      <w:proofErr w:type="spellEnd"/>
      <w:r>
        <w:t>, 54).Value = "Error"</w:t>
      </w:r>
    </w:p>
    <w:p w14:paraId="77CFE3D5" w14:textId="77777777" w:rsidR="00A7521D" w:rsidRDefault="00A7521D" w:rsidP="00A7521D">
      <w:pPr>
        <w:pStyle w:val="NoSpacing"/>
      </w:pPr>
      <w:r>
        <w:t xml:space="preserve"> Worksheets(1).Cells(</w:t>
      </w:r>
      <w:proofErr w:type="spellStart"/>
      <w:r>
        <w:t>i</w:t>
      </w:r>
      <w:proofErr w:type="spellEnd"/>
      <w:r>
        <w:t>, 55).Value = "Error"</w:t>
      </w:r>
    </w:p>
    <w:p w14:paraId="7D645790" w14:textId="77777777" w:rsidR="00A7521D" w:rsidRDefault="00A7521D" w:rsidP="00A7521D">
      <w:pPr>
        <w:pStyle w:val="NoSpacing"/>
      </w:pPr>
      <w:r>
        <w:t xml:space="preserve"> Worksheets(1).Cells(</w:t>
      </w:r>
      <w:proofErr w:type="spellStart"/>
      <w:r>
        <w:t>i</w:t>
      </w:r>
      <w:proofErr w:type="spellEnd"/>
      <w:r>
        <w:t>, 56).Value = "Error"</w:t>
      </w:r>
    </w:p>
    <w:p w14:paraId="0D8032D1" w14:textId="77777777" w:rsidR="00A7521D" w:rsidRDefault="00A7521D" w:rsidP="00A7521D">
      <w:pPr>
        <w:pStyle w:val="NoSpacing"/>
      </w:pPr>
      <w:r>
        <w:t xml:space="preserve"> Worksheets(1).Cells(</w:t>
      </w:r>
      <w:proofErr w:type="spellStart"/>
      <w:r>
        <w:t>i</w:t>
      </w:r>
      <w:proofErr w:type="spellEnd"/>
      <w:r>
        <w:t>, 57).Value = "Error"</w:t>
      </w:r>
    </w:p>
    <w:p w14:paraId="0A2A2703" w14:textId="77777777" w:rsidR="00A7521D" w:rsidRDefault="00A7521D" w:rsidP="00A7521D">
      <w:pPr>
        <w:pStyle w:val="NoSpacing"/>
      </w:pPr>
      <w:r>
        <w:t xml:space="preserve"> Worksheets(1).Cells(</w:t>
      </w:r>
      <w:proofErr w:type="spellStart"/>
      <w:r>
        <w:t>i</w:t>
      </w:r>
      <w:proofErr w:type="spellEnd"/>
      <w:r>
        <w:t>, 58).Value = "Error"</w:t>
      </w:r>
    </w:p>
    <w:p w14:paraId="0E276294" w14:textId="77777777" w:rsidR="00A7521D" w:rsidRDefault="00A7521D" w:rsidP="00A7521D">
      <w:pPr>
        <w:pStyle w:val="NoSpacing"/>
      </w:pPr>
      <w:r>
        <w:t xml:space="preserve"> Worksheets(1).Cells(</w:t>
      </w:r>
      <w:proofErr w:type="spellStart"/>
      <w:r>
        <w:t>i</w:t>
      </w:r>
      <w:proofErr w:type="spellEnd"/>
      <w:r>
        <w:t>, 59).Value = "Error"</w:t>
      </w:r>
    </w:p>
    <w:p w14:paraId="17FD7BFE" w14:textId="77777777" w:rsidR="00A7521D" w:rsidRDefault="00A7521D" w:rsidP="00A7521D">
      <w:pPr>
        <w:pStyle w:val="NoSpacing"/>
      </w:pPr>
      <w:r>
        <w:t xml:space="preserve"> Worksheets(1).Cells(</w:t>
      </w:r>
      <w:proofErr w:type="spellStart"/>
      <w:r>
        <w:t>i</w:t>
      </w:r>
      <w:proofErr w:type="spellEnd"/>
      <w:r>
        <w:t>, 60).Value = "Error"</w:t>
      </w:r>
    </w:p>
    <w:p w14:paraId="728A89E6" w14:textId="77777777" w:rsidR="00A7521D" w:rsidRDefault="00A7521D" w:rsidP="00A7521D">
      <w:pPr>
        <w:pStyle w:val="NoSpacing"/>
      </w:pPr>
      <w:r>
        <w:t xml:space="preserve"> Worksheets(1).Cells(</w:t>
      </w:r>
      <w:proofErr w:type="spellStart"/>
      <w:r>
        <w:t>i</w:t>
      </w:r>
      <w:proofErr w:type="spellEnd"/>
      <w:r>
        <w:t>, 61).Value = "Error"</w:t>
      </w:r>
    </w:p>
    <w:p w14:paraId="47D93976" w14:textId="77777777" w:rsidR="00A7521D" w:rsidRDefault="00A7521D" w:rsidP="00A7521D">
      <w:pPr>
        <w:pStyle w:val="NoSpacing"/>
      </w:pPr>
      <w:r>
        <w:t xml:space="preserve"> Worksheets(1).Cells(</w:t>
      </w:r>
      <w:proofErr w:type="spellStart"/>
      <w:r>
        <w:t>i</w:t>
      </w:r>
      <w:proofErr w:type="spellEnd"/>
      <w:r>
        <w:t>, 62).Value = "Error"</w:t>
      </w:r>
    </w:p>
    <w:p w14:paraId="737E35E9" w14:textId="77777777" w:rsidR="00A7521D" w:rsidRDefault="00A7521D" w:rsidP="00A7521D">
      <w:pPr>
        <w:pStyle w:val="NoSpacing"/>
      </w:pPr>
      <w:r>
        <w:t xml:space="preserve"> Worksheets(1).Cells(</w:t>
      </w:r>
      <w:proofErr w:type="spellStart"/>
      <w:r>
        <w:t>i</w:t>
      </w:r>
      <w:proofErr w:type="spellEnd"/>
      <w:r>
        <w:t>, 63).Value = "Error"</w:t>
      </w:r>
    </w:p>
    <w:p w14:paraId="4BE727E0" w14:textId="77777777" w:rsidR="00A7521D" w:rsidRDefault="00A7521D" w:rsidP="00A7521D">
      <w:pPr>
        <w:pStyle w:val="NoSpacing"/>
      </w:pPr>
      <w:r>
        <w:t xml:space="preserve"> </w:t>
      </w:r>
    </w:p>
    <w:p w14:paraId="7DF19C81" w14:textId="77777777" w:rsidR="00A7521D" w:rsidRDefault="00A7521D" w:rsidP="00A7521D">
      <w:pPr>
        <w:pStyle w:val="NoSpacing"/>
      </w:pPr>
      <w:r>
        <w:t>Exit For</w:t>
      </w:r>
    </w:p>
    <w:p w14:paraId="390E02CA" w14:textId="77777777" w:rsidR="00A7521D" w:rsidRDefault="00A7521D" w:rsidP="00A7521D">
      <w:pPr>
        <w:pStyle w:val="NoSpacing"/>
      </w:pPr>
    </w:p>
    <w:p w14:paraId="698DD805" w14:textId="77777777" w:rsidR="00A7521D" w:rsidRDefault="00A7521D" w:rsidP="00A7521D">
      <w:pPr>
        <w:pStyle w:val="NoSpacing"/>
      </w:pPr>
      <w:r>
        <w:t>End If</w:t>
      </w:r>
    </w:p>
    <w:p w14:paraId="01A53374" w14:textId="77777777" w:rsidR="00A7521D" w:rsidRDefault="00A7521D" w:rsidP="00A7521D">
      <w:pPr>
        <w:pStyle w:val="NoSpacing"/>
      </w:pPr>
    </w:p>
    <w:p w14:paraId="39B39161" w14:textId="77777777" w:rsidR="00A7521D" w:rsidRDefault="00A7521D" w:rsidP="00A7521D">
      <w:pPr>
        <w:pStyle w:val="NoSpacing"/>
      </w:pPr>
      <w:r>
        <w:lastRenderedPageBreak/>
        <w:t xml:space="preserve">Worksheets(1).Range("B2").Value = </w:t>
      </w:r>
      <w:proofErr w:type="spellStart"/>
      <w:r>
        <w:t>i</w:t>
      </w:r>
      <w:proofErr w:type="spellEnd"/>
      <w:r>
        <w:t xml:space="preserve"> - 3</w:t>
      </w:r>
    </w:p>
    <w:p w14:paraId="38DCFE79" w14:textId="77777777" w:rsidR="00A7521D" w:rsidRDefault="00A7521D" w:rsidP="00A7521D">
      <w:pPr>
        <w:pStyle w:val="NoSpacing"/>
      </w:pPr>
      <w:r>
        <w:t>Worksheets(2).Range("c2").Value = Worksheets(1).Cells(</w:t>
      </w:r>
      <w:proofErr w:type="spellStart"/>
      <w:r>
        <w:t>i</w:t>
      </w:r>
      <w:proofErr w:type="spellEnd"/>
      <w:r>
        <w:t>, 5).Value</w:t>
      </w:r>
    </w:p>
    <w:p w14:paraId="111B2ACC" w14:textId="77777777" w:rsidR="00A7521D" w:rsidRDefault="00A7521D" w:rsidP="00A7521D">
      <w:pPr>
        <w:pStyle w:val="NoSpacing"/>
      </w:pPr>
      <w:r>
        <w:t xml:space="preserve"> Worksheets(1).Cells(</w:t>
      </w:r>
      <w:proofErr w:type="spellStart"/>
      <w:r>
        <w:t>i</w:t>
      </w:r>
      <w:proofErr w:type="spellEnd"/>
      <w:r>
        <w:t>, 6).Value = Worksheets(3).Range("O4").Value</w:t>
      </w:r>
    </w:p>
    <w:p w14:paraId="5A45887C" w14:textId="77777777" w:rsidR="00A7521D" w:rsidRDefault="00A7521D" w:rsidP="00A7521D">
      <w:pPr>
        <w:pStyle w:val="NoSpacing"/>
      </w:pPr>
      <w:r>
        <w:t xml:space="preserve"> Worksheets(1).Cells(</w:t>
      </w:r>
      <w:proofErr w:type="spellStart"/>
      <w:r>
        <w:t>i</w:t>
      </w:r>
      <w:proofErr w:type="spellEnd"/>
      <w:r>
        <w:t>, 7).Value = Worksheets(3).Range("Q4").Value</w:t>
      </w:r>
    </w:p>
    <w:p w14:paraId="3891D59D" w14:textId="77777777" w:rsidR="00A7521D" w:rsidRDefault="00A7521D" w:rsidP="00A7521D">
      <w:pPr>
        <w:pStyle w:val="NoSpacing"/>
      </w:pPr>
      <w:r>
        <w:t xml:space="preserve"> Worksheets(1).Cells(</w:t>
      </w:r>
      <w:proofErr w:type="spellStart"/>
      <w:r>
        <w:t>i</w:t>
      </w:r>
      <w:proofErr w:type="spellEnd"/>
      <w:r>
        <w:t>, 8).Value = Worksheets(3).Range("R4").Value</w:t>
      </w:r>
    </w:p>
    <w:p w14:paraId="4DBCB656" w14:textId="77777777" w:rsidR="00A7521D" w:rsidRDefault="00A7521D" w:rsidP="00A7521D">
      <w:pPr>
        <w:pStyle w:val="NoSpacing"/>
      </w:pPr>
      <w:r>
        <w:t xml:space="preserve"> Worksheets(1).Cells(</w:t>
      </w:r>
      <w:proofErr w:type="spellStart"/>
      <w:r>
        <w:t>i</w:t>
      </w:r>
      <w:proofErr w:type="spellEnd"/>
      <w:r>
        <w:t>, 9).Value = Worksheets(3).Range("O5").Value</w:t>
      </w:r>
    </w:p>
    <w:p w14:paraId="5BABD3F6" w14:textId="77777777" w:rsidR="00A7521D" w:rsidRDefault="00A7521D" w:rsidP="00A7521D">
      <w:pPr>
        <w:pStyle w:val="NoSpacing"/>
      </w:pPr>
      <w:r>
        <w:t xml:space="preserve"> Worksheets(1).Cells(</w:t>
      </w:r>
      <w:proofErr w:type="spellStart"/>
      <w:r>
        <w:t>i</w:t>
      </w:r>
      <w:proofErr w:type="spellEnd"/>
      <w:r>
        <w:t>, 10).Value = Worksheets(3).Range("Q5").Value</w:t>
      </w:r>
    </w:p>
    <w:p w14:paraId="69EF7296" w14:textId="77777777" w:rsidR="00A7521D" w:rsidRDefault="00A7521D" w:rsidP="00A7521D">
      <w:pPr>
        <w:pStyle w:val="NoSpacing"/>
      </w:pPr>
      <w:r>
        <w:t xml:space="preserve"> Worksheets(1).Cells(</w:t>
      </w:r>
      <w:proofErr w:type="spellStart"/>
      <w:r>
        <w:t>i</w:t>
      </w:r>
      <w:proofErr w:type="spellEnd"/>
      <w:r>
        <w:t>, 11).Value = Worksheets(3).Range("R5").Value</w:t>
      </w:r>
    </w:p>
    <w:p w14:paraId="220BC5C0" w14:textId="77777777" w:rsidR="00A7521D" w:rsidRDefault="00A7521D" w:rsidP="00A7521D">
      <w:pPr>
        <w:pStyle w:val="NoSpacing"/>
      </w:pPr>
      <w:r>
        <w:t xml:space="preserve"> Worksheets(1).Cells(</w:t>
      </w:r>
      <w:proofErr w:type="spellStart"/>
      <w:r>
        <w:t>i</w:t>
      </w:r>
      <w:proofErr w:type="spellEnd"/>
      <w:r>
        <w:t>, 12).Value = Worksheets(3).Range("O6").Value</w:t>
      </w:r>
    </w:p>
    <w:p w14:paraId="38AE27C0" w14:textId="77777777" w:rsidR="00A7521D" w:rsidRDefault="00A7521D" w:rsidP="00A7521D">
      <w:pPr>
        <w:pStyle w:val="NoSpacing"/>
      </w:pPr>
      <w:r>
        <w:t xml:space="preserve"> Worksheets(1).Cells(</w:t>
      </w:r>
      <w:proofErr w:type="spellStart"/>
      <w:r>
        <w:t>i</w:t>
      </w:r>
      <w:proofErr w:type="spellEnd"/>
      <w:r>
        <w:t>, 13).Value = Worksheets(3).Range("Q6").Value</w:t>
      </w:r>
    </w:p>
    <w:p w14:paraId="0C37B1CB" w14:textId="77777777" w:rsidR="00A7521D" w:rsidRDefault="00A7521D" w:rsidP="00A7521D">
      <w:pPr>
        <w:pStyle w:val="NoSpacing"/>
      </w:pPr>
      <w:r>
        <w:t xml:space="preserve"> Worksheets(1).Cells(</w:t>
      </w:r>
      <w:proofErr w:type="spellStart"/>
      <w:r>
        <w:t>i</w:t>
      </w:r>
      <w:proofErr w:type="spellEnd"/>
      <w:r>
        <w:t>, 14).Value = Worksheets(3).Range("R6").Value</w:t>
      </w:r>
    </w:p>
    <w:p w14:paraId="4FAC5F55" w14:textId="77777777" w:rsidR="00A7521D" w:rsidRDefault="00A7521D" w:rsidP="00A7521D">
      <w:pPr>
        <w:pStyle w:val="NoSpacing"/>
      </w:pPr>
      <w:r>
        <w:t xml:space="preserve"> Worksheets(1).Cells(</w:t>
      </w:r>
      <w:proofErr w:type="spellStart"/>
      <w:r>
        <w:t>i</w:t>
      </w:r>
      <w:proofErr w:type="spellEnd"/>
      <w:r>
        <w:t>, 15).Value = Worksheets(3).Range("O7").Value</w:t>
      </w:r>
    </w:p>
    <w:p w14:paraId="22D22EA0" w14:textId="77777777" w:rsidR="00A7521D" w:rsidRDefault="00A7521D" w:rsidP="00A7521D">
      <w:pPr>
        <w:pStyle w:val="NoSpacing"/>
      </w:pPr>
      <w:r>
        <w:t xml:space="preserve"> Worksheets(1).Cells(</w:t>
      </w:r>
      <w:proofErr w:type="spellStart"/>
      <w:r>
        <w:t>i</w:t>
      </w:r>
      <w:proofErr w:type="spellEnd"/>
      <w:r>
        <w:t>, 16).Value = Worksheets(3).Range("Q7").Value</w:t>
      </w:r>
    </w:p>
    <w:p w14:paraId="7453756E" w14:textId="77777777" w:rsidR="00A7521D" w:rsidRDefault="00A7521D" w:rsidP="00A7521D">
      <w:pPr>
        <w:pStyle w:val="NoSpacing"/>
      </w:pPr>
      <w:r>
        <w:t xml:space="preserve"> Worksheets(1).Cells(</w:t>
      </w:r>
      <w:proofErr w:type="spellStart"/>
      <w:r>
        <w:t>i</w:t>
      </w:r>
      <w:proofErr w:type="spellEnd"/>
      <w:r>
        <w:t>, 17).Value = Worksheets(3).Range("R7").Value</w:t>
      </w:r>
    </w:p>
    <w:p w14:paraId="40CCFDD6" w14:textId="77777777" w:rsidR="00A7521D" w:rsidRDefault="00A7521D" w:rsidP="00A7521D">
      <w:pPr>
        <w:pStyle w:val="NoSpacing"/>
      </w:pPr>
      <w:r>
        <w:t xml:space="preserve"> Worksheets(1).Cells(</w:t>
      </w:r>
      <w:proofErr w:type="spellStart"/>
      <w:r>
        <w:t>i</w:t>
      </w:r>
      <w:proofErr w:type="spellEnd"/>
      <w:r>
        <w:t>, 18).Value = Worksheets(3).Range("O8").Value</w:t>
      </w:r>
    </w:p>
    <w:p w14:paraId="1332E4C5" w14:textId="77777777" w:rsidR="00A7521D" w:rsidRDefault="00A7521D" w:rsidP="00A7521D">
      <w:pPr>
        <w:pStyle w:val="NoSpacing"/>
      </w:pPr>
      <w:r>
        <w:t xml:space="preserve"> Worksheets(1).Cells(</w:t>
      </w:r>
      <w:proofErr w:type="spellStart"/>
      <w:r>
        <w:t>i</w:t>
      </w:r>
      <w:proofErr w:type="spellEnd"/>
      <w:r>
        <w:t>, 19).Value = Worksheets(3).Range("Q8").Value</w:t>
      </w:r>
    </w:p>
    <w:p w14:paraId="227F0DDE" w14:textId="77777777" w:rsidR="00A7521D" w:rsidRDefault="00A7521D" w:rsidP="00A7521D">
      <w:pPr>
        <w:pStyle w:val="NoSpacing"/>
      </w:pPr>
      <w:r>
        <w:t xml:space="preserve"> Worksheets(1).Cells(</w:t>
      </w:r>
      <w:proofErr w:type="spellStart"/>
      <w:r>
        <w:t>i</w:t>
      </w:r>
      <w:proofErr w:type="spellEnd"/>
      <w:r>
        <w:t>, 20).Value = Worksheets(3).Range("R8").Value</w:t>
      </w:r>
    </w:p>
    <w:p w14:paraId="7F43CF3E" w14:textId="77777777" w:rsidR="00A7521D" w:rsidRDefault="00A7521D" w:rsidP="00A7521D">
      <w:pPr>
        <w:pStyle w:val="NoSpacing"/>
      </w:pPr>
      <w:r>
        <w:t xml:space="preserve"> Worksheets(1).Cells(</w:t>
      </w:r>
      <w:proofErr w:type="spellStart"/>
      <w:r>
        <w:t>i</w:t>
      </w:r>
      <w:proofErr w:type="spellEnd"/>
      <w:r>
        <w:t>, 21).Value = Worksheets(3).Range("O9").Value</w:t>
      </w:r>
    </w:p>
    <w:p w14:paraId="6772764E" w14:textId="77777777" w:rsidR="00A7521D" w:rsidRDefault="00A7521D" w:rsidP="00A7521D">
      <w:pPr>
        <w:pStyle w:val="NoSpacing"/>
      </w:pPr>
      <w:r>
        <w:t xml:space="preserve"> Worksheets(1).Cells(</w:t>
      </w:r>
      <w:proofErr w:type="spellStart"/>
      <w:r>
        <w:t>i</w:t>
      </w:r>
      <w:proofErr w:type="spellEnd"/>
      <w:r>
        <w:t>, 22).Value = Worksheets(3).Range("Q9").Value</w:t>
      </w:r>
    </w:p>
    <w:p w14:paraId="2D31870C" w14:textId="77777777" w:rsidR="00A7521D" w:rsidRDefault="00A7521D" w:rsidP="00A7521D">
      <w:pPr>
        <w:pStyle w:val="NoSpacing"/>
      </w:pPr>
      <w:r>
        <w:t xml:space="preserve"> Worksheets(1).Cells(</w:t>
      </w:r>
      <w:proofErr w:type="spellStart"/>
      <w:r>
        <w:t>i</w:t>
      </w:r>
      <w:proofErr w:type="spellEnd"/>
      <w:r>
        <w:t>, 23).Value = Worksheets(3).Range("R9").Value</w:t>
      </w:r>
    </w:p>
    <w:p w14:paraId="6016A2BC" w14:textId="77777777" w:rsidR="00A7521D" w:rsidRDefault="00A7521D" w:rsidP="00A7521D">
      <w:pPr>
        <w:pStyle w:val="NoSpacing"/>
      </w:pPr>
      <w:r>
        <w:t xml:space="preserve"> Worksheets(1).Cells(</w:t>
      </w:r>
      <w:proofErr w:type="spellStart"/>
      <w:r>
        <w:t>i</w:t>
      </w:r>
      <w:proofErr w:type="spellEnd"/>
      <w:r>
        <w:t>, 24).Value = Worksheets(3).Range("O11").Value</w:t>
      </w:r>
    </w:p>
    <w:p w14:paraId="5F6DFC28" w14:textId="77777777" w:rsidR="00A7521D" w:rsidRDefault="00A7521D" w:rsidP="00A7521D">
      <w:pPr>
        <w:pStyle w:val="NoSpacing"/>
      </w:pPr>
      <w:r>
        <w:t xml:space="preserve"> Worksheets(1).Cells(</w:t>
      </w:r>
      <w:proofErr w:type="spellStart"/>
      <w:r>
        <w:t>i</w:t>
      </w:r>
      <w:proofErr w:type="spellEnd"/>
      <w:r>
        <w:t>, 25).Value = Worksheets(3).Range("Q11").Value</w:t>
      </w:r>
    </w:p>
    <w:p w14:paraId="196F8006" w14:textId="77777777" w:rsidR="00A7521D" w:rsidRDefault="00A7521D" w:rsidP="00A7521D">
      <w:pPr>
        <w:pStyle w:val="NoSpacing"/>
      </w:pPr>
      <w:r>
        <w:t xml:space="preserve"> Worksheets(1).Cells(</w:t>
      </w:r>
      <w:proofErr w:type="spellStart"/>
      <w:r>
        <w:t>i</w:t>
      </w:r>
      <w:proofErr w:type="spellEnd"/>
      <w:r>
        <w:t>, 26).Value = Worksheets(3).Range("R11").Value</w:t>
      </w:r>
    </w:p>
    <w:p w14:paraId="658F1276" w14:textId="77777777" w:rsidR="00A7521D" w:rsidRDefault="00A7521D" w:rsidP="00A7521D">
      <w:pPr>
        <w:pStyle w:val="NoSpacing"/>
      </w:pPr>
      <w:r>
        <w:t xml:space="preserve"> Worksheets(1).Cells(</w:t>
      </w:r>
      <w:proofErr w:type="spellStart"/>
      <w:r>
        <w:t>i</w:t>
      </w:r>
      <w:proofErr w:type="spellEnd"/>
      <w:r>
        <w:t>, 27).Value = Worksheets(3).Range("O12").Value</w:t>
      </w:r>
    </w:p>
    <w:p w14:paraId="3CC4201E" w14:textId="77777777" w:rsidR="00A7521D" w:rsidRDefault="00A7521D" w:rsidP="00A7521D">
      <w:pPr>
        <w:pStyle w:val="NoSpacing"/>
      </w:pPr>
      <w:r>
        <w:t xml:space="preserve"> Worksheets(1).Cells(</w:t>
      </w:r>
      <w:proofErr w:type="spellStart"/>
      <w:r>
        <w:t>i</w:t>
      </w:r>
      <w:proofErr w:type="spellEnd"/>
      <w:r>
        <w:t>, 28).Value = Worksheets(3).Range("Q12").Value</w:t>
      </w:r>
    </w:p>
    <w:p w14:paraId="4B110447" w14:textId="77777777" w:rsidR="00A7521D" w:rsidRDefault="00A7521D" w:rsidP="00A7521D">
      <w:pPr>
        <w:pStyle w:val="NoSpacing"/>
      </w:pPr>
      <w:r>
        <w:t xml:space="preserve"> Worksheets(1).Cells(</w:t>
      </w:r>
      <w:proofErr w:type="spellStart"/>
      <w:r>
        <w:t>i</w:t>
      </w:r>
      <w:proofErr w:type="spellEnd"/>
      <w:r>
        <w:t>, 29).Value = Worksheets(3).Range("R12").Value</w:t>
      </w:r>
    </w:p>
    <w:p w14:paraId="66DDE86A" w14:textId="77777777" w:rsidR="00A7521D" w:rsidRDefault="00A7521D" w:rsidP="00A7521D">
      <w:pPr>
        <w:pStyle w:val="NoSpacing"/>
      </w:pPr>
      <w:r>
        <w:t xml:space="preserve"> Worksheets(1).Cells(</w:t>
      </w:r>
      <w:proofErr w:type="spellStart"/>
      <w:r>
        <w:t>i</w:t>
      </w:r>
      <w:proofErr w:type="spellEnd"/>
      <w:r>
        <w:t>, 30).Value = Worksheets(3).Range("O13").Value</w:t>
      </w:r>
    </w:p>
    <w:p w14:paraId="6A2A156E" w14:textId="77777777" w:rsidR="00A7521D" w:rsidRDefault="00A7521D" w:rsidP="00A7521D">
      <w:pPr>
        <w:pStyle w:val="NoSpacing"/>
      </w:pPr>
      <w:r>
        <w:t xml:space="preserve"> Worksheets(1).Cells(</w:t>
      </w:r>
      <w:proofErr w:type="spellStart"/>
      <w:r>
        <w:t>i</w:t>
      </w:r>
      <w:proofErr w:type="spellEnd"/>
      <w:r>
        <w:t>, 31).Value = Worksheets(3).Range("Q13").Value</w:t>
      </w:r>
    </w:p>
    <w:p w14:paraId="6B84FE84" w14:textId="77777777" w:rsidR="00A7521D" w:rsidRDefault="00A7521D" w:rsidP="00A7521D">
      <w:pPr>
        <w:pStyle w:val="NoSpacing"/>
      </w:pPr>
      <w:r>
        <w:t xml:space="preserve"> Worksheets(1).Cells(</w:t>
      </w:r>
      <w:proofErr w:type="spellStart"/>
      <w:r>
        <w:t>i</w:t>
      </w:r>
      <w:proofErr w:type="spellEnd"/>
      <w:r>
        <w:t>, 32).Value = Worksheets(3).Range("R13").Value</w:t>
      </w:r>
    </w:p>
    <w:p w14:paraId="6824FAD2" w14:textId="77777777" w:rsidR="00A7521D" w:rsidRDefault="00A7521D" w:rsidP="00A7521D">
      <w:pPr>
        <w:pStyle w:val="NoSpacing"/>
      </w:pPr>
      <w:r>
        <w:t xml:space="preserve"> Worksheets(1).Cells(</w:t>
      </w:r>
      <w:proofErr w:type="spellStart"/>
      <w:r>
        <w:t>i</w:t>
      </w:r>
      <w:proofErr w:type="spellEnd"/>
      <w:r>
        <w:t>, 33).Value = Worksheets(3).Range("O14").Value</w:t>
      </w:r>
    </w:p>
    <w:p w14:paraId="6DB747A4" w14:textId="77777777" w:rsidR="00A7521D" w:rsidRDefault="00A7521D" w:rsidP="00A7521D">
      <w:pPr>
        <w:pStyle w:val="NoSpacing"/>
      </w:pPr>
      <w:r>
        <w:t xml:space="preserve"> Worksheets(1).Cells(</w:t>
      </w:r>
      <w:proofErr w:type="spellStart"/>
      <w:r>
        <w:t>i</w:t>
      </w:r>
      <w:proofErr w:type="spellEnd"/>
      <w:r>
        <w:t>, 34).Value = Worksheets(3).Range("Q14").Value</w:t>
      </w:r>
    </w:p>
    <w:p w14:paraId="2B445A5C" w14:textId="77777777" w:rsidR="00A7521D" w:rsidRDefault="00A7521D" w:rsidP="00A7521D">
      <w:pPr>
        <w:pStyle w:val="NoSpacing"/>
      </w:pPr>
      <w:r>
        <w:t xml:space="preserve"> Worksheets(1).Cells(</w:t>
      </w:r>
      <w:proofErr w:type="spellStart"/>
      <w:r>
        <w:t>i</w:t>
      </w:r>
      <w:proofErr w:type="spellEnd"/>
      <w:r>
        <w:t>, 35).Value = Worksheets(3).Range("R14").Value</w:t>
      </w:r>
    </w:p>
    <w:p w14:paraId="784B57F5" w14:textId="77777777" w:rsidR="00A7521D" w:rsidRDefault="00A7521D" w:rsidP="00A7521D">
      <w:pPr>
        <w:pStyle w:val="NoSpacing"/>
      </w:pPr>
      <w:r>
        <w:t xml:space="preserve"> Worksheets(1).Cells(</w:t>
      </w:r>
      <w:proofErr w:type="spellStart"/>
      <w:r>
        <w:t>i</w:t>
      </w:r>
      <w:proofErr w:type="spellEnd"/>
      <w:r>
        <w:t>, 36).Value = Worksheets(3).Range("O10").Value</w:t>
      </w:r>
    </w:p>
    <w:p w14:paraId="7D7A385A" w14:textId="77777777" w:rsidR="00A7521D" w:rsidRDefault="00A7521D" w:rsidP="00A7521D">
      <w:pPr>
        <w:pStyle w:val="NoSpacing"/>
      </w:pPr>
      <w:r>
        <w:t xml:space="preserve"> Worksheets(1).Cells(</w:t>
      </w:r>
      <w:proofErr w:type="spellStart"/>
      <w:r>
        <w:t>i</w:t>
      </w:r>
      <w:proofErr w:type="spellEnd"/>
      <w:r>
        <w:t>, 37).Value = Worksheets(3).Range("Q10").Value</w:t>
      </w:r>
    </w:p>
    <w:p w14:paraId="54D0D9B1" w14:textId="77777777" w:rsidR="00A7521D" w:rsidRDefault="00A7521D" w:rsidP="00A7521D">
      <w:pPr>
        <w:pStyle w:val="NoSpacing"/>
      </w:pPr>
      <w:r>
        <w:t xml:space="preserve"> Worksheets(1).Cells(</w:t>
      </w:r>
      <w:proofErr w:type="spellStart"/>
      <w:r>
        <w:t>i</w:t>
      </w:r>
      <w:proofErr w:type="spellEnd"/>
      <w:r>
        <w:t>, 38).Value = Worksheets(3).Range("R10").Value</w:t>
      </w:r>
    </w:p>
    <w:p w14:paraId="6B3C4506" w14:textId="77777777" w:rsidR="00A7521D" w:rsidRDefault="00A7521D" w:rsidP="00A7521D">
      <w:pPr>
        <w:pStyle w:val="NoSpacing"/>
      </w:pPr>
      <w:r>
        <w:t xml:space="preserve"> Worksheets(1).Cells(</w:t>
      </w:r>
      <w:proofErr w:type="spellStart"/>
      <w:r>
        <w:t>i</w:t>
      </w:r>
      <w:proofErr w:type="spellEnd"/>
      <w:r>
        <w:t>, 39).Value = Worksheets(3).Range("O16").Value</w:t>
      </w:r>
    </w:p>
    <w:p w14:paraId="0230DC56" w14:textId="77777777" w:rsidR="00A7521D" w:rsidRDefault="00A7521D" w:rsidP="00A7521D">
      <w:pPr>
        <w:pStyle w:val="NoSpacing"/>
      </w:pPr>
      <w:r>
        <w:t xml:space="preserve"> Worksheets(1).Cells(</w:t>
      </w:r>
      <w:proofErr w:type="spellStart"/>
      <w:r>
        <w:t>i</w:t>
      </w:r>
      <w:proofErr w:type="spellEnd"/>
      <w:r>
        <w:t>, 40).Value = Worksheets(3).Range("Q16").Value</w:t>
      </w:r>
    </w:p>
    <w:p w14:paraId="27818B1D" w14:textId="77777777" w:rsidR="00A7521D" w:rsidRDefault="00A7521D" w:rsidP="00A7521D">
      <w:pPr>
        <w:pStyle w:val="NoSpacing"/>
      </w:pPr>
      <w:r>
        <w:t xml:space="preserve"> Worksheets(1).Cells(</w:t>
      </w:r>
      <w:proofErr w:type="spellStart"/>
      <w:r>
        <w:t>i</w:t>
      </w:r>
      <w:proofErr w:type="spellEnd"/>
      <w:r>
        <w:t>, 41).Value = Worksheets(3).Range("R16").Value</w:t>
      </w:r>
    </w:p>
    <w:p w14:paraId="2FC29009" w14:textId="77777777" w:rsidR="00A7521D" w:rsidRDefault="00A7521D" w:rsidP="00A7521D">
      <w:pPr>
        <w:pStyle w:val="NoSpacing"/>
      </w:pPr>
      <w:r>
        <w:t xml:space="preserve"> Worksheets(1).Cells(</w:t>
      </w:r>
      <w:proofErr w:type="spellStart"/>
      <w:r>
        <w:t>i</w:t>
      </w:r>
      <w:proofErr w:type="spellEnd"/>
      <w:r>
        <w:t>, 42).Value = Worksheets(3).Range("O17").Value</w:t>
      </w:r>
    </w:p>
    <w:p w14:paraId="561C7219" w14:textId="77777777" w:rsidR="00A7521D" w:rsidRDefault="00A7521D" w:rsidP="00A7521D">
      <w:pPr>
        <w:pStyle w:val="NoSpacing"/>
      </w:pPr>
      <w:r>
        <w:t xml:space="preserve"> Worksheets(1).Cells(</w:t>
      </w:r>
      <w:proofErr w:type="spellStart"/>
      <w:r>
        <w:t>i</w:t>
      </w:r>
      <w:proofErr w:type="spellEnd"/>
      <w:r>
        <w:t>, 43).Value = Worksheets(3).Range("Q17").Value</w:t>
      </w:r>
    </w:p>
    <w:p w14:paraId="1C521834" w14:textId="77777777" w:rsidR="00A7521D" w:rsidRDefault="00A7521D" w:rsidP="00A7521D">
      <w:pPr>
        <w:pStyle w:val="NoSpacing"/>
      </w:pPr>
      <w:r>
        <w:t xml:space="preserve"> Worksheets(1).Cells(</w:t>
      </w:r>
      <w:proofErr w:type="spellStart"/>
      <w:r>
        <w:t>i</w:t>
      </w:r>
      <w:proofErr w:type="spellEnd"/>
      <w:r>
        <w:t>, 44).Value = Worksheets(3).Range("R17").Value</w:t>
      </w:r>
    </w:p>
    <w:p w14:paraId="147744AE" w14:textId="77777777" w:rsidR="00A7521D" w:rsidRDefault="00A7521D" w:rsidP="00A7521D">
      <w:pPr>
        <w:pStyle w:val="NoSpacing"/>
      </w:pPr>
      <w:r>
        <w:t xml:space="preserve"> Worksheets(1).Cells(</w:t>
      </w:r>
      <w:proofErr w:type="spellStart"/>
      <w:r>
        <w:t>i</w:t>
      </w:r>
      <w:proofErr w:type="spellEnd"/>
      <w:r>
        <w:t>, 45).Value = Worksheets(3).Range("O18").Value</w:t>
      </w:r>
    </w:p>
    <w:p w14:paraId="3E928D1F" w14:textId="77777777" w:rsidR="00A7521D" w:rsidRDefault="00A7521D" w:rsidP="00A7521D">
      <w:pPr>
        <w:pStyle w:val="NoSpacing"/>
      </w:pPr>
      <w:r>
        <w:t xml:space="preserve"> Worksheets(1).Cells(</w:t>
      </w:r>
      <w:proofErr w:type="spellStart"/>
      <w:r>
        <w:t>i</w:t>
      </w:r>
      <w:proofErr w:type="spellEnd"/>
      <w:r>
        <w:t>, 46).Value = Worksheets(3).Range("Q18").Value</w:t>
      </w:r>
    </w:p>
    <w:p w14:paraId="173CA3CC" w14:textId="77777777" w:rsidR="00A7521D" w:rsidRDefault="00A7521D" w:rsidP="00A7521D">
      <w:pPr>
        <w:pStyle w:val="NoSpacing"/>
      </w:pPr>
      <w:r>
        <w:t xml:space="preserve"> Worksheets(1).Cells(</w:t>
      </w:r>
      <w:proofErr w:type="spellStart"/>
      <w:r>
        <w:t>i</w:t>
      </w:r>
      <w:proofErr w:type="spellEnd"/>
      <w:r>
        <w:t>, 47).Value = Worksheets(3).Range("R18").Value</w:t>
      </w:r>
    </w:p>
    <w:p w14:paraId="0C64922B" w14:textId="77777777" w:rsidR="00A7521D" w:rsidRDefault="00A7521D" w:rsidP="00A7521D">
      <w:pPr>
        <w:pStyle w:val="NoSpacing"/>
      </w:pPr>
      <w:r>
        <w:t xml:space="preserve"> Worksheets(1).Cells(</w:t>
      </w:r>
      <w:proofErr w:type="spellStart"/>
      <w:r>
        <w:t>i</w:t>
      </w:r>
      <w:proofErr w:type="spellEnd"/>
      <w:r>
        <w:t>, 48).Value = Worksheets(3).Range("O19").Value</w:t>
      </w:r>
    </w:p>
    <w:p w14:paraId="094832EC" w14:textId="77777777" w:rsidR="00A7521D" w:rsidRDefault="00A7521D" w:rsidP="00A7521D">
      <w:pPr>
        <w:pStyle w:val="NoSpacing"/>
      </w:pPr>
      <w:r>
        <w:t xml:space="preserve"> Worksheets(1).Cells(</w:t>
      </w:r>
      <w:proofErr w:type="spellStart"/>
      <w:r>
        <w:t>i</w:t>
      </w:r>
      <w:proofErr w:type="spellEnd"/>
      <w:r>
        <w:t>, 49).Value = Worksheets(3).Range("Q19").Value</w:t>
      </w:r>
    </w:p>
    <w:p w14:paraId="31D63D29" w14:textId="77777777" w:rsidR="00A7521D" w:rsidRDefault="00A7521D" w:rsidP="00A7521D">
      <w:pPr>
        <w:pStyle w:val="NoSpacing"/>
      </w:pPr>
      <w:r>
        <w:t xml:space="preserve"> Worksheets(1).Cells(</w:t>
      </w:r>
      <w:proofErr w:type="spellStart"/>
      <w:r>
        <w:t>i</w:t>
      </w:r>
      <w:proofErr w:type="spellEnd"/>
      <w:r>
        <w:t>, 50).Value = Worksheets(3).Range("R19").Value</w:t>
      </w:r>
    </w:p>
    <w:p w14:paraId="02F514EE" w14:textId="77777777" w:rsidR="00A7521D" w:rsidRDefault="00A7521D" w:rsidP="00A7521D">
      <w:pPr>
        <w:pStyle w:val="NoSpacing"/>
      </w:pPr>
      <w:r>
        <w:t xml:space="preserve"> Worksheets(1).Cells(</w:t>
      </w:r>
      <w:proofErr w:type="spellStart"/>
      <w:r>
        <w:t>i</w:t>
      </w:r>
      <w:proofErr w:type="spellEnd"/>
      <w:r>
        <w:t>, 51).Value = Worksheets(4).Range("I4").Value</w:t>
      </w:r>
    </w:p>
    <w:p w14:paraId="0F30A96F" w14:textId="77777777" w:rsidR="00A7521D" w:rsidRDefault="00A7521D" w:rsidP="00A7521D">
      <w:pPr>
        <w:pStyle w:val="NoSpacing"/>
      </w:pPr>
      <w:r>
        <w:t xml:space="preserve"> Worksheets(1).Cells(</w:t>
      </w:r>
      <w:proofErr w:type="spellStart"/>
      <w:r>
        <w:t>i</w:t>
      </w:r>
      <w:proofErr w:type="spellEnd"/>
      <w:r>
        <w:t>, 52).Value = Worksheets(4).Range("N4").Value</w:t>
      </w:r>
    </w:p>
    <w:p w14:paraId="58E0B8EE" w14:textId="77777777" w:rsidR="00A7521D" w:rsidRDefault="00A7521D" w:rsidP="00A7521D">
      <w:pPr>
        <w:pStyle w:val="NoSpacing"/>
      </w:pPr>
      <w:r>
        <w:t xml:space="preserve"> Worksheets(1).Cells(</w:t>
      </w:r>
      <w:proofErr w:type="spellStart"/>
      <w:r>
        <w:t>i</w:t>
      </w:r>
      <w:proofErr w:type="spellEnd"/>
      <w:r>
        <w:t>, 53).Value = Worksheets(4).Range("S4").Value</w:t>
      </w:r>
    </w:p>
    <w:p w14:paraId="40235662" w14:textId="77777777" w:rsidR="00A7521D" w:rsidRDefault="00A7521D" w:rsidP="00A7521D">
      <w:pPr>
        <w:pStyle w:val="NoSpacing"/>
      </w:pPr>
      <w:r>
        <w:t xml:space="preserve"> Worksheets(1).Cells(</w:t>
      </w:r>
      <w:proofErr w:type="spellStart"/>
      <w:r>
        <w:t>i</w:t>
      </w:r>
      <w:proofErr w:type="spellEnd"/>
      <w:r>
        <w:t>, 54).Value = Worksheets(4).Range("D4").Value</w:t>
      </w:r>
    </w:p>
    <w:p w14:paraId="26B5B1DD" w14:textId="77777777" w:rsidR="00A7521D" w:rsidRDefault="00A7521D" w:rsidP="00A7521D">
      <w:pPr>
        <w:pStyle w:val="NoSpacing"/>
      </w:pPr>
      <w:r>
        <w:lastRenderedPageBreak/>
        <w:t xml:space="preserve"> Worksheets(1).Cells(</w:t>
      </w:r>
      <w:proofErr w:type="spellStart"/>
      <w:r>
        <w:t>i</w:t>
      </w:r>
      <w:proofErr w:type="spellEnd"/>
      <w:r>
        <w:t>, 55).Value = Worksheets(4).Range("X22").Value</w:t>
      </w:r>
    </w:p>
    <w:p w14:paraId="237530F8" w14:textId="77777777" w:rsidR="00A7521D" w:rsidRDefault="00A7521D" w:rsidP="00A7521D">
      <w:pPr>
        <w:pStyle w:val="NoSpacing"/>
      </w:pPr>
      <w:r>
        <w:t xml:space="preserve"> Worksheets(1).Cells(</w:t>
      </w:r>
      <w:proofErr w:type="spellStart"/>
      <w:r>
        <w:t>i</w:t>
      </w:r>
      <w:proofErr w:type="spellEnd"/>
      <w:r>
        <w:t>, 56).Value = Worksheets(4).Range("AR11").Value</w:t>
      </w:r>
    </w:p>
    <w:p w14:paraId="61E47115" w14:textId="77777777" w:rsidR="00A7521D" w:rsidRDefault="00A7521D" w:rsidP="00A7521D">
      <w:pPr>
        <w:pStyle w:val="NoSpacing"/>
      </w:pPr>
      <w:r>
        <w:t xml:space="preserve"> Worksheets(1).Cells(</w:t>
      </w:r>
      <w:proofErr w:type="spellStart"/>
      <w:r>
        <w:t>i</w:t>
      </w:r>
      <w:proofErr w:type="spellEnd"/>
      <w:r>
        <w:t>, 57).Value = Worksheets(4).Range("AM9").Value</w:t>
      </w:r>
    </w:p>
    <w:p w14:paraId="13D32E6A" w14:textId="77777777" w:rsidR="00A7521D" w:rsidRDefault="00A7521D" w:rsidP="00A7521D">
      <w:pPr>
        <w:pStyle w:val="NoSpacing"/>
      </w:pPr>
      <w:r>
        <w:t xml:space="preserve"> Worksheets(1).Cells(</w:t>
      </w:r>
      <w:proofErr w:type="spellStart"/>
      <w:r>
        <w:t>i</w:t>
      </w:r>
      <w:proofErr w:type="spellEnd"/>
      <w:r>
        <w:t>, 58).Value = Worksheets(4).Range("AC22").Value</w:t>
      </w:r>
    </w:p>
    <w:p w14:paraId="27A84EAF" w14:textId="77777777" w:rsidR="00A7521D" w:rsidRDefault="00A7521D" w:rsidP="00A7521D">
      <w:pPr>
        <w:pStyle w:val="NoSpacing"/>
      </w:pPr>
      <w:r>
        <w:t xml:space="preserve"> Worksheets(1).Cells(</w:t>
      </w:r>
      <w:proofErr w:type="spellStart"/>
      <w:r>
        <w:t>i</w:t>
      </w:r>
      <w:proofErr w:type="spellEnd"/>
      <w:r>
        <w:t>, 59).Value = Worksheets(4).Range("AH16").Value</w:t>
      </w:r>
    </w:p>
    <w:p w14:paraId="7EDF4F8F" w14:textId="77777777" w:rsidR="00A7521D" w:rsidRDefault="00A7521D" w:rsidP="00A7521D">
      <w:pPr>
        <w:pStyle w:val="NoSpacing"/>
      </w:pPr>
      <w:r>
        <w:t xml:space="preserve"> Worksheets(1).Cells(</w:t>
      </w:r>
      <w:proofErr w:type="spellStart"/>
      <w:r>
        <w:t>i</w:t>
      </w:r>
      <w:proofErr w:type="spellEnd"/>
      <w:r>
        <w:t>, 60).Value = Worksheets(4).Range("BL11").Value</w:t>
      </w:r>
    </w:p>
    <w:p w14:paraId="57FC25CC" w14:textId="77777777" w:rsidR="00A7521D" w:rsidRDefault="00A7521D" w:rsidP="00A7521D">
      <w:pPr>
        <w:pStyle w:val="NoSpacing"/>
      </w:pPr>
      <w:r>
        <w:t xml:space="preserve"> Worksheets(1).Cells(</w:t>
      </w:r>
      <w:proofErr w:type="spellStart"/>
      <w:r>
        <w:t>i</w:t>
      </w:r>
      <w:proofErr w:type="spellEnd"/>
      <w:r>
        <w:t>, 61).Value = Worksheets(4).Range("BG9").Value</w:t>
      </w:r>
    </w:p>
    <w:p w14:paraId="7F42DEE5" w14:textId="77777777" w:rsidR="00A7521D" w:rsidRDefault="00A7521D" w:rsidP="00A7521D">
      <w:pPr>
        <w:pStyle w:val="NoSpacing"/>
      </w:pPr>
      <w:r>
        <w:t xml:space="preserve"> Worksheets(1).Cells(</w:t>
      </w:r>
      <w:proofErr w:type="spellStart"/>
      <w:r>
        <w:t>i</w:t>
      </w:r>
      <w:proofErr w:type="spellEnd"/>
      <w:r>
        <w:t>, 62).Value = Worksheets(4).Range("AW22").Value</w:t>
      </w:r>
    </w:p>
    <w:p w14:paraId="436DE496" w14:textId="77777777" w:rsidR="00A7521D" w:rsidRDefault="00A7521D" w:rsidP="00A7521D">
      <w:pPr>
        <w:pStyle w:val="NoSpacing"/>
      </w:pPr>
      <w:r>
        <w:t xml:space="preserve"> Worksheets(1).Cells(</w:t>
      </w:r>
      <w:proofErr w:type="spellStart"/>
      <w:r>
        <w:t>i</w:t>
      </w:r>
      <w:proofErr w:type="spellEnd"/>
      <w:r>
        <w:t>, 63).Value = Worksheets(4).Range("BB16").Value</w:t>
      </w:r>
    </w:p>
    <w:p w14:paraId="69E72FD2" w14:textId="77777777" w:rsidR="00A7521D" w:rsidRDefault="00A7521D" w:rsidP="00A7521D">
      <w:pPr>
        <w:pStyle w:val="NoSpacing"/>
      </w:pPr>
    </w:p>
    <w:p w14:paraId="6522899E" w14:textId="77777777" w:rsidR="00A7521D" w:rsidRDefault="00A7521D" w:rsidP="00A7521D">
      <w:pPr>
        <w:pStyle w:val="NoSpacing"/>
      </w:pPr>
      <w:r>
        <w:t xml:space="preserve">Next </w:t>
      </w:r>
      <w:proofErr w:type="spellStart"/>
      <w:r>
        <w:t>i</w:t>
      </w:r>
      <w:proofErr w:type="spellEnd"/>
    </w:p>
    <w:p w14:paraId="790655AD" w14:textId="77777777" w:rsidR="00A7521D" w:rsidRDefault="00A7521D" w:rsidP="00A7521D">
      <w:pPr>
        <w:pStyle w:val="NoSpacing"/>
      </w:pPr>
    </w:p>
    <w:p w14:paraId="0311C18A" w14:textId="77777777" w:rsidR="00A7521D" w:rsidRPr="00191FD0" w:rsidRDefault="00A7521D" w:rsidP="00A7521D">
      <w:pPr>
        <w:pStyle w:val="NoSpacing"/>
      </w:pPr>
      <w:r>
        <w:t>End Sub</w:t>
      </w:r>
    </w:p>
    <w:p w14:paraId="5B3A8FFE" w14:textId="77777777" w:rsidR="00A7521D" w:rsidRPr="00A1306D" w:rsidRDefault="00A7521D" w:rsidP="00A7521D"/>
    <w:p w14:paraId="6A101936" w14:textId="20779FB6" w:rsidR="000F16EB" w:rsidRPr="00E37CB0" w:rsidRDefault="000F16EB" w:rsidP="002A6A73">
      <w:pPr>
        <w:jc w:val="left"/>
      </w:pPr>
    </w:p>
    <w:sectPr w:rsidR="000F16EB" w:rsidRPr="00E37CB0" w:rsidSect="008D7EF6">
      <w:headerReference w:type="even" r:id="rId62"/>
      <w:headerReference w:type="default" r:id="rId63"/>
      <w:footerReference w:type="even" r:id="rId64"/>
      <w:footerReference w:type="default" r:id="rId65"/>
      <w:headerReference w:type="first" r:id="rId66"/>
      <w:footerReference w:type="first" r:id="rId67"/>
      <w:pgSz w:w="11906" w:h="16838"/>
      <w:pgMar w:top="1440" w:right="1440" w:bottom="1440" w:left="226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6ECB32C" w14:textId="77777777" w:rsidR="008F5365" w:rsidRDefault="008F5365" w:rsidP="008629CA">
      <w:pPr>
        <w:spacing w:after="0" w:line="240" w:lineRule="auto"/>
      </w:pPr>
      <w:r>
        <w:separator/>
      </w:r>
    </w:p>
  </w:endnote>
  <w:endnote w:type="continuationSeparator" w:id="0">
    <w:p w14:paraId="767CC936" w14:textId="77777777" w:rsidR="008F5365" w:rsidRDefault="008F5365" w:rsidP="008629C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090E18" w14:textId="77777777" w:rsidR="00CB7456" w:rsidRDefault="00CB745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5DEDFA" w14:textId="77777777" w:rsidR="00CB7456" w:rsidRDefault="00CB745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DD384A" w14:textId="77777777" w:rsidR="00CB7456" w:rsidRDefault="00CB745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F356062" w14:textId="77777777" w:rsidR="008F5365" w:rsidRDefault="008F5365" w:rsidP="008629CA">
      <w:pPr>
        <w:spacing w:after="0" w:line="240" w:lineRule="auto"/>
      </w:pPr>
      <w:r>
        <w:separator/>
      </w:r>
    </w:p>
  </w:footnote>
  <w:footnote w:type="continuationSeparator" w:id="0">
    <w:p w14:paraId="117C79E7" w14:textId="77777777" w:rsidR="008F5365" w:rsidRDefault="008F5365" w:rsidP="008629C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16660347"/>
      <w:docPartObj>
        <w:docPartGallery w:val="Page Numbers (Top of Page)"/>
        <w:docPartUnique/>
      </w:docPartObj>
    </w:sdtPr>
    <w:sdtEndPr>
      <w:rPr>
        <w:color w:val="7F7F7F" w:themeColor="background1" w:themeShade="7F"/>
        <w:spacing w:val="60"/>
      </w:rPr>
    </w:sdtEndPr>
    <w:sdtContent>
      <w:p w14:paraId="2776A07F" w14:textId="77777777" w:rsidR="00CB7456" w:rsidRDefault="00CB7456">
        <w:pPr>
          <w:pStyle w:val="Header"/>
          <w:pBdr>
            <w:bottom w:val="single" w:sz="4" w:space="1" w:color="D9D9D9" w:themeColor="background1" w:themeShade="D9"/>
          </w:pBdr>
          <w:rPr>
            <w:b/>
            <w:bCs/>
          </w:rPr>
        </w:pPr>
        <w:r>
          <w:fldChar w:fldCharType="begin"/>
        </w:r>
        <w:r>
          <w:instrText xml:space="preserve"> PAGE   \* MERGEFORMAT </w:instrText>
        </w:r>
        <w:r>
          <w:fldChar w:fldCharType="separate"/>
        </w:r>
        <w:r>
          <w:rPr>
            <w:b/>
            <w:bCs/>
            <w:noProof/>
          </w:rPr>
          <w:t>2</w:t>
        </w:r>
        <w:r>
          <w:rPr>
            <w:b/>
            <w:bCs/>
            <w:noProof/>
          </w:rPr>
          <w:fldChar w:fldCharType="end"/>
        </w:r>
        <w:r>
          <w:rPr>
            <w:b/>
            <w:bCs/>
          </w:rPr>
          <w:t xml:space="preserve"> | </w:t>
        </w:r>
        <w:r>
          <w:rPr>
            <w:color w:val="7F7F7F" w:themeColor="background1" w:themeShade="7F"/>
            <w:spacing w:val="60"/>
          </w:rPr>
          <w:t>Page</w:t>
        </w:r>
      </w:p>
    </w:sdtContent>
  </w:sdt>
  <w:p w14:paraId="0CF7F4DE" w14:textId="77777777" w:rsidR="00CB7456" w:rsidRDefault="00CB745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65485366"/>
      <w:docPartObj>
        <w:docPartGallery w:val="Page Numbers (Top of Page)"/>
        <w:docPartUnique/>
      </w:docPartObj>
    </w:sdtPr>
    <w:sdtEndPr>
      <w:rPr>
        <w:color w:val="7F7F7F" w:themeColor="background1" w:themeShade="7F"/>
        <w:spacing w:val="60"/>
      </w:rPr>
    </w:sdtEndPr>
    <w:sdtContent>
      <w:p w14:paraId="389A359C" w14:textId="77777777" w:rsidR="00CB7456" w:rsidRDefault="00CB7456">
        <w:pPr>
          <w:pStyle w:val="Header"/>
          <w:pBdr>
            <w:bottom w:val="single" w:sz="4" w:space="1" w:color="D9D9D9" w:themeColor="background1" w:themeShade="D9"/>
          </w:pBdr>
          <w:rPr>
            <w:b/>
            <w:bCs/>
          </w:rPr>
        </w:pPr>
        <w:r>
          <w:fldChar w:fldCharType="begin"/>
        </w:r>
        <w:r>
          <w:instrText xml:space="preserve"> PAGE   \* MERGEFORMAT </w:instrText>
        </w:r>
        <w:r>
          <w:fldChar w:fldCharType="separate"/>
        </w:r>
        <w:r>
          <w:rPr>
            <w:b/>
            <w:bCs/>
            <w:noProof/>
          </w:rPr>
          <w:t>2</w:t>
        </w:r>
        <w:r>
          <w:rPr>
            <w:b/>
            <w:bCs/>
            <w:noProof/>
          </w:rPr>
          <w:fldChar w:fldCharType="end"/>
        </w:r>
        <w:r>
          <w:rPr>
            <w:b/>
            <w:bCs/>
          </w:rPr>
          <w:t xml:space="preserve"> | </w:t>
        </w:r>
        <w:r>
          <w:rPr>
            <w:color w:val="7F7F7F" w:themeColor="background1" w:themeShade="7F"/>
            <w:spacing w:val="60"/>
          </w:rPr>
          <w:t>Page</w:t>
        </w:r>
      </w:p>
    </w:sdtContent>
  </w:sdt>
  <w:p w14:paraId="0F077D16" w14:textId="77777777" w:rsidR="00CB7456" w:rsidRDefault="00CB745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BC40079" w14:textId="77777777" w:rsidR="00CB7456" w:rsidRDefault="00CB7456">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45096765"/>
      <w:docPartObj>
        <w:docPartGallery w:val="Page Numbers (Top of Page)"/>
        <w:docPartUnique/>
      </w:docPartObj>
    </w:sdtPr>
    <w:sdtEndPr>
      <w:rPr>
        <w:color w:val="7F7F7F" w:themeColor="background1" w:themeShade="7F"/>
        <w:spacing w:val="60"/>
      </w:rPr>
    </w:sdtEndPr>
    <w:sdtContent>
      <w:p w14:paraId="524A7CDC" w14:textId="66F8E6B5" w:rsidR="00CB7456" w:rsidRDefault="00CB7456">
        <w:pPr>
          <w:pStyle w:val="Header"/>
          <w:pBdr>
            <w:bottom w:val="single" w:sz="4" w:space="1" w:color="D9D9D9" w:themeColor="background1" w:themeShade="D9"/>
          </w:pBdr>
          <w:rPr>
            <w:b/>
            <w:bCs/>
          </w:rPr>
        </w:pPr>
        <w:r>
          <w:fldChar w:fldCharType="begin"/>
        </w:r>
        <w:r>
          <w:instrText xml:space="preserve"> PAGE   \* MERGEFORMAT </w:instrText>
        </w:r>
        <w:r>
          <w:fldChar w:fldCharType="separate"/>
        </w:r>
        <w:r>
          <w:rPr>
            <w:b/>
            <w:bCs/>
            <w:noProof/>
          </w:rPr>
          <w:t>2</w:t>
        </w:r>
        <w:r>
          <w:rPr>
            <w:b/>
            <w:bCs/>
            <w:noProof/>
          </w:rPr>
          <w:fldChar w:fldCharType="end"/>
        </w:r>
        <w:r>
          <w:rPr>
            <w:b/>
            <w:bCs/>
          </w:rPr>
          <w:t xml:space="preserve"> | </w:t>
        </w:r>
        <w:r>
          <w:rPr>
            <w:color w:val="7F7F7F" w:themeColor="background1" w:themeShade="7F"/>
            <w:spacing w:val="60"/>
          </w:rPr>
          <w:t>Page</w:t>
        </w:r>
      </w:p>
    </w:sdtContent>
  </w:sdt>
  <w:p w14:paraId="72A34F79" w14:textId="77777777" w:rsidR="00CB7456" w:rsidRDefault="00CB7456">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B83018" w14:textId="77777777" w:rsidR="00CB7456" w:rsidRDefault="00CB745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8D7F8C"/>
    <w:multiLevelType w:val="hybridMultilevel"/>
    <w:tmpl w:val="BE787A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31735FD"/>
    <w:multiLevelType w:val="hybridMultilevel"/>
    <w:tmpl w:val="EFDA46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5CE70A8"/>
    <w:multiLevelType w:val="hybridMultilevel"/>
    <w:tmpl w:val="43B856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7E64206"/>
    <w:multiLevelType w:val="hybridMultilevel"/>
    <w:tmpl w:val="864231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EED5693"/>
    <w:multiLevelType w:val="hybridMultilevel"/>
    <w:tmpl w:val="06E4A7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04E453D"/>
    <w:multiLevelType w:val="hybridMultilevel"/>
    <w:tmpl w:val="DC424E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9725A96"/>
    <w:multiLevelType w:val="hybridMultilevel"/>
    <w:tmpl w:val="F452B4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C3C54E1"/>
    <w:multiLevelType w:val="hybridMultilevel"/>
    <w:tmpl w:val="F3E085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D88243B"/>
    <w:multiLevelType w:val="hybridMultilevel"/>
    <w:tmpl w:val="AF9ECC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20E3366"/>
    <w:multiLevelType w:val="hybridMultilevel"/>
    <w:tmpl w:val="FF1EB200"/>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22170BD9"/>
    <w:multiLevelType w:val="multilevel"/>
    <w:tmpl w:val="FEA6BB1E"/>
    <w:styleLink w:val="Style1"/>
    <w:lvl w:ilvl="0">
      <w:start w:val="1"/>
      <w:numFmt w:val="decimal"/>
      <w:lvlText w:val="%1"/>
      <w:lvlJc w:val="left"/>
      <w:pPr>
        <w:ind w:left="432" w:hanging="432"/>
      </w:pPr>
    </w:lvl>
    <w:lvl w:ilvl="1">
      <w:start w:val="1"/>
      <w:numFmt w:val="decimal"/>
      <w:lvlText w:val="%1.%2"/>
      <w:lvlJc w:val="left"/>
      <w:pPr>
        <w:ind w:left="576" w:hanging="576"/>
      </w:pPr>
      <w:rPr>
        <w:color w:val="auto"/>
      </w:rPr>
    </w:lvl>
    <w:lvl w:ilvl="2">
      <w:start w:val="1"/>
      <w:numFmt w:val="decimal"/>
      <w:lvlText w:val="%1.%2.%3"/>
      <w:lvlJc w:val="left"/>
      <w:pPr>
        <w:ind w:left="720" w:hanging="720"/>
      </w:pPr>
      <w:rPr>
        <w:color w:val="auto"/>
      </w:rPr>
    </w:lvl>
    <w:lvl w:ilvl="3">
      <w:start w:val="1"/>
      <w:numFmt w:val="decimal"/>
      <w:lvlText w:val="%1.%2.%3.%4"/>
      <w:lvlJc w:val="left"/>
      <w:pPr>
        <w:ind w:left="864" w:hanging="864"/>
      </w:pPr>
    </w:lvl>
    <w:lvl w:ilvl="4">
      <w:start w:val="1"/>
      <w:numFmt w:val="lowerLetter"/>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1" w15:restartNumberingAfterBreak="0">
    <w:nsid w:val="25475423"/>
    <w:multiLevelType w:val="hybridMultilevel"/>
    <w:tmpl w:val="EBDAB574"/>
    <w:lvl w:ilvl="0" w:tplc="C9E6061A">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25A436E7"/>
    <w:multiLevelType w:val="hybridMultilevel"/>
    <w:tmpl w:val="EA2672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5AF6107"/>
    <w:multiLevelType w:val="hybridMultilevel"/>
    <w:tmpl w:val="0526E1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60420A9"/>
    <w:multiLevelType w:val="hybridMultilevel"/>
    <w:tmpl w:val="78F4C6EA"/>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272565DD"/>
    <w:multiLevelType w:val="hybridMultilevel"/>
    <w:tmpl w:val="20302B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8C66C9C"/>
    <w:multiLevelType w:val="hybridMultilevel"/>
    <w:tmpl w:val="BBB45F8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7" w15:restartNumberingAfterBreak="0">
    <w:nsid w:val="29F0118C"/>
    <w:multiLevelType w:val="hybridMultilevel"/>
    <w:tmpl w:val="AE4ABC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A071A53"/>
    <w:multiLevelType w:val="hybridMultilevel"/>
    <w:tmpl w:val="3A368438"/>
    <w:lvl w:ilvl="0" w:tplc="C9E6061A">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2B39536A"/>
    <w:multiLevelType w:val="hybridMultilevel"/>
    <w:tmpl w:val="915CE5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2FCE1E53"/>
    <w:multiLevelType w:val="hybridMultilevel"/>
    <w:tmpl w:val="F5A2F7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0590E7F"/>
    <w:multiLevelType w:val="hybridMultilevel"/>
    <w:tmpl w:val="A172FB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36C42EEF"/>
    <w:multiLevelType w:val="hybridMultilevel"/>
    <w:tmpl w:val="A5B452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78520D3"/>
    <w:multiLevelType w:val="hybridMultilevel"/>
    <w:tmpl w:val="DFA422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387F1D17"/>
    <w:multiLevelType w:val="hybridMultilevel"/>
    <w:tmpl w:val="754E9310"/>
    <w:lvl w:ilvl="0" w:tplc="B67EB488">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3B904B5C"/>
    <w:multiLevelType w:val="hybridMultilevel"/>
    <w:tmpl w:val="AD7020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3C042C5C"/>
    <w:multiLevelType w:val="hybridMultilevel"/>
    <w:tmpl w:val="25B85E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17B5289"/>
    <w:multiLevelType w:val="hybridMultilevel"/>
    <w:tmpl w:val="2A30E0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64A37DA"/>
    <w:multiLevelType w:val="hybridMultilevel"/>
    <w:tmpl w:val="D706B9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4714083B"/>
    <w:multiLevelType w:val="hybridMultilevel"/>
    <w:tmpl w:val="BD54E70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0" w15:restartNumberingAfterBreak="0">
    <w:nsid w:val="484306EA"/>
    <w:multiLevelType w:val="hybridMultilevel"/>
    <w:tmpl w:val="E21E51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4AB82BF4"/>
    <w:multiLevelType w:val="hybridMultilevel"/>
    <w:tmpl w:val="C58E4E58"/>
    <w:lvl w:ilvl="0" w:tplc="D874593A">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4BFB1D5F"/>
    <w:multiLevelType w:val="hybridMultilevel"/>
    <w:tmpl w:val="E4621D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50D6740D"/>
    <w:multiLevelType w:val="hybridMultilevel"/>
    <w:tmpl w:val="B8007A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534A13FA"/>
    <w:multiLevelType w:val="hybridMultilevel"/>
    <w:tmpl w:val="E8B63DB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632F448A"/>
    <w:multiLevelType w:val="multilevel"/>
    <w:tmpl w:val="29EEEA14"/>
    <w:lvl w:ilvl="0">
      <w:start w:val="1"/>
      <w:numFmt w:val="decimal"/>
      <w:pStyle w:val="Heading1"/>
      <w:suff w:val="space"/>
      <w:lvlText w:val="%1"/>
      <w:lvlJc w:val="left"/>
      <w:pPr>
        <w:ind w:left="432" w:hanging="432"/>
      </w:pPr>
      <w:rPr>
        <w:rFonts w:hint="default"/>
      </w:rPr>
    </w:lvl>
    <w:lvl w:ilvl="1">
      <w:start w:val="1"/>
      <w:numFmt w:val="decimal"/>
      <w:pStyle w:val="Heading2"/>
      <w:suff w:val="space"/>
      <w:lvlText w:val="%1.%2"/>
      <w:lvlJc w:val="left"/>
      <w:pPr>
        <w:ind w:left="576" w:hanging="576"/>
      </w:pPr>
      <w:rPr>
        <w:rFonts w:hint="default"/>
        <w:color w:val="auto"/>
      </w:rPr>
    </w:lvl>
    <w:lvl w:ilvl="2">
      <w:start w:val="1"/>
      <w:numFmt w:val="decimal"/>
      <w:pStyle w:val="Heading3"/>
      <w:suff w:val="space"/>
      <w:lvlText w:val="%1.%2.%3"/>
      <w:lvlJc w:val="left"/>
      <w:pPr>
        <w:ind w:left="720" w:hanging="720"/>
      </w:pPr>
      <w:rPr>
        <w:rFonts w:hint="default"/>
        <w:color w:val="auto"/>
      </w:rPr>
    </w:lvl>
    <w:lvl w:ilvl="3">
      <w:start w:val="1"/>
      <w:numFmt w:val="decimal"/>
      <w:pStyle w:val="Heading4"/>
      <w:suff w:val="space"/>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36" w15:restartNumberingAfterBreak="0">
    <w:nsid w:val="69B33E58"/>
    <w:multiLevelType w:val="hybridMultilevel"/>
    <w:tmpl w:val="A75CEE9E"/>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6F6951DA"/>
    <w:multiLevelType w:val="hybridMultilevel"/>
    <w:tmpl w:val="BF2A3F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6FD33DDE"/>
    <w:multiLevelType w:val="hybridMultilevel"/>
    <w:tmpl w:val="5D8AD5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71337731"/>
    <w:multiLevelType w:val="hybridMultilevel"/>
    <w:tmpl w:val="DB04A7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721C6CEC"/>
    <w:multiLevelType w:val="hybridMultilevel"/>
    <w:tmpl w:val="BD52736A"/>
    <w:lvl w:ilvl="0" w:tplc="08090001">
      <w:start w:val="1"/>
      <w:numFmt w:val="bullet"/>
      <w:lvlText w:val=""/>
      <w:lvlJc w:val="left"/>
      <w:pPr>
        <w:ind w:left="3600" w:hanging="360"/>
      </w:pPr>
      <w:rPr>
        <w:rFonts w:ascii="Symbol" w:hAnsi="Symbol" w:hint="default"/>
      </w:rPr>
    </w:lvl>
    <w:lvl w:ilvl="1" w:tplc="08090003" w:tentative="1">
      <w:start w:val="1"/>
      <w:numFmt w:val="bullet"/>
      <w:lvlText w:val="o"/>
      <w:lvlJc w:val="left"/>
      <w:pPr>
        <w:ind w:left="4320" w:hanging="360"/>
      </w:pPr>
      <w:rPr>
        <w:rFonts w:ascii="Courier New" w:hAnsi="Courier New" w:cs="Courier New" w:hint="default"/>
      </w:rPr>
    </w:lvl>
    <w:lvl w:ilvl="2" w:tplc="08090005" w:tentative="1">
      <w:start w:val="1"/>
      <w:numFmt w:val="bullet"/>
      <w:lvlText w:val=""/>
      <w:lvlJc w:val="left"/>
      <w:pPr>
        <w:ind w:left="5040" w:hanging="360"/>
      </w:pPr>
      <w:rPr>
        <w:rFonts w:ascii="Wingdings" w:hAnsi="Wingdings" w:hint="default"/>
      </w:rPr>
    </w:lvl>
    <w:lvl w:ilvl="3" w:tplc="08090001" w:tentative="1">
      <w:start w:val="1"/>
      <w:numFmt w:val="bullet"/>
      <w:lvlText w:val=""/>
      <w:lvlJc w:val="left"/>
      <w:pPr>
        <w:ind w:left="5760" w:hanging="360"/>
      </w:pPr>
      <w:rPr>
        <w:rFonts w:ascii="Symbol" w:hAnsi="Symbol" w:hint="default"/>
      </w:rPr>
    </w:lvl>
    <w:lvl w:ilvl="4" w:tplc="08090003" w:tentative="1">
      <w:start w:val="1"/>
      <w:numFmt w:val="bullet"/>
      <w:lvlText w:val="o"/>
      <w:lvlJc w:val="left"/>
      <w:pPr>
        <w:ind w:left="6480" w:hanging="360"/>
      </w:pPr>
      <w:rPr>
        <w:rFonts w:ascii="Courier New" w:hAnsi="Courier New" w:cs="Courier New" w:hint="default"/>
      </w:rPr>
    </w:lvl>
    <w:lvl w:ilvl="5" w:tplc="08090005" w:tentative="1">
      <w:start w:val="1"/>
      <w:numFmt w:val="bullet"/>
      <w:lvlText w:val=""/>
      <w:lvlJc w:val="left"/>
      <w:pPr>
        <w:ind w:left="7200" w:hanging="360"/>
      </w:pPr>
      <w:rPr>
        <w:rFonts w:ascii="Wingdings" w:hAnsi="Wingdings" w:hint="default"/>
      </w:rPr>
    </w:lvl>
    <w:lvl w:ilvl="6" w:tplc="08090001" w:tentative="1">
      <w:start w:val="1"/>
      <w:numFmt w:val="bullet"/>
      <w:lvlText w:val=""/>
      <w:lvlJc w:val="left"/>
      <w:pPr>
        <w:ind w:left="7920" w:hanging="360"/>
      </w:pPr>
      <w:rPr>
        <w:rFonts w:ascii="Symbol" w:hAnsi="Symbol" w:hint="default"/>
      </w:rPr>
    </w:lvl>
    <w:lvl w:ilvl="7" w:tplc="08090003" w:tentative="1">
      <w:start w:val="1"/>
      <w:numFmt w:val="bullet"/>
      <w:lvlText w:val="o"/>
      <w:lvlJc w:val="left"/>
      <w:pPr>
        <w:ind w:left="8640" w:hanging="360"/>
      </w:pPr>
      <w:rPr>
        <w:rFonts w:ascii="Courier New" w:hAnsi="Courier New" w:cs="Courier New" w:hint="default"/>
      </w:rPr>
    </w:lvl>
    <w:lvl w:ilvl="8" w:tplc="08090005" w:tentative="1">
      <w:start w:val="1"/>
      <w:numFmt w:val="bullet"/>
      <w:lvlText w:val=""/>
      <w:lvlJc w:val="left"/>
      <w:pPr>
        <w:ind w:left="9360" w:hanging="360"/>
      </w:pPr>
      <w:rPr>
        <w:rFonts w:ascii="Wingdings" w:hAnsi="Wingdings" w:hint="default"/>
      </w:rPr>
    </w:lvl>
  </w:abstractNum>
  <w:abstractNum w:abstractNumId="41" w15:restartNumberingAfterBreak="0">
    <w:nsid w:val="723A7C2D"/>
    <w:multiLevelType w:val="hybridMultilevel"/>
    <w:tmpl w:val="77BE1D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765A27E9"/>
    <w:multiLevelType w:val="hybridMultilevel"/>
    <w:tmpl w:val="B28AFBF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7A450ADC"/>
    <w:multiLevelType w:val="hybridMultilevel"/>
    <w:tmpl w:val="7716F0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7A6B2B1E"/>
    <w:multiLevelType w:val="hybridMultilevel"/>
    <w:tmpl w:val="D2523A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7ADB7D42"/>
    <w:multiLevelType w:val="hybridMultilevel"/>
    <w:tmpl w:val="2592CF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7DC42840"/>
    <w:multiLevelType w:val="hybridMultilevel"/>
    <w:tmpl w:val="D4A2EF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7EDB785D"/>
    <w:multiLevelType w:val="hybridMultilevel"/>
    <w:tmpl w:val="A8A4048E"/>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num w:numId="1">
    <w:abstractNumId w:val="35"/>
  </w:num>
  <w:num w:numId="2">
    <w:abstractNumId w:val="10"/>
  </w:num>
  <w:num w:numId="3">
    <w:abstractNumId w:val="34"/>
  </w:num>
  <w:num w:numId="4">
    <w:abstractNumId w:val="42"/>
  </w:num>
  <w:num w:numId="5">
    <w:abstractNumId w:val="3"/>
  </w:num>
  <w:num w:numId="6">
    <w:abstractNumId w:val="26"/>
  </w:num>
  <w:num w:numId="7">
    <w:abstractNumId w:val="29"/>
  </w:num>
  <w:num w:numId="8">
    <w:abstractNumId w:val="36"/>
  </w:num>
  <w:num w:numId="9">
    <w:abstractNumId w:val="39"/>
  </w:num>
  <w:num w:numId="10">
    <w:abstractNumId w:val="43"/>
  </w:num>
  <w:num w:numId="11">
    <w:abstractNumId w:val="20"/>
  </w:num>
  <w:num w:numId="12">
    <w:abstractNumId w:val="15"/>
  </w:num>
  <w:num w:numId="13">
    <w:abstractNumId w:val="7"/>
  </w:num>
  <w:num w:numId="14">
    <w:abstractNumId w:val="16"/>
  </w:num>
  <w:num w:numId="15">
    <w:abstractNumId w:val="47"/>
  </w:num>
  <w:num w:numId="16">
    <w:abstractNumId w:val="23"/>
  </w:num>
  <w:num w:numId="17">
    <w:abstractNumId w:val="6"/>
  </w:num>
  <w:num w:numId="18">
    <w:abstractNumId w:val="46"/>
  </w:num>
  <w:num w:numId="19">
    <w:abstractNumId w:val="2"/>
  </w:num>
  <w:num w:numId="20">
    <w:abstractNumId w:val="38"/>
  </w:num>
  <w:num w:numId="21">
    <w:abstractNumId w:val="37"/>
  </w:num>
  <w:num w:numId="22">
    <w:abstractNumId w:val="18"/>
  </w:num>
  <w:num w:numId="23">
    <w:abstractNumId w:val="11"/>
  </w:num>
  <w:num w:numId="24">
    <w:abstractNumId w:val="31"/>
  </w:num>
  <w:num w:numId="25">
    <w:abstractNumId w:val="9"/>
  </w:num>
  <w:num w:numId="26">
    <w:abstractNumId w:val="14"/>
  </w:num>
  <w:num w:numId="27">
    <w:abstractNumId w:val="30"/>
  </w:num>
  <w:num w:numId="28">
    <w:abstractNumId w:val="27"/>
  </w:num>
  <w:num w:numId="29">
    <w:abstractNumId w:val="33"/>
  </w:num>
  <w:num w:numId="30">
    <w:abstractNumId w:val="25"/>
  </w:num>
  <w:num w:numId="31">
    <w:abstractNumId w:val="0"/>
  </w:num>
  <w:num w:numId="32">
    <w:abstractNumId w:val="8"/>
  </w:num>
  <w:num w:numId="33">
    <w:abstractNumId w:val="1"/>
  </w:num>
  <w:num w:numId="34">
    <w:abstractNumId w:val="19"/>
  </w:num>
  <w:num w:numId="35">
    <w:abstractNumId w:val="45"/>
  </w:num>
  <w:num w:numId="36">
    <w:abstractNumId w:val="40"/>
  </w:num>
  <w:num w:numId="37">
    <w:abstractNumId w:val="21"/>
  </w:num>
  <w:num w:numId="38">
    <w:abstractNumId w:val="13"/>
  </w:num>
  <w:num w:numId="39">
    <w:abstractNumId w:val="24"/>
  </w:num>
  <w:num w:numId="40">
    <w:abstractNumId w:val="12"/>
  </w:num>
  <w:num w:numId="41">
    <w:abstractNumId w:val="32"/>
  </w:num>
  <w:num w:numId="42">
    <w:abstractNumId w:val="22"/>
  </w:num>
  <w:num w:numId="43">
    <w:abstractNumId w:val="44"/>
  </w:num>
  <w:num w:numId="44">
    <w:abstractNumId w:val="28"/>
  </w:num>
  <w:num w:numId="45">
    <w:abstractNumId w:val="41"/>
  </w:num>
  <w:num w:numId="46">
    <w:abstractNumId w:val="17"/>
  </w:num>
  <w:num w:numId="47">
    <w:abstractNumId w:val="5"/>
  </w:num>
  <w:num w:numId="48">
    <w:abstractNumId w:val="4"/>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mirrorMargins/>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D7E34"/>
    <w:rsid w:val="000002E7"/>
    <w:rsid w:val="000034AD"/>
    <w:rsid w:val="000057DD"/>
    <w:rsid w:val="00011008"/>
    <w:rsid w:val="000114DD"/>
    <w:rsid w:val="00012847"/>
    <w:rsid w:val="00031E64"/>
    <w:rsid w:val="000345DC"/>
    <w:rsid w:val="00037262"/>
    <w:rsid w:val="00055217"/>
    <w:rsid w:val="00057415"/>
    <w:rsid w:val="00060329"/>
    <w:rsid w:val="0006458A"/>
    <w:rsid w:val="000678BB"/>
    <w:rsid w:val="00070B22"/>
    <w:rsid w:val="000721BD"/>
    <w:rsid w:val="00072536"/>
    <w:rsid w:val="00074EDC"/>
    <w:rsid w:val="00075C0F"/>
    <w:rsid w:val="00080B98"/>
    <w:rsid w:val="0008597A"/>
    <w:rsid w:val="000865F0"/>
    <w:rsid w:val="00093AF6"/>
    <w:rsid w:val="00097395"/>
    <w:rsid w:val="000A00A8"/>
    <w:rsid w:val="000A578D"/>
    <w:rsid w:val="000B1933"/>
    <w:rsid w:val="000C07DD"/>
    <w:rsid w:val="000C2689"/>
    <w:rsid w:val="000C3B0B"/>
    <w:rsid w:val="000C4723"/>
    <w:rsid w:val="000C7712"/>
    <w:rsid w:val="000C7935"/>
    <w:rsid w:val="000D2425"/>
    <w:rsid w:val="000D54CA"/>
    <w:rsid w:val="000D5C98"/>
    <w:rsid w:val="000E4CD0"/>
    <w:rsid w:val="000F16EB"/>
    <w:rsid w:val="000F5D9B"/>
    <w:rsid w:val="00100519"/>
    <w:rsid w:val="0010261B"/>
    <w:rsid w:val="00102783"/>
    <w:rsid w:val="00106763"/>
    <w:rsid w:val="00112D81"/>
    <w:rsid w:val="00113F06"/>
    <w:rsid w:val="001144C0"/>
    <w:rsid w:val="00121699"/>
    <w:rsid w:val="00124202"/>
    <w:rsid w:val="00124390"/>
    <w:rsid w:val="0013392C"/>
    <w:rsid w:val="00137F90"/>
    <w:rsid w:val="001410DF"/>
    <w:rsid w:val="0014182B"/>
    <w:rsid w:val="0014747A"/>
    <w:rsid w:val="00147AEE"/>
    <w:rsid w:val="00151243"/>
    <w:rsid w:val="00151C3A"/>
    <w:rsid w:val="001525C6"/>
    <w:rsid w:val="00153C21"/>
    <w:rsid w:val="00157196"/>
    <w:rsid w:val="00157436"/>
    <w:rsid w:val="001768AB"/>
    <w:rsid w:val="0018194E"/>
    <w:rsid w:val="00187EC3"/>
    <w:rsid w:val="00190A8B"/>
    <w:rsid w:val="00191363"/>
    <w:rsid w:val="00196CD6"/>
    <w:rsid w:val="001A6800"/>
    <w:rsid w:val="001A6F84"/>
    <w:rsid w:val="001B3451"/>
    <w:rsid w:val="001C2D21"/>
    <w:rsid w:val="001D0FB3"/>
    <w:rsid w:val="001D4084"/>
    <w:rsid w:val="001D4864"/>
    <w:rsid w:val="001D7320"/>
    <w:rsid w:val="001E1759"/>
    <w:rsid w:val="001E6AE3"/>
    <w:rsid w:val="001F2476"/>
    <w:rsid w:val="00200972"/>
    <w:rsid w:val="00202E44"/>
    <w:rsid w:val="002067A5"/>
    <w:rsid w:val="002125ED"/>
    <w:rsid w:val="002132B0"/>
    <w:rsid w:val="00217EA2"/>
    <w:rsid w:val="00220D0B"/>
    <w:rsid w:val="002255C9"/>
    <w:rsid w:val="0022640E"/>
    <w:rsid w:val="00230445"/>
    <w:rsid w:val="00234692"/>
    <w:rsid w:val="00236DB4"/>
    <w:rsid w:val="002370D7"/>
    <w:rsid w:val="0024009E"/>
    <w:rsid w:val="00241236"/>
    <w:rsid w:val="00246126"/>
    <w:rsid w:val="00250822"/>
    <w:rsid w:val="002519B0"/>
    <w:rsid w:val="002615A3"/>
    <w:rsid w:val="00261DE1"/>
    <w:rsid w:val="002626B1"/>
    <w:rsid w:val="002651C6"/>
    <w:rsid w:val="0027355F"/>
    <w:rsid w:val="00283376"/>
    <w:rsid w:val="002907FE"/>
    <w:rsid w:val="002929DB"/>
    <w:rsid w:val="00294ED6"/>
    <w:rsid w:val="00297194"/>
    <w:rsid w:val="002A0C2D"/>
    <w:rsid w:val="002A66FE"/>
    <w:rsid w:val="002A6A73"/>
    <w:rsid w:val="002C79E5"/>
    <w:rsid w:val="002D1E3D"/>
    <w:rsid w:val="002D3CDB"/>
    <w:rsid w:val="002D3DE4"/>
    <w:rsid w:val="002E2351"/>
    <w:rsid w:val="002E31E8"/>
    <w:rsid w:val="002F179C"/>
    <w:rsid w:val="002F23BB"/>
    <w:rsid w:val="002F3888"/>
    <w:rsid w:val="002F4074"/>
    <w:rsid w:val="002F69A7"/>
    <w:rsid w:val="002F73DF"/>
    <w:rsid w:val="0030111A"/>
    <w:rsid w:val="003014F9"/>
    <w:rsid w:val="00302D5E"/>
    <w:rsid w:val="003062EB"/>
    <w:rsid w:val="00315F38"/>
    <w:rsid w:val="003175A4"/>
    <w:rsid w:val="00317ADB"/>
    <w:rsid w:val="00322F57"/>
    <w:rsid w:val="00325276"/>
    <w:rsid w:val="00325E71"/>
    <w:rsid w:val="0034158F"/>
    <w:rsid w:val="003421C7"/>
    <w:rsid w:val="003424D9"/>
    <w:rsid w:val="003447B8"/>
    <w:rsid w:val="003450B9"/>
    <w:rsid w:val="003468E9"/>
    <w:rsid w:val="00347956"/>
    <w:rsid w:val="00351BF3"/>
    <w:rsid w:val="00351CF0"/>
    <w:rsid w:val="003610FF"/>
    <w:rsid w:val="00361ECB"/>
    <w:rsid w:val="0036321E"/>
    <w:rsid w:val="00363EB0"/>
    <w:rsid w:val="00364361"/>
    <w:rsid w:val="003650C8"/>
    <w:rsid w:val="00367A38"/>
    <w:rsid w:val="00374E58"/>
    <w:rsid w:val="00380111"/>
    <w:rsid w:val="0038188D"/>
    <w:rsid w:val="00383012"/>
    <w:rsid w:val="00393922"/>
    <w:rsid w:val="00394F64"/>
    <w:rsid w:val="0039781A"/>
    <w:rsid w:val="003A405F"/>
    <w:rsid w:val="003A440A"/>
    <w:rsid w:val="003B060D"/>
    <w:rsid w:val="003B793B"/>
    <w:rsid w:val="003B7B5D"/>
    <w:rsid w:val="003C6620"/>
    <w:rsid w:val="003D0F47"/>
    <w:rsid w:val="003D12C0"/>
    <w:rsid w:val="003D6E8C"/>
    <w:rsid w:val="003E0481"/>
    <w:rsid w:val="003E115C"/>
    <w:rsid w:val="003E2066"/>
    <w:rsid w:val="003E5CBE"/>
    <w:rsid w:val="003F4EA4"/>
    <w:rsid w:val="003F68D3"/>
    <w:rsid w:val="003F6ACA"/>
    <w:rsid w:val="003F7470"/>
    <w:rsid w:val="00403D93"/>
    <w:rsid w:val="0040484F"/>
    <w:rsid w:val="0040702D"/>
    <w:rsid w:val="004142D5"/>
    <w:rsid w:val="00414467"/>
    <w:rsid w:val="004179ED"/>
    <w:rsid w:val="00426D8C"/>
    <w:rsid w:val="0043230A"/>
    <w:rsid w:val="0044034D"/>
    <w:rsid w:val="00441038"/>
    <w:rsid w:val="00444875"/>
    <w:rsid w:val="00446383"/>
    <w:rsid w:val="00446F24"/>
    <w:rsid w:val="00455B61"/>
    <w:rsid w:val="0046189C"/>
    <w:rsid w:val="004620DD"/>
    <w:rsid w:val="00462670"/>
    <w:rsid w:val="004630C5"/>
    <w:rsid w:val="00465133"/>
    <w:rsid w:val="00467041"/>
    <w:rsid w:val="004676EC"/>
    <w:rsid w:val="004701E8"/>
    <w:rsid w:val="0047635B"/>
    <w:rsid w:val="004807D1"/>
    <w:rsid w:val="004834BA"/>
    <w:rsid w:val="0048683C"/>
    <w:rsid w:val="0049101B"/>
    <w:rsid w:val="00494CAF"/>
    <w:rsid w:val="00496F2A"/>
    <w:rsid w:val="004A2DE1"/>
    <w:rsid w:val="004A624B"/>
    <w:rsid w:val="004B1920"/>
    <w:rsid w:val="004B5CE6"/>
    <w:rsid w:val="004B645E"/>
    <w:rsid w:val="004B712E"/>
    <w:rsid w:val="004C1DA3"/>
    <w:rsid w:val="004C2398"/>
    <w:rsid w:val="004C2F4E"/>
    <w:rsid w:val="004C42C0"/>
    <w:rsid w:val="004C4739"/>
    <w:rsid w:val="004C6E61"/>
    <w:rsid w:val="004D3D10"/>
    <w:rsid w:val="004D48BB"/>
    <w:rsid w:val="004D4D91"/>
    <w:rsid w:val="004E1990"/>
    <w:rsid w:val="004E2034"/>
    <w:rsid w:val="004E4018"/>
    <w:rsid w:val="004E453A"/>
    <w:rsid w:val="004E614C"/>
    <w:rsid w:val="004F040E"/>
    <w:rsid w:val="004F0576"/>
    <w:rsid w:val="004F137D"/>
    <w:rsid w:val="004F63A5"/>
    <w:rsid w:val="005039DD"/>
    <w:rsid w:val="00506FDE"/>
    <w:rsid w:val="00510090"/>
    <w:rsid w:val="00510376"/>
    <w:rsid w:val="0051155D"/>
    <w:rsid w:val="0051171C"/>
    <w:rsid w:val="0051402E"/>
    <w:rsid w:val="0051417D"/>
    <w:rsid w:val="00524A42"/>
    <w:rsid w:val="0052748F"/>
    <w:rsid w:val="00527AD2"/>
    <w:rsid w:val="00530931"/>
    <w:rsid w:val="00532C47"/>
    <w:rsid w:val="00533B45"/>
    <w:rsid w:val="005355F8"/>
    <w:rsid w:val="00535C59"/>
    <w:rsid w:val="00535E43"/>
    <w:rsid w:val="00537667"/>
    <w:rsid w:val="005377A9"/>
    <w:rsid w:val="00537936"/>
    <w:rsid w:val="00543C31"/>
    <w:rsid w:val="005454E5"/>
    <w:rsid w:val="00550617"/>
    <w:rsid w:val="00554A1B"/>
    <w:rsid w:val="0055767C"/>
    <w:rsid w:val="00563777"/>
    <w:rsid w:val="00563E2E"/>
    <w:rsid w:val="00564B37"/>
    <w:rsid w:val="00567AE7"/>
    <w:rsid w:val="005770D7"/>
    <w:rsid w:val="0058050D"/>
    <w:rsid w:val="00583645"/>
    <w:rsid w:val="005A0D28"/>
    <w:rsid w:val="005C5568"/>
    <w:rsid w:val="005C5878"/>
    <w:rsid w:val="005C7A44"/>
    <w:rsid w:val="005D1D65"/>
    <w:rsid w:val="005D4B27"/>
    <w:rsid w:val="005D542C"/>
    <w:rsid w:val="005D77BF"/>
    <w:rsid w:val="005E0B44"/>
    <w:rsid w:val="005E4282"/>
    <w:rsid w:val="005E5779"/>
    <w:rsid w:val="005E62AC"/>
    <w:rsid w:val="005F0E17"/>
    <w:rsid w:val="005F2EFD"/>
    <w:rsid w:val="005F544E"/>
    <w:rsid w:val="005F5643"/>
    <w:rsid w:val="005F7FE8"/>
    <w:rsid w:val="00600483"/>
    <w:rsid w:val="00600ED3"/>
    <w:rsid w:val="00605E38"/>
    <w:rsid w:val="00607335"/>
    <w:rsid w:val="00607FB4"/>
    <w:rsid w:val="0061210A"/>
    <w:rsid w:val="0062045A"/>
    <w:rsid w:val="006209AF"/>
    <w:rsid w:val="00621D7A"/>
    <w:rsid w:val="006312FF"/>
    <w:rsid w:val="00634B6B"/>
    <w:rsid w:val="00640BF9"/>
    <w:rsid w:val="006416EA"/>
    <w:rsid w:val="00641747"/>
    <w:rsid w:val="006425C4"/>
    <w:rsid w:val="0064433B"/>
    <w:rsid w:val="00653BD5"/>
    <w:rsid w:val="00656F3F"/>
    <w:rsid w:val="00664E4F"/>
    <w:rsid w:val="0066510D"/>
    <w:rsid w:val="00665257"/>
    <w:rsid w:val="00671C23"/>
    <w:rsid w:val="00671D3B"/>
    <w:rsid w:val="00674745"/>
    <w:rsid w:val="006761E1"/>
    <w:rsid w:val="006801FE"/>
    <w:rsid w:val="00681F03"/>
    <w:rsid w:val="0068274B"/>
    <w:rsid w:val="00682CF9"/>
    <w:rsid w:val="00687777"/>
    <w:rsid w:val="00692DAC"/>
    <w:rsid w:val="00694041"/>
    <w:rsid w:val="00696292"/>
    <w:rsid w:val="00696755"/>
    <w:rsid w:val="00696A50"/>
    <w:rsid w:val="006A6221"/>
    <w:rsid w:val="006A7E9D"/>
    <w:rsid w:val="006A7FED"/>
    <w:rsid w:val="006B10B4"/>
    <w:rsid w:val="006B333F"/>
    <w:rsid w:val="006B360F"/>
    <w:rsid w:val="006B6FCB"/>
    <w:rsid w:val="006C0173"/>
    <w:rsid w:val="006C2BA2"/>
    <w:rsid w:val="006C2C3B"/>
    <w:rsid w:val="006C2F12"/>
    <w:rsid w:val="006C5128"/>
    <w:rsid w:val="006D2F6E"/>
    <w:rsid w:val="006D7AD9"/>
    <w:rsid w:val="006D7E34"/>
    <w:rsid w:val="006E359B"/>
    <w:rsid w:val="006E3F7E"/>
    <w:rsid w:val="006E46D2"/>
    <w:rsid w:val="006E7C0E"/>
    <w:rsid w:val="006F005C"/>
    <w:rsid w:val="006F4DD7"/>
    <w:rsid w:val="00707EBF"/>
    <w:rsid w:val="00712347"/>
    <w:rsid w:val="00714186"/>
    <w:rsid w:val="007164D8"/>
    <w:rsid w:val="007222B8"/>
    <w:rsid w:val="0072237A"/>
    <w:rsid w:val="00724FAB"/>
    <w:rsid w:val="007318A1"/>
    <w:rsid w:val="00732BFC"/>
    <w:rsid w:val="00734D05"/>
    <w:rsid w:val="00736C40"/>
    <w:rsid w:val="00740FB3"/>
    <w:rsid w:val="00744F3C"/>
    <w:rsid w:val="00745AE2"/>
    <w:rsid w:val="0075079C"/>
    <w:rsid w:val="00755F93"/>
    <w:rsid w:val="00756DC8"/>
    <w:rsid w:val="0076211C"/>
    <w:rsid w:val="00770186"/>
    <w:rsid w:val="00780212"/>
    <w:rsid w:val="0078152B"/>
    <w:rsid w:val="00781EB9"/>
    <w:rsid w:val="00784265"/>
    <w:rsid w:val="007860E5"/>
    <w:rsid w:val="00786737"/>
    <w:rsid w:val="00787687"/>
    <w:rsid w:val="00787CDC"/>
    <w:rsid w:val="007907C4"/>
    <w:rsid w:val="00792192"/>
    <w:rsid w:val="00792A1B"/>
    <w:rsid w:val="00794076"/>
    <w:rsid w:val="007951F9"/>
    <w:rsid w:val="007956BD"/>
    <w:rsid w:val="007A1A42"/>
    <w:rsid w:val="007A2C34"/>
    <w:rsid w:val="007B00C8"/>
    <w:rsid w:val="007B12A9"/>
    <w:rsid w:val="007B29C3"/>
    <w:rsid w:val="007B2F69"/>
    <w:rsid w:val="007B36F9"/>
    <w:rsid w:val="007B3EC5"/>
    <w:rsid w:val="007B40D4"/>
    <w:rsid w:val="007D1339"/>
    <w:rsid w:val="007D19A0"/>
    <w:rsid w:val="007D5499"/>
    <w:rsid w:val="007D6B83"/>
    <w:rsid w:val="007E17F8"/>
    <w:rsid w:val="007E36ED"/>
    <w:rsid w:val="007E4E8B"/>
    <w:rsid w:val="007E57AD"/>
    <w:rsid w:val="007E7B59"/>
    <w:rsid w:val="007F4E70"/>
    <w:rsid w:val="008044E2"/>
    <w:rsid w:val="00804B9B"/>
    <w:rsid w:val="00806784"/>
    <w:rsid w:val="00806B1A"/>
    <w:rsid w:val="00810BE5"/>
    <w:rsid w:val="00811F34"/>
    <w:rsid w:val="00814A16"/>
    <w:rsid w:val="0081792F"/>
    <w:rsid w:val="0082069B"/>
    <w:rsid w:val="0082286B"/>
    <w:rsid w:val="00826452"/>
    <w:rsid w:val="00827C8E"/>
    <w:rsid w:val="00830C01"/>
    <w:rsid w:val="008366A2"/>
    <w:rsid w:val="00840B1C"/>
    <w:rsid w:val="00841067"/>
    <w:rsid w:val="00843914"/>
    <w:rsid w:val="0084392A"/>
    <w:rsid w:val="00845A89"/>
    <w:rsid w:val="0084719F"/>
    <w:rsid w:val="008477DC"/>
    <w:rsid w:val="00856AE7"/>
    <w:rsid w:val="00857A79"/>
    <w:rsid w:val="008629CA"/>
    <w:rsid w:val="00864100"/>
    <w:rsid w:val="00882313"/>
    <w:rsid w:val="00890DCF"/>
    <w:rsid w:val="00892E1B"/>
    <w:rsid w:val="00896F41"/>
    <w:rsid w:val="008A319C"/>
    <w:rsid w:val="008A510C"/>
    <w:rsid w:val="008A77B9"/>
    <w:rsid w:val="008B2928"/>
    <w:rsid w:val="008B4B7C"/>
    <w:rsid w:val="008B647D"/>
    <w:rsid w:val="008C4E01"/>
    <w:rsid w:val="008C578B"/>
    <w:rsid w:val="008D4747"/>
    <w:rsid w:val="008D7EF6"/>
    <w:rsid w:val="008E0898"/>
    <w:rsid w:val="008E61E1"/>
    <w:rsid w:val="008F125B"/>
    <w:rsid w:val="008F5365"/>
    <w:rsid w:val="00900D1F"/>
    <w:rsid w:val="00910EA3"/>
    <w:rsid w:val="00912229"/>
    <w:rsid w:val="009159D8"/>
    <w:rsid w:val="00915D17"/>
    <w:rsid w:val="00920268"/>
    <w:rsid w:val="00927640"/>
    <w:rsid w:val="00930886"/>
    <w:rsid w:val="00930C54"/>
    <w:rsid w:val="0093431E"/>
    <w:rsid w:val="00941563"/>
    <w:rsid w:val="0094201F"/>
    <w:rsid w:val="009434C7"/>
    <w:rsid w:val="009476E3"/>
    <w:rsid w:val="009524E7"/>
    <w:rsid w:val="00954A8D"/>
    <w:rsid w:val="009562EA"/>
    <w:rsid w:val="00957767"/>
    <w:rsid w:val="009612CA"/>
    <w:rsid w:val="009614FA"/>
    <w:rsid w:val="009701F4"/>
    <w:rsid w:val="00970A79"/>
    <w:rsid w:val="00970B96"/>
    <w:rsid w:val="00972A7D"/>
    <w:rsid w:val="0098192D"/>
    <w:rsid w:val="00984EE9"/>
    <w:rsid w:val="00985CA3"/>
    <w:rsid w:val="00997C5A"/>
    <w:rsid w:val="009A1864"/>
    <w:rsid w:val="009A2096"/>
    <w:rsid w:val="009A3DED"/>
    <w:rsid w:val="009B26A7"/>
    <w:rsid w:val="009B3F86"/>
    <w:rsid w:val="009B52D5"/>
    <w:rsid w:val="009B5D43"/>
    <w:rsid w:val="009B6678"/>
    <w:rsid w:val="009C0F33"/>
    <w:rsid w:val="009C2AC2"/>
    <w:rsid w:val="009D1CD3"/>
    <w:rsid w:val="009D3154"/>
    <w:rsid w:val="009D38DF"/>
    <w:rsid w:val="009D6E00"/>
    <w:rsid w:val="009D78FA"/>
    <w:rsid w:val="009D7A7C"/>
    <w:rsid w:val="009E1A67"/>
    <w:rsid w:val="009E20AC"/>
    <w:rsid w:val="009E2B29"/>
    <w:rsid w:val="009E5717"/>
    <w:rsid w:val="009E6293"/>
    <w:rsid w:val="009F0543"/>
    <w:rsid w:val="009F736D"/>
    <w:rsid w:val="00A022C9"/>
    <w:rsid w:val="00A035AB"/>
    <w:rsid w:val="00A10450"/>
    <w:rsid w:val="00A145B6"/>
    <w:rsid w:val="00A14E96"/>
    <w:rsid w:val="00A24462"/>
    <w:rsid w:val="00A31668"/>
    <w:rsid w:val="00A5058E"/>
    <w:rsid w:val="00A52446"/>
    <w:rsid w:val="00A5520A"/>
    <w:rsid w:val="00A63DA7"/>
    <w:rsid w:val="00A72D92"/>
    <w:rsid w:val="00A736FE"/>
    <w:rsid w:val="00A74DD2"/>
    <w:rsid w:val="00A7521D"/>
    <w:rsid w:val="00A76F37"/>
    <w:rsid w:val="00A864A9"/>
    <w:rsid w:val="00A917EE"/>
    <w:rsid w:val="00A918BC"/>
    <w:rsid w:val="00A93138"/>
    <w:rsid w:val="00A93442"/>
    <w:rsid w:val="00A942F0"/>
    <w:rsid w:val="00AA520B"/>
    <w:rsid w:val="00AB5130"/>
    <w:rsid w:val="00AC6219"/>
    <w:rsid w:val="00AC6858"/>
    <w:rsid w:val="00AD118E"/>
    <w:rsid w:val="00AD62BB"/>
    <w:rsid w:val="00AE2797"/>
    <w:rsid w:val="00AE32C7"/>
    <w:rsid w:val="00AE49D5"/>
    <w:rsid w:val="00AE610B"/>
    <w:rsid w:val="00AF23BF"/>
    <w:rsid w:val="00AF5D4A"/>
    <w:rsid w:val="00AF7E74"/>
    <w:rsid w:val="00B00A04"/>
    <w:rsid w:val="00B037EE"/>
    <w:rsid w:val="00B04FE1"/>
    <w:rsid w:val="00B05F90"/>
    <w:rsid w:val="00B05FC9"/>
    <w:rsid w:val="00B0645B"/>
    <w:rsid w:val="00B0715F"/>
    <w:rsid w:val="00B07DAF"/>
    <w:rsid w:val="00B07ECC"/>
    <w:rsid w:val="00B10C0F"/>
    <w:rsid w:val="00B1356C"/>
    <w:rsid w:val="00B147B8"/>
    <w:rsid w:val="00B201BA"/>
    <w:rsid w:val="00B21069"/>
    <w:rsid w:val="00B23A22"/>
    <w:rsid w:val="00B30DAE"/>
    <w:rsid w:val="00B3150F"/>
    <w:rsid w:val="00B353CA"/>
    <w:rsid w:val="00B40E84"/>
    <w:rsid w:val="00B4109B"/>
    <w:rsid w:val="00B43462"/>
    <w:rsid w:val="00B54829"/>
    <w:rsid w:val="00B73B0A"/>
    <w:rsid w:val="00B75215"/>
    <w:rsid w:val="00B81B54"/>
    <w:rsid w:val="00B82435"/>
    <w:rsid w:val="00B85D62"/>
    <w:rsid w:val="00B8777D"/>
    <w:rsid w:val="00B90897"/>
    <w:rsid w:val="00B921BB"/>
    <w:rsid w:val="00B9357D"/>
    <w:rsid w:val="00B96BB1"/>
    <w:rsid w:val="00B97453"/>
    <w:rsid w:val="00BA09FC"/>
    <w:rsid w:val="00BA48D8"/>
    <w:rsid w:val="00BA495B"/>
    <w:rsid w:val="00BA65E5"/>
    <w:rsid w:val="00BB1BC6"/>
    <w:rsid w:val="00BB3E99"/>
    <w:rsid w:val="00BB456C"/>
    <w:rsid w:val="00BC3088"/>
    <w:rsid w:val="00BC45E7"/>
    <w:rsid w:val="00BD1365"/>
    <w:rsid w:val="00BD6EA7"/>
    <w:rsid w:val="00BE60A4"/>
    <w:rsid w:val="00BF3AE7"/>
    <w:rsid w:val="00C0032F"/>
    <w:rsid w:val="00C01C6E"/>
    <w:rsid w:val="00C04BAE"/>
    <w:rsid w:val="00C13F30"/>
    <w:rsid w:val="00C20BBB"/>
    <w:rsid w:val="00C22C7B"/>
    <w:rsid w:val="00C27538"/>
    <w:rsid w:val="00C31665"/>
    <w:rsid w:val="00C3189F"/>
    <w:rsid w:val="00C32D18"/>
    <w:rsid w:val="00C349D8"/>
    <w:rsid w:val="00C36855"/>
    <w:rsid w:val="00C36B79"/>
    <w:rsid w:val="00C36C38"/>
    <w:rsid w:val="00C42558"/>
    <w:rsid w:val="00C431AD"/>
    <w:rsid w:val="00C4531A"/>
    <w:rsid w:val="00C555F5"/>
    <w:rsid w:val="00C55F4F"/>
    <w:rsid w:val="00C57FB1"/>
    <w:rsid w:val="00C62734"/>
    <w:rsid w:val="00C65D20"/>
    <w:rsid w:val="00C71FBF"/>
    <w:rsid w:val="00C72679"/>
    <w:rsid w:val="00C73E04"/>
    <w:rsid w:val="00C75F92"/>
    <w:rsid w:val="00C77CE3"/>
    <w:rsid w:val="00C84C7D"/>
    <w:rsid w:val="00C86F21"/>
    <w:rsid w:val="00C8796B"/>
    <w:rsid w:val="00C94AD5"/>
    <w:rsid w:val="00C97677"/>
    <w:rsid w:val="00CA0B31"/>
    <w:rsid w:val="00CA3EFE"/>
    <w:rsid w:val="00CA57C1"/>
    <w:rsid w:val="00CA5D8D"/>
    <w:rsid w:val="00CB008A"/>
    <w:rsid w:val="00CB1C02"/>
    <w:rsid w:val="00CB286A"/>
    <w:rsid w:val="00CB4AEC"/>
    <w:rsid w:val="00CB642F"/>
    <w:rsid w:val="00CB7456"/>
    <w:rsid w:val="00CC2208"/>
    <w:rsid w:val="00CC58A6"/>
    <w:rsid w:val="00CC6252"/>
    <w:rsid w:val="00CD2CDB"/>
    <w:rsid w:val="00CD39BA"/>
    <w:rsid w:val="00CD4373"/>
    <w:rsid w:val="00CD454E"/>
    <w:rsid w:val="00CD65EC"/>
    <w:rsid w:val="00CE151F"/>
    <w:rsid w:val="00CE4363"/>
    <w:rsid w:val="00CE6807"/>
    <w:rsid w:val="00CE7CD9"/>
    <w:rsid w:val="00CF1227"/>
    <w:rsid w:val="00CF1A23"/>
    <w:rsid w:val="00CF4A9F"/>
    <w:rsid w:val="00D0267A"/>
    <w:rsid w:val="00D10243"/>
    <w:rsid w:val="00D10497"/>
    <w:rsid w:val="00D12F87"/>
    <w:rsid w:val="00D14128"/>
    <w:rsid w:val="00D150FE"/>
    <w:rsid w:val="00D2016F"/>
    <w:rsid w:val="00D20C53"/>
    <w:rsid w:val="00D23EFD"/>
    <w:rsid w:val="00D3110F"/>
    <w:rsid w:val="00D31CA5"/>
    <w:rsid w:val="00D32536"/>
    <w:rsid w:val="00D3680F"/>
    <w:rsid w:val="00D4153E"/>
    <w:rsid w:val="00D4228D"/>
    <w:rsid w:val="00D5096C"/>
    <w:rsid w:val="00D53A3E"/>
    <w:rsid w:val="00D55472"/>
    <w:rsid w:val="00D60A17"/>
    <w:rsid w:val="00D61E7E"/>
    <w:rsid w:val="00D65C6F"/>
    <w:rsid w:val="00D66689"/>
    <w:rsid w:val="00D714E4"/>
    <w:rsid w:val="00D737A2"/>
    <w:rsid w:val="00D758F9"/>
    <w:rsid w:val="00D77171"/>
    <w:rsid w:val="00D77948"/>
    <w:rsid w:val="00D82F1A"/>
    <w:rsid w:val="00D83008"/>
    <w:rsid w:val="00D94F26"/>
    <w:rsid w:val="00DA3672"/>
    <w:rsid w:val="00DA39F1"/>
    <w:rsid w:val="00DA4202"/>
    <w:rsid w:val="00DA7698"/>
    <w:rsid w:val="00DB7BD6"/>
    <w:rsid w:val="00DC1E30"/>
    <w:rsid w:val="00DC48A3"/>
    <w:rsid w:val="00DC6C16"/>
    <w:rsid w:val="00DC6C5F"/>
    <w:rsid w:val="00DD1954"/>
    <w:rsid w:val="00DD7773"/>
    <w:rsid w:val="00DE0C69"/>
    <w:rsid w:val="00DE18C3"/>
    <w:rsid w:val="00DE54B7"/>
    <w:rsid w:val="00DE7467"/>
    <w:rsid w:val="00DF1271"/>
    <w:rsid w:val="00DF1650"/>
    <w:rsid w:val="00DF287D"/>
    <w:rsid w:val="00E04935"/>
    <w:rsid w:val="00E056B9"/>
    <w:rsid w:val="00E079F2"/>
    <w:rsid w:val="00E25AA2"/>
    <w:rsid w:val="00E30AC6"/>
    <w:rsid w:val="00E37CB0"/>
    <w:rsid w:val="00E46144"/>
    <w:rsid w:val="00E51595"/>
    <w:rsid w:val="00E610F4"/>
    <w:rsid w:val="00E670AA"/>
    <w:rsid w:val="00E7020F"/>
    <w:rsid w:val="00E74E12"/>
    <w:rsid w:val="00E8398F"/>
    <w:rsid w:val="00E85638"/>
    <w:rsid w:val="00E86FC3"/>
    <w:rsid w:val="00E87563"/>
    <w:rsid w:val="00E915C4"/>
    <w:rsid w:val="00E917DD"/>
    <w:rsid w:val="00E9229A"/>
    <w:rsid w:val="00E94C08"/>
    <w:rsid w:val="00E95CFB"/>
    <w:rsid w:val="00EA019F"/>
    <w:rsid w:val="00EA3042"/>
    <w:rsid w:val="00EA3EC8"/>
    <w:rsid w:val="00EA64A8"/>
    <w:rsid w:val="00EB00CC"/>
    <w:rsid w:val="00EB23CC"/>
    <w:rsid w:val="00EB26A9"/>
    <w:rsid w:val="00EB6455"/>
    <w:rsid w:val="00EB7E01"/>
    <w:rsid w:val="00EC71A0"/>
    <w:rsid w:val="00ED15AB"/>
    <w:rsid w:val="00ED34E3"/>
    <w:rsid w:val="00ED41D6"/>
    <w:rsid w:val="00EE04C7"/>
    <w:rsid w:val="00EE16D7"/>
    <w:rsid w:val="00EE40D4"/>
    <w:rsid w:val="00EE469B"/>
    <w:rsid w:val="00EF11BA"/>
    <w:rsid w:val="00EF5A38"/>
    <w:rsid w:val="00F07D29"/>
    <w:rsid w:val="00F12D7C"/>
    <w:rsid w:val="00F17572"/>
    <w:rsid w:val="00F20E3F"/>
    <w:rsid w:val="00F23F25"/>
    <w:rsid w:val="00F244EF"/>
    <w:rsid w:val="00F25C68"/>
    <w:rsid w:val="00F27247"/>
    <w:rsid w:val="00F34955"/>
    <w:rsid w:val="00F35631"/>
    <w:rsid w:val="00F40E32"/>
    <w:rsid w:val="00F52A05"/>
    <w:rsid w:val="00F54C72"/>
    <w:rsid w:val="00F65AE4"/>
    <w:rsid w:val="00F664FF"/>
    <w:rsid w:val="00F66C0D"/>
    <w:rsid w:val="00F6706F"/>
    <w:rsid w:val="00F70707"/>
    <w:rsid w:val="00F80441"/>
    <w:rsid w:val="00F93949"/>
    <w:rsid w:val="00F946D4"/>
    <w:rsid w:val="00F9482D"/>
    <w:rsid w:val="00F94F31"/>
    <w:rsid w:val="00F97CBE"/>
    <w:rsid w:val="00FA08BC"/>
    <w:rsid w:val="00FA18D5"/>
    <w:rsid w:val="00FB0E0A"/>
    <w:rsid w:val="00FB4D56"/>
    <w:rsid w:val="00FC14BB"/>
    <w:rsid w:val="00FC1BB3"/>
    <w:rsid w:val="00FC4C7B"/>
    <w:rsid w:val="00FD0A35"/>
    <w:rsid w:val="00FD0CA9"/>
    <w:rsid w:val="00FD376D"/>
    <w:rsid w:val="00FE32D0"/>
    <w:rsid w:val="00FE6BF0"/>
    <w:rsid w:val="00FE6CB4"/>
    <w:rsid w:val="00FF4B5D"/>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EE7074B"/>
  <w15:docId w15:val="{53B9D431-9498-4484-8566-5C3F93DAE3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GB" w:eastAsia="zh-CN"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87EC3"/>
    <w:pPr>
      <w:jc w:val="both"/>
    </w:pPr>
  </w:style>
  <w:style w:type="paragraph" w:styleId="Heading1">
    <w:name w:val="heading 1"/>
    <w:basedOn w:val="Normal"/>
    <w:next w:val="Normal"/>
    <w:link w:val="Heading1Char"/>
    <w:uiPriority w:val="9"/>
    <w:qFormat/>
    <w:rsid w:val="00A917EE"/>
    <w:pPr>
      <w:keepNext/>
      <w:keepLines/>
      <w:numPr>
        <w:numId w:val="1"/>
      </w:numPr>
      <w:spacing w:before="200"/>
      <w:ind w:left="431" w:hanging="431"/>
      <w:outlineLvl w:val="0"/>
    </w:pPr>
    <w:rPr>
      <w:rFonts w:asciiTheme="majorHAnsi" w:eastAsiaTheme="majorEastAsia" w:hAnsiTheme="majorHAnsi" w:cstheme="majorBidi"/>
      <w:b/>
      <w:bCs/>
      <w:color w:val="000000" w:themeColor="text1"/>
      <w:sz w:val="40"/>
      <w:szCs w:val="28"/>
    </w:rPr>
  </w:style>
  <w:style w:type="paragraph" w:styleId="Heading2">
    <w:name w:val="heading 2"/>
    <w:basedOn w:val="Normal"/>
    <w:next w:val="Normal"/>
    <w:link w:val="Heading2Char"/>
    <w:uiPriority w:val="9"/>
    <w:unhideWhenUsed/>
    <w:qFormat/>
    <w:rsid w:val="00A917EE"/>
    <w:pPr>
      <w:keepNext/>
      <w:keepLines/>
      <w:numPr>
        <w:ilvl w:val="1"/>
        <w:numId w:val="1"/>
      </w:numPr>
      <w:spacing w:before="200" w:after="0"/>
      <w:outlineLvl w:val="1"/>
    </w:pPr>
    <w:rPr>
      <w:rFonts w:asciiTheme="majorHAnsi" w:eastAsiaTheme="majorEastAsia" w:hAnsiTheme="majorHAnsi" w:cstheme="majorBidi"/>
      <w:b/>
      <w:bCs/>
      <w:sz w:val="30"/>
      <w:szCs w:val="26"/>
    </w:rPr>
  </w:style>
  <w:style w:type="paragraph" w:styleId="Heading3">
    <w:name w:val="heading 3"/>
    <w:basedOn w:val="Normal"/>
    <w:next w:val="Normal"/>
    <w:link w:val="Heading3Char"/>
    <w:uiPriority w:val="9"/>
    <w:unhideWhenUsed/>
    <w:qFormat/>
    <w:rsid w:val="00A917EE"/>
    <w:pPr>
      <w:keepNext/>
      <w:keepLines/>
      <w:numPr>
        <w:ilvl w:val="2"/>
        <w:numId w:val="1"/>
      </w:numPr>
      <w:spacing w:before="200" w:after="0"/>
      <w:outlineLvl w:val="2"/>
    </w:pPr>
    <w:rPr>
      <w:rFonts w:asciiTheme="majorHAnsi" w:eastAsiaTheme="majorEastAsia" w:hAnsiTheme="majorHAnsi" w:cstheme="majorBidi"/>
      <w:b/>
      <w:bCs/>
      <w:color w:val="000000" w:themeColor="text1"/>
      <w:sz w:val="28"/>
    </w:rPr>
  </w:style>
  <w:style w:type="paragraph" w:styleId="Heading4">
    <w:name w:val="heading 4"/>
    <w:basedOn w:val="Normal"/>
    <w:next w:val="Normal"/>
    <w:link w:val="Heading4Char"/>
    <w:uiPriority w:val="9"/>
    <w:unhideWhenUsed/>
    <w:qFormat/>
    <w:rsid w:val="00A917EE"/>
    <w:pPr>
      <w:keepNext/>
      <w:keepLines/>
      <w:numPr>
        <w:ilvl w:val="3"/>
        <w:numId w:val="1"/>
      </w:numPr>
      <w:spacing w:before="200" w:after="0"/>
      <w:outlineLvl w:val="3"/>
    </w:pPr>
    <w:rPr>
      <w:rFonts w:asciiTheme="majorHAnsi" w:eastAsiaTheme="majorEastAsia" w:hAnsiTheme="majorHAnsi" w:cstheme="majorBidi"/>
      <w:b/>
      <w:bCs/>
      <w:iCs/>
      <w:color w:val="000000" w:themeColor="text1"/>
      <w:sz w:val="26"/>
    </w:rPr>
  </w:style>
  <w:style w:type="paragraph" w:styleId="Heading5">
    <w:name w:val="heading 5"/>
    <w:basedOn w:val="Normal"/>
    <w:next w:val="Normal"/>
    <w:link w:val="Heading5Char"/>
    <w:uiPriority w:val="9"/>
    <w:unhideWhenUsed/>
    <w:qFormat/>
    <w:rsid w:val="00A917EE"/>
    <w:pPr>
      <w:keepNext/>
      <w:keepLines/>
      <w:numPr>
        <w:ilvl w:val="4"/>
        <w:numId w:val="1"/>
      </w:numPr>
      <w:spacing w:before="200" w:after="0"/>
      <w:outlineLvl w:val="4"/>
    </w:pPr>
    <w:rPr>
      <w:rFonts w:asciiTheme="majorHAnsi" w:eastAsiaTheme="majorEastAsia" w:hAnsiTheme="majorHAnsi" w:cstheme="majorBidi"/>
      <w:b/>
      <w:sz w:val="24"/>
    </w:rPr>
  </w:style>
  <w:style w:type="paragraph" w:styleId="Heading6">
    <w:name w:val="heading 6"/>
    <w:basedOn w:val="Normal"/>
    <w:next w:val="Normal"/>
    <w:link w:val="Heading6Char"/>
    <w:uiPriority w:val="9"/>
    <w:unhideWhenUsed/>
    <w:qFormat/>
    <w:rsid w:val="00A917EE"/>
    <w:pPr>
      <w:keepNext/>
      <w:keepLines/>
      <w:spacing w:before="200" w:after="0"/>
      <w:outlineLvl w:val="5"/>
    </w:pPr>
    <w:rPr>
      <w:rFonts w:asciiTheme="majorHAnsi" w:eastAsiaTheme="majorEastAsia" w:hAnsiTheme="majorHAnsi" w:cstheme="majorBidi"/>
      <w:b/>
      <w:iCs/>
      <w:sz w:val="24"/>
    </w:rPr>
  </w:style>
  <w:style w:type="paragraph" w:styleId="Heading7">
    <w:name w:val="heading 7"/>
    <w:basedOn w:val="Normal"/>
    <w:next w:val="Normal"/>
    <w:link w:val="Heading7Char"/>
    <w:uiPriority w:val="9"/>
    <w:unhideWhenUsed/>
    <w:qFormat/>
    <w:rsid w:val="00A917EE"/>
    <w:pPr>
      <w:keepNext/>
      <w:keepLines/>
      <w:spacing w:before="200"/>
      <w:outlineLvl w:val="6"/>
    </w:pPr>
    <w:rPr>
      <w:rFonts w:asciiTheme="majorHAnsi" w:eastAsiaTheme="majorEastAsia" w:hAnsiTheme="majorHAnsi" w:cstheme="majorBidi"/>
      <w:b/>
      <w:iCs/>
      <w:color w:val="000000" w:themeColor="text1"/>
      <w:sz w:val="40"/>
    </w:rPr>
  </w:style>
  <w:style w:type="paragraph" w:styleId="Heading8">
    <w:name w:val="heading 8"/>
    <w:basedOn w:val="Normal"/>
    <w:next w:val="Normal"/>
    <w:link w:val="Heading8Char"/>
    <w:uiPriority w:val="9"/>
    <w:unhideWhenUsed/>
    <w:qFormat/>
    <w:rsid w:val="003E0481"/>
    <w:pPr>
      <w:keepNext/>
      <w:keepLines/>
      <w:spacing w:before="200" w:after="0"/>
      <w:outlineLvl w:val="7"/>
    </w:pPr>
    <w:rPr>
      <w:rFonts w:asciiTheme="majorHAnsi" w:eastAsiaTheme="majorEastAsia" w:hAnsiTheme="majorHAnsi" w:cstheme="majorBidi"/>
      <w:b/>
      <w:sz w:val="30"/>
      <w:szCs w:val="20"/>
    </w:rPr>
  </w:style>
  <w:style w:type="paragraph" w:styleId="Heading9">
    <w:name w:val="heading 9"/>
    <w:basedOn w:val="Normal"/>
    <w:next w:val="Normal"/>
    <w:link w:val="Heading9Char"/>
    <w:uiPriority w:val="9"/>
    <w:unhideWhenUsed/>
    <w:qFormat/>
    <w:rsid w:val="000D5C98"/>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917EE"/>
    <w:rPr>
      <w:rFonts w:asciiTheme="majorHAnsi" w:eastAsiaTheme="majorEastAsia" w:hAnsiTheme="majorHAnsi" w:cstheme="majorBidi"/>
      <w:b/>
      <w:bCs/>
      <w:color w:val="000000" w:themeColor="text1"/>
      <w:sz w:val="40"/>
      <w:szCs w:val="28"/>
    </w:rPr>
  </w:style>
  <w:style w:type="character" w:customStyle="1" w:styleId="Heading2Char">
    <w:name w:val="Heading 2 Char"/>
    <w:basedOn w:val="DefaultParagraphFont"/>
    <w:link w:val="Heading2"/>
    <w:uiPriority w:val="9"/>
    <w:rsid w:val="00A917EE"/>
    <w:rPr>
      <w:rFonts w:asciiTheme="majorHAnsi" w:eastAsiaTheme="majorEastAsia" w:hAnsiTheme="majorHAnsi" w:cstheme="majorBidi"/>
      <w:b/>
      <w:bCs/>
      <w:sz w:val="30"/>
      <w:szCs w:val="26"/>
    </w:rPr>
  </w:style>
  <w:style w:type="paragraph" w:styleId="Subtitle">
    <w:name w:val="Subtitle"/>
    <w:basedOn w:val="Normal"/>
    <w:next w:val="Normal"/>
    <w:link w:val="SubtitleChar"/>
    <w:uiPriority w:val="11"/>
    <w:qFormat/>
    <w:rsid w:val="006D7E34"/>
    <w:pPr>
      <w:numPr>
        <w:ilvl w:val="1"/>
      </w:numPr>
    </w:pPr>
    <w:rPr>
      <w:rFonts w:asciiTheme="majorHAnsi" w:eastAsiaTheme="majorEastAsia" w:hAnsiTheme="majorHAnsi" w:cstheme="majorBidi"/>
      <w:i/>
      <w:iCs/>
      <w:color w:val="000000" w:themeColor="text1"/>
      <w:spacing w:val="15"/>
      <w:sz w:val="24"/>
      <w:szCs w:val="24"/>
    </w:rPr>
  </w:style>
  <w:style w:type="character" w:customStyle="1" w:styleId="SubtitleChar">
    <w:name w:val="Subtitle Char"/>
    <w:basedOn w:val="DefaultParagraphFont"/>
    <w:link w:val="Subtitle"/>
    <w:uiPriority w:val="11"/>
    <w:rsid w:val="006D7E34"/>
    <w:rPr>
      <w:rFonts w:asciiTheme="majorHAnsi" w:eastAsiaTheme="majorEastAsia" w:hAnsiTheme="majorHAnsi" w:cstheme="majorBidi"/>
      <w:i/>
      <w:iCs/>
      <w:color w:val="000000" w:themeColor="text1"/>
      <w:spacing w:val="15"/>
      <w:sz w:val="24"/>
      <w:szCs w:val="24"/>
    </w:rPr>
  </w:style>
  <w:style w:type="character" w:customStyle="1" w:styleId="Heading3Char">
    <w:name w:val="Heading 3 Char"/>
    <w:basedOn w:val="DefaultParagraphFont"/>
    <w:link w:val="Heading3"/>
    <w:uiPriority w:val="9"/>
    <w:rsid w:val="00A917EE"/>
    <w:rPr>
      <w:rFonts w:asciiTheme="majorHAnsi" w:eastAsiaTheme="majorEastAsia" w:hAnsiTheme="majorHAnsi" w:cstheme="majorBidi"/>
      <w:b/>
      <w:bCs/>
      <w:color w:val="000000" w:themeColor="text1"/>
      <w:sz w:val="28"/>
    </w:rPr>
  </w:style>
  <w:style w:type="character" w:customStyle="1" w:styleId="Heading4Char">
    <w:name w:val="Heading 4 Char"/>
    <w:basedOn w:val="DefaultParagraphFont"/>
    <w:link w:val="Heading4"/>
    <w:uiPriority w:val="9"/>
    <w:rsid w:val="00A917EE"/>
    <w:rPr>
      <w:rFonts w:asciiTheme="majorHAnsi" w:eastAsiaTheme="majorEastAsia" w:hAnsiTheme="majorHAnsi" w:cstheme="majorBidi"/>
      <w:b/>
      <w:bCs/>
      <w:iCs/>
      <w:color w:val="000000" w:themeColor="text1"/>
      <w:sz w:val="26"/>
    </w:rPr>
  </w:style>
  <w:style w:type="paragraph" w:styleId="TOCHeading">
    <w:name w:val="TOC Heading"/>
    <w:basedOn w:val="Heading1"/>
    <w:next w:val="Normal"/>
    <w:uiPriority w:val="39"/>
    <w:unhideWhenUsed/>
    <w:qFormat/>
    <w:rsid w:val="006D7E34"/>
    <w:pPr>
      <w:outlineLvl w:val="9"/>
    </w:pPr>
    <w:rPr>
      <w:color w:val="365F91" w:themeColor="accent1" w:themeShade="BF"/>
      <w:lang w:val="en-US" w:eastAsia="ja-JP"/>
    </w:rPr>
  </w:style>
  <w:style w:type="paragraph" w:styleId="TOC1">
    <w:name w:val="toc 1"/>
    <w:basedOn w:val="Normal"/>
    <w:next w:val="Normal"/>
    <w:autoRedefine/>
    <w:uiPriority w:val="39"/>
    <w:unhideWhenUsed/>
    <w:rsid w:val="006D7E34"/>
    <w:pPr>
      <w:spacing w:after="100"/>
    </w:pPr>
  </w:style>
  <w:style w:type="paragraph" w:styleId="TOC2">
    <w:name w:val="toc 2"/>
    <w:basedOn w:val="Normal"/>
    <w:next w:val="Normal"/>
    <w:autoRedefine/>
    <w:uiPriority w:val="39"/>
    <w:unhideWhenUsed/>
    <w:rsid w:val="006D7E34"/>
    <w:pPr>
      <w:spacing w:after="100"/>
      <w:ind w:left="220"/>
    </w:pPr>
  </w:style>
  <w:style w:type="paragraph" w:styleId="TOC3">
    <w:name w:val="toc 3"/>
    <w:basedOn w:val="Normal"/>
    <w:next w:val="Normal"/>
    <w:autoRedefine/>
    <w:uiPriority w:val="39"/>
    <w:unhideWhenUsed/>
    <w:rsid w:val="006D7E34"/>
    <w:pPr>
      <w:spacing w:after="100"/>
      <w:ind w:left="440"/>
    </w:pPr>
  </w:style>
  <w:style w:type="character" w:styleId="Hyperlink">
    <w:name w:val="Hyperlink"/>
    <w:basedOn w:val="DefaultParagraphFont"/>
    <w:uiPriority w:val="99"/>
    <w:unhideWhenUsed/>
    <w:rsid w:val="006D7E34"/>
    <w:rPr>
      <w:color w:val="0000FF" w:themeColor="hyperlink"/>
      <w:u w:val="single"/>
    </w:rPr>
  </w:style>
  <w:style w:type="paragraph" w:styleId="BalloonText">
    <w:name w:val="Balloon Text"/>
    <w:basedOn w:val="Normal"/>
    <w:link w:val="BalloonTextChar"/>
    <w:uiPriority w:val="99"/>
    <w:semiHidden/>
    <w:unhideWhenUsed/>
    <w:rsid w:val="006D7E3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D7E34"/>
    <w:rPr>
      <w:rFonts w:ascii="Tahoma" w:hAnsi="Tahoma" w:cs="Tahoma"/>
      <w:sz w:val="16"/>
      <w:szCs w:val="16"/>
    </w:rPr>
  </w:style>
  <w:style w:type="paragraph" w:styleId="TOC4">
    <w:name w:val="toc 4"/>
    <w:basedOn w:val="Normal"/>
    <w:next w:val="Normal"/>
    <w:autoRedefine/>
    <w:uiPriority w:val="39"/>
    <w:unhideWhenUsed/>
    <w:rsid w:val="006D7E34"/>
    <w:pPr>
      <w:spacing w:after="100"/>
      <w:ind w:left="660"/>
    </w:pPr>
  </w:style>
  <w:style w:type="paragraph" w:styleId="ListParagraph">
    <w:name w:val="List Paragraph"/>
    <w:basedOn w:val="Normal"/>
    <w:uiPriority w:val="34"/>
    <w:qFormat/>
    <w:rsid w:val="00FB4D56"/>
    <w:pPr>
      <w:ind w:left="720"/>
      <w:contextualSpacing/>
    </w:pPr>
  </w:style>
  <w:style w:type="paragraph" w:styleId="NormalWeb">
    <w:name w:val="Normal (Web)"/>
    <w:basedOn w:val="Normal"/>
    <w:uiPriority w:val="99"/>
    <w:semiHidden/>
    <w:unhideWhenUsed/>
    <w:rsid w:val="002D1E3D"/>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2D1E3D"/>
    <w:rPr>
      <w:b/>
      <w:bCs/>
    </w:rPr>
  </w:style>
  <w:style w:type="paragraph" w:styleId="Caption">
    <w:name w:val="caption"/>
    <w:basedOn w:val="Normal"/>
    <w:next w:val="Normal"/>
    <w:uiPriority w:val="35"/>
    <w:unhideWhenUsed/>
    <w:qFormat/>
    <w:rsid w:val="00364361"/>
    <w:pPr>
      <w:spacing w:line="240" w:lineRule="auto"/>
    </w:pPr>
    <w:rPr>
      <w:b/>
      <w:bCs/>
      <w:sz w:val="18"/>
      <w:szCs w:val="18"/>
    </w:rPr>
  </w:style>
  <w:style w:type="table" w:styleId="TableGrid">
    <w:name w:val="Table Grid"/>
    <w:basedOn w:val="TableNormal"/>
    <w:uiPriority w:val="39"/>
    <w:rsid w:val="002D1E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9B26A7"/>
    <w:rPr>
      <w:color w:val="808080"/>
    </w:rPr>
  </w:style>
  <w:style w:type="paragraph" w:styleId="Bibliography">
    <w:name w:val="Bibliography"/>
    <w:basedOn w:val="Normal"/>
    <w:next w:val="Normal"/>
    <w:uiPriority w:val="37"/>
    <w:unhideWhenUsed/>
    <w:rsid w:val="00744F3C"/>
  </w:style>
  <w:style w:type="character" w:customStyle="1" w:styleId="hb">
    <w:name w:val="hb"/>
    <w:basedOn w:val="DefaultParagraphFont"/>
    <w:rsid w:val="006E3F7E"/>
  </w:style>
  <w:style w:type="character" w:customStyle="1" w:styleId="g2">
    <w:name w:val="g2"/>
    <w:basedOn w:val="DefaultParagraphFont"/>
    <w:rsid w:val="006E3F7E"/>
  </w:style>
  <w:style w:type="character" w:customStyle="1" w:styleId="A4">
    <w:name w:val="A4"/>
    <w:uiPriority w:val="99"/>
    <w:rsid w:val="00234692"/>
    <w:rPr>
      <w:color w:val="000000"/>
      <w:sz w:val="20"/>
      <w:szCs w:val="20"/>
    </w:rPr>
  </w:style>
  <w:style w:type="character" w:customStyle="1" w:styleId="Heading5Char">
    <w:name w:val="Heading 5 Char"/>
    <w:basedOn w:val="DefaultParagraphFont"/>
    <w:link w:val="Heading5"/>
    <w:uiPriority w:val="9"/>
    <w:rsid w:val="00A917EE"/>
    <w:rPr>
      <w:rFonts w:asciiTheme="majorHAnsi" w:eastAsiaTheme="majorEastAsia" w:hAnsiTheme="majorHAnsi" w:cstheme="majorBidi"/>
      <w:b/>
      <w:sz w:val="24"/>
    </w:rPr>
  </w:style>
  <w:style w:type="character" w:customStyle="1" w:styleId="Heading6Char">
    <w:name w:val="Heading 6 Char"/>
    <w:basedOn w:val="DefaultParagraphFont"/>
    <w:link w:val="Heading6"/>
    <w:uiPriority w:val="9"/>
    <w:rsid w:val="00A917EE"/>
    <w:rPr>
      <w:rFonts w:asciiTheme="majorHAnsi" w:eastAsiaTheme="majorEastAsia" w:hAnsiTheme="majorHAnsi" w:cstheme="majorBidi"/>
      <w:b/>
      <w:iCs/>
      <w:sz w:val="24"/>
    </w:rPr>
  </w:style>
  <w:style w:type="character" w:customStyle="1" w:styleId="Heading7Char">
    <w:name w:val="Heading 7 Char"/>
    <w:basedOn w:val="DefaultParagraphFont"/>
    <w:link w:val="Heading7"/>
    <w:uiPriority w:val="9"/>
    <w:rsid w:val="00A917EE"/>
    <w:rPr>
      <w:rFonts w:asciiTheme="majorHAnsi" w:eastAsiaTheme="majorEastAsia" w:hAnsiTheme="majorHAnsi" w:cstheme="majorBidi"/>
      <w:b/>
      <w:iCs/>
      <w:color w:val="000000" w:themeColor="text1"/>
      <w:sz w:val="40"/>
    </w:rPr>
  </w:style>
  <w:style w:type="character" w:customStyle="1" w:styleId="Heading8Char">
    <w:name w:val="Heading 8 Char"/>
    <w:basedOn w:val="DefaultParagraphFont"/>
    <w:link w:val="Heading8"/>
    <w:uiPriority w:val="9"/>
    <w:rsid w:val="003E0481"/>
    <w:rPr>
      <w:rFonts w:asciiTheme="majorHAnsi" w:eastAsiaTheme="majorEastAsia" w:hAnsiTheme="majorHAnsi" w:cstheme="majorBidi"/>
      <w:b/>
      <w:sz w:val="30"/>
      <w:szCs w:val="20"/>
    </w:rPr>
  </w:style>
  <w:style w:type="character" w:customStyle="1" w:styleId="Heading9Char">
    <w:name w:val="Heading 9 Char"/>
    <w:basedOn w:val="DefaultParagraphFont"/>
    <w:link w:val="Heading9"/>
    <w:uiPriority w:val="9"/>
    <w:rsid w:val="000D5C98"/>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uiPriority w:val="10"/>
    <w:qFormat/>
    <w:rsid w:val="008044E2"/>
    <w:pPr>
      <w:spacing w:after="300" w:line="240" w:lineRule="auto"/>
      <w:contextualSpacing/>
    </w:pPr>
    <w:rPr>
      <w:rFonts w:asciiTheme="majorHAnsi" w:eastAsiaTheme="majorEastAsia" w:hAnsiTheme="majorHAnsi" w:cstheme="majorBidi"/>
      <w:b/>
      <w:spacing w:val="5"/>
      <w:kern w:val="28"/>
      <w:sz w:val="80"/>
      <w:szCs w:val="52"/>
      <w:u w:val="single"/>
    </w:rPr>
  </w:style>
  <w:style w:type="character" w:customStyle="1" w:styleId="TitleChar">
    <w:name w:val="Title Char"/>
    <w:basedOn w:val="DefaultParagraphFont"/>
    <w:link w:val="Title"/>
    <w:uiPriority w:val="10"/>
    <w:rsid w:val="008044E2"/>
    <w:rPr>
      <w:rFonts w:asciiTheme="majorHAnsi" w:eastAsiaTheme="majorEastAsia" w:hAnsiTheme="majorHAnsi" w:cstheme="majorBidi"/>
      <w:b/>
      <w:spacing w:val="5"/>
      <w:kern w:val="28"/>
      <w:sz w:val="80"/>
      <w:szCs w:val="52"/>
      <w:u w:val="single"/>
    </w:rPr>
  </w:style>
  <w:style w:type="paragraph" w:styleId="Header">
    <w:name w:val="header"/>
    <w:basedOn w:val="Normal"/>
    <w:link w:val="HeaderChar"/>
    <w:uiPriority w:val="99"/>
    <w:unhideWhenUsed/>
    <w:rsid w:val="008629CA"/>
    <w:pPr>
      <w:tabs>
        <w:tab w:val="center" w:pos="4513"/>
        <w:tab w:val="right" w:pos="9026"/>
      </w:tabs>
      <w:spacing w:after="0" w:line="240" w:lineRule="auto"/>
    </w:pPr>
  </w:style>
  <w:style w:type="character" w:customStyle="1" w:styleId="HeaderChar">
    <w:name w:val="Header Char"/>
    <w:basedOn w:val="DefaultParagraphFont"/>
    <w:link w:val="Header"/>
    <w:uiPriority w:val="99"/>
    <w:rsid w:val="008629CA"/>
  </w:style>
  <w:style w:type="paragraph" w:styleId="Footer">
    <w:name w:val="footer"/>
    <w:basedOn w:val="Normal"/>
    <w:link w:val="FooterChar"/>
    <w:uiPriority w:val="99"/>
    <w:unhideWhenUsed/>
    <w:rsid w:val="008629CA"/>
    <w:pPr>
      <w:tabs>
        <w:tab w:val="center" w:pos="4513"/>
        <w:tab w:val="right" w:pos="9026"/>
      </w:tabs>
      <w:spacing w:after="0" w:line="240" w:lineRule="auto"/>
    </w:pPr>
  </w:style>
  <w:style w:type="character" w:customStyle="1" w:styleId="FooterChar">
    <w:name w:val="Footer Char"/>
    <w:basedOn w:val="DefaultParagraphFont"/>
    <w:link w:val="Footer"/>
    <w:uiPriority w:val="99"/>
    <w:rsid w:val="008629CA"/>
  </w:style>
  <w:style w:type="character" w:styleId="FollowedHyperlink">
    <w:name w:val="FollowedHyperlink"/>
    <w:basedOn w:val="DefaultParagraphFont"/>
    <w:uiPriority w:val="99"/>
    <w:semiHidden/>
    <w:unhideWhenUsed/>
    <w:rsid w:val="00CE151F"/>
    <w:rPr>
      <w:color w:val="800080" w:themeColor="followedHyperlink"/>
      <w:u w:val="single"/>
    </w:rPr>
  </w:style>
  <w:style w:type="paragraph" w:styleId="TableofFigures">
    <w:name w:val="table of figures"/>
    <w:basedOn w:val="Normal"/>
    <w:next w:val="Normal"/>
    <w:uiPriority w:val="99"/>
    <w:unhideWhenUsed/>
    <w:rsid w:val="000114DD"/>
    <w:pPr>
      <w:spacing w:after="0"/>
    </w:pPr>
  </w:style>
  <w:style w:type="paragraph" w:styleId="TOC5">
    <w:name w:val="toc 5"/>
    <w:basedOn w:val="Normal"/>
    <w:next w:val="Normal"/>
    <w:autoRedefine/>
    <w:uiPriority w:val="39"/>
    <w:unhideWhenUsed/>
    <w:rsid w:val="003450B9"/>
    <w:pPr>
      <w:spacing w:after="100"/>
      <w:ind w:left="880"/>
      <w:jc w:val="left"/>
    </w:pPr>
  </w:style>
  <w:style w:type="paragraph" w:styleId="TOC6">
    <w:name w:val="toc 6"/>
    <w:basedOn w:val="Normal"/>
    <w:next w:val="Normal"/>
    <w:autoRedefine/>
    <w:uiPriority w:val="39"/>
    <w:unhideWhenUsed/>
    <w:rsid w:val="003450B9"/>
    <w:pPr>
      <w:spacing w:after="100"/>
      <w:ind w:left="1100"/>
      <w:jc w:val="left"/>
    </w:pPr>
  </w:style>
  <w:style w:type="paragraph" w:styleId="TOC7">
    <w:name w:val="toc 7"/>
    <w:basedOn w:val="Normal"/>
    <w:next w:val="Normal"/>
    <w:autoRedefine/>
    <w:uiPriority w:val="39"/>
    <w:unhideWhenUsed/>
    <w:rsid w:val="003450B9"/>
    <w:pPr>
      <w:spacing w:after="100"/>
      <w:ind w:left="1320"/>
      <w:jc w:val="left"/>
    </w:pPr>
  </w:style>
  <w:style w:type="paragraph" w:styleId="TOC8">
    <w:name w:val="toc 8"/>
    <w:basedOn w:val="Normal"/>
    <w:next w:val="Normal"/>
    <w:autoRedefine/>
    <w:uiPriority w:val="39"/>
    <w:unhideWhenUsed/>
    <w:rsid w:val="003450B9"/>
    <w:pPr>
      <w:spacing w:after="100"/>
      <w:ind w:left="1540"/>
      <w:jc w:val="left"/>
    </w:pPr>
  </w:style>
  <w:style w:type="paragraph" w:styleId="TOC9">
    <w:name w:val="toc 9"/>
    <w:basedOn w:val="Normal"/>
    <w:next w:val="Normal"/>
    <w:autoRedefine/>
    <w:uiPriority w:val="39"/>
    <w:unhideWhenUsed/>
    <w:rsid w:val="003450B9"/>
    <w:pPr>
      <w:spacing w:after="100"/>
      <w:ind w:left="1760"/>
      <w:jc w:val="left"/>
    </w:pPr>
  </w:style>
  <w:style w:type="numbering" w:customStyle="1" w:styleId="Style1">
    <w:name w:val="Style1"/>
    <w:uiPriority w:val="99"/>
    <w:rsid w:val="007860E5"/>
    <w:pPr>
      <w:numPr>
        <w:numId w:val="2"/>
      </w:numPr>
    </w:pPr>
  </w:style>
  <w:style w:type="paragraph" w:styleId="NoSpacing">
    <w:name w:val="No Spacing"/>
    <w:uiPriority w:val="1"/>
    <w:qFormat/>
    <w:rsid w:val="00E30AC6"/>
    <w:pPr>
      <w:spacing w:after="0" w:line="240" w:lineRule="auto"/>
      <w:jc w:val="both"/>
    </w:pPr>
  </w:style>
  <w:style w:type="character" w:customStyle="1" w:styleId="tl8wme">
    <w:name w:val="tl8wme"/>
    <w:basedOn w:val="DefaultParagraphFont"/>
    <w:rsid w:val="0046189C"/>
  </w:style>
  <w:style w:type="character" w:styleId="CommentReference">
    <w:name w:val="annotation reference"/>
    <w:basedOn w:val="DefaultParagraphFont"/>
    <w:uiPriority w:val="99"/>
    <w:semiHidden/>
    <w:unhideWhenUsed/>
    <w:rsid w:val="00B147B8"/>
    <w:rPr>
      <w:sz w:val="16"/>
      <w:szCs w:val="16"/>
    </w:rPr>
  </w:style>
  <w:style w:type="paragraph" w:styleId="CommentText">
    <w:name w:val="annotation text"/>
    <w:basedOn w:val="Normal"/>
    <w:link w:val="CommentTextChar"/>
    <w:uiPriority w:val="99"/>
    <w:semiHidden/>
    <w:unhideWhenUsed/>
    <w:rsid w:val="00B147B8"/>
    <w:pPr>
      <w:spacing w:after="160" w:line="240" w:lineRule="auto"/>
    </w:pPr>
    <w:rPr>
      <w:rFonts w:ascii="Times New Roman" w:eastAsiaTheme="minorHAnsi" w:hAnsi="Times New Roman"/>
      <w:sz w:val="20"/>
      <w:szCs w:val="20"/>
      <w:lang w:eastAsia="en-US"/>
    </w:rPr>
  </w:style>
  <w:style w:type="character" w:customStyle="1" w:styleId="CommentTextChar">
    <w:name w:val="Comment Text Char"/>
    <w:basedOn w:val="DefaultParagraphFont"/>
    <w:link w:val="CommentText"/>
    <w:uiPriority w:val="99"/>
    <w:semiHidden/>
    <w:rsid w:val="00B147B8"/>
    <w:rPr>
      <w:rFonts w:ascii="Times New Roman" w:eastAsiaTheme="minorHAnsi" w:hAnsi="Times New Roman"/>
      <w:sz w:val="20"/>
      <w:szCs w:val="20"/>
      <w:lang w:eastAsia="en-US"/>
    </w:rPr>
  </w:style>
  <w:style w:type="character" w:styleId="Emphasis">
    <w:name w:val="Emphasis"/>
    <w:basedOn w:val="DefaultParagraphFont"/>
    <w:uiPriority w:val="20"/>
    <w:qFormat/>
    <w:rsid w:val="00CD2CDB"/>
    <w:rPr>
      <w:i/>
      <w:iCs/>
    </w:rPr>
  </w:style>
  <w:style w:type="character" w:styleId="LineNumber">
    <w:name w:val="line number"/>
    <w:basedOn w:val="DefaultParagraphFont"/>
    <w:uiPriority w:val="99"/>
    <w:semiHidden/>
    <w:unhideWhenUsed/>
    <w:rsid w:val="00BD6EA7"/>
  </w:style>
  <w:style w:type="character" w:customStyle="1" w:styleId="fontstyle01">
    <w:name w:val="fontstyle01"/>
    <w:basedOn w:val="DefaultParagraphFont"/>
    <w:rsid w:val="004E453A"/>
    <w:rPr>
      <w:rFonts w:ascii="Calibri" w:hAnsi="Calibri" w:hint="default"/>
      <w:b w:val="0"/>
      <w:bCs w:val="0"/>
      <w:i w:val="0"/>
      <w:iCs w:val="0"/>
      <w:color w:val="000000"/>
      <w:sz w:val="24"/>
      <w:szCs w:val="24"/>
    </w:rPr>
  </w:style>
  <w:style w:type="character" w:styleId="UnresolvedMention">
    <w:name w:val="Unresolved Mention"/>
    <w:basedOn w:val="DefaultParagraphFont"/>
    <w:uiPriority w:val="99"/>
    <w:semiHidden/>
    <w:unhideWhenUsed/>
    <w:rsid w:val="004E453A"/>
    <w:rPr>
      <w:color w:val="605E5C"/>
      <w:shd w:val="clear" w:color="auto" w:fill="E1DFDD"/>
    </w:rPr>
  </w:style>
  <w:style w:type="paragraph" w:styleId="FootnoteText">
    <w:name w:val="footnote text"/>
    <w:basedOn w:val="Normal"/>
    <w:link w:val="FootnoteTextChar"/>
    <w:uiPriority w:val="99"/>
    <w:semiHidden/>
    <w:unhideWhenUsed/>
    <w:rsid w:val="004E453A"/>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4E453A"/>
    <w:rPr>
      <w:sz w:val="20"/>
      <w:szCs w:val="20"/>
    </w:rPr>
  </w:style>
  <w:style w:type="character" w:styleId="FootnoteReference">
    <w:name w:val="footnote reference"/>
    <w:basedOn w:val="DefaultParagraphFont"/>
    <w:uiPriority w:val="99"/>
    <w:semiHidden/>
    <w:unhideWhenUsed/>
    <w:rsid w:val="004E453A"/>
    <w:rPr>
      <w:vertAlign w:val="superscript"/>
    </w:rPr>
  </w:style>
  <w:style w:type="paragraph" w:styleId="CommentSubject">
    <w:name w:val="annotation subject"/>
    <w:basedOn w:val="CommentText"/>
    <w:next w:val="CommentText"/>
    <w:link w:val="CommentSubjectChar"/>
    <w:uiPriority w:val="99"/>
    <w:semiHidden/>
    <w:unhideWhenUsed/>
    <w:rsid w:val="004E453A"/>
    <w:pPr>
      <w:spacing w:after="200"/>
    </w:pPr>
    <w:rPr>
      <w:rFonts w:asciiTheme="minorHAnsi" w:eastAsiaTheme="minorEastAsia" w:hAnsiTheme="minorHAnsi"/>
      <w:b/>
      <w:bCs/>
      <w:lang w:eastAsia="zh-CN"/>
    </w:rPr>
  </w:style>
  <w:style w:type="character" w:customStyle="1" w:styleId="CommentSubjectChar">
    <w:name w:val="Comment Subject Char"/>
    <w:basedOn w:val="CommentTextChar"/>
    <w:link w:val="CommentSubject"/>
    <w:uiPriority w:val="99"/>
    <w:semiHidden/>
    <w:rsid w:val="004E453A"/>
    <w:rPr>
      <w:rFonts w:ascii="Times New Roman" w:eastAsiaTheme="minorHAnsi" w:hAnsi="Times New Roman"/>
      <w:b/>
      <w:bCs/>
      <w:sz w:val="20"/>
      <w:szCs w:val="20"/>
      <w:lang w:eastAsia="en-US"/>
    </w:rPr>
  </w:style>
  <w:style w:type="character" w:customStyle="1" w:styleId="apple-converted-space">
    <w:name w:val="apple-converted-space"/>
    <w:basedOn w:val="DefaultParagraphFont"/>
    <w:rsid w:val="004E453A"/>
  </w:style>
  <w:style w:type="paragraph" w:styleId="Quote">
    <w:name w:val="Quote"/>
    <w:basedOn w:val="Normal"/>
    <w:next w:val="Normal"/>
    <w:link w:val="QuoteChar"/>
    <w:uiPriority w:val="29"/>
    <w:qFormat/>
    <w:rsid w:val="004E453A"/>
    <w:pPr>
      <w:spacing w:before="200" w:after="160" w:line="360" w:lineRule="auto"/>
      <w:ind w:left="864" w:right="864"/>
      <w:jc w:val="center"/>
    </w:pPr>
    <w:rPr>
      <w:rFonts w:eastAsiaTheme="minorHAnsi"/>
      <w:i/>
      <w:iCs/>
      <w:color w:val="404040" w:themeColor="text1" w:themeTint="BF"/>
      <w:sz w:val="24"/>
      <w:lang w:eastAsia="en-US"/>
    </w:rPr>
  </w:style>
  <w:style w:type="character" w:customStyle="1" w:styleId="QuoteChar">
    <w:name w:val="Quote Char"/>
    <w:basedOn w:val="DefaultParagraphFont"/>
    <w:link w:val="Quote"/>
    <w:uiPriority w:val="29"/>
    <w:rsid w:val="004E453A"/>
    <w:rPr>
      <w:rFonts w:eastAsiaTheme="minorHAnsi"/>
      <w:i/>
      <w:iCs/>
      <w:color w:val="404040" w:themeColor="text1" w:themeTint="BF"/>
      <w:sz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8547725">
      <w:bodyDiv w:val="1"/>
      <w:marLeft w:val="0"/>
      <w:marRight w:val="0"/>
      <w:marTop w:val="0"/>
      <w:marBottom w:val="0"/>
      <w:divBdr>
        <w:top w:val="none" w:sz="0" w:space="0" w:color="auto"/>
        <w:left w:val="none" w:sz="0" w:space="0" w:color="auto"/>
        <w:bottom w:val="none" w:sz="0" w:space="0" w:color="auto"/>
        <w:right w:val="none" w:sz="0" w:space="0" w:color="auto"/>
      </w:divBdr>
    </w:div>
    <w:div w:id="306276889">
      <w:bodyDiv w:val="1"/>
      <w:marLeft w:val="0"/>
      <w:marRight w:val="0"/>
      <w:marTop w:val="0"/>
      <w:marBottom w:val="0"/>
      <w:divBdr>
        <w:top w:val="none" w:sz="0" w:space="0" w:color="auto"/>
        <w:left w:val="none" w:sz="0" w:space="0" w:color="auto"/>
        <w:bottom w:val="none" w:sz="0" w:space="0" w:color="auto"/>
        <w:right w:val="none" w:sz="0" w:space="0" w:color="auto"/>
      </w:divBdr>
      <w:divsChild>
        <w:div w:id="1303653042">
          <w:marLeft w:val="135"/>
          <w:marRight w:val="135"/>
          <w:marTop w:val="0"/>
          <w:marBottom w:val="90"/>
          <w:divBdr>
            <w:top w:val="none" w:sz="0" w:space="0" w:color="auto"/>
            <w:left w:val="none" w:sz="0" w:space="0" w:color="auto"/>
            <w:bottom w:val="none" w:sz="0" w:space="0" w:color="auto"/>
            <w:right w:val="none" w:sz="0" w:space="0" w:color="auto"/>
          </w:divBdr>
        </w:div>
      </w:divsChild>
    </w:div>
    <w:div w:id="328992182">
      <w:bodyDiv w:val="1"/>
      <w:marLeft w:val="0"/>
      <w:marRight w:val="0"/>
      <w:marTop w:val="0"/>
      <w:marBottom w:val="0"/>
      <w:divBdr>
        <w:top w:val="none" w:sz="0" w:space="0" w:color="auto"/>
        <w:left w:val="none" w:sz="0" w:space="0" w:color="auto"/>
        <w:bottom w:val="none" w:sz="0" w:space="0" w:color="auto"/>
        <w:right w:val="none" w:sz="0" w:space="0" w:color="auto"/>
      </w:divBdr>
    </w:div>
    <w:div w:id="788554216">
      <w:bodyDiv w:val="1"/>
      <w:marLeft w:val="0"/>
      <w:marRight w:val="0"/>
      <w:marTop w:val="0"/>
      <w:marBottom w:val="0"/>
      <w:divBdr>
        <w:top w:val="none" w:sz="0" w:space="0" w:color="auto"/>
        <w:left w:val="none" w:sz="0" w:space="0" w:color="auto"/>
        <w:bottom w:val="none" w:sz="0" w:space="0" w:color="auto"/>
        <w:right w:val="none" w:sz="0" w:space="0" w:color="auto"/>
      </w:divBdr>
    </w:div>
    <w:div w:id="860166904">
      <w:bodyDiv w:val="1"/>
      <w:marLeft w:val="0"/>
      <w:marRight w:val="0"/>
      <w:marTop w:val="0"/>
      <w:marBottom w:val="0"/>
      <w:divBdr>
        <w:top w:val="none" w:sz="0" w:space="0" w:color="auto"/>
        <w:left w:val="none" w:sz="0" w:space="0" w:color="auto"/>
        <w:bottom w:val="none" w:sz="0" w:space="0" w:color="auto"/>
        <w:right w:val="none" w:sz="0" w:space="0" w:color="auto"/>
      </w:divBdr>
    </w:div>
    <w:div w:id="862398950">
      <w:bodyDiv w:val="1"/>
      <w:marLeft w:val="0"/>
      <w:marRight w:val="0"/>
      <w:marTop w:val="0"/>
      <w:marBottom w:val="0"/>
      <w:divBdr>
        <w:top w:val="none" w:sz="0" w:space="0" w:color="auto"/>
        <w:left w:val="none" w:sz="0" w:space="0" w:color="auto"/>
        <w:bottom w:val="none" w:sz="0" w:space="0" w:color="auto"/>
        <w:right w:val="none" w:sz="0" w:space="0" w:color="auto"/>
      </w:divBdr>
      <w:divsChild>
        <w:div w:id="102963687">
          <w:marLeft w:val="0"/>
          <w:marRight w:val="0"/>
          <w:marTop w:val="0"/>
          <w:marBottom w:val="0"/>
          <w:divBdr>
            <w:top w:val="none" w:sz="0" w:space="0" w:color="auto"/>
            <w:left w:val="none" w:sz="0" w:space="0" w:color="auto"/>
            <w:bottom w:val="none" w:sz="0" w:space="0" w:color="auto"/>
            <w:right w:val="none" w:sz="0" w:space="0" w:color="auto"/>
          </w:divBdr>
          <w:divsChild>
            <w:div w:id="1448158107">
              <w:marLeft w:val="0"/>
              <w:marRight w:val="0"/>
              <w:marTop w:val="0"/>
              <w:marBottom w:val="0"/>
              <w:divBdr>
                <w:top w:val="none" w:sz="0" w:space="0" w:color="auto"/>
                <w:left w:val="none" w:sz="0" w:space="0" w:color="auto"/>
                <w:bottom w:val="none" w:sz="0" w:space="0" w:color="auto"/>
                <w:right w:val="none" w:sz="0" w:space="0" w:color="auto"/>
              </w:divBdr>
              <w:divsChild>
                <w:div w:id="984505292">
                  <w:marLeft w:val="0"/>
                  <w:marRight w:val="0"/>
                  <w:marTop w:val="0"/>
                  <w:marBottom w:val="0"/>
                  <w:divBdr>
                    <w:top w:val="none" w:sz="0" w:space="0" w:color="auto"/>
                    <w:left w:val="none" w:sz="0" w:space="0" w:color="auto"/>
                    <w:bottom w:val="none" w:sz="0" w:space="0" w:color="auto"/>
                    <w:right w:val="none" w:sz="0" w:space="0" w:color="auto"/>
                  </w:divBdr>
                  <w:divsChild>
                    <w:div w:id="153107918">
                      <w:marLeft w:val="0"/>
                      <w:marRight w:val="0"/>
                      <w:marTop w:val="0"/>
                      <w:marBottom w:val="0"/>
                      <w:divBdr>
                        <w:top w:val="none" w:sz="0" w:space="0" w:color="auto"/>
                        <w:left w:val="none" w:sz="0" w:space="0" w:color="auto"/>
                        <w:bottom w:val="none" w:sz="0" w:space="0" w:color="auto"/>
                        <w:right w:val="none" w:sz="0" w:space="0" w:color="auto"/>
                      </w:divBdr>
                    </w:div>
                    <w:div w:id="230777552">
                      <w:marLeft w:val="0"/>
                      <w:marRight w:val="0"/>
                      <w:marTop w:val="0"/>
                      <w:marBottom w:val="0"/>
                      <w:divBdr>
                        <w:top w:val="none" w:sz="0" w:space="0" w:color="auto"/>
                        <w:left w:val="none" w:sz="0" w:space="0" w:color="auto"/>
                        <w:bottom w:val="none" w:sz="0" w:space="0" w:color="auto"/>
                        <w:right w:val="none" w:sz="0" w:space="0" w:color="auto"/>
                      </w:divBdr>
                    </w:div>
                    <w:div w:id="389547858">
                      <w:marLeft w:val="0"/>
                      <w:marRight w:val="0"/>
                      <w:marTop w:val="0"/>
                      <w:marBottom w:val="0"/>
                      <w:divBdr>
                        <w:top w:val="none" w:sz="0" w:space="0" w:color="auto"/>
                        <w:left w:val="none" w:sz="0" w:space="0" w:color="auto"/>
                        <w:bottom w:val="none" w:sz="0" w:space="0" w:color="auto"/>
                        <w:right w:val="none" w:sz="0" w:space="0" w:color="auto"/>
                      </w:divBdr>
                    </w:div>
                    <w:div w:id="531118778">
                      <w:marLeft w:val="0"/>
                      <w:marRight w:val="0"/>
                      <w:marTop w:val="0"/>
                      <w:marBottom w:val="0"/>
                      <w:divBdr>
                        <w:top w:val="none" w:sz="0" w:space="0" w:color="auto"/>
                        <w:left w:val="none" w:sz="0" w:space="0" w:color="auto"/>
                        <w:bottom w:val="none" w:sz="0" w:space="0" w:color="auto"/>
                        <w:right w:val="none" w:sz="0" w:space="0" w:color="auto"/>
                      </w:divBdr>
                    </w:div>
                    <w:div w:id="535973830">
                      <w:marLeft w:val="0"/>
                      <w:marRight w:val="0"/>
                      <w:marTop w:val="0"/>
                      <w:marBottom w:val="0"/>
                      <w:divBdr>
                        <w:top w:val="none" w:sz="0" w:space="0" w:color="auto"/>
                        <w:left w:val="none" w:sz="0" w:space="0" w:color="auto"/>
                        <w:bottom w:val="none" w:sz="0" w:space="0" w:color="auto"/>
                        <w:right w:val="none" w:sz="0" w:space="0" w:color="auto"/>
                      </w:divBdr>
                    </w:div>
                    <w:div w:id="793669944">
                      <w:marLeft w:val="0"/>
                      <w:marRight w:val="0"/>
                      <w:marTop w:val="0"/>
                      <w:marBottom w:val="0"/>
                      <w:divBdr>
                        <w:top w:val="none" w:sz="0" w:space="0" w:color="auto"/>
                        <w:left w:val="none" w:sz="0" w:space="0" w:color="auto"/>
                        <w:bottom w:val="none" w:sz="0" w:space="0" w:color="auto"/>
                        <w:right w:val="none" w:sz="0" w:space="0" w:color="auto"/>
                      </w:divBdr>
                    </w:div>
                    <w:div w:id="833837234">
                      <w:marLeft w:val="0"/>
                      <w:marRight w:val="0"/>
                      <w:marTop w:val="0"/>
                      <w:marBottom w:val="0"/>
                      <w:divBdr>
                        <w:top w:val="none" w:sz="0" w:space="0" w:color="auto"/>
                        <w:left w:val="none" w:sz="0" w:space="0" w:color="auto"/>
                        <w:bottom w:val="none" w:sz="0" w:space="0" w:color="auto"/>
                        <w:right w:val="none" w:sz="0" w:space="0" w:color="auto"/>
                      </w:divBdr>
                    </w:div>
                    <w:div w:id="947005908">
                      <w:marLeft w:val="0"/>
                      <w:marRight w:val="0"/>
                      <w:marTop w:val="0"/>
                      <w:marBottom w:val="0"/>
                      <w:divBdr>
                        <w:top w:val="none" w:sz="0" w:space="0" w:color="auto"/>
                        <w:left w:val="none" w:sz="0" w:space="0" w:color="auto"/>
                        <w:bottom w:val="none" w:sz="0" w:space="0" w:color="auto"/>
                        <w:right w:val="none" w:sz="0" w:space="0" w:color="auto"/>
                      </w:divBdr>
                    </w:div>
                    <w:div w:id="1243637503">
                      <w:marLeft w:val="0"/>
                      <w:marRight w:val="0"/>
                      <w:marTop w:val="0"/>
                      <w:marBottom w:val="0"/>
                      <w:divBdr>
                        <w:top w:val="none" w:sz="0" w:space="0" w:color="auto"/>
                        <w:left w:val="none" w:sz="0" w:space="0" w:color="auto"/>
                        <w:bottom w:val="none" w:sz="0" w:space="0" w:color="auto"/>
                        <w:right w:val="none" w:sz="0" w:space="0" w:color="auto"/>
                      </w:divBdr>
                    </w:div>
                    <w:div w:id="1561596185">
                      <w:marLeft w:val="0"/>
                      <w:marRight w:val="0"/>
                      <w:marTop w:val="0"/>
                      <w:marBottom w:val="0"/>
                      <w:divBdr>
                        <w:top w:val="none" w:sz="0" w:space="0" w:color="auto"/>
                        <w:left w:val="none" w:sz="0" w:space="0" w:color="auto"/>
                        <w:bottom w:val="none" w:sz="0" w:space="0" w:color="auto"/>
                        <w:right w:val="none" w:sz="0" w:space="0" w:color="auto"/>
                      </w:divBdr>
                    </w:div>
                    <w:div w:id="1613321600">
                      <w:marLeft w:val="0"/>
                      <w:marRight w:val="0"/>
                      <w:marTop w:val="0"/>
                      <w:marBottom w:val="0"/>
                      <w:divBdr>
                        <w:top w:val="none" w:sz="0" w:space="0" w:color="auto"/>
                        <w:left w:val="none" w:sz="0" w:space="0" w:color="auto"/>
                        <w:bottom w:val="none" w:sz="0" w:space="0" w:color="auto"/>
                        <w:right w:val="none" w:sz="0" w:space="0" w:color="auto"/>
                      </w:divBdr>
                    </w:div>
                    <w:div w:id="1754813281">
                      <w:marLeft w:val="0"/>
                      <w:marRight w:val="0"/>
                      <w:marTop w:val="0"/>
                      <w:marBottom w:val="0"/>
                      <w:divBdr>
                        <w:top w:val="none" w:sz="0" w:space="0" w:color="auto"/>
                        <w:left w:val="none" w:sz="0" w:space="0" w:color="auto"/>
                        <w:bottom w:val="none" w:sz="0" w:space="0" w:color="auto"/>
                        <w:right w:val="none" w:sz="0" w:space="0" w:color="auto"/>
                      </w:divBdr>
                    </w:div>
                    <w:div w:id="1888223486">
                      <w:marLeft w:val="0"/>
                      <w:marRight w:val="0"/>
                      <w:marTop w:val="0"/>
                      <w:marBottom w:val="0"/>
                      <w:divBdr>
                        <w:top w:val="none" w:sz="0" w:space="0" w:color="auto"/>
                        <w:left w:val="none" w:sz="0" w:space="0" w:color="auto"/>
                        <w:bottom w:val="none" w:sz="0" w:space="0" w:color="auto"/>
                        <w:right w:val="none" w:sz="0" w:space="0" w:color="auto"/>
                      </w:divBdr>
                    </w:div>
                    <w:div w:id="2068872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5705184">
          <w:marLeft w:val="0"/>
          <w:marRight w:val="0"/>
          <w:marTop w:val="0"/>
          <w:marBottom w:val="0"/>
          <w:divBdr>
            <w:top w:val="none" w:sz="0" w:space="0" w:color="auto"/>
            <w:left w:val="none" w:sz="0" w:space="0" w:color="auto"/>
            <w:bottom w:val="none" w:sz="0" w:space="0" w:color="auto"/>
            <w:right w:val="none" w:sz="0" w:space="0" w:color="auto"/>
          </w:divBdr>
          <w:divsChild>
            <w:div w:id="666514610">
              <w:marLeft w:val="0"/>
              <w:marRight w:val="0"/>
              <w:marTop w:val="0"/>
              <w:marBottom w:val="0"/>
              <w:divBdr>
                <w:top w:val="none" w:sz="0" w:space="0" w:color="auto"/>
                <w:left w:val="none" w:sz="0" w:space="0" w:color="auto"/>
                <w:bottom w:val="none" w:sz="0" w:space="0" w:color="auto"/>
                <w:right w:val="none" w:sz="0" w:space="0" w:color="auto"/>
              </w:divBdr>
            </w:div>
            <w:div w:id="1245457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6566294">
      <w:bodyDiv w:val="1"/>
      <w:marLeft w:val="0"/>
      <w:marRight w:val="0"/>
      <w:marTop w:val="0"/>
      <w:marBottom w:val="0"/>
      <w:divBdr>
        <w:top w:val="none" w:sz="0" w:space="0" w:color="auto"/>
        <w:left w:val="none" w:sz="0" w:space="0" w:color="auto"/>
        <w:bottom w:val="none" w:sz="0" w:space="0" w:color="auto"/>
        <w:right w:val="none" w:sz="0" w:space="0" w:color="auto"/>
      </w:divBdr>
    </w:div>
    <w:div w:id="1405178072">
      <w:bodyDiv w:val="1"/>
      <w:marLeft w:val="0"/>
      <w:marRight w:val="0"/>
      <w:marTop w:val="0"/>
      <w:marBottom w:val="0"/>
      <w:divBdr>
        <w:top w:val="none" w:sz="0" w:space="0" w:color="auto"/>
        <w:left w:val="none" w:sz="0" w:space="0" w:color="auto"/>
        <w:bottom w:val="none" w:sz="0" w:space="0" w:color="auto"/>
        <w:right w:val="none" w:sz="0" w:space="0" w:color="auto"/>
      </w:divBdr>
    </w:div>
    <w:div w:id="2016493761">
      <w:bodyDiv w:val="1"/>
      <w:marLeft w:val="0"/>
      <w:marRight w:val="0"/>
      <w:marTop w:val="0"/>
      <w:marBottom w:val="0"/>
      <w:divBdr>
        <w:top w:val="none" w:sz="0" w:space="0" w:color="auto"/>
        <w:left w:val="none" w:sz="0" w:space="0" w:color="auto"/>
        <w:bottom w:val="none" w:sz="0" w:space="0" w:color="auto"/>
        <w:right w:val="none" w:sz="0" w:space="0" w:color="auto"/>
      </w:divBdr>
    </w:div>
    <w:div w:id="21418010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hyperlink" Target="https://en.wikipedia.org/wiki/Gothenburg" TargetMode="External"/><Relationship Id="rId26" Type="http://schemas.openxmlformats.org/officeDocument/2006/relationships/image" Target="media/image17.png"/><Relationship Id="rId39" Type="http://schemas.openxmlformats.org/officeDocument/2006/relationships/image" Target="media/image29.png"/><Relationship Id="rId21" Type="http://schemas.openxmlformats.org/officeDocument/2006/relationships/image" Target="media/image12.pn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5.png"/><Relationship Id="rId63" Type="http://schemas.openxmlformats.org/officeDocument/2006/relationships/header" Target="header4.xml"/><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5.png"/><Relationship Id="rId32" Type="http://schemas.openxmlformats.org/officeDocument/2006/relationships/image" Target="media/image22.png"/><Relationship Id="rId37" Type="http://schemas.openxmlformats.org/officeDocument/2006/relationships/image" Target="media/image27.jpe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header" Target="header5.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6.png"/><Relationship Id="rId49" Type="http://schemas.openxmlformats.org/officeDocument/2006/relationships/image" Target="media/image39.jpeg"/><Relationship Id="rId57" Type="http://schemas.openxmlformats.org/officeDocument/2006/relationships/image" Target="media/image47.png"/><Relationship Id="rId61" Type="http://schemas.openxmlformats.org/officeDocument/2006/relationships/image" Target="media/image51.jpeg"/><Relationship Id="rId10" Type="http://schemas.openxmlformats.org/officeDocument/2006/relationships/image" Target="media/image2.png"/><Relationship Id="rId19" Type="http://schemas.openxmlformats.org/officeDocument/2006/relationships/image" Target="media/image10.png"/><Relationship Id="rId31" Type="http://schemas.openxmlformats.org/officeDocument/2006/relationships/header" Target="header2.xml"/><Relationship Id="rId44" Type="http://schemas.openxmlformats.org/officeDocument/2006/relationships/image" Target="media/image34.pn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footer" Target="footer2.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5.jpeg"/><Relationship Id="rId43" Type="http://schemas.openxmlformats.org/officeDocument/2006/relationships/image" Target="media/image33.pn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footer" Target="footer1.xml"/><Relationship Id="rId69"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1.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6.png"/><Relationship Id="rId33" Type="http://schemas.openxmlformats.org/officeDocument/2006/relationships/image" Target="media/image23.jpe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JPG"/><Relationship Id="rId67" Type="http://schemas.openxmlformats.org/officeDocument/2006/relationships/footer" Target="footer3.xml"/><Relationship Id="rId20" Type="http://schemas.openxmlformats.org/officeDocument/2006/relationships/image" Target="media/image11.png"/><Relationship Id="rId41" Type="http://schemas.openxmlformats.org/officeDocument/2006/relationships/image" Target="media/image31.jpeg"/><Relationship Id="rId54" Type="http://schemas.openxmlformats.org/officeDocument/2006/relationships/image" Target="media/image44.png"/><Relationship Id="rId62" Type="http://schemas.openxmlformats.org/officeDocument/2006/relationships/header" Target="head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2008">
  <b:Source>
    <b:Tag>Par90</b:Tag>
    <b:SourceType>Report</b:SourceType>
    <b:Guid>{E78A6A0C-BFB6-48A7-90A7-75A9BE137665}</b:Guid>
    <b:Title>Environmental Protection Act 1990</b:Title>
    <b:Year>1990</b:Year>
    <b:Author>
      <b:Author>
        <b:Corporate>Parliament of the United Kingdom</b:Corporate>
      </b:Author>
    </b:Author>
    <b:Publisher>Parliament of the United Kingdom</b:Publisher>
    <b:City>London</b:City>
    <b:RefOrder>17</b:RefOrder>
  </b:Source>
  <b:Source>
    <b:Tag>Par94</b:Tag>
    <b:SourceType>Report</b:SourceType>
    <b:Guid>{54E92F99-CC6F-4587-96C6-80418228C9FF}</b:Guid>
    <b:Author>
      <b:Author>
        <b:Corporate>Parliament of the United Kingdom</b:Corporate>
      </b:Author>
    </b:Author>
    <b:Title>Waste Management Licensing Regulations 1994</b:Title>
    <b:Year>1994</b:Year>
    <b:Publisher>Parliament of the United Kingdom</b:Publisher>
    <b:City>London</b:City>
    <b:RefOrder>18</b:RefOrder>
  </b:Source>
  <b:Source>
    <b:Tag>Par05</b:Tag>
    <b:SourceType>Report</b:SourceType>
    <b:Guid>{5D4CB853-4D86-470F-8193-12D96EAB224D}</b:Guid>
    <b:Author>
      <b:Author>
        <b:Corporate>Parliament of the United Kingdom</b:Corporate>
      </b:Author>
    </b:Author>
    <b:Title>Hazardous Waste Regulations 2005</b:Title>
    <b:Year>2005</b:Year>
    <b:Publisher>Parliament of the United Kingdom</b:Publisher>
    <b:City>London</b:City>
    <b:RefOrder>19</b:RefOrder>
  </b:Source>
  <b:Source>
    <b:Tag>Par92</b:Tag>
    <b:SourceType>Report</b:SourceType>
    <b:Guid>{CA12BEA6-3105-4217-B917-110FBB111458}</b:Guid>
    <b:Author>
      <b:Author>
        <b:Corporate>Parliament of the United Kingdom</b:Corporate>
      </b:Author>
    </b:Author>
    <b:Title>The Controlled Waste Regulations 1992</b:Title>
    <b:Year>1992</b:Year>
    <b:Publisher>Parliament of the United Kingdom</b:Publisher>
    <b:City>London</b:City>
    <b:RefOrder>12</b:RefOrder>
  </b:Source>
  <b:Source>
    <b:Tag>Par99</b:Tag>
    <b:SourceType>Report</b:SourceType>
    <b:Guid>{D651B92A-C1A5-40F2-B1A6-6D47A3AC553D}</b:Guid>
    <b:Author>
      <b:Author>
        <b:Corporate>Parliament of the United Kingdom</b:Corporate>
      </b:Author>
    </b:Author>
    <b:Title>Health Services Advisory Committee 1999</b:Title>
    <b:Year>1999</b:Year>
    <b:Publisher>Parliament of the United Kingdom</b:Publisher>
    <b:City>London</b:City>
    <b:RefOrder>16</b:RefOrder>
  </b:Source>
  <b:Source>
    <b:Tag>Dep11</b:Tag>
    <b:SourceType>Report</b:SourceType>
    <b:Guid>{14AE7F19-D462-40F0-AFC5-FE8B50D6767E}</b:Guid>
    <b:Author>
      <b:Author>
        <b:Corporate>Department of Health</b:Corporate>
      </b:Author>
    </b:Author>
    <b:Title>Safe Management of Healthcare Waste</b:Title>
    <b:Year>2011</b:Year>
    <b:Publisher>Department of Health</b:Publisher>
    <b:City>London</b:City>
    <b:RefOrder>15</b:RefOrder>
  </b:Source>
  <b:Source>
    <b:Tag>EPA00</b:Tag>
    <b:SourceType>Report</b:SourceType>
    <b:Guid>{129391B0-31ED-472D-A78C-4162125F7D60}</b:Guid>
    <b:Author>
      <b:Author>
        <b:Corporate>EPA</b:Corporate>
      </b:Author>
    </b:Author>
    <b:Title>European Waste Catalogue Codes</b:Title>
    <b:Year>2000</b:Year>
    <b:City>EPA</b:City>
    <b:RefOrder>13</b:RefOrder>
  </b:Source>
  <b:Source>
    <b:Tag>SEP08</b:Tag>
    <b:SourceType>Report</b:SourceType>
    <b:Guid>{2B20CAD2-507C-4180-B535-35B1B9428B31}</b:Guid>
    <b:Author>
      <b:Author>
        <b:Corporate>SEPA</b:Corporate>
      </b:Author>
    </b:Author>
    <b:Title>Environment Agency Hazardous Waste: INterpretation of the definition and classificiation of hazardous waste</b:Title>
    <b:Year>2008</b:Year>
    <b:Publisher>SEPA</b:Publisher>
    <b:City>Edinburgh</b:City>
    <b:RefOrder>14</b:RefOrder>
  </b:Source>
  <b:Source>
    <b:Tag>Lee04</b:Tag>
    <b:SourceType>JournalArticle</b:SourceType>
    <b:Guid>{8AF85D08-A55B-4AE3-B173-6A13DEFED9B8}</b:Guid>
    <b:Title>Alternatives for Treatment and Disposal COst Reduction of Regulated Medical Wastes</b:Title>
    <b:Year>2004</b:Year>
    <b:JournalName>Waste Management</b:JournalName>
    <b:Pages>143-151</b:Pages>
    <b:Volume>24</b:Volume>
    <b:Issue>2</b:Issue>
    <b:Author>
      <b:Author>
        <b:NameList>
          <b:Person>
            <b:Last>Lee</b:Last>
            <b:First>Byeong-Kyu</b:First>
          </b:Person>
          <b:Person>
            <b:Last>Ellenbecker</b:Last>
            <b:Middle>J</b:Middle>
            <b:First>Michael</b:First>
          </b:Person>
          <b:Person>
            <b:Last>Moure-Ersaso</b:Last>
            <b:First>Rafael</b:First>
          </b:Person>
        </b:NameList>
      </b:Author>
    </b:Author>
    <b:RefOrder>21</b:RefOrder>
  </b:Source>
  <b:Source>
    <b:Tag>Moh06</b:Tag>
    <b:SourceType>JournalArticle</b:SourceType>
    <b:Guid>{E7F52F95-4C96-420A-857C-6B4A07AF4E61}</b:Guid>
    <b:Title>Pyrolysis of Wood/ Biomass for Bio-oil: A Critical Review</b:Title>
    <b:Year>2006</b:Year>
    <b:JournalName>Energy and Fuels</b:JournalName>
    <b:Pages>848-889</b:Pages>
    <b:Volume>3</b:Volume>
    <b:Issue>20</b:Issue>
    <b:Author>
      <b:Author>
        <b:NameList>
          <b:Person>
            <b:Last>Mohan</b:Last>
            <b:First>Dinesh</b:First>
          </b:Person>
          <b:Person>
            <b:Last>Pittman</b:Last>
            <b:Middle>U</b:Middle>
            <b:First>Charles</b:First>
          </b:Person>
          <b:Person>
            <b:Last>Steele</b:Last>
            <b:Middle>H</b:Middle>
            <b:First>Philip</b:First>
          </b:Person>
        </b:NameList>
      </b:Author>
    </b:Author>
    <b:RefOrder>23</b:RefOrder>
  </b:Source>
  <b:Source>
    <b:Tag>Lin93</b:Tag>
    <b:SourceType>JournalArticle</b:SourceType>
    <b:Guid>{2DBB349A-2850-4A51-83EA-D44C8EAF262C}</b:Guid>
    <b:Title>Toxic Metal Emissions From Incineration: Mechanisms and Control</b:Title>
    <b:JournalName>Progress in Energy and Combustion Science</b:JournalName>
    <b:Year>1993</b:Year>
    <b:Pages>145-185</b:Pages>
    <b:Volume>19</b:Volume>
    <b:Issue>2</b:Issue>
    <b:Author>
      <b:Author>
        <b:NameList>
          <b:Person>
            <b:Last>Linak</b:Last>
            <b:Middle>P</b:Middle>
            <b:First>William</b:First>
          </b:Person>
          <b:Person>
            <b:Last>Wendt</b:Last>
            <b:Middle>O.L</b:Middle>
            <b:First>Jost </b:First>
          </b:Person>
        </b:NameList>
      </b:Author>
    </b:Author>
    <b:RefOrder>24</b:RefOrder>
  </b:Source>
  <b:Source>
    <b:Tag>Bri95</b:Tag>
    <b:SourceType>JournalArticle</b:SourceType>
    <b:Guid>{3CACB08B-B805-4C09-A592-5DBFF6568401}</b:Guid>
    <b:Title>The Technical and Economic Feasibilty of Biomass Gasification for Power Generation</b:Title>
    <b:JournalName>Fuel</b:JournalName>
    <b:Year>1995</b:Year>
    <b:Pages>631-653</b:Pages>
    <b:Volume>74</b:Volume>
    <b:Issue>5</b:Issue>
    <b:Author>
      <b:Author>
        <b:NameList>
          <b:Person>
            <b:Last>Bridgwater</b:Last>
            <b:Middle>V</b:Middle>
            <b:First>A</b:First>
          </b:Person>
        </b:NameList>
      </b:Author>
    </b:Author>
    <b:RefOrder>25</b:RefOrder>
  </b:Source>
  <b:Source>
    <b:Tag>Fen09</b:Tag>
    <b:SourceType>Report</b:SourceType>
    <b:Guid>{94F426C2-E368-4DB6-9936-74215BB7FA60}</b:Guid>
    <b:Title>Estimated Costs to Disinfect Soil With Steam</b:Title>
    <b:Year>2009</b:Year>
    <b:Publisher>University of California</b:Publisher>
    <b:City>California</b:City>
    <b:Author>
      <b:Author>
        <b:NameList>
          <b:Person>
            <b:Last>Fennimore</b:Last>
            <b:First>Steve</b:First>
          </b:Person>
          <b:Person>
            <b:Last>Goodhue</b:Last>
            <b:First>Rachael</b:First>
          </b:Person>
        </b:NameList>
      </b:Author>
    </b:Author>
    <b:RefOrder>78</b:RefOrder>
  </b:Source>
  <b:Source>
    <b:Tag>Chi11</b:Tag>
    <b:SourceType>InternetSite</b:SourceType>
    <b:Guid>{8781EB27-EAD6-4AD5-BEC0-FC77C0189A68}</b:Guid>
    <b:Title>Autoclave Information</b:Title>
    <b:Year>2011</b:Year>
    <b:Author>
      <b:Author>
        <b:NameList>
          <b:Person>
            <b:Last>Chism</b:Last>
            <b:First>Annette</b:First>
          </b:Person>
        </b:NameList>
      </b:Author>
    </b:Author>
    <b:YearAccessed>2014</b:YearAccessed>
    <b:MonthAccessed>02</b:MonthAccessed>
    <b:DayAccessed>28</b:DayAccessed>
    <b:URL>http://www.uaf.edu/safety/laboratory-safety/autoclave-information/</b:URL>
    <b:RefOrder>27</b:RefOrder>
  </b:Source>
  <b:Source>
    <b:Tag>pbi14</b:Tag>
    <b:SourceType>InternetSite</b:SourceType>
    <b:Guid>{D24FABBC-B010-4149-BE8F-EA7339284139}</b:Guid>
    <b:Author>
      <b:Author>
        <b:Corporate>pbinternational</b:Corporate>
      </b:Author>
    </b:Author>
    <b:Title>Autoclaves and Steam Sterilization</b:Title>
    <b:YearAccessed>2014</b:YearAccessed>
    <b:MonthAccessed>02</b:MonthAccessed>
    <b:DayAccessed>28</b:DayAccessed>
    <b:URL>https://extranet.fisher.co.uk/webfiles/fr/Pjointes/Documentation/PBI029_EN_autoclave&amp;steamsterilization.pdf</b:URL>
    <b:Year>2014</b:Year>
    <b:RefOrder>28</b:RefOrder>
  </b:Source>
  <b:Source>
    <b:Tag>The14</b:Tag>
    <b:SourceType>InternetSite</b:SourceType>
    <b:Guid>{21C1AD14-95FC-4E6D-AEB1-3E4CBF7655A1}</b:Guid>
    <b:Author>
      <b:Author>
        <b:Corporate>The University of North Carolina</b:Corporate>
      </b:Author>
    </b:Author>
    <b:Title>Autoclave Usage and Safety</b:Title>
    <b:Year>2014</b:Year>
    <b:YearAccessed>2014</b:YearAccessed>
    <b:MonthAccessed>02</b:MonthAccessed>
    <b:DayAccessed>28</b:DayAccessed>
    <b:URL>http://ehs.unc.edu/training/self_study/autoclave/container.php?page=5</b:URL>
    <b:RefOrder>30</b:RefOrder>
  </b:Source>
  <b:Source>
    <b:Tag>Rei97</b:Tag>
    <b:SourceType>Book</b:SourceType>
    <b:Guid>{3CE4A56E-EFA3-4FC7-8693-6178D21266C3}</b:Guid>
    <b:Title>Sterilization Technology in the Health Care Facility</b:Title>
    <b:Year>1997</b:Year>
    <b:Author>
      <b:Author>
        <b:NameList>
          <b:Person>
            <b:Last>Reichert</b:Last>
            <b:First>Marimargaret</b:First>
          </b:Person>
          <b:Person>
            <b:Last>Young</b:Last>
            <b:Middle>H</b:Middle>
            <b:First>Jack</b:First>
          </b:Person>
        </b:NameList>
      </b:Author>
    </b:Author>
    <b:City>Aspen</b:City>
    <b:Publisher>Aspen</b:Publisher>
    <b:Edition>2nd</b:Edition>
    <b:RefOrder>31</b:RefOrder>
  </b:Source>
  <b:Source>
    <b:Tag>Lia93</b:Tag>
    <b:SourceType>Report</b:SourceType>
    <b:Guid>{E1EB6355-BF72-43D0-9BCC-C3AA491041E7}</b:Guid>
    <b:Title>The World of Autoclaves</b:Title>
    <b:Year>1993</b:Year>
    <b:City>Michigan</b:City>
    <b:Publisher>Michigan State University</b:Publisher>
    <b:PeriodicalTitle>Safe Science</b:PeriodicalTitle>
    <b:Author>
      <b:Author>
        <b:NameList>
          <b:Person>
            <b:Last>Liam </b:Last>
            <b:First>Sullivan</b:First>
          </b:Person>
        </b:NameList>
      </b:Author>
    </b:Author>
    <b:RefOrder>32</b:RefOrder>
  </b:Source>
  <b:Source>
    <b:Tag>Oya07</b:Tag>
    <b:SourceType>Report</b:SourceType>
    <b:Guid>{BB6660C0-C789-4207-8BBB-03FA92FC4FAC}</b:Guid>
    <b:Title>Design and Construction of an Autoclave</b:Title>
    <b:Year>2007</b:Year>
    <b:Publisher>University of Ibadan</b:Publisher>
    <b:City>Ibadan</b:City>
    <b:Author>
      <b:Author>
        <b:NameList>
          <b:Person>
            <b:Last>Oyawale</b:Last>
            <b:Middle>A</b:Middle>
            <b:First>F</b:First>
          </b:Person>
          <b:Person>
            <b:Last>Olaoye</b:Last>
            <b:Middle>E</b:Middle>
            <b:First>A</b:First>
          </b:Person>
        </b:NameList>
      </b:Author>
    </b:Author>
    <b:RefOrder>33</b:RefOrder>
  </b:Source>
  <b:Source>
    <b:Tag>Ham12</b:Tag>
    <b:SourceType>Report</b:SourceType>
    <b:Guid>{59698366-6D68-46E7-9B63-4023DCF05727}</b:Guid>
    <b:Title>Modeling of Generation and Distribution of Steam in an Autoclave</b:Title>
    <b:Year>2012</b:Year>
    <b:Publisher>Chalmers University of Technology</b:Publisher>
    <b:City>Göteborg</b:City>
    <b:Author>
      <b:Author>
        <b:NameList>
          <b:Person>
            <b:Last>Hamlin</b:Last>
            <b:First>Per</b:First>
          </b:Person>
        </b:NameList>
      </b:Author>
    </b:Author>
    <b:RefOrder>29</b:RefOrder>
  </b:Source>
  <b:Source>
    <b:Tag>Ant01</b:Tag>
    <b:SourceType>JournalArticle</b:SourceType>
    <b:Guid>{FCCEB328-2FBF-4AC1-AAAE-7A4977A7D0DD}</b:Guid>
    <b:Title>Analysis of Heat Transfer in Autoclave Technology</b:Title>
    <b:Year>2001</b:Year>
    <b:JournalName>Polymer Composites</b:JournalName>
    <b:Pages>613-620</b:Pages>
    <b:Volume>22</b:Volume>
    <b:Issue>5</b:Issue>
    <b:Author>
      <b:Author>
        <b:NameList>
          <b:Person>
            <b:Last>Antonucci</b:Last>
            <b:First>Vincenza</b:First>
          </b:Person>
          <b:Person>
            <b:Last>Giordano</b:Last>
            <b:First>Michele</b:First>
          </b:Person>
          <b:Person>
            <b:Last>Imparato</b:Last>
            <b:Middle>Inserra</b:Middle>
            <b:First>Sabato</b:First>
          </b:Person>
          <b:Person>
            <b:Last>Nicolais</b:Last>
            <b:First>Luigi</b:First>
          </b:Person>
        </b:NameList>
      </b:Author>
    </b:Author>
    <b:RefOrder>34</b:RefOrder>
  </b:Source>
  <b:Source>
    <b:Tag>Mic04</b:Tag>
    <b:SourceType>InternetSite</b:SourceType>
    <b:Guid>{BEEBB12A-6378-474B-8A32-12EC9308A98D}</b:Guid>
    <b:Title>Autoclave Procedures</b:Title>
    <b:Year>2004</b:Year>
    <b:Author>
      <b:Author>
        <b:Corporate>Michign State University</b:Corporate>
      </b:Author>
    </b:Author>
    <b:YearAccessed>2014</b:YearAccessed>
    <b:MonthAccessed>03</b:MonthAccessed>
    <b:DayAccessed>03</b:DayAccessed>
    <b:URL>http://www.orcbs.msu.edu/biological/programs_guidelines/autoclave/a_01toc.htm</b:URL>
    <b:RefOrder>35</b:RefOrder>
  </b:Source>
  <b:Source>
    <b:Tag>ISt14</b:Tag>
    <b:SourceType>InternetSite</b:SourceType>
    <b:Guid>{383BE83D-81D0-4CB9-9EA9-14A87F9E8C2F}</b:Guid>
    <b:Author>
      <b:Author>
        <b:Corporate>IStAATT</b:Corporate>
      </b:Author>
    </b:Author>
    <b:Title>Welcome to the International Society of Analytical Assessment of Treatment Technologies</b:Title>
    <b:Year>2014</b:Year>
    <b:YearAccessed>2014</b:YearAccessed>
    <b:MonthAccessed>03</b:MonthAccessed>
    <b:DayAccessed>03</b:DayAccessed>
    <b:URL>http://www.istaatt.org/</b:URL>
    <b:RefOrder>37</b:RefOrder>
  </b:Source>
  <b:Source>
    <b:Tag>ISt98</b:Tag>
    <b:SourceType>Report</b:SourceType>
    <b:Guid>{5EE7C9C7-0091-4E57-A4CD-33596BED3841}</b:Guid>
    <b:Author>
      <b:Author>
        <b:Corporate>IStAATT</b:Corporate>
      </b:Author>
    </b:Author>
    <b:Title>Technical Assistance Manual: State Regulatory Oversight of Medical Waste Treatment Technologies </b:Title>
    <b:Year>1998</b:Year>
    <b:Publisher>IStAATT</b:Publisher>
    <b:City>Palo Alto</b:City>
    <b:RefOrder>38</b:RefOrder>
  </b:Source>
  <b:Source>
    <b:Tag>ISt94</b:Tag>
    <b:SourceType>Report</b:SourceType>
    <b:Guid>{C44D2C4B-A6F7-4F2E-BDCB-9E7C109E4BA3}</b:Guid>
    <b:Author>
      <b:Author>
        <b:Corporate>IStAATT</b:Corporate>
      </b:Author>
    </b:Author>
    <b:Title>Technical Assistance Manual; State Regulatory Oversight of Medical Waste Treatment Technologies</b:Title>
    <b:Year>1994</b:Year>
    <b:Publisher>IStAATT</b:Publisher>
    <b:RefOrder>79</b:RefOrder>
  </b:Source>
  <b:Source>
    <b:Tag>ISt05</b:Tag>
    <b:SourceType>Report</b:SourceType>
    <b:Guid>{C645961E-A0DC-481B-916A-C376B1C2BED0}</b:Guid>
    <b:Title>STAATT III, Executive Summary and Daily Discussions</b:Title>
    <b:Year>2005</b:Year>
    <b:Author>
      <b:Author>
        <b:Corporate>IStAATT</b:Corporate>
      </b:Author>
    </b:Author>
    <b:Publisher>IStAATT</b:Publisher>
    <b:City>Orlando</b:City>
    <b:RefOrder>8</b:RefOrder>
  </b:Source>
  <b:Source>
    <b:Tag>Roc13</b:Tag>
    <b:SourceType>Report</b:SourceType>
    <b:Guid>{911A355A-3A4B-4BEC-A04C-A5245CF5980F}</b:Guid>
    <b:Author>
      <b:Author>
        <b:Corporate>Rochester Institute of Technology</b:Corporate>
      </b:Author>
    </b:Author>
    <b:Title>Environmental Health and Safety, Standard Operating Guideline, Autoclave Validation</b:Title>
    <b:Year>2013</b:Year>
    <b:Publisher>Rochester Institute of Technology</b:Publisher>
    <b:City>Rochester</b:City>
    <b:RefOrder>39</b:RefOrder>
  </b:Source>
  <b:Source>
    <b:Tag>Mes13</b:Tag>
    <b:SourceType>InternetSite</b:SourceType>
    <b:Guid>{E1DBAC84-E208-4D31-9643-D12E01C58763}</b:Guid>
    <b:Author>
      <b:Author>
        <b:Corporate>MesaLabs</b:Corporate>
      </b:Author>
    </b:Author>
    <b:Title>3 Questions to Ask Before Selecting a Biological Indicator</b:Title>
    <b:Year>2013</b:Year>
    <b:YearAccessed>2014</b:YearAccessed>
    <b:MonthAccessed>03</b:MonthAccessed>
    <b:DayAccessed>03</b:DayAccessed>
    <b:URL>http://www.mesalabs.com/11187/3-questions-to-ask-prior-to-selecting-a-biological-indicator/</b:URL>
    <b:RefOrder>75</b:RefOrder>
  </b:Source>
  <b:Source>
    <b:Tag>Roc14</b:Tag>
    <b:SourceType>Report</b:SourceType>
    <b:Guid>{820752BE-2603-49BE-936B-A74F736F2AE9}</b:Guid>
    <b:Author>
      <b:Author>
        <b:Corporate>Rocketmedical</b:Corporate>
      </b:Author>
    </b:Author>
    <b:Title>Rocket Chest Drainage Solutions</b:Title>
    <b:Year>2014</b:Year>
    <b:Publisher>Rocketmedical</b:Publisher>
    <b:City>Watford</b:City>
    <b:RefOrder>7</b:RefOrder>
  </b:Source>
  <b:Source>
    <b:Tag>Sig14</b:Tag>
    <b:SourceType>Book</b:SourceType>
    <b:Guid>{F0843C04-8665-4557-A81F-3265ABE8330E}</b:Guid>
    <b:Title>Polyoxymethylene Handbook: Structure, Properties, Applications and their Nanocomposites</b:Title>
    <b:Year>2014</b:Year>
    <b:Publisher>Scrivener Publishing</b:Publisher>
    <b:City>Austin</b:City>
    <b:Edition>1st</b:Edition>
    <b:Author>
      <b:Author>
        <b:NameList>
          <b:Person>
            <b:Last>Sigrid</b:Last>
            <b:First>Luftl</b:First>
          </b:Person>
          <b:Person>
            <b:Last>Visakh</b:Last>
            <b:Middle>M</b:Middle>
            <b:First>P</b:First>
          </b:Person>
          <b:Person>
            <b:Last>Sarath</b:Last>
            <b:First>Chandran</b:First>
          </b:Person>
        </b:NameList>
      </b:Author>
    </b:Author>
    <b:RefOrder>42</b:RefOrder>
  </b:Source>
  <b:Source>
    <b:Tag>Hsu99</b:Tag>
    <b:SourceType>Report</b:SourceType>
    <b:Guid>{A1AC2779-9061-4228-9206-4F22ABAD32D8}</b:Guid>
    <b:Title>HDPE Pipe: Recommended Material Specifications and Design Requirements</b:Title>
    <b:Year>1999</b:Year>
    <b:Publisher>National Cooperative Highway Research Program</b:Publisher>
    <b:City>Washington</b:City>
    <b:Author>
      <b:Author>
        <b:NameList>
          <b:Person>
            <b:Last>Hsuan</b:Last>
            <b:Middle>Grace</b:Middle>
            <b:First>Yick</b:First>
          </b:Person>
          <b:Person>
            <b:Last>McGrath</b:Last>
            <b:Middle>J</b:Middle>
            <b:First>Timothy</b:First>
          </b:Person>
        </b:NameList>
      </b:Author>
    </b:Author>
    <b:RefOrder>45</b:RefOrder>
  </b:Source>
  <b:Source>
    <b:Tag>UCS13</b:Tag>
    <b:SourceType>Report</b:SourceType>
    <b:Guid>{A6A852EC-D2A8-4AA5-945B-8A4D340F0859}</b:Guid>
    <b:Author>
      <b:Author>
        <b:NameList>
          <b:Person>
            <b:Last>Barbara</b:Last>
            <b:First>UC</b:First>
            <b:Middle>Santa</b:Middle>
          </b:Person>
        </b:NameList>
      </b:Author>
    </b:Author>
    <b:Title>Laboratory Safety Fact Sheet #16</b:Title>
    <b:Year>2013</b:Year>
    <b:Publisher>University of California</b:Publisher>
    <b:City>Santa Barbara</b:City>
    <b:RefOrder>46</b:RefOrder>
  </b:Source>
  <b:Source>
    <b:Tag>Mai08</b:Tag>
    <b:SourceType>Book</b:SourceType>
    <b:Guid>{901FC239-9906-453E-8309-942377F4017E}</b:Guid>
    <b:Title>Polypropylene: The Definitive User's Guide and Databook</b:Title>
    <b:Year>2008</b:Year>
    <b:Publisher>Plastics Design Library</b:Publisher>
    <b:City>Norwich</b:City>
    <b:Edition>1st</b:Edition>
    <b:Author>
      <b:Author>
        <b:NameList>
          <b:Person>
            <b:Last>Maier</b:Last>
            <b:First>Clive</b:First>
          </b:Person>
          <b:Person>
            <b:Last>Calafut</b:Last>
            <b:First>Theresa</b:First>
          </b:Person>
        </b:NameList>
      </b:Author>
    </b:Author>
    <b:RefOrder>47</b:RefOrder>
  </b:Source>
  <b:Source>
    <b:Tag>ASM09</b:Tag>
    <b:SourceType>Book</b:SourceType>
    <b:Guid>{5DB3B3C7-53E6-49A4-AF1D-D05A464E66C0}</b:Guid>
    <b:Title>Materials and Coatings for Medical Devices: Cardiovascular</b:Title>
    <b:Year>2009</b:Year>
    <b:Publisher>ASM International</b:Publisher>
    <b:City>Cleveland</b:City>
    <b:Author>
      <b:Author>
        <b:Corporate>ASM International</b:Corporate>
      </b:Author>
    </b:Author>
    <b:Edition>1st</b:Edition>
    <b:RefOrder>48</b:RefOrder>
  </b:Source>
  <b:Source>
    <b:Tag>Sal99</b:Tag>
    <b:SourceType>Book</b:SourceType>
    <b:Guid>{FA37537A-8446-4CDF-89B8-D360B21851E0}</b:Guid>
    <b:Title>Concise Polymeric Materials Encyclopedia</b:Title>
    <b:Year>1999</b:Year>
    <b:City>London</b:City>
    <b:Publisher>CRC Press</b:Publisher>
    <b:Edition>1st</b:Edition>
    <b:Author>
      <b:Author>
        <b:NameList>
          <b:Person>
            <b:Last>Salamone</b:Last>
            <b:Middle>C</b:Middle>
            <b:First>Joesph</b:First>
          </b:Person>
        </b:NameList>
      </b:Author>
    </b:Author>
    <b:RefOrder>49</b:RefOrder>
  </b:Source>
  <b:Source>
    <b:Tag>Kur12</b:Tag>
    <b:SourceType>Book</b:SourceType>
    <b:Guid>{1FC97733-3291-4F81-91FB-2678ABD7F372}</b:Guid>
    <b:Title>PEEK Biomaterials Handbook</b:Title>
    <b:Year>2012</b:Year>
    <b:City>Oxford</b:City>
    <b:Publisher>Elsevier</b:Publisher>
    <b:Edition>1st</b:Edition>
    <b:Author>
      <b:Author>
        <b:NameList>
          <b:Person>
            <b:Last>Kurtz</b:Last>
            <b:Middle>M</b:Middle>
            <b:First>Steven</b:First>
          </b:Person>
        </b:NameList>
      </b:Author>
    </b:Author>
    <b:RefOrder>50</b:RefOrder>
  </b:Source>
  <b:Source>
    <b:Tag>Nas92</b:Tag>
    <b:SourceType>Book</b:SourceType>
    <b:Guid>{33EBE813-3148-4C45-B958-A99D07162FD8}</b:Guid>
    <b:Title>Encyclopedia of PVC: Compounding Processes, Product Design, and Specifications - Volume 3 of 4</b:Title>
    <b:Year>1992</b:Year>
    <b:Publisher>CRC Press</b:Publisher>
    <b:Edition>2nd</b:Edition>
    <b:Author>
      <b:Author>
        <b:NameList>
          <b:Person>
            <b:Last>Nass</b:Last>
            <b:Middle>I</b:Middle>
            <b:First>Leonard</b:First>
          </b:Person>
        </b:NameList>
      </b:Author>
    </b:Author>
    <b:City>Florida</b:City>
    <b:RefOrder>51</b:RefOrder>
  </b:Source>
  <b:Source>
    <b:Tag>Kur09</b:Tag>
    <b:SourceType>Book</b:SourceType>
    <b:Guid>{F55DBB99-3F01-49B6-BED5-598829463421}</b:Guid>
    <b:Title>UHMWPE Biomaterials Handbook: Ultra High Molecular Weight Polyethylene in Total Joint Replacement and Medical Devices</b:Title>
    <b:Year>2009</b:Year>
    <b:City>London</b:City>
    <b:Publisher>Elsevier</b:Publisher>
    <b:Edition>1st</b:Edition>
    <b:Author>
      <b:Author>
        <b:NameList>
          <b:Person>
            <b:Last>Kurtz</b:Last>
            <b:Middle>M</b:Middle>
            <b:First>Steven</b:First>
          </b:Person>
        </b:NameList>
      </b:Author>
    </b:Author>
    <b:RefOrder>52</b:RefOrder>
  </b:Source>
  <b:Source>
    <b:Tag>Alt14</b:Tag>
    <b:SourceType>Report</b:SourceType>
    <b:Guid>{7B77D121-88E7-4982-8DDB-025180D50B38}</b:Guid>
    <b:Title>The Armadillo Interlocking Riot Shields</b:Title>
    <b:Year>2014</b:Year>
    <b:City>Singapore</b:City>
    <b:Publisher>Altrus</b:Publisher>
    <b:Author>
      <b:Author>
        <b:Corporate>Altrus</b:Corporate>
      </b:Author>
    </b:Author>
    <b:RefOrder>53</b:RefOrder>
  </b:Source>
  <b:Source>
    <b:Tag>Ben99</b:Tag>
    <b:SourceType>Book</b:SourceType>
    <b:Guid>{4813E3F2-B904-4E0A-9DDA-9C89369D8877}</b:Guid>
    <b:Title>Handbook of Polycarbonate Science and Technology</b:Title>
    <b:Year>1999</b:Year>
    <b:Publisher>CRC Press</b:Publisher>
    <b:City>New York</b:City>
    <b:Edition>1st</b:Edition>
    <b:Author>
      <b:Author>
        <b:NameList>
          <b:Person>
            <b:Last>Bendler</b:Last>
            <b:Middle>T</b:Middle>
            <b:First>John</b:First>
          </b:Person>
        </b:NameList>
      </b:Author>
    </b:Author>
    <b:RefOrder>54</b:RefOrder>
  </b:Source>
  <b:Source>
    <b:Tag>Wün00</b:Tag>
    <b:SourceType>Report</b:SourceType>
    <b:Guid>{D433926C-2E4C-4B6D-A6C3-4E85157E9045}</b:Guid>
    <b:Title>Polystyrene: Synthesis, Production and Applications</b:Title>
    <b:Year>2000</b:Year>
    <b:City>Shrewsbury</b:City>
    <b:Publisher>Rapra Technology</b:Publisher>
    <b:Author>
      <b:Author>
        <b:NameList>
          <b:Person>
            <b:Last>Wünsch</b:Last>
            <b:Middle>R</b:Middle>
            <b:First>J</b:First>
          </b:Person>
        </b:NameList>
      </b:Author>
    </b:Author>
    <b:RefOrder>55</b:RefOrder>
  </b:Source>
  <b:Source>
    <b:Tag>Kly07</b:Tag>
    <b:SourceType>Book</b:SourceType>
    <b:Guid>{75CC00AC-A191-4F3E-9E47-9DB0056C38A4}</b:Guid>
    <b:Title>Wood-Plastic Composites</b:Title>
    <b:Year>2007</b:Year>
    <b:Publisher>John Wiley &amp; Sons</b:Publisher>
    <b:City>Hoboken</b:City>
    <b:Edition>1st</b:Edition>
    <b:Author>
      <b:Author>
        <b:NameList>
          <b:Person>
            <b:Last>Klyosov</b:Last>
            <b:Middle>A</b:Middle>
            <b:First>Anatole</b:First>
          </b:Person>
        </b:NameList>
      </b:Author>
    </b:Author>
    <b:RefOrder>56</b:RefOrder>
  </b:Source>
  <b:Source>
    <b:Tag>Pie05</b:Tag>
    <b:SourceType>Book</b:SourceType>
    <b:Guid>{54A55CF5-75CF-4266-B3D0-CDA0FE471367}</b:Guid>
    <b:Title>Thermal Degradation of Polymeric Materials</b:Title>
    <b:Year>2005</b:Year>
    <b:City>Shrewsbury</b:City>
    <b:Publisher>Rapra</b:Publisher>
    <b:Edition>1st</b:Edition>
    <b:Author>
      <b:Author>
        <b:NameList>
          <b:Person>
            <b:Last>Pielichowski</b:Last>
            <b:First>Krzystof</b:First>
          </b:Person>
          <b:Person>
            <b:Last>Njugana</b:Last>
            <b:First>James</b:First>
          </b:Person>
        </b:NameList>
      </b:Author>
    </b:Author>
    <b:RefOrder>57</b:RefOrder>
  </b:Source>
  <b:Source>
    <b:Tag>Lam03</b:Tag>
    <b:SourceType>Book</b:SourceType>
    <b:Guid>{8AB6E3D0-62DE-4299-8113-BB524E4B7E9B}</b:Guid>
    <b:Title>Characterization and Failure Analysis of Plastics</b:Title>
    <b:Year>2003</b:Year>
    <b:City>Ohio</b:City>
    <b:Publisher>ASM International</b:Publisher>
    <b:Edition>1st</b:Edition>
    <b:Author>
      <b:Author>
        <b:NameList>
          <b:Person>
            <b:Last>Lampman</b:Last>
            <b:First>Steve</b:First>
          </b:Person>
        </b:NameList>
      </b:Author>
    </b:Author>
    <b:RefOrder>58</b:RefOrder>
  </b:Source>
  <b:Source>
    <b:Tag>WSH02</b:Tag>
    <b:SourceType>Report</b:SourceType>
    <b:Guid>{2DC62706-93E4-4413-A8C3-8BB59D64F322}</b:Guid>
    <b:Title>Acetal</b:Title>
    <b:Year>2002</b:Year>
    <b:City>Hampshire</b:City>
    <b:Publisher>WS Hampshire Inc.</b:Publisher>
    <b:Author>
      <b:Author>
        <b:Corporate>WS Hampshire Inc.</b:Corporate>
      </b:Author>
    </b:Author>
    <b:RefOrder>59</b:RefOrder>
  </b:Source>
  <b:Source>
    <b:Tag>Cor02</b:Tag>
    <b:SourceType>InternetSite</b:SourceType>
    <b:Guid>{4DDDC6EB-A810-412E-89FF-BACD0BA2CB54}</b:Guid>
    <b:Title>Polymethylmethacrylate/ PMMA</b:Title>
    <b:Year>2002</b:Year>
    <b:YearAccessed>2014</b:YearAccessed>
    <b:MonthAccessed>04</b:MonthAccessed>
    <b:DayAccessed>05</b:DayAccessed>
    <b:URL>http://www.maropolymeronline.com/Properties/PMMA.asp</b:URL>
    <b:Author>
      <b:Author>
        <b:NameList>
          <b:Person>
            <b:Last>Corneliussen</b:Last>
            <b:Middle>D</b:Middle>
            <b:First>Roger</b:First>
          </b:Person>
        </b:NameList>
      </b:Author>
    </b:Author>
    <b:RefOrder>66</b:RefOrder>
  </b:Source>
  <b:Source>
    <b:Tag>Boe14</b:Tag>
    <b:SourceType>InternetSite</b:SourceType>
    <b:Guid>{A300FCCE-B341-4449-B929-DE7C93BC2705}</b:Guid>
    <b:Author>
      <b:Author>
        <b:Corporate>Boedeker</b:Corporate>
      </b:Author>
    </b:Author>
    <b:Title>Polyethylene Specification</b:Title>
    <b:Year>2014</b:Year>
    <b:YearAccessed>2014</b:YearAccessed>
    <b:MonthAccessed>05</b:MonthAccessed>
    <b:DayAccessed>04</b:DayAccessed>
    <b:URL>http://www.boedeker.com/polye_p.htm</b:URL>
    <b:RefOrder>62</b:RefOrder>
  </b:Source>
  <b:Source>
    <b:Tag>Boe141</b:Tag>
    <b:SourceType>InternetSite</b:SourceType>
    <b:Guid>{872ADAD9-E7BD-45F3-A0EB-E8A5B7EA565E}</b:Guid>
    <b:Author>
      <b:Author>
        <b:Corporate>Boedeker</b:Corporate>
      </b:Author>
    </b:Author>
    <b:Title>PEEK HT ™ (High TemperaturePolyEtherEtherKetone) Specifications</b:Title>
    <b:Year>2014</b:Year>
    <b:YearAccessed>2014</b:YearAccessed>
    <b:MonthAccessed>05</b:MonthAccessed>
    <b:DayAccessed>04</b:DayAccessed>
    <b:URL>http://www.boedeker.com/peekht_p.htm</b:URL>
    <b:RefOrder>64</b:RefOrder>
  </b:Source>
  <b:Source>
    <b:Tag>Pro14</b:Tag>
    <b:SourceType>Report</b:SourceType>
    <b:Guid>{3848A5C5-4DED-4EA1-B969-23E4A2C8A048}</b:Guid>
    <b:Author>
      <b:Author>
        <b:Corporate>Professional Plastics</b:Corporate>
      </b:Author>
    </b:Author>
    <b:Title>PVC Pipe Specifications, Sizes &amp; Pressure Ratings</b:Title>
    <b:Year>2014</b:Year>
    <b:YearAccessed>2014</b:YearAccessed>
    <b:MonthAccessed>04</b:MonthAccessed>
    <b:DayAccessed>05</b:DayAccessed>
    <b:Publisher>Professional Plastics</b:Publisher>
    <b:City>Fullerton</b:City>
    <b:RefOrder>65</b:RefOrder>
  </b:Source>
  <b:Source>
    <b:Tag>Mat13</b:Tag>
    <b:SourceType>InternetSite</b:SourceType>
    <b:Guid>{701B6324-F2DC-4D3D-A376-16EF5A43CF1A}</b:Guid>
    <b:Title>Flexural Strength Testing of Plastics</b:Title>
    <b:Year>2013</b:Year>
    <b:Author>
      <b:Author>
        <b:Corporate>MatWeb</b:Corporate>
      </b:Author>
    </b:Author>
    <b:YearAccessed>2014</b:YearAccessed>
    <b:MonthAccessed>04</b:MonthAccessed>
    <b:DayAccessed>05</b:DayAccessed>
    <b:URL>http://www.matweb.com/reference/flexuralstrength.aspx</b:URL>
    <b:RefOrder>61</b:RefOrder>
  </b:Source>
  <b:Source>
    <b:Tag>Mat131</b:Tag>
    <b:SourceType>InternetSite</b:SourceType>
    <b:Guid>{233364B6-B29F-424D-9DB8-D03951EA03EE}</b:Guid>
    <b:Author>
      <b:Author>
        <b:Corporate>MatWeb</b:Corporate>
      </b:Author>
    </b:Author>
    <b:Title>Tensile Property Testing of Plastics</b:Title>
    <b:Year>2013</b:Year>
    <b:YearAccessed>2014</b:YearAccessed>
    <b:MonthAccessed>04</b:MonthAccessed>
    <b:DayAccessed>05</b:DayAccessed>
    <b:URL>http://www.matweb.com/reference/tensilestrength.aspx</b:URL>
    <b:RefOrder>80</b:RefOrder>
  </b:Source>
  <b:Source>
    <b:Tag>Mat132</b:Tag>
    <b:SourceType>InternetSite</b:SourceType>
    <b:Guid>{E130A6D4-E71F-4548-886E-71B7D155B134}</b:Guid>
    <b:Author>
      <b:Author>
        <b:Corporate>MatWeb</b:Corporate>
      </b:Author>
    </b:Author>
    <b:Title>Deflection Temperature Testing of Plastics</b:Title>
    <b:Year>2013</b:Year>
    <b:YearAccessed>2014</b:YearAccessed>
    <b:MonthAccessed>04</b:MonthAccessed>
    <b:DayAccessed>05</b:DayAccessed>
    <b:URL>http://www.matweb.com/reference/deflection-temperature.aspx</b:URL>
    <b:RefOrder>81</b:RefOrder>
  </b:Source>
  <b:Source>
    <b:Tag>Mat133</b:Tag>
    <b:SourceType>InternetSite</b:SourceType>
    <b:Guid>{68A6042E-4A63-43FA-8B8E-81350F8A0977}</b:Guid>
    <b:Author>
      <b:Author>
        <b:Corporate>MatWeb</b:Corporate>
      </b:Author>
    </b:Author>
    <b:Title>Compressive Strength Testing of Plastics</b:Title>
    <b:Year>2013</b:Year>
    <b:YearAccessed>2014</b:YearAccessed>
    <b:MonthAccessed>04</b:MonthAccessed>
    <b:DayAccessed>05</b:DayAccessed>
    <b:URL>http://www.matweb.com/reference/compressivestrength.aspx</b:URL>
    <b:RefOrder>82</b:RefOrder>
  </b:Source>
  <b:Source>
    <b:Tag>Pla13</b:Tag>
    <b:SourceType>InternetSite</b:SourceType>
    <b:Guid>{A905314E-6855-41FD-9309-63FAC094F2C3}</b:Guid>
    <b:Author>
      <b:Author>
        <b:NameList>
          <b:Person>
            <b:Last>Inc.</b:Last>
            <b:First>Plastic</b:First>
            <b:Middle>Products</b:Middle>
          </b:Person>
        </b:NameList>
      </b:Author>
    </b:Author>
    <b:Title>Nylon 6/6</b:Title>
    <b:Year>2013</b:Year>
    <b:YearAccessed>2014</b:YearAccessed>
    <b:MonthAccessed>04</b:MonthAccessed>
    <b:DayAccessed>05</b:DayAccessed>
    <b:URL>http://www.plastic-products.com/nylon66.htm</b:URL>
    <b:RefOrder>60</b:RefOrder>
  </b:Source>
  <b:Source>
    <b:Tag>WHH02</b:Tag>
    <b:SourceType>Report</b:SourceType>
    <b:Guid>{566A0AAC-3BAF-4AE8-B209-C0268E0B0915}</b:Guid>
    <b:Title>Teflon</b:Title>
    <b:Year>2002</b:Year>
    <b:Author>
      <b:Author>
        <b:Corporate>WH Hampshire Inc.</b:Corporate>
      </b:Author>
    </b:Author>
    <b:Publisher>WH Hampshire Inc. </b:Publisher>
    <b:City>Hampshire</b:City>
    <b:RefOrder>63</b:RefOrder>
  </b:Source>
  <b:Source xmlns:b="http://schemas.openxmlformats.org/officeDocument/2006/bibliography">
    <b:Tag>Mes132</b:Tag>
    <b:SourceType>Report</b:SourceType>
    <b:Guid>{B605613B-3DE9-4752-9A96-FC6C25FA8DCD}</b:Guid>
    <b:Author>
      <b:Author>
        <b:Corporate>MesaLabs</b:Corporate>
      </b:Author>
    </b:Author>
    <b:Title>Mesa Biological Indicators</b:Title>
    <b:Year>2013</b:Year>
    <b:Publisher>MesaLabs</b:Publisher>
    <b:RefOrder>40</b:RefOrder>
  </b:Source>
  <b:Source>
    <b:Tag>USD05</b:Tag>
    <b:SourceType>InternetSite</b:SourceType>
    <b:Guid>{2A92ECD3-20D2-46FB-BD12-B0E3CA1D8C72}</b:Guid>
    <b:Title>Pyrolysis and Other Thermal Processing</b:Title>
    <b:Year>2005</b:Year>
    <b:Author>
      <b:Author>
        <b:Corporate>US DOE</b:Corporate>
      </b:Author>
    </b:Author>
    <b:YearAccessed>2014</b:YearAccessed>
    <b:MonthAccessed>04</b:MonthAccessed>
    <b:DayAccessed>22</b:DayAccessed>
    <b:URL>http://web.archive.org/web/20070814144750/http://www1.eere.energy.gov/biomass/pyrolysis.html</b:URL>
    <b:RefOrder>22</b:RefOrder>
  </b:Source>
  <b:Source>
    <b:Tag>Com05</b:Tag>
    <b:SourceType>Report</b:SourceType>
    <b:Guid>{D849FCCE-FB74-4C0F-84DD-8B43BE2D407F}</b:Guid>
    <b:Author>
      <b:Author>
        <b:Corporate>Commission of the European Communities</b:Corporate>
      </b:Author>
    </b:Author>
    <b:Title>Report From the Commission to the Council and the European Parliament on the National Strategies for the Reduction of Biodegradable Waste Going to Landfills Pursuant to Article 5(1) of Directive 1999/31/EC on the Landfill of Waste</b:Title>
    <b:Year>2005</b:Year>
    <b:Publisher>Commission of the European Communities</b:Publisher>
    <b:City>Brussels</b:City>
    <b:RefOrder>11</b:RefOrder>
  </b:Source>
  <b:Source>
    <b:Tag>Uiv08</b:Tag>
    <b:SourceType>InternetSite</b:SourceType>
    <b:Guid>{8D6390F5-3CB3-46D3-AB62-319F1D5F8B4B}</b:Guid>
    <b:Title>Waste Definitions</b:Title>
    <b:Year>2008</b:Year>
    <b:Author>
      <b:Author>
        <b:Corporate>University of Aberdeen</b:Corporate>
      </b:Author>
    </b:Author>
    <b:YearAccessed>2014</b:YearAccessed>
    <b:MonthAccessed>04</b:MonthAccessed>
    <b:DayAccessed>22</b:DayAccessed>
    <b:URL>http://www.abdn.ac.uk/environment/waste/documents/Wastedefinitionsandclassification.pdf</b:URL>
    <b:RefOrder>10</b:RefOrder>
  </b:Source>
  <b:Source>
    <b:Tag>Hoo13</b:Tag>
    <b:SourceType>JournalArticle</b:SourceType>
    <b:Guid>{C56F824A-B1F5-4544-871C-C39011AD59DA}</b:Guid>
    <b:Title>Environment: Waste Production Must Peak This Century</b:Title>
    <b:Year>2013</b:Year>
    <b:JournalName>Nature</b:JournalName>
    <b:Pages>615-617</b:Pages>
    <b:Volume>502</b:Volume>
    <b:Issue>7473</b:Issue>
    <b:Author>
      <b:Author>
        <b:NameList>
          <b:Person>
            <b:Last>Hoornweg</b:Last>
            <b:First>Daniel</b:First>
          </b:Person>
          <b:Person>
            <b:Last>Bhada-Tata</b:Last>
            <b:First>Peinaz</b:First>
          </b:Person>
          <b:Person>
            <b:Last>Kennedy</b:Last>
            <b:First>Chris</b:First>
          </b:Person>
        </b:NameList>
      </b:Author>
    </b:Author>
    <b:RefOrder>1</b:RefOrder>
  </b:Source>
  <b:Source>
    <b:Tag>Hoo12</b:Tag>
    <b:SourceType>Report</b:SourceType>
    <b:Guid>{0C4A21F6-EF13-4C68-9B58-7867638258F8}</b:Guid>
    <b:Title>What a Waste: a Global Review of Solid Waste Management</b:Title>
    <b:Year>2012</b:Year>
    <b:Publisher>The World Bank</b:Publisher>
    <b:City>Washington</b:City>
    <b:Author>
      <b:Author>
        <b:NameList>
          <b:Person>
            <b:Last>Hoornweg</b:Last>
            <b:First>Daniel</b:First>
          </b:Person>
          <b:Person>
            <b:Last>Bhada-Tata</b:Last>
            <b:First>Perinaz</b:First>
          </b:Person>
        </b:NameList>
      </b:Author>
    </b:Author>
    <b:RefOrder>2</b:RefOrder>
  </b:Source>
  <b:Source>
    <b:Tag>Ble95</b:Tag>
    <b:SourceType>JournalArticle</b:SourceType>
    <b:Guid>{BC244DBD-73FD-4063-846D-F343BD603397}</b:Guid>
    <b:Title>The Disposal of Clinical Wastes</b:Title>
    <b:Year>1995</b:Year>
    <b:JournalName>Journal of Hospital Infection</b:JournalName>
    <b:Pages>514-520</b:Pages>
    <b:Volume>30</b:Volume>
    <b:Author>
      <b:Author>
        <b:NameList>
          <b:Person>
            <b:Last>Blenkharn</b:Last>
            <b:Middle>J</b:Middle>
            <b:First>Ian</b:First>
          </b:Person>
        </b:NameList>
      </b:Author>
    </b:Author>
    <b:RefOrder>4</b:RefOrder>
  </b:Source>
  <b:Source>
    <b:Tag>Ber14</b:Tag>
    <b:SourceType>Interview</b:SourceType>
    <b:Guid>{7B5BC28A-5CFF-4189-B134-9241B691FEAF}</b:Guid>
    <b:Title>B.atrophaeus and G.stearothermophilus Control Enumeration Results</b:Title>
    <b:Year>2014</b:Year>
    <b:Month>03</b:Month>
    <b:Day>28</b:Day>
    <b:Author>
      <b:Interviewee>
        <b:NameList>
          <b:Person>
            <b:Last>Berry</b:Last>
            <b:First>Sue</b:First>
          </b:Person>
        </b:NameList>
      </b:Interviewee>
    </b:Author>
    <b:RefOrder>5</b:RefOrder>
  </b:Source>
  <b:Source>
    <b:Tag>Mad14</b:Tag>
    <b:SourceType>Report</b:SourceType>
    <b:Guid>{8F0E9BBB-351A-4F82-A945-3F1F61A68502}</b:Guid>
    <b:Author>
      <b:Author>
        <b:Corporate>MadgeTech</b:Corporate>
      </b:Author>
    </b:Author>
    <b:Title>HiTemp140 High Temperature Data Logger</b:Title>
    <b:Year>2014</b:Year>
    <b:Publisher>MadgeTech</b:Publisher>
    <b:City>Warner</b:City>
    <b:RefOrder>67</b:RefOrder>
  </b:Source>
  <b:Source>
    <b:Tag>Mes131</b:Tag>
    <b:SourceType>InternetSite</b:SourceType>
    <b:Guid>{EF7B3164-F016-4C76-8900-0D5D09CEE5C9}</b:Guid>
    <b:Title>Technical Specifications/ Spore Strips</b:Title>
    <b:Year>2013</b:Year>
    <b:Author>
      <b:Author>
        <b:Corporate>MesaLabs</b:Corporate>
      </b:Author>
    </b:Author>
    <b:YearAccessed>2014</b:YearAccessed>
    <b:MonthAccessed>3</b:MonthAccessed>
    <b:DayAccessed>19</b:DayAccessed>
    <b:URL>http://www.mesalabs.com/spore-strips-technical-specifications/</b:URL>
    <b:RefOrder>68</b:RefOrder>
  </b:Source>
  <b:Source>
    <b:Tag>HiM11</b:Tag>
    <b:SourceType>Report</b:SourceType>
    <b:Guid>{D941D94C-0E18-4525-A3AB-1CDCD3421B78}</b:Guid>
    <b:Title>Soyabean Casein Digest Agar (Tryptone Soya Agar) Technical Data</b:Title>
    <b:Year>2011</b:Year>
    <b:Author>
      <b:Author>
        <b:Corporate>HiMedia</b:Corporate>
      </b:Author>
    </b:Author>
    <b:Publisher>HiMedia Laboratories</b:Publisher>
    <b:City>Mumbai</b:City>
    <b:RefOrder>70</b:RefOrder>
  </b:Source>
  <b:Source>
    <b:Tag>The93</b:Tag>
    <b:SourceType>Report</b:SourceType>
    <b:Guid>{F615FCE5-B6AC-4FC9-8EE1-412AD9EE4B1B}</b:Guid>
    <b:Author>
      <b:Author>
        <b:Corporate>The Woodrow Wilson Biology Institute</b:Corporate>
      </b:Author>
    </b:Author>
    <b:Title>Surface Sterlisation of Biological Materials</b:Title>
    <b:Year>1993</b:Year>
    <b:Publisher>The Woodrow Wilson National Fellowship Foundation</b:Publisher>
    <b:City>Princeton</b:City>
    <b:RefOrder>71</b:RefOrder>
  </b:Source>
  <b:Source>
    <b:Tag>Luf08</b:Tag>
    <b:SourceType>JournalArticle</b:SourceType>
    <b:Guid>{9B77168D-0FF3-4FA7-B1D4-CDECA9ECEBA8}</b:Guid>
    <b:Title>B. Atrophaeus and G. Stearothermophilus Biological Indicators for Chlorine Dioxide Gas Decontamination</b:Title>
    <b:Year>2008</b:Year>
    <b:Author>
      <b:Author>
        <b:NameList>
          <b:Person>
            <b:Last>Luftman</b:Last>
            <b:Middle>S</b:Middle>
            <b:First>Henry</b:First>
          </b:Person>
          <b:Person>
            <b:Last>Regits</b:Last>
            <b:Middle>A</b:Middle>
            <b:First>Michael</b:First>
          </b:Person>
        </b:NameList>
      </b:Author>
    </b:Author>
    <b:JournalName>Applied Biosafety</b:JournalName>
    <b:Pages>143-157</b:Pages>
    <b:Volume>13</b:Volume>
    <b:Issue>3</b:Issue>
    <b:RefOrder>69</b:RefOrder>
  </b:Source>
  <b:Source>
    <b:Tag>Pri14</b:Tag>
    <b:SourceType>Report</b:SourceType>
    <b:Guid>{5CD64D6D-DC71-4F5D-9609-76F61B83AA92}</b:Guid>
    <b:Author>
      <b:Author>
        <b:Corporate>Priorclave</b:Corporate>
      </b:Author>
    </b:Author>
    <b:Title>Advanced Autoclave Control System TACTROL 2</b:Title>
    <b:Year>2014</b:Year>
    <b:Publisher>Priorlcave</b:Publisher>
    <b:City>London</b:City>
    <b:RefOrder>73</b:RefOrder>
  </b:Source>
  <b:Source>
    <b:Tag>Mad13</b:Tag>
    <b:SourceType>Report</b:SourceType>
    <b:Guid>{5A4E3D14-4107-4F3A-A66E-04BF32DF1457}</b:Guid>
    <b:Author>
      <b:Author>
        <b:Corporate>MadgeTech</b:Corporate>
      </b:Author>
    </b:Author>
    <b:Title>PR140 High Temperature Pressure Data Logger</b:Title>
    <b:Year>2013</b:Year>
    <b:Publisher>MadgeTech</b:Publisher>
    <b:City>Warner</b:City>
    <b:RefOrder>74</b:RefOrder>
  </b:Source>
  <b:Source>
    <b:Tag>Ver06</b:Tag>
    <b:SourceType>Report</b:SourceType>
    <b:Guid>{B1F1F8B8-9413-4BFA-BF85-90116BF58D86}</b:Guid>
    <b:Author>
      <b:Author>
        <b:Corporate>Vernacare</b:Corporate>
      </b:Author>
    </b:Author>
    <b:Title>Safety Data Sheet - Vernagel Gelling Powder Sachets</b:Title>
    <b:Year>2006</b:Year>
    <b:Publisher>Vernacare</b:Publisher>
    <b:City>Bolton</b:City>
    <b:RefOrder>76</b:RefOrder>
  </b:Source>
  <b:Source>
    <b:Tag>def12</b:Tag>
    <b:SourceType>Report</b:SourceType>
    <b:Guid>{F65A8057-7856-4C71-8A6E-87F9CF1FE696}</b:Guid>
    <b:Title>Guidance or the Legal Defnition of Waste and its Application</b:Title>
    <b:Year>2012</b:Year>
    <b:City>London</b:City>
    <b:Publisher>Department for Environment, Food and Rural Affairs</b:Publisher>
    <b:Author>
      <b:Author>
        <b:Corporate>Defra</b:Corporate>
      </b:Author>
    </b:Author>
    <b:RefOrder>9</b:RefOrder>
  </b:Source>
  <b:Source>
    <b:Tag>DEF131</b:Tag>
    <b:SourceType>Report</b:SourceType>
    <b:Guid>{4F8E0DFB-8EAB-46BD-8125-D4AFB9DB87C7}</b:Guid>
    <b:Title>Statistics on Waste Managed by Local Authorities in England in 2012/13</b:Title>
    <b:Year>2013</b:Year>
    <b:Author>
      <b:Author>
        <b:Corporate>Defra</b:Corporate>
      </b:Author>
    </b:Author>
    <b:Publisher>Department for Environment, Food and Rural Affairs</b:Publisher>
    <b:City>London</b:City>
    <b:RefOrder>3</b:RefOrder>
  </b:Source>
  <b:Source>
    <b:Tag>DEF13</b:Tag>
    <b:SourceType>InternetSite</b:SourceType>
    <b:Guid>{4E460EC0-C78A-4236-AC30-F2AB613C27B4}</b:Guid>
    <b:Author>
      <b:Author>
        <b:Corporate>Defra</b:Corporate>
      </b:Author>
    </b:Author>
    <b:Title>Healthcare Waste – Guidance on the Correct Disposal of Potentially Hazardous Clinical Waste</b:Title>
    <b:Year>2013</b:Year>
    <b:YearAccessed>2014</b:YearAccessed>
    <b:MonthAccessed>27</b:MonthAccessed>
    <b:DayAccessed>02</b:DayAccessed>
    <b:URL>https://www.gov.uk/healthcare-waste</b:URL>
    <b:RefOrder>20</b:RefOrder>
  </b:Source>
  <b:Source>
    <b:Tag>Bry99</b:Tag>
    <b:SourceType>Book</b:SourceType>
    <b:Guid>{DBF200EC-C82D-45A9-B6EF-EBA978ACA8BF}</b:Guid>
    <b:Title>Plastic Materials</b:Title>
    <b:Year>1999</b:Year>
    <b:City>Oxford</b:City>
    <b:Publisher>Butterworth-Heinemann</b:Publisher>
    <b:Edition>7th</b:Edition>
    <b:Author>
      <b:Author>
        <b:NameList>
          <b:Person>
            <b:Last>Brydson</b:Last>
            <b:Middle>A</b:Middle>
            <b:First>John</b:First>
          </b:Person>
        </b:NameList>
      </b:Author>
    </b:Author>
    <b:RefOrder>44</b:RefOrder>
  </b:Source>
  <b:Source>
    <b:Tag>Ura00</b:Tag>
    <b:SourceType>JournalArticle</b:SourceType>
    <b:Guid>{EB8E41F2-E1EF-4F9C-ACFE-C46FF9FB49B2}</b:Guid>
    <b:Title>Removal of Volatile Organic Compounds From Air Streams and Industrial Flue Gases by Non-thermal Plasma Tecnology</b:Title>
    <b:JournalName>Dielectrics and Electrical Insulation</b:JournalName>
    <b:Year>2000</b:Year>
    <b:Pages>602-614</b:Pages>
    <b:Volume>7</b:Volume>
    <b:Issue>5</b:Issue>
    <b:Author>
      <b:Author>
        <b:NameList>
          <b:Person>
            <b:Last>Urashima</b:Last>
            <b:First>K</b:First>
          </b:Person>
        </b:NameList>
      </b:Author>
    </b:Author>
    <b:RefOrder>26</b:RefOrder>
  </b:Source>
  <b:Source>
    <b:Tag>Ank13</b:Tag>
    <b:SourceType>Report</b:SourceType>
    <b:Guid>{4B0C7932-CB0D-4BE5-A238-66C9AAD90369}</b:Guid>
    <b:Title>Investigating the Process of Sterilisation as Applied to Clinical Waste Treatment</b:Title>
    <b:Year>2013</b:Year>
    <b:City>Sheffield</b:City>
    <b:Publisher>The University of Sheffield</b:Publisher>
    <b:Author>
      <b:Author>
        <b:NameList>
          <b:Person>
            <b:Last>Anku</b:Last>
            <b:Middle>Kwame</b:Middle>
            <b:First>Collins</b:First>
          </b:Person>
        </b:NameList>
      </b:Author>
    </b:Author>
    <b:RefOrder>77</b:RefOrder>
  </b:Source>
  <b:Source>
    <b:Tag>acu10</b:Tag>
    <b:SourceType>Report</b:SourceType>
    <b:Guid>{2D2EBA0F-F922-4809-8233-08F5A9B8CCD6}</b:Guid>
    <b:Title>Tryptic Soy Broth (7164)</b:Title>
    <b:Year>2010</b:Year>
    <b:Author>
      <b:Author>
        <b:Corporate>Acumedia</b:Corporate>
      </b:Author>
    </b:Author>
    <b:Publisher>Acumedia</b:Publisher>
    <b:City>Lansing</b:City>
    <b:RefOrder>41</b:RefOrder>
  </b:Source>
  <b:Source>
    <b:Tag>ant13</b:Tag>
    <b:SourceType>Report</b:SourceType>
    <b:Guid>{2FDEB8EC-0F43-4E45-BA92-4240A9E38BB9}</b:Guid>
    <b:Title>The Difference Between Type 6,6 and Type 6 Nylon</b:Title>
    <b:Year>2013</b:Year>
    <b:City>California</b:City>
    <b:Publisher>Antron</b:Publisher>
    <b:Author>
      <b:Author>
        <b:Corporate>Antron</b:Corporate>
      </b:Author>
    </b:Author>
    <b:RefOrder>43</b:RefOrder>
  </b:Source>
  <b:Source>
    <b:Tag>Jud04</b:Tag>
    <b:SourceType>InternetSite</b:SourceType>
    <b:Guid>{0AFBCB3F-4CE9-4145-B4FB-2302136C6BFC}</b:Guid>
    <b:Title>Operation of the Autoclaves</b:Title>
    <b:Year>2004</b:Year>
    <b:YearAccessed>14</b:YearAccessed>
    <b:MonthAccessed>03</b:MonthAccessed>
    <b:DayAccessed>03</b:DayAccessed>
    <b:URL>http://oomyceteworld.net/protocols/autoclave%20operation.pdf</b:URL>
    <b:Author>
      <b:Author>
        <b:NameList>
          <b:Person>
            <b:Last>Judelson</b:Last>
            <b:First>Howard</b:First>
          </b:Person>
        </b:NameList>
      </b:Author>
    </b:Author>
    <b:RefOrder>36</b:RefOrder>
  </b:Source>
  <b:Source>
    <b:Tag>BEM14</b:Tag>
    <b:SourceType>Report</b:SourceType>
    <b:Guid>{F808912C-17DC-4CCB-84B5-95D765EDAE26}</b:Guid>
    <b:Author>
      <b:Author>
        <b:Corporate>Bemis</b:Corporate>
      </b:Author>
    </b:Author>
    <b:Title>Hi-Flow Suction Canisters (1200, 2000, and 3000cc)</b:Title>
    <b:Year>2014</b:Year>
    <b:Publisher>BEMIS</b:Publisher>
    <b:City>Shebogan Falls</b:City>
    <b:RefOrder>6</b:RefOrder>
  </b:Source>
  <b:Source>
    <b:Tag>DIX12</b:Tag>
    <b:SourceType>Report</b:SourceType>
    <b:Guid>{902D1F0E-0289-4D24-AD75-BC458FA020CF}</b:Guid>
    <b:Title>VARIO XX28 Operators Manual</b:Title>
    <b:Year>2012</b:Year>
    <b:Author>
      <b:Author>
        <b:Corporate>Dixons</b:Corporate>
      </b:Author>
    </b:Author>
    <b:Publisher>DIXONS</b:Publisher>
    <b:City>Wickford</b:City>
    <b:RefOrder>72</b:RefOrder>
  </b:Source>
</b:Sources>
</file>

<file path=customXml/itemProps1.xml><?xml version="1.0" encoding="utf-8"?>
<ds:datastoreItem xmlns:ds="http://schemas.openxmlformats.org/officeDocument/2006/customXml" ds:itemID="{B813F97C-8DF4-4048-88F8-8A7DEBF87C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250</Pages>
  <Words>226355</Words>
  <Characters>1290228</Characters>
  <Application>Microsoft Office Word</Application>
  <DocSecurity>0</DocSecurity>
  <Lines>10751</Lines>
  <Paragraphs>3027</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1513556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Ian Brocklebank</dc:creator>
  <cp:keywords/>
  <dc:description/>
  <cp:lastModifiedBy>Ian Brocklebank</cp:lastModifiedBy>
  <cp:revision>2</cp:revision>
  <cp:lastPrinted>2019-01-25T12:12:00Z</cp:lastPrinted>
  <dcterms:created xsi:type="dcterms:W3CDTF">2019-04-26T15:33:00Z</dcterms:created>
  <dcterms:modified xsi:type="dcterms:W3CDTF">2019-04-26T15:33:00Z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http://www.zotero.org/styles/american-sociological-association</vt:lpwstr>
  </property>
  <property fmtid="{D5CDD505-2E9C-101B-9397-08002B2CF9AE}" pid="5" name="Mendeley Recent Style Name 1_1">
    <vt:lpwstr>American Sociological Association</vt:lpwstr>
  </property>
  <property fmtid="{D5CDD505-2E9C-101B-9397-08002B2CF9AE}" pid="6" name="Mendeley Recent Style Id 2_1">
    <vt:lpwstr>http://www.zotero.org/styles/chicago-author-date</vt:lpwstr>
  </property>
  <property fmtid="{D5CDD505-2E9C-101B-9397-08002B2CF9AE}" pid="7" name="Mendeley Recent Style Name 2_1">
    <vt:lpwstr>Chicago Manual of Style 16th edition (author-date)</vt:lpwstr>
  </property>
  <property fmtid="{D5CDD505-2E9C-101B-9397-08002B2CF9AE}" pid="8" name="Mendeley Recent Style Id 3_1">
    <vt:lpwstr>http://www.zotero.org/styles/harvard-cite-them-right</vt:lpwstr>
  </property>
  <property fmtid="{D5CDD505-2E9C-101B-9397-08002B2CF9AE}" pid="9" name="Mendeley Recent Style Name 3_1">
    <vt:lpwstr>Cite Them Right 10th edition - Harvard</vt:lpwstr>
  </property>
  <property fmtid="{D5CDD505-2E9C-101B-9397-08002B2CF9AE}" pid="10" name="Mendeley Recent Style Id 4_1">
    <vt:lpwstr>http://csl.mendeley.com/styles/449700551/harvard-cite-them-right-2</vt:lpwstr>
  </property>
  <property fmtid="{D5CDD505-2E9C-101B-9397-08002B2CF9AE}" pid="11" name="Mendeley Recent Style Name 4_1">
    <vt:lpwstr>Cite Them Right 10th edition - Harvard - Ian Brocklebank</vt:lpwstr>
  </property>
  <property fmtid="{D5CDD505-2E9C-101B-9397-08002B2CF9AE}" pid="12" name="Mendeley Recent Style Id 5_1">
    <vt:lpwstr>http://csl.mendeley.com/styles/449700551/harvard-cite-them-right-3-Ian-Brocklebank</vt:lpwstr>
  </property>
  <property fmtid="{D5CDD505-2E9C-101B-9397-08002B2CF9AE}" pid="13" name="Mendeley Recent Style Name 5_1">
    <vt:lpwstr>Cite Them Right 10th edition - Harvard - Ian Brocklebank</vt:lpwstr>
  </property>
  <property fmtid="{D5CDD505-2E9C-101B-9397-08002B2CF9AE}" pid="14" name="Mendeley Recent Style Id 6_1">
    <vt:lpwstr>http://www.zotero.org/styles/harvard1</vt:lpwstr>
  </property>
  <property fmtid="{D5CDD505-2E9C-101B-9397-08002B2CF9AE}" pid="15" name="Mendeley Recent Style Name 6_1">
    <vt:lpwstr>Harvard Reference format 1 (author-date)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7th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5db3fa70-663b-3db4-81c1-fee6cc67e3fd</vt:lpwstr>
  </property>
  <property fmtid="{D5CDD505-2E9C-101B-9397-08002B2CF9AE}" pid="24" name="Mendeley Citation Style_1">
    <vt:lpwstr>http://csl.mendeley.com/styles/449700551/harvard-cite-them-right-3-Ian-Brocklebank</vt:lpwstr>
  </property>
</Properties>
</file>